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4F7" w:rsidRDefault="005944F7" w:rsidP="005944F7">
      <w:pPr>
        <w:adjustRightInd w:val="0"/>
        <w:snapToGrid w:val="0"/>
        <w:jc w:val="both"/>
        <w:rPr>
          <w:rFonts w:cs="Times New Roman"/>
          <w:b/>
          <w:szCs w:val="24"/>
        </w:rPr>
      </w:pPr>
    </w:p>
    <w:p w:rsidR="005944F7" w:rsidRDefault="005944F7" w:rsidP="005944F7">
      <w:pPr>
        <w:adjustRightInd w:val="0"/>
        <w:snapToGrid w:val="0"/>
        <w:jc w:val="both"/>
        <w:rPr>
          <w:rFonts w:cs="Times New Roman"/>
          <w:b/>
          <w:szCs w:val="24"/>
        </w:rPr>
      </w:pPr>
    </w:p>
    <w:p w:rsidR="005A07F3" w:rsidRPr="005944F7" w:rsidRDefault="005A07F3" w:rsidP="005944F7">
      <w:pPr>
        <w:adjustRightInd w:val="0"/>
        <w:snapToGrid w:val="0"/>
        <w:jc w:val="both"/>
        <w:rPr>
          <w:rFonts w:cs="Times New Roman"/>
          <w:b/>
          <w:szCs w:val="24"/>
        </w:rPr>
      </w:pPr>
      <w:r w:rsidRPr="005944F7">
        <w:rPr>
          <w:rFonts w:cs="Times New Roman"/>
          <w:b/>
          <w:szCs w:val="24"/>
        </w:rPr>
        <w:t xml:space="preserve">An Environment-People Interactions Framework for </w:t>
      </w:r>
      <w:r w:rsidR="009A15D7" w:rsidRPr="005944F7">
        <w:rPr>
          <w:rFonts w:cs="Times New Roman"/>
          <w:b/>
          <w:szCs w:val="24"/>
        </w:rPr>
        <w:t xml:space="preserve">Analysing </w:t>
      </w:r>
      <w:r w:rsidRPr="005944F7">
        <w:rPr>
          <w:rFonts w:cs="Times New Roman"/>
          <w:b/>
          <w:szCs w:val="24"/>
        </w:rPr>
        <w:t>Children’s Extra-Curricular Activities and Active Transport</w:t>
      </w:r>
    </w:p>
    <w:p w:rsidR="00747722" w:rsidRPr="005944F7" w:rsidRDefault="00747722" w:rsidP="005944F7">
      <w:pPr>
        <w:adjustRightInd w:val="0"/>
        <w:snapToGrid w:val="0"/>
        <w:jc w:val="both"/>
        <w:rPr>
          <w:rFonts w:cs="Times New Roman"/>
          <w:b/>
          <w:szCs w:val="24"/>
        </w:rPr>
      </w:pPr>
    </w:p>
    <w:p w:rsidR="005944F7" w:rsidRDefault="005944F7" w:rsidP="005944F7">
      <w:pPr>
        <w:adjustRightInd w:val="0"/>
        <w:snapToGrid w:val="0"/>
        <w:rPr>
          <w:rFonts w:cs="Times New Roman"/>
          <w:b/>
          <w:szCs w:val="24"/>
          <w:lang w:val="en-US"/>
        </w:rPr>
      </w:pPr>
    </w:p>
    <w:p w:rsidR="005944F7" w:rsidRDefault="005944F7" w:rsidP="005944F7">
      <w:pPr>
        <w:adjustRightInd w:val="0"/>
        <w:snapToGrid w:val="0"/>
        <w:rPr>
          <w:rFonts w:cs="Times New Roman"/>
          <w:b/>
          <w:szCs w:val="24"/>
          <w:lang w:val="en-US"/>
        </w:rPr>
      </w:pPr>
    </w:p>
    <w:p w:rsidR="005944F7" w:rsidRPr="005944F7" w:rsidRDefault="005944F7" w:rsidP="005944F7">
      <w:pPr>
        <w:adjustRightInd w:val="0"/>
        <w:snapToGrid w:val="0"/>
        <w:rPr>
          <w:rFonts w:cs="Times New Roman"/>
          <w:b/>
          <w:szCs w:val="24"/>
          <w:lang w:val="en-US"/>
        </w:rPr>
      </w:pPr>
    </w:p>
    <w:p w:rsidR="005944F7" w:rsidRDefault="005944F7" w:rsidP="005944F7">
      <w:pPr>
        <w:adjustRightInd w:val="0"/>
        <w:snapToGrid w:val="0"/>
        <w:rPr>
          <w:rFonts w:cs="Times New Roman"/>
          <w:b/>
          <w:szCs w:val="24"/>
        </w:rPr>
      </w:pPr>
      <w:r>
        <w:rPr>
          <w:rFonts w:cs="Times New Roman"/>
          <w:b/>
          <w:szCs w:val="24"/>
        </w:rPr>
        <w:t>Kevin Y.K. Leung</w:t>
      </w:r>
    </w:p>
    <w:p w:rsidR="005944F7" w:rsidRDefault="005944F7" w:rsidP="005944F7">
      <w:pPr>
        <w:adjustRightInd w:val="0"/>
        <w:snapToGrid w:val="0"/>
        <w:rPr>
          <w:rFonts w:cs="Times New Roman"/>
          <w:szCs w:val="24"/>
        </w:rPr>
      </w:pPr>
      <w:r>
        <w:rPr>
          <w:rFonts w:cs="Times New Roman"/>
          <w:szCs w:val="24"/>
        </w:rPr>
        <w:t>The University of Hong Kong</w:t>
      </w:r>
    </w:p>
    <w:p w:rsidR="005944F7" w:rsidRDefault="005944F7" w:rsidP="005944F7">
      <w:pPr>
        <w:adjustRightInd w:val="0"/>
        <w:snapToGrid w:val="0"/>
        <w:rPr>
          <w:rFonts w:cs="Times New Roman"/>
          <w:szCs w:val="24"/>
        </w:rPr>
      </w:pPr>
      <w:r>
        <w:rPr>
          <w:rFonts w:cs="Times New Roman"/>
          <w:szCs w:val="24"/>
        </w:rPr>
        <w:t>Department of Geography</w:t>
      </w:r>
    </w:p>
    <w:p w:rsidR="005944F7" w:rsidRDefault="005944F7" w:rsidP="005944F7">
      <w:pPr>
        <w:adjustRightInd w:val="0"/>
        <w:snapToGrid w:val="0"/>
        <w:rPr>
          <w:rFonts w:cs="Times New Roman"/>
          <w:szCs w:val="24"/>
        </w:rPr>
      </w:pPr>
      <w:r>
        <w:rPr>
          <w:rFonts w:cs="Times New Roman"/>
          <w:szCs w:val="24"/>
        </w:rPr>
        <w:t>The Jockey Club Tower, Centennial Campus</w:t>
      </w:r>
    </w:p>
    <w:p w:rsidR="005944F7" w:rsidRDefault="005944F7" w:rsidP="005944F7">
      <w:pPr>
        <w:adjustRightInd w:val="0"/>
        <w:snapToGrid w:val="0"/>
        <w:rPr>
          <w:rFonts w:cs="Times New Roman"/>
          <w:szCs w:val="24"/>
        </w:rPr>
      </w:pPr>
      <w:proofErr w:type="spellStart"/>
      <w:r>
        <w:rPr>
          <w:rFonts w:cs="Times New Roman"/>
          <w:szCs w:val="24"/>
        </w:rPr>
        <w:t>Pokfulam</w:t>
      </w:r>
      <w:proofErr w:type="spellEnd"/>
      <w:r>
        <w:rPr>
          <w:rFonts w:cs="Times New Roman"/>
          <w:szCs w:val="24"/>
        </w:rPr>
        <w:t xml:space="preserve"> Road, Hong Kong</w:t>
      </w:r>
    </w:p>
    <w:p w:rsidR="005944F7" w:rsidRDefault="005944F7" w:rsidP="005944F7">
      <w:pPr>
        <w:adjustRightInd w:val="0"/>
        <w:snapToGrid w:val="0"/>
        <w:rPr>
          <w:rFonts w:cs="Times New Roman"/>
          <w:szCs w:val="24"/>
        </w:rPr>
      </w:pPr>
      <w:r>
        <w:rPr>
          <w:rFonts w:cs="Times New Roman"/>
          <w:szCs w:val="24"/>
        </w:rPr>
        <w:t xml:space="preserve">Tel: +852-9084-6195; Email: </w:t>
      </w:r>
      <w:hyperlink r:id="rId8" w:history="1">
        <w:r>
          <w:rPr>
            <w:rStyle w:val="Hyperlink"/>
            <w:rFonts w:cs="Times New Roman"/>
            <w:szCs w:val="24"/>
          </w:rPr>
          <w:t>k.leungyk@hku.hk</w:t>
        </w:r>
      </w:hyperlink>
    </w:p>
    <w:p w:rsidR="005944F7" w:rsidRDefault="005944F7" w:rsidP="005944F7">
      <w:pPr>
        <w:adjustRightInd w:val="0"/>
        <w:snapToGrid w:val="0"/>
        <w:rPr>
          <w:rFonts w:cs="Times New Roman"/>
          <w:szCs w:val="24"/>
        </w:rPr>
      </w:pPr>
    </w:p>
    <w:p w:rsidR="005944F7" w:rsidRDefault="005944F7" w:rsidP="005944F7">
      <w:pPr>
        <w:rPr>
          <w:rFonts w:cs="Times New Roman"/>
          <w:b/>
          <w:szCs w:val="24"/>
        </w:rPr>
      </w:pPr>
      <w:r>
        <w:rPr>
          <w:rFonts w:cs="Times New Roman"/>
          <w:b/>
          <w:szCs w:val="24"/>
        </w:rPr>
        <w:t xml:space="preserve">Sebastian </w:t>
      </w:r>
      <w:proofErr w:type="spellStart"/>
      <w:r>
        <w:rPr>
          <w:rFonts w:cs="Times New Roman"/>
          <w:b/>
          <w:szCs w:val="24"/>
        </w:rPr>
        <w:t>Astroza</w:t>
      </w:r>
      <w:proofErr w:type="spellEnd"/>
    </w:p>
    <w:p w:rsidR="005944F7" w:rsidRDefault="005944F7" w:rsidP="005944F7">
      <w:pPr>
        <w:rPr>
          <w:rFonts w:cs="Times New Roman"/>
          <w:szCs w:val="24"/>
        </w:rPr>
      </w:pPr>
      <w:r>
        <w:rPr>
          <w:rFonts w:cs="Times New Roman"/>
          <w:szCs w:val="24"/>
        </w:rPr>
        <w:t>The University of Texas at Austin</w:t>
      </w:r>
    </w:p>
    <w:p w:rsidR="005944F7" w:rsidRDefault="005944F7" w:rsidP="005944F7">
      <w:pPr>
        <w:rPr>
          <w:rFonts w:cs="Times New Roman"/>
          <w:szCs w:val="24"/>
        </w:rPr>
      </w:pPr>
      <w:r>
        <w:rPr>
          <w:rFonts w:cs="Times New Roman"/>
          <w:szCs w:val="24"/>
        </w:rPr>
        <w:t>Department of Civil, Architectural and Environmental Engineering</w:t>
      </w:r>
    </w:p>
    <w:p w:rsidR="005944F7" w:rsidRDefault="005944F7" w:rsidP="005944F7">
      <w:pPr>
        <w:rPr>
          <w:rFonts w:cs="Times New Roman"/>
          <w:szCs w:val="24"/>
        </w:rPr>
      </w:pPr>
      <w:r>
        <w:rPr>
          <w:rFonts w:cs="Times New Roman"/>
          <w:szCs w:val="24"/>
        </w:rPr>
        <w:t>301 E. Dean Keeton St. Stop C1761, Austin TX 78712, USA</w:t>
      </w:r>
    </w:p>
    <w:p w:rsidR="005944F7" w:rsidRDefault="005944F7" w:rsidP="005944F7">
      <w:pPr>
        <w:rPr>
          <w:rFonts w:cs="Times New Roman"/>
          <w:szCs w:val="24"/>
          <w:lang w:val="es-CL"/>
        </w:rPr>
      </w:pPr>
      <w:r>
        <w:rPr>
          <w:rFonts w:cs="Times New Roman"/>
          <w:szCs w:val="24"/>
          <w:lang w:val="es-CL"/>
        </w:rPr>
        <w:t xml:space="preserve">Tel: +56-41-220-3618; </w:t>
      </w:r>
      <w:r>
        <w:rPr>
          <w:rFonts w:cs="Times New Roman"/>
          <w:szCs w:val="24"/>
          <w:lang w:val="fr-FR"/>
        </w:rPr>
        <w:t xml:space="preserve">Email: </w:t>
      </w:r>
      <w:hyperlink r:id="rId9" w:history="1">
        <w:r>
          <w:rPr>
            <w:rStyle w:val="Hyperlink"/>
            <w:rFonts w:cs="Times New Roman"/>
            <w:szCs w:val="24"/>
            <w:lang w:val="fr-FR"/>
          </w:rPr>
          <w:t>sastroza@utexas.edu</w:t>
        </w:r>
      </w:hyperlink>
    </w:p>
    <w:p w:rsidR="005944F7" w:rsidRDefault="005944F7" w:rsidP="005944F7">
      <w:pPr>
        <w:rPr>
          <w:rFonts w:cs="Times New Roman"/>
          <w:szCs w:val="24"/>
          <w:lang w:val="es-CL"/>
        </w:rPr>
      </w:pPr>
      <w:proofErr w:type="gramStart"/>
      <w:r>
        <w:rPr>
          <w:rFonts w:cs="Times New Roman"/>
          <w:szCs w:val="24"/>
          <w:lang w:val="es-CL"/>
        </w:rPr>
        <w:t>and</w:t>
      </w:r>
      <w:proofErr w:type="gramEnd"/>
    </w:p>
    <w:p w:rsidR="005944F7" w:rsidRDefault="005944F7" w:rsidP="005944F7">
      <w:pPr>
        <w:rPr>
          <w:rFonts w:cs="Times New Roman"/>
          <w:szCs w:val="24"/>
          <w:lang w:val="es-CL"/>
        </w:rPr>
      </w:pPr>
      <w:r>
        <w:rPr>
          <w:rFonts w:cs="Times New Roman"/>
          <w:szCs w:val="24"/>
          <w:lang w:val="es-CL"/>
        </w:rPr>
        <w:t>Departamento de Ingeniería Industrial, Universidad de Concepción,</w:t>
      </w:r>
    </w:p>
    <w:p w:rsidR="005944F7" w:rsidRDefault="005944F7" w:rsidP="005944F7">
      <w:pPr>
        <w:adjustRightInd w:val="0"/>
        <w:snapToGrid w:val="0"/>
        <w:rPr>
          <w:rFonts w:cs="Times New Roman"/>
          <w:szCs w:val="24"/>
          <w:lang w:val="es-CL"/>
        </w:rPr>
      </w:pPr>
      <w:r>
        <w:rPr>
          <w:rFonts w:cs="Times New Roman"/>
          <w:szCs w:val="24"/>
          <w:lang w:val="es-CL"/>
        </w:rPr>
        <w:t xml:space="preserve">Edmundo </w:t>
      </w:r>
      <w:proofErr w:type="spellStart"/>
      <w:r>
        <w:rPr>
          <w:rFonts w:cs="Times New Roman"/>
          <w:szCs w:val="24"/>
          <w:lang w:val="es-CL"/>
        </w:rPr>
        <w:t>Larenas</w:t>
      </w:r>
      <w:proofErr w:type="spellEnd"/>
      <w:r>
        <w:rPr>
          <w:rFonts w:cs="Times New Roman"/>
          <w:szCs w:val="24"/>
          <w:lang w:val="es-CL"/>
        </w:rPr>
        <w:t xml:space="preserve"> 219, Concepción, Chile</w:t>
      </w:r>
    </w:p>
    <w:p w:rsidR="005944F7" w:rsidRDefault="005944F7" w:rsidP="005944F7">
      <w:pPr>
        <w:adjustRightInd w:val="0"/>
        <w:snapToGrid w:val="0"/>
        <w:rPr>
          <w:rFonts w:cs="Times New Roman"/>
          <w:szCs w:val="24"/>
          <w:lang w:val="es-CL"/>
        </w:rPr>
      </w:pPr>
    </w:p>
    <w:p w:rsidR="005944F7" w:rsidRDefault="005944F7" w:rsidP="005944F7">
      <w:pPr>
        <w:adjustRightInd w:val="0"/>
        <w:snapToGrid w:val="0"/>
        <w:rPr>
          <w:rFonts w:cs="Times New Roman"/>
          <w:b/>
          <w:szCs w:val="24"/>
          <w:lang w:val="en-US"/>
        </w:rPr>
      </w:pPr>
      <w:r>
        <w:rPr>
          <w:rFonts w:cs="Times New Roman"/>
          <w:b/>
          <w:szCs w:val="24"/>
        </w:rPr>
        <w:t>Becky P.Y. Loo (corresponding author)</w:t>
      </w:r>
    </w:p>
    <w:p w:rsidR="005944F7" w:rsidRDefault="005944F7" w:rsidP="005944F7">
      <w:pPr>
        <w:adjustRightInd w:val="0"/>
        <w:snapToGrid w:val="0"/>
        <w:rPr>
          <w:rFonts w:cs="Times New Roman"/>
          <w:szCs w:val="24"/>
        </w:rPr>
      </w:pPr>
      <w:r>
        <w:rPr>
          <w:rFonts w:cs="Times New Roman"/>
          <w:szCs w:val="24"/>
        </w:rPr>
        <w:t>The University of Hong Kong</w:t>
      </w:r>
    </w:p>
    <w:p w:rsidR="005944F7" w:rsidRDefault="005944F7" w:rsidP="005944F7">
      <w:pPr>
        <w:adjustRightInd w:val="0"/>
        <w:snapToGrid w:val="0"/>
        <w:rPr>
          <w:rFonts w:cs="Times New Roman"/>
          <w:szCs w:val="24"/>
        </w:rPr>
      </w:pPr>
      <w:r>
        <w:rPr>
          <w:rFonts w:cs="Times New Roman"/>
          <w:szCs w:val="24"/>
        </w:rPr>
        <w:t>Department of Geography</w:t>
      </w:r>
    </w:p>
    <w:p w:rsidR="005944F7" w:rsidRDefault="005944F7" w:rsidP="005944F7">
      <w:pPr>
        <w:adjustRightInd w:val="0"/>
        <w:snapToGrid w:val="0"/>
        <w:rPr>
          <w:rFonts w:cs="Times New Roman"/>
          <w:szCs w:val="24"/>
        </w:rPr>
      </w:pPr>
      <w:r>
        <w:rPr>
          <w:rFonts w:cs="Times New Roman"/>
          <w:szCs w:val="24"/>
        </w:rPr>
        <w:t>The Jockey Club Tower, Centennial Campus</w:t>
      </w:r>
    </w:p>
    <w:p w:rsidR="005944F7" w:rsidRDefault="005944F7" w:rsidP="005944F7">
      <w:pPr>
        <w:adjustRightInd w:val="0"/>
        <w:snapToGrid w:val="0"/>
        <w:rPr>
          <w:rFonts w:cs="Times New Roman"/>
          <w:szCs w:val="24"/>
        </w:rPr>
      </w:pPr>
      <w:proofErr w:type="spellStart"/>
      <w:r>
        <w:rPr>
          <w:rFonts w:cs="Times New Roman"/>
          <w:szCs w:val="24"/>
        </w:rPr>
        <w:t>Pokfulam</w:t>
      </w:r>
      <w:proofErr w:type="spellEnd"/>
      <w:r>
        <w:rPr>
          <w:rFonts w:cs="Times New Roman"/>
          <w:szCs w:val="24"/>
        </w:rPr>
        <w:t xml:space="preserve"> Road, Hong Kong</w:t>
      </w:r>
    </w:p>
    <w:p w:rsidR="005944F7" w:rsidRDefault="005944F7" w:rsidP="005944F7">
      <w:pPr>
        <w:adjustRightInd w:val="0"/>
        <w:snapToGrid w:val="0"/>
        <w:rPr>
          <w:rFonts w:cs="Times New Roman"/>
          <w:szCs w:val="24"/>
        </w:rPr>
      </w:pPr>
      <w:r>
        <w:rPr>
          <w:rFonts w:cs="Times New Roman"/>
          <w:szCs w:val="24"/>
        </w:rPr>
        <w:t xml:space="preserve">Tel: +852-3917-7024; Email: </w:t>
      </w:r>
      <w:hyperlink r:id="rId10" w:history="1">
        <w:r>
          <w:rPr>
            <w:rStyle w:val="Hyperlink"/>
            <w:rFonts w:cs="Times New Roman"/>
            <w:szCs w:val="24"/>
          </w:rPr>
          <w:t>bpyloo@hku.hk</w:t>
        </w:r>
      </w:hyperlink>
    </w:p>
    <w:p w:rsidR="005944F7" w:rsidRDefault="005944F7" w:rsidP="005944F7">
      <w:pPr>
        <w:adjustRightInd w:val="0"/>
        <w:snapToGrid w:val="0"/>
        <w:rPr>
          <w:rFonts w:cs="Times New Roman"/>
          <w:szCs w:val="24"/>
        </w:rPr>
      </w:pPr>
    </w:p>
    <w:p w:rsidR="005944F7" w:rsidRDefault="005944F7" w:rsidP="005944F7">
      <w:pPr>
        <w:rPr>
          <w:rFonts w:cs="Times New Roman"/>
          <w:szCs w:val="24"/>
        </w:rPr>
      </w:pPr>
      <w:proofErr w:type="gramStart"/>
      <w:r>
        <w:rPr>
          <w:rFonts w:cs="Times New Roman"/>
          <w:szCs w:val="24"/>
        </w:rPr>
        <w:t>and</w:t>
      </w:r>
      <w:proofErr w:type="gramEnd"/>
    </w:p>
    <w:p w:rsidR="005944F7" w:rsidRDefault="005944F7" w:rsidP="005944F7">
      <w:pPr>
        <w:rPr>
          <w:rFonts w:cs="Times New Roman"/>
          <w:szCs w:val="24"/>
        </w:rPr>
      </w:pPr>
    </w:p>
    <w:p w:rsidR="005944F7" w:rsidRDefault="005944F7" w:rsidP="005944F7">
      <w:pPr>
        <w:rPr>
          <w:rFonts w:cs="Times New Roman"/>
          <w:b/>
          <w:szCs w:val="24"/>
        </w:rPr>
      </w:pPr>
      <w:r>
        <w:rPr>
          <w:rFonts w:cs="Times New Roman"/>
          <w:b/>
          <w:szCs w:val="24"/>
        </w:rPr>
        <w:t>Chandra R. Bhat</w:t>
      </w:r>
    </w:p>
    <w:p w:rsidR="005944F7" w:rsidRDefault="005944F7" w:rsidP="005944F7">
      <w:pPr>
        <w:rPr>
          <w:rFonts w:cs="Times New Roman"/>
          <w:szCs w:val="24"/>
        </w:rPr>
      </w:pPr>
      <w:r>
        <w:rPr>
          <w:rFonts w:cs="Times New Roman"/>
          <w:szCs w:val="24"/>
        </w:rPr>
        <w:t>The University of Texas at Austin</w:t>
      </w:r>
    </w:p>
    <w:p w:rsidR="005944F7" w:rsidRDefault="005944F7" w:rsidP="005944F7">
      <w:pPr>
        <w:rPr>
          <w:rFonts w:cs="Times New Roman"/>
          <w:szCs w:val="24"/>
        </w:rPr>
      </w:pPr>
      <w:r>
        <w:rPr>
          <w:rFonts w:cs="Times New Roman"/>
          <w:szCs w:val="24"/>
        </w:rPr>
        <w:t>Department of Civil, Architectural and Environmental Engineering</w:t>
      </w:r>
    </w:p>
    <w:p w:rsidR="005944F7" w:rsidRDefault="005944F7" w:rsidP="005944F7">
      <w:pPr>
        <w:rPr>
          <w:rFonts w:cs="Times New Roman"/>
          <w:szCs w:val="24"/>
        </w:rPr>
      </w:pPr>
      <w:r>
        <w:rPr>
          <w:rFonts w:cs="Times New Roman"/>
          <w:szCs w:val="24"/>
        </w:rPr>
        <w:t>301 E. Dean Keeton St. Stop C1761, Austin, TX 78712, USA</w:t>
      </w:r>
    </w:p>
    <w:p w:rsidR="005944F7" w:rsidRDefault="005944F7" w:rsidP="005944F7">
      <w:pPr>
        <w:rPr>
          <w:rStyle w:val="Hyperlink"/>
        </w:rPr>
      </w:pPr>
      <w:r>
        <w:rPr>
          <w:rFonts w:cs="Times New Roman"/>
          <w:szCs w:val="24"/>
        </w:rPr>
        <w:t xml:space="preserve">Tel: 512-471-4535; Email: </w:t>
      </w:r>
      <w:hyperlink r:id="rId11" w:history="1">
        <w:r>
          <w:rPr>
            <w:rStyle w:val="Hyperlink"/>
            <w:rFonts w:cs="Times New Roman"/>
            <w:szCs w:val="24"/>
          </w:rPr>
          <w:t>bhat@mail.utexas.edu</w:t>
        </w:r>
      </w:hyperlink>
    </w:p>
    <w:p w:rsidR="005944F7" w:rsidRDefault="005944F7" w:rsidP="005944F7">
      <w:pPr>
        <w:rPr>
          <w:bCs/>
          <w:kern w:val="32"/>
        </w:rPr>
      </w:pPr>
      <w:proofErr w:type="gramStart"/>
      <w:r>
        <w:rPr>
          <w:rFonts w:cs="Times New Roman"/>
          <w:bCs/>
          <w:kern w:val="32"/>
          <w:szCs w:val="24"/>
        </w:rPr>
        <w:t>and</w:t>
      </w:r>
      <w:proofErr w:type="gramEnd"/>
    </w:p>
    <w:p w:rsidR="005944F7" w:rsidRDefault="005944F7" w:rsidP="005944F7">
      <w:pPr>
        <w:rPr>
          <w:rFonts w:cs="Times New Roman"/>
          <w:szCs w:val="24"/>
        </w:rPr>
      </w:pPr>
      <w:r>
        <w:rPr>
          <w:rFonts w:cs="Times New Roman"/>
          <w:szCs w:val="24"/>
        </w:rPr>
        <w:t>The Hong Kong Polytechnic University</w:t>
      </w:r>
      <w:r>
        <w:rPr>
          <w:rFonts w:cs="Times New Roman"/>
          <w:bCs/>
          <w:kern w:val="32"/>
          <w:szCs w:val="24"/>
        </w:rPr>
        <w:t xml:space="preserve">, </w:t>
      </w:r>
      <w:r>
        <w:rPr>
          <w:rFonts w:cs="Times New Roman"/>
          <w:szCs w:val="24"/>
        </w:rPr>
        <w:t xml:space="preserve">Hung </w:t>
      </w:r>
      <w:proofErr w:type="spellStart"/>
      <w:r>
        <w:rPr>
          <w:rFonts w:cs="Times New Roman"/>
          <w:szCs w:val="24"/>
        </w:rPr>
        <w:t>Hom</w:t>
      </w:r>
      <w:proofErr w:type="spellEnd"/>
      <w:r>
        <w:rPr>
          <w:rFonts w:cs="Times New Roman"/>
          <w:szCs w:val="24"/>
        </w:rPr>
        <w:t>, Kowloon, Hong Kong</w:t>
      </w:r>
    </w:p>
    <w:p w:rsidR="005944F7" w:rsidRDefault="005944F7" w:rsidP="005944F7">
      <w:pPr>
        <w:adjustRightInd w:val="0"/>
        <w:snapToGrid w:val="0"/>
        <w:jc w:val="both"/>
        <w:rPr>
          <w:rFonts w:cs="Times New Roman"/>
          <w:b/>
          <w:szCs w:val="24"/>
        </w:rPr>
      </w:pPr>
    </w:p>
    <w:p w:rsidR="005944F7" w:rsidRPr="00624301" w:rsidRDefault="005944F7" w:rsidP="00751138">
      <w:pPr>
        <w:adjustRightInd w:val="0"/>
        <w:snapToGrid w:val="0"/>
        <w:spacing w:line="360" w:lineRule="auto"/>
        <w:jc w:val="both"/>
        <w:rPr>
          <w:rFonts w:ascii="Cambria Math" w:hAnsi="Cambria Math" w:cs="Times New Roman"/>
          <w:b/>
          <w:szCs w:val="24"/>
        </w:rPr>
      </w:pPr>
    </w:p>
    <w:p w:rsidR="005944F7" w:rsidRDefault="005944F7" w:rsidP="00747722">
      <w:pPr>
        <w:adjustRightInd w:val="0"/>
        <w:snapToGrid w:val="0"/>
        <w:spacing w:line="360" w:lineRule="auto"/>
        <w:jc w:val="both"/>
        <w:rPr>
          <w:rFonts w:ascii="Cambria Math" w:hAnsi="Cambria Math" w:cs="Times New Roman"/>
          <w:b/>
          <w:szCs w:val="24"/>
        </w:rPr>
        <w:sectPr w:rsidR="005944F7">
          <w:footerReference w:type="default" r:id="rId12"/>
          <w:pgSz w:w="12240" w:h="15840"/>
          <w:pgMar w:top="1440" w:right="1440" w:bottom="1440" w:left="1440" w:header="720" w:footer="720" w:gutter="0"/>
          <w:pgNumType w:start="1"/>
          <w:cols w:space="720"/>
        </w:sectPr>
      </w:pPr>
    </w:p>
    <w:p w:rsidR="00747722" w:rsidRPr="005944F7" w:rsidRDefault="00747722" w:rsidP="005944F7">
      <w:pPr>
        <w:adjustRightInd w:val="0"/>
        <w:snapToGrid w:val="0"/>
        <w:jc w:val="both"/>
        <w:rPr>
          <w:rFonts w:cs="Times New Roman"/>
          <w:b/>
          <w:szCs w:val="24"/>
        </w:rPr>
      </w:pPr>
      <w:r w:rsidRPr="005944F7">
        <w:rPr>
          <w:rFonts w:cs="Times New Roman"/>
          <w:b/>
          <w:szCs w:val="24"/>
        </w:rPr>
        <w:lastRenderedPageBreak/>
        <w:t>ABSTRACT</w:t>
      </w:r>
    </w:p>
    <w:p w:rsidR="00747722" w:rsidRPr="005944F7" w:rsidRDefault="00747722" w:rsidP="005944F7">
      <w:pPr>
        <w:adjustRightInd w:val="0"/>
        <w:snapToGrid w:val="0"/>
        <w:jc w:val="both"/>
        <w:rPr>
          <w:rFonts w:cs="Times New Roman"/>
          <w:szCs w:val="24"/>
        </w:rPr>
      </w:pPr>
      <w:r w:rsidRPr="005944F7">
        <w:rPr>
          <w:rFonts w:cs="Times New Roman"/>
          <w:szCs w:val="24"/>
        </w:rPr>
        <w:t xml:space="preserve">In this paper, the focus is on examining children’s extra-curricular activities in a high density urban East Asian environment, specifically Hong Kong. The paper offers a framework to understand children’s extra-curricular activities time allocation and active travel participation. Three variables of interest are considered: residential location choice (based on residential density), weekly time spent in four different types of out-of-home after-school activities (academic, sports, arts, and other), and level of active travel. The proposed model takes into account common observed and unobserved effects that can be affecting the three outcomes simultaneously. Overall, the findings, based on survey data collected at four primary schools between November 2015 and June 2016 in Hong Kong, show that children’s activity and travel </w:t>
      </w:r>
      <w:r w:rsidR="009A15D7" w:rsidRPr="005944F7">
        <w:rPr>
          <w:rFonts w:cs="Times New Roman"/>
          <w:szCs w:val="24"/>
        </w:rPr>
        <w:t>behaviour</w:t>
      </w:r>
      <w:r w:rsidRPr="005944F7">
        <w:rPr>
          <w:rFonts w:cs="Times New Roman"/>
          <w:szCs w:val="24"/>
        </w:rPr>
        <w:t xml:space="preserve"> within the same city can differ quite substantially based on neighbo</w:t>
      </w:r>
      <w:r w:rsidR="009A15D7" w:rsidRPr="005944F7">
        <w:rPr>
          <w:rFonts w:cs="Times New Roman"/>
          <w:szCs w:val="24"/>
        </w:rPr>
        <w:t>u</w:t>
      </w:r>
      <w:r w:rsidRPr="005944F7">
        <w:rPr>
          <w:rFonts w:cs="Times New Roman"/>
          <w:szCs w:val="24"/>
        </w:rPr>
        <w:t xml:space="preserve">rhood environment (notably residential density) and family socio-demographic background. </w:t>
      </w:r>
      <w:bookmarkStart w:id="0" w:name="_Hlk529055465"/>
      <w:r w:rsidR="0059639E" w:rsidRPr="005944F7">
        <w:rPr>
          <w:rFonts w:cs="Times New Roman"/>
          <w:szCs w:val="24"/>
        </w:rPr>
        <w:t xml:space="preserve">The empirical findings and analysis provide insights for policy development, </w:t>
      </w:r>
      <w:r w:rsidR="00DC366F" w:rsidRPr="005944F7">
        <w:rPr>
          <w:rFonts w:cs="Times New Roman"/>
          <w:szCs w:val="24"/>
        </w:rPr>
        <w:t>including</w:t>
      </w:r>
      <w:r w:rsidR="0059639E" w:rsidRPr="005944F7">
        <w:rPr>
          <w:rFonts w:cs="Times New Roman"/>
          <w:szCs w:val="24"/>
        </w:rPr>
        <w:t xml:space="preserve"> those </w:t>
      </w:r>
      <w:r w:rsidR="00B81784" w:rsidRPr="005944F7">
        <w:rPr>
          <w:rFonts w:cs="Times New Roman"/>
          <w:szCs w:val="24"/>
        </w:rPr>
        <w:t xml:space="preserve">related to (a) </w:t>
      </w:r>
      <w:r w:rsidR="0059639E" w:rsidRPr="005944F7">
        <w:rPr>
          <w:rFonts w:cs="Times New Roman"/>
          <w:szCs w:val="24"/>
        </w:rPr>
        <w:t xml:space="preserve">targeting children’s extra-curricular activity participation for underprivileged groups, </w:t>
      </w:r>
      <w:r w:rsidR="00B81784" w:rsidRPr="005944F7">
        <w:rPr>
          <w:rFonts w:cs="Times New Roman"/>
          <w:szCs w:val="24"/>
        </w:rPr>
        <w:t xml:space="preserve">(b) </w:t>
      </w:r>
      <w:r w:rsidR="0059639E" w:rsidRPr="005944F7">
        <w:rPr>
          <w:rFonts w:cs="Times New Roman"/>
          <w:szCs w:val="24"/>
        </w:rPr>
        <w:t>promo</w:t>
      </w:r>
      <w:r w:rsidR="00B81784" w:rsidRPr="005944F7">
        <w:rPr>
          <w:rFonts w:cs="Times New Roman"/>
          <w:szCs w:val="24"/>
        </w:rPr>
        <w:t xml:space="preserve">ting </w:t>
      </w:r>
      <w:r w:rsidR="0059639E" w:rsidRPr="005944F7">
        <w:rPr>
          <w:rFonts w:cs="Times New Roman"/>
          <w:szCs w:val="24"/>
        </w:rPr>
        <w:t xml:space="preserve">work-friendly policies that enable parents to spend more time and participate in more activities together with their children, as well as </w:t>
      </w:r>
      <w:r w:rsidR="00B81784" w:rsidRPr="005944F7">
        <w:rPr>
          <w:rFonts w:cs="Times New Roman"/>
          <w:szCs w:val="24"/>
        </w:rPr>
        <w:t xml:space="preserve">(c) </w:t>
      </w:r>
      <w:r w:rsidR="0059639E" w:rsidRPr="005944F7">
        <w:rPr>
          <w:rFonts w:cs="Times New Roman"/>
          <w:szCs w:val="24"/>
        </w:rPr>
        <w:t>promoting mixed use and compact development to encourage a more active lifestyle for children and parents alike.</w:t>
      </w:r>
      <w:bookmarkEnd w:id="0"/>
    </w:p>
    <w:p w:rsidR="00747722" w:rsidRPr="005944F7" w:rsidRDefault="00747722" w:rsidP="005944F7">
      <w:pPr>
        <w:adjustRightInd w:val="0"/>
        <w:snapToGrid w:val="0"/>
        <w:jc w:val="both"/>
        <w:rPr>
          <w:rFonts w:cs="Times New Roman"/>
          <w:szCs w:val="24"/>
        </w:rPr>
      </w:pPr>
    </w:p>
    <w:p w:rsidR="00747722" w:rsidRPr="005944F7" w:rsidRDefault="00747722" w:rsidP="005944F7">
      <w:pPr>
        <w:adjustRightInd w:val="0"/>
        <w:snapToGrid w:val="0"/>
        <w:jc w:val="both"/>
        <w:rPr>
          <w:rFonts w:cs="Times New Roman"/>
          <w:szCs w:val="24"/>
        </w:rPr>
      </w:pPr>
      <w:r w:rsidRPr="005944F7">
        <w:rPr>
          <w:rFonts w:cs="Times New Roman"/>
          <w:i/>
          <w:szCs w:val="24"/>
        </w:rPr>
        <w:t>Keywords</w:t>
      </w:r>
      <w:r w:rsidRPr="005944F7">
        <w:rPr>
          <w:rFonts w:cs="Times New Roman"/>
          <w:szCs w:val="24"/>
        </w:rPr>
        <w:t>:</w:t>
      </w:r>
      <w:r w:rsidRPr="005944F7">
        <w:rPr>
          <w:rFonts w:cs="Times New Roman"/>
          <w:b/>
          <w:szCs w:val="24"/>
        </w:rPr>
        <w:t xml:space="preserve"> </w:t>
      </w:r>
      <w:r w:rsidRPr="005944F7">
        <w:rPr>
          <w:rFonts w:eastAsia="Times New Roman" w:cs="Times New Roman"/>
        </w:rPr>
        <w:t xml:space="preserve">Children’s activity-travel </w:t>
      </w:r>
      <w:r w:rsidR="009A15D7" w:rsidRPr="005944F7">
        <w:rPr>
          <w:rFonts w:eastAsia="Times New Roman" w:cs="Times New Roman"/>
        </w:rPr>
        <w:t>behaviour</w:t>
      </w:r>
      <w:r w:rsidRPr="005944F7">
        <w:rPr>
          <w:rFonts w:eastAsia="Times New Roman" w:cs="Times New Roman"/>
        </w:rPr>
        <w:t>, MACML estimation, Hong Kong activity-travel, residential location, extra-curricular activity, active travel modes</w:t>
      </w:r>
    </w:p>
    <w:p w:rsidR="005A07F3" w:rsidRPr="005944F7" w:rsidRDefault="005A07F3" w:rsidP="005944F7">
      <w:pPr>
        <w:adjustRightInd w:val="0"/>
        <w:snapToGrid w:val="0"/>
        <w:jc w:val="both"/>
        <w:rPr>
          <w:rFonts w:cs="Times New Roman"/>
          <w:b/>
          <w:szCs w:val="24"/>
        </w:rPr>
      </w:pPr>
    </w:p>
    <w:p w:rsidR="005944F7" w:rsidRPr="005944F7" w:rsidRDefault="005944F7" w:rsidP="005944F7">
      <w:pPr>
        <w:adjustRightInd w:val="0"/>
        <w:snapToGrid w:val="0"/>
        <w:jc w:val="both"/>
        <w:rPr>
          <w:rFonts w:cs="Times New Roman"/>
          <w:b/>
          <w:szCs w:val="24"/>
        </w:rPr>
        <w:sectPr w:rsidR="005944F7" w:rsidRPr="005944F7">
          <w:pgSz w:w="12240" w:h="15840"/>
          <w:pgMar w:top="1440" w:right="1440" w:bottom="1440" w:left="1440" w:header="720" w:footer="720" w:gutter="0"/>
          <w:pgNumType w:start="1"/>
          <w:cols w:space="720"/>
        </w:sectPr>
      </w:pPr>
    </w:p>
    <w:p w:rsidR="00751138" w:rsidRPr="005944F7" w:rsidRDefault="00751138" w:rsidP="005944F7">
      <w:pPr>
        <w:adjustRightInd w:val="0"/>
        <w:snapToGrid w:val="0"/>
        <w:jc w:val="both"/>
        <w:rPr>
          <w:rFonts w:cs="Times New Roman"/>
          <w:b/>
          <w:szCs w:val="24"/>
        </w:rPr>
      </w:pPr>
      <w:r w:rsidRPr="005944F7">
        <w:rPr>
          <w:rFonts w:cs="Times New Roman"/>
          <w:b/>
          <w:szCs w:val="24"/>
        </w:rPr>
        <w:lastRenderedPageBreak/>
        <w:t>1. INTRODUCTION</w:t>
      </w:r>
    </w:p>
    <w:p w:rsidR="00751138" w:rsidRPr="005944F7" w:rsidRDefault="00751138" w:rsidP="005944F7">
      <w:pPr>
        <w:adjustRightInd w:val="0"/>
        <w:snapToGrid w:val="0"/>
        <w:jc w:val="both"/>
        <w:rPr>
          <w:rFonts w:cs="Times New Roman"/>
          <w:szCs w:val="24"/>
        </w:rPr>
      </w:pPr>
      <w:r w:rsidRPr="005944F7">
        <w:rPr>
          <w:rFonts w:cs="Times New Roman"/>
          <w:szCs w:val="24"/>
        </w:rPr>
        <w:t>Academic interest in children’s mobility</w:t>
      </w:r>
      <w:r w:rsidR="00CE4A77" w:rsidRPr="005944F7">
        <w:rPr>
          <w:rFonts w:cs="Times New Roman"/>
          <w:szCs w:val="24"/>
        </w:rPr>
        <w:t xml:space="preserve"> with respect to their</w:t>
      </w:r>
      <w:r w:rsidRPr="005944F7">
        <w:rPr>
          <w:rFonts w:cs="Times New Roman"/>
          <w:szCs w:val="24"/>
        </w:rPr>
        <w:t xml:space="preserve"> accessibility to opportunities </w:t>
      </w:r>
      <w:r w:rsidR="00237402" w:rsidRPr="005944F7">
        <w:rPr>
          <w:rFonts w:cs="Times New Roman"/>
          <w:szCs w:val="24"/>
        </w:rPr>
        <w:t xml:space="preserve">across different locational and situational contexts </w:t>
      </w:r>
      <w:r w:rsidRPr="005944F7">
        <w:rPr>
          <w:rFonts w:cs="Times New Roman"/>
          <w:szCs w:val="24"/>
        </w:rPr>
        <w:t xml:space="preserve">has grown quickly over the last decade. This trend has been reflected in the number of manuscripts published in leading transport journals like the </w:t>
      </w:r>
      <w:r w:rsidRPr="005944F7">
        <w:rPr>
          <w:rFonts w:cs="Times New Roman"/>
          <w:i/>
          <w:szCs w:val="24"/>
        </w:rPr>
        <w:t>Journal of Transport Geography</w:t>
      </w:r>
      <w:r w:rsidRPr="005944F7">
        <w:rPr>
          <w:rFonts w:cs="Times New Roman"/>
          <w:szCs w:val="24"/>
        </w:rPr>
        <w:t>. In the last ten years (2009-2018), this journal has published 23 articles directly related to children travels from across the world, including empirical studies in Albania (</w:t>
      </w:r>
      <w:proofErr w:type="spellStart"/>
      <w:r w:rsidRPr="005944F7">
        <w:rPr>
          <w:rFonts w:cs="Times New Roman"/>
          <w:szCs w:val="24"/>
        </w:rPr>
        <w:t>Pojani</w:t>
      </w:r>
      <w:proofErr w:type="spellEnd"/>
      <w:r w:rsidRPr="005944F7">
        <w:rPr>
          <w:rFonts w:cs="Times New Roman"/>
          <w:szCs w:val="24"/>
        </w:rPr>
        <w:t xml:space="preserve"> and </w:t>
      </w:r>
      <w:proofErr w:type="spellStart"/>
      <w:r w:rsidRPr="005944F7">
        <w:rPr>
          <w:rFonts w:cs="Times New Roman"/>
          <w:szCs w:val="24"/>
        </w:rPr>
        <w:t>Boussauw</w:t>
      </w:r>
      <w:proofErr w:type="spellEnd"/>
      <w:r w:rsidRPr="005944F7">
        <w:rPr>
          <w:rFonts w:cs="Times New Roman"/>
          <w:szCs w:val="24"/>
        </w:rPr>
        <w:t>, 2014), Austria (Stark et al., 2018a, Stark et al., 2018b), Belgium (</w:t>
      </w:r>
      <w:proofErr w:type="spellStart"/>
      <w:r w:rsidRPr="005944F7">
        <w:rPr>
          <w:rFonts w:cs="Times New Roman"/>
          <w:szCs w:val="24"/>
        </w:rPr>
        <w:t>Zwerts</w:t>
      </w:r>
      <w:proofErr w:type="spellEnd"/>
      <w:r w:rsidRPr="005944F7">
        <w:rPr>
          <w:rFonts w:cs="Times New Roman"/>
          <w:szCs w:val="24"/>
        </w:rPr>
        <w:t xml:space="preserve"> et al., 2010), Canada (Fusco et al., 2012; </w:t>
      </w:r>
      <w:proofErr w:type="spellStart"/>
      <w:r w:rsidRPr="005944F7">
        <w:rPr>
          <w:rFonts w:cs="Times New Roman"/>
          <w:szCs w:val="24"/>
        </w:rPr>
        <w:t>Waygood</w:t>
      </w:r>
      <w:proofErr w:type="spellEnd"/>
      <w:r w:rsidRPr="005944F7">
        <w:rPr>
          <w:rFonts w:cs="Times New Roman"/>
          <w:szCs w:val="24"/>
        </w:rPr>
        <w:t xml:space="preserve"> et al., 2017), China (Li and Zhao, 2015; Zhang et al., 2017), Finland (</w:t>
      </w:r>
      <w:proofErr w:type="spellStart"/>
      <w:r w:rsidRPr="005944F7">
        <w:rPr>
          <w:rFonts w:cs="Times New Roman"/>
          <w:szCs w:val="24"/>
        </w:rPr>
        <w:t>Kytta</w:t>
      </w:r>
      <w:proofErr w:type="spellEnd"/>
      <w:r w:rsidRPr="005944F7">
        <w:rPr>
          <w:rFonts w:cs="Times New Roman"/>
          <w:szCs w:val="24"/>
        </w:rPr>
        <w:t xml:space="preserve"> et al., 2015), Germany (Stark et al., 2018a), Japan (</w:t>
      </w:r>
      <w:proofErr w:type="spellStart"/>
      <w:r w:rsidRPr="005944F7">
        <w:rPr>
          <w:rFonts w:cs="Times New Roman"/>
          <w:szCs w:val="24"/>
        </w:rPr>
        <w:t>Susilo</w:t>
      </w:r>
      <w:proofErr w:type="spellEnd"/>
      <w:r w:rsidRPr="005944F7">
        <w:rPr>
          <w:rFonts w:cs="Times New Roman"/>
          <w:szCs w:val="24"/>
        </w:rPr>
        <w:t xml:space="preserve"> and </w:t>
      </w:r>
      <w:proofErr w:type="spellStart"/>
      <w:r w:rsidRPr="005944F7">
        <w:rPr>
          <w:rFonts w:cs="Times New Roman"/>
          <w:szCs w:val="24"/>
        </w:rPr>
        <w:t>Waygood</w:t>
      </w:r>
      <w:proofErr w:type="spellEnd"/>
      <w:r w:rsidRPr="005944F7">
        <w:rPr>
          <w:rFonts w:cs="Times New Roman"/>
          <w:szCs w:val="24"/>
        </w:rPr>
        <w:t xml:space="preserve">, 2012; </w:t>
      </w:r>
      <w:proofErr w:type="spellStart"/>
      <w:r w:rsidRPr="005944F7">
        <w:rPr>
          <w:rFonts w:cs="Times New Roman"/>
          <w:szCs w:val="24"/>
        </w:rPr>
        <w:t>Waygood</w:t>
      </w:r>
      <w:proofErr w:type="spellEnd"/>
      <w:r w:rsidRPr="005944F7">
        <w:rPr>
          <w:rFonts w:cs="Times New Roman"/>
          <w:szCs w:val="24"/>
        </w:rPr>
        <w:t xml:space="preserve"> et al., 2017), New Zealand (Lang et al., 2011), Norway (</w:t>
      </w:r>
      <w:proofErr w:type="spellStart"/>
      <w:r w:rsidRPr="005944F7">
        <w:rPr>
          <w:rFonts w:cs="Times New Roman"/>
          <w:szCs w:val="24"/>
        </w:rPr>
        <w:t>Fyhri</w:t>
      </w:r>
      <w:proofErr w:type="spellEnd"/>
      <w:r w:rsidRPr="005944F7">
        <w:rPr>
          <w:rFonts w:cs="Times New Roman"/>
          <w:szCs w:val="24"/>
        </w:rPr>
        <w:t xml:space="preserve"> and </w:t>
      </w:r>
      <w:proofErr w:type="spellStart"/>
      <w:r w:rsidRPr="005944F7">
        <w:rPr>
          <w:rFonts w:cs="Times New Roman"/>
          <w:szCs w:val="24"/>
        </w:rPr>
        <w:t>Hjorthol</w:t>
      </w:r>
      <w:proofErr w:type="spellEnd"/>
      <w:r w:rsidRPr="005944F7">
        <w:rPr>
          <w:rFonts w:cs="Times New Roman"/>
          <w:szCs w:val="24"/>
        </w:rPr>
        <w:t>, 2009), Portugal (Lopes et al., 2014), Sweden (</w:t>
      </w:r>
      <w:proofErr w:type="spellStart"/>
      <w:r w:rsidRPr="005944F7">
        <w:rPr>
          <w:rFonts w:cs="Times New Roman"/>
          <w:szCs w:val="24"/>
        </w:rPr>
        <w:t>Andersson</w:t>
      </w:r>
      <w:proofErr w:type="spellEnd"/>
      <w:r w:rsidRPr="005944F7">
        <w:rPr>
          <w:rFonts w:cs="Times New Roman"/>
          <w:szCs w:val="24"/>
        </w:rPr>
        <w:t xml:space="preserve"> et al., 2012; </w:t>
      </w:r>
      <w:proofErr w:type="spellStart"/>
      <w:r w:rsidRPr="005944F7">
        <w:rPr>
          <w:rFonts w:cs="Times New Roman"/>
          <w:szCs w:val="24"/>
        </w:rPr>
        <w:t>Waygood</w:t>
      </w:r>
      <w:proofErr w:type="spellEnd"/>
      <w:r w:rsidRPr="005944F7">
        <w:rPr>
          <w:rFonts w:cs="Times New Roman"/>
          <w:szCs w:val="24"/>
        </w:rPr>
        <w:t xml:space="preserve"> et al., 2017; </w:t>
      </w:r>
      <w:proofErr w:type="spellStart"/>
      <w:r w:rsidRPr="005944F7">
        <w:rPr>
          <w:rFonts w:cs="Times New Roman"/>
          <w:szCs w:val="24"/>
        </w:rPr>
        <w:t>Westman</w:t>
      </w:r>
      <w:proofErr w:type="spellEnd"/>
      <w:r w:rsidRPr="005944F7">
        <w:rPr>
          <w:rFonts w:cs="Times New Roman"/>
          <w:szCs w:val="24"/>
        </w:rPr>
        <w:t xml:space="preserve"> et al., 2013) and the US (McDonald, 2012; </w:t>
      </w:r>
      <w:proofErr w:type="spellStart"/>
      <w:r w:rsidRPr="005944F7">
        <w:rPr>
          <w:rFonts w:cs="Times New Roman"/>
          <w:szCs w:val="24"/>
        </w:rPr>
        <w:t>Deka</w:t>
      </w:r>
      <w:proofErr w:type="spellEnd"/>
      <w:r w:rsidRPr="005944F7">
        <w:rPr>
          <w:rFonts w:cs="Times New Roman"/>
          <w:szCs w:val="24"/>
        </w:rPr>
        <w:t xml:space="preserve">, 2013, 2017), </w:t>
      </w:r>
      <w:r w:rsidR="00237402" w:rsidRPr="005944F7">
        <w:rPr>
          <w:rFonts w:cs="Times New Roman"/>
          <w:szCs w:val="24"/>
        </w:rPr>
        <w:t xml:space="preserve">as well as </w:t>
      </w:r>
      <w:r w:rsidRPr="005944F7">
        <w:rPr>
          <w:rFonts w:cs="Times New Roman"/>
          <w:szCs w:val="24"/>
        </w:rPr>
        <w:t xml:space="preserve">other more issue-specific studies (Christie et al., 2011; </w:t>
      </w:r>
      <w:proofErr w:type="spellStart"/>
      <w:r w:rsidRPr="005944F7">
        <w:rPr>
          <w:rFonts w:cs="Times New Roman"/>
          <w:szCs w:val="24"/>
        </w:rPr>
        <w:t>Ghekiere</w:t>
      </w:r>
      <w:proofErr w:type="spellEnd"/>
      <w:r w:rsidRPr="005944F7">
        <w:rPr>
          <w:rFonts w:cs="Times New Roman"/>
          <w:szCs w:val="24"/>
        </w:rPr>
        <w:t xml:space="preserve"> et al., 2018; </w:t>
      </w:r>
      <w:proofErr w:type="spellStart"/>
      <w:r w:rsidRPr="005944F7">
        <w:rPr>
          <w:rFonts w:cs="Times New Roman"/>
          <w:szCs w:val="24"/>
        </w:rPr>
        <w:t>Sharmin</w:t>
      </w:r>
      <w:proofErr w:type="spellEnd"/>
      <w:r w:rsidRPr="005944F7">
        <w:rPr>
          <w:rFonts w:cs="Times New Roman"/>
          <w:szCs w:val="24"/>
        </w:rPr>
        <w:t xml:space="preserve"> and </w:t>
      </w:r>
      <w:proofErr w:type="spellStart"/>
      <w:r w:rsidRPr="005944F7">
        <w:rPr>
          <w:rFonts w:cs="Times New Roman"/>
          <w:szCs w:val="24"/>
        </w:rPr>
        <w:t>Kamruzzaman</w:t>
      </w:r>
      <w:proofErr w:type="spellEnd"/>
      <w:r w:rsidRPr="005944F7">
        <w:rPr>
          <w:rFonts w:cs="Times New Roman"/>
          <w:szCs w:val="24"/>
        </w:rPr>
        <w:t xml:space="preserve">, 2017; Tranter and Sharpe, 2012). Nonetheless, with 1,199 papers published in the journal during the same period, it is clear that various geographical issues of children travels are still barely </w:t>
      </w:r>
      <w:r w:rsidR="009A15D7" w:rsidRPr="005944F7">
        <w:rPr>
          <w:rFonts w:cs="Times New Roman"/>
          <w:szCs w:val="24"/>
        </w:rPr>
        <w:t>unravelled</w:t>
      </w:r>
      <w:r w:rsidRPr="005944F7">
        <w:rPr>
          <w:rFonts w:cs="Times New Roman"/>
          <w:szCs w:val="24"/>
        </w:rPr>
        <w:t>.</w:t>
      </w:r>
    </w:p>
    <w:p w:rsidR="00A64C61" w:rsidRPr="005944F7" w:rsidRDefault="00751138" w:rsidP="005944F7">
      <w:pPr>
        <w:adjustRightInd w:val="0"/>
        <w:snapToGrid w:val="0"/>
        <w:ind w:firstLine="720"/>
        <w:jc w:val="both"/>
        <w:rPr>
          <w:rFonts w:cs="Times New Roman"/>
          <w:szCs w:val="24"/>
        </w:rPr>
      </w:pPr>
      <w:r w:rsidRPr="005944F7">
        <w:rPr>
          <w:rFonts w:cs="Times New Roman"/>
          <w:szCs w:val="24"/>
        </w:rPr>
        <w:t xml:space="preserve">In this paper, we emphasize the need for a holistic approach to study children’s activity-travel patterns by recognizing that a child’s activity-travel patterns are heavily influenced and constrained not only by individual factors (such as gender and age), but also by the characteristics of their parents/family and </w:t>
      </w:r>
      <w:r w:rsidR="009A15D7" w:rsidRPr="005944F7">
        <w:rPr>
          <w:rFonts w:cs="Times New Roman"/>
          <w:szCs w:val="24"/>
        </w:rPr>
        <w:t>neighbourhood</w:t>
      </w:r>
      <w:r w:rsidRPr="005944F7">
        <w:rPr>
          <w:rFonts w:cs="Times New Roman"/>
          <w:szCs w:val="24"/>
        </w:rPr>
        <w:t xml:space="preserve"> attributes (Loo and Lam, 2015; Lam and Loo, 2014).  The role of parent(s) or guardian(s) as decision-makers (on behalf of the children) is obvious, but other parental influences through lifestyles cannot be ignored. For example, McDonald (2008) found that a mother’s lifestyle choice of commuting to work using a private vehicle had a negative impact on her children’s propensity to walk or bicycle to school. </w:t>
      </w:r>
      <w:proofErr w:type="spellStart"/>
      <w:r w:rsidRPr="005944F7">
        <w:rPr>
          <w:rFonts w:cs="Times New Roman"/>
          <w:szCs w:val="24"/>
        </w:rPr>
        <w:t>Deka</w:t>
      </w:r>
      <w:proofErr w:type="spellEnd"/>
      <w:r w:rsidRPr="005944F7">
        <w:rPr>
          <w:rFonts w:cs="Times New Roman"/>
          <w:szCs w:val="24"/>
        </w:rPr>
        <w:t xml:space="preserve"> (2013) also found evidence that the lifestyle choice of household adults’ travel mode to work has a strong influence on the travel mode used by children in the household. </w:t>
      </w:r>
      <w:r w:rsidR="009A15D7" w:rsidRPr="005944F7">
        <w:rPr>
          <w:rFonts w:cs="Times New Roman"/>
          <w:szCs w:val="24"/>
        </w:rPr>
        <w:t>Neighbourhood</w:t>
      </w:r>
      <w:r w:rsidR="007C69C5" w:rsidRPr="005944F7">
        <w:rPr>
          <w:rFonts w:cs="Times New Roman"/>
          <w:szCs w:val="24"/>
        </w:rPr>
        <w:t xml:space="preserve"> attributes </w:t>
      </w:r>
      <w:r w:rsidR="009A5B62" w:rsidRPr="005944F7">
        <w:rPr>
          <w:rFonts w:cs="Times New Roman"/>
          <w:szCs w:val="24"/>
        </w:rPr>
        <w:t xml:space="preserve">also come into play, where </w:t>
      </w:r>
      <w:r w:rsidR="007062EE" w:rsidRPr="005944F7">
        <w:rPr>
          <w:rFonts w:cs="Times New Roman"/>
          <w:szCs w:val="24"/>
        </w:rPr>
        <w:t xml:space="preserve">evidence has shown that </w:t>
      </w:r>
      <w:r w:rsidR="009A5B62" w:rsidRPr="005944F7">
        <w:rPr>
          <w:rFonts w:cs="Times New Roman"/>
          <w:szCs w:val="24"/>
        </w:rPr>
        <w:t xml:space="preserve">certain </w:t>
      </w:r>
      <w:r w:rsidR="0014521C" w:rsidRPr="005944F7">
        <w:rPr>
          <w:rFonts w:cs="Times New Roman"/>
          <w:szCs w:val="24"/>
        </w:rPr>
        <w:t xml:space="preserve">mixed-use and </w:t>
      </w:r>
      <w:r w:rsidR="00660B29" w:rsidRPr="005944F7">
        <w:rPr>
          <w:rFonts w:cs="Times New Roman"/>
          <w:szCs w:val="24"/>
        </w:rPr>
        <w:t>pedestrian</w:t>
      </w:r>
      <w:r w:rsidR="00B662AF" w:rsidRPr="005944F7">
        <w:rPr>
          <w:rFonts w:cs="Times New Roman"/>
          <w:szCs w:val="24"/>
        </w:rPr>
        <w:t xml:space="preserve">-friendly </w:t>
      </w:r>
      <w:r w:rsidR="009A15D7" w:rsidRPr="005944F7">
        <w:rPr>
          <w:rFonts w:cs="Times New Roman"/>
          <w:szCs w:val="24"/>
        </w:rPr>
        <w:t>neighbourhoods</w:t>
      </w:r>
      <w:r w:rsidR="009A5B62" w:rsidRPr="005944F7">
        <w:rPr>
          <w:rFonts w:cs="Times New Roman"/>
          <w:szCs w:val="24"/>
        </w:rPr>
        <w:t xml:space="preserve">, such as those in </w:t>
      </w:r>
      <w:r w:rsidR="00B662AF" w:rsidRPr="005944F7">
        <w:rPr>
          <w:rFonts w:cs="Times New Roman"/>
          <w:szCs w:val="24"/>
        </w:rPr>
        <w:t>well-</w:t>
      </w:r>
      <w:r w:rsidR="009A5B62" w:rsidRPr="005944F7">
        <w:rPr>
          <w:rFonts w:cs="Times New Roman"/>
          <w:szCs w:val="24"/>
        </w:rPr>
        <w:t xml:space="preserve">planned </w:t>
      </w:r>
      <w:r w:rsidR="00B662AF" w:rsidRPr="005944F7">
        <w:rPr>
          <w:rFonts w:cs="Times New Roman"/>
          <w:szCs w:val="24"/>
        </w:rPr>
        <w:t xml:space="preserve">satellite cities and </w:t>
      </w:r>
      <w:r w:rsidR="009A5B62" w:rsidRPr="005944F7">
        <w:rPr>
          <w:rFonts w:cs="Times New Roman"/>
          <w:szCs w:val="24"/>
        </w:rPr>
        <w:t xml:space="preserve">new towns, </w:t>
      </w:r>
      <w:r w:rsidR="007062EE" w:rsidRPr="005944F7">
        <w:rPr>
          <w:rFonts w:cs="Times New Roman"/>
          <w:szCs w:val="24"/>
        </w:rPr>
        <w:t xml:space="preserve">are </w:t>
      </w:r>
      <w:r w:rsidR="009A5B62" w:rsidRPr="005944F7">
        <w:rPr>
          <w:rFonts w:cs="Times New Roman"/>
          <w:szCs w:val="24"/>
        </w:rPr>
        <w:t xml:space="preserve">conducive </w:t>
      </w:r>
      <w:r w:rsidR="007062EE" w:rsidRPr="005944F7">
        <w:rPr>
          <w:rFonts w:cs="Times New Roman"/>
          <w:szCs w:val="24"/>
        </w:rPr>
        <w:t>to</w:t>
      </w:r>
      <w:r w:rsidR="009A5B62" w:rsidRPr="005944F7">
        <w:rPr>
          <w:rFonts w:cs="Times New Roman"/>
          <w:szCs w:val="24"/>
        </w:rPr>
        <w:t xml:space="preserve"> more active </w:t>
      </w:r>
      <w:r w:rsidR="0014521C" w:rsidRPr="005944F7">
        <w:rPr>
          <w:rFonts w:cs="Times New Roman"/>
          <w:szCs w:val="24"/>
        </w:rPr>
        <w:t xml:space="preserve">and </w:t>
      </w:r>
      <w:r w:rsidR="009A5B62" w:rsidRPr="005944F7">
        <w:rPr>
          <w:rFonts w:cs="Times New Roman"/>
          <w:szCs w:val="24"/>
        </w:rPr>
        <w:t xml:space="preserve">independent travel in children </w:t>
      </w:r>
      <w:r w:rsidR="00A64C61" w:rsidRPr="005944F7">
        <w:rPr>
          <w:rFonts w:cs="Times New Roman"/>
          <w:szCs w:val="24"/>
        </w:rPr>
        <w:t>(Loo and Lam, 2015; Lam and Loo, 2014).</w:t>
      </w:r>
      <w:r w:rsidR="0014521C" w:rsidRPr="005944F7">
        <w:rPr>
          <w:rFonts w:cs="Times New Roman"/>
          <w:szCs w:val="24"/>
        </w:rPr>
        <w:t xml:space="preserve"> </w:t>
      </w:r>
      <w:r w:rsidR="00AE14CF" w:rsidRPr="005944F7">
        <w:rPr>
          <w:rFonts w:cs="Times New Roman"/>
          <w:szCs w:val="24"/>
        </w:rPr>
        <w:t>Indeed, there have been t</w:t>
      </w:r>
      <w:r w:rsidR="00F5109F" w:rsidRPr="005944F7">
        <w:rPr>
          <w:rFonts w:cs="Times New Roman"/>
          <w:szCs w:val="24"/>
        </w:rPr>
        <w:t xml:space="preserve">horough </w:t>
      </w:r>
      <w:r w:rsidR="00AE14CF" w:rsidRPr="005944F7">
        <w:rPr>
          <w:rFonts w:cs="Times New Roman"/>
          <w:szCs w:val="24"/>
        </w:rPr>
        <w:t xml:space="preserve">reviews in the literature regarding </w:t>
      </w:r>
      <w:r w:rsidR="00A66C76" w:rsidRPr="005944F7">
        <w:rPr>
          <w:rFonts w:cs="Times New Roman"/>
          <w:szCs w:val="24"/>
        </w:rPr>
        <w:t>direct and indirect</w:t>
      </w:r>
      <w:r w:rsidR="00913192" w:rsidRPr="005944F7">
        <w:rPr>
          <w:rFonts w:cs="Times New Roman"/>
          <w:szCs w:val="24"/>
        </w:rPr>
        <w:t xml:space="preserve"> </w:t>
      </w:r>
      <w:r w:rsidR="00F5109F" w:rsidRPr="005944F7">
        <w:rPr>
          <w:rFonts w:cs="Times New Roman"/>
          <w:szCs w:val="24"/>
        </w:rPr>
        <w:t xml:space="preserve">environmental determinants for children’s </w:t>
      </w:r>
      <w:r w:rsidR="00A64C61" w:rsidRPr="005944F7">
        <w:rPr>
          <w:rFonts w:cs="Times New Roman"/>
          <w:szCs w:val="24"/>
        </w:rPr>
        <w:t xml:space="preserve">active travel </w:t>
      </w:r>
      <w:r w:rsidR="009A15D7" w:rsidRPr="005944F7">
        <w:rPr>
          <w:rFonts w:cs="Times New Roman"/>
          <w:szCs w:val="24"/>
        </w:rPr>
        <w:t>behaviour</w:t>
      </w:r>
      <w:r w:rsidR="00F5109F" w:rsidRPr="005944F7">
        <w:rPr>
          <w:rFonts w:cs="Times New Roman"/>
          <w:szCs w:val="24"/>
        </w:rPr>
        <w:t xml:space="preserve">, indicating the importance of a variety of </w:t>
      </w:r>
      <w:r w:rsidR="009A15D7" w:rsidRPr="005944F7">
        <w:rPr>
          <w:rFonts w:cs="Times New Roman"/>
          <w:szCs w:val="24"/>
        </w:rPr>
        <w:t>neighbourhood</w:t>
      </w:r>
      <w:r w:rsidR="00F5109F" w:rsidRPr="005944F7">
        <w:rPr>
          <w:rFonts w:cs="Times New Roman"/>
          <w:szCs w:val="24"/>
        </w:rPr>
        <w:t>-level factors</w:t>
      </w:r>
      <w:r w:rsidR="00A66C76" w:rsidRPr="005944F7">
        <w:rPr>
          <w:rFonts w:cs="Times New Roman"/>
          <w:szCs w:val="24"/>
        </w:rPr>
        <w:t xml:space="preserve"> such as</w:t>
      </w:r>
      <w:r w:rsidR="00F5109F" w:rsidRPr="005944F7">
        <w:rPr>
          <w:rFonts w:cs="Times New Roman"/>
          <w:szCs w:val="24"/>
        </w:rPr>
        <w:t xml:space="preserve"> travel distance, social cohesion measures, urban form and </w:t>
      </w:r>
      <w:proofErr w:type="spellStart"/>
      <w:r w:rsidR="00650BD8" w:rsidRPr="005944F7">
        <w:rPr>
          <w:rFonts w:cs="Times New Roman"/>
          <w:szCs w:val="24"/>
        </w:rPr>
        <w:t>en</w:t>
      </w:r>
      <w:proofErr w:type="spellEnd"/>
      <w:r w:rsidR="00650BD8" w:rsidRPr="005944F7">
        <w:rPr>
          <w:rFonts w:cs="Times New Roman"/>
          <w:szCs w:val="24"/>
        </w:rPr>
        <w:t>-</w:t>
      </w:r>
      <w:r w:rsidR="00F5109F" w:rsidRPr="005944F7">
        <w:rPr>
          <w:rFonts w:cs="Times New Roman"/>
          <w:szCs w:val="24"/>
        </w:rPr>
        <w:t>route road safety,</w:t>
      </w:r>
      <w:r w:rsidR="00A66C76" w:rsidRPr="005944F7">
        <w:rPr>
          <w:rFonts w:cs="Times New Roman"/>
          <w:szCs w:val="24"/>
        </w:rPr>
        <w:t xml:space="preserve"> amongst other factors,</w:t>
      </w:r>
      <w:r w:rsidR="00F5109F" w:rsidRPr="005944F7">
        <w:rPr>
          <w:rFonts w:cs="Times New Roman"/>
          <w:szCs w:val="24"/>
        </w:rPr>
        <w:t xml:space="preserve"> </w:t>
      </w:r>
      <w:r w:rsidR="00A64C61" w:rsidRPr="005944F7">
        <w:rPr>
          <w:rFonts w:cs="Times New Roman"/>
          <w:szCs w:val="24"/>
        </w:rPr>
        <w:t>all of which</w:t>
      </w:r>
      <w:r w:rsidR="00F5109F" w:rsidRPr="005944F7">
        <w:rPr>
          <w:rFonts w:cs="Times New Roman"/>
          <w:szCs w:val="24"/>
        </w:rPr>
        <w:t xml:space="preserve"> </w:t>
      </w:r>
      <w:r w:rsidR="00A64C61" w:rsidRPr="005944F7">
        <w:rPr>
          <w:rFonts w:cs="Times New Roman"/>
          <w:szCs w:val="24"/>
        </w:rPr>
        <w:t xml:space="preserve">are </w:t>
      </w:r>
      <w:r w:rsidR="00913192" w:rsidRPr="005944F7">
        <w:rPr>
          <w:rFonts w:cs="Times New Roman"/>
          <w:szCs w:val="24"/>
        </w:rPr>
        <w:t>important to consider</w:t>
      </w:r>
      <w:r w:rsidR="00A64C61" w:rsidRPr="005944F7">
        <w:rPr>
          <w:rFonts w:cs="Times New Roman"/>
          <w:szCs w:val="24"/>
        </w:rPr>
        <w:t xml:space="preserve"> for their influence on the activity-travel patterns of children</w:t>
      </w:r>
      <w:r w:rsidR="00AE14CF" w:rsidRPr="005944F7">
        <w:rPr>
          <w:rFonts w:cs="Times New Roman"/>
          <w:szCs w:val="24"/>
        </w:rPr>
        <w:t xml:space="preserve"> (see for example, </w:t>
      </w:r>
      <w:proofErr w:type="spellStart"/>
      <w:r w:rsidR="00AE14CF" w:rsidRPr="005944F7">
        <w:rPr>
          <w:rFonts w:cs="Times New Roman"/>
          <w:szCs w:val="24"/>
        </w:rPr>
        <w:t>Kemperman</w:t>
      </w:r>
      <w:proofErr w:type="spellEnd"/>
      <w:r w:rsidR="00AE14CF" w:rsidRPr="005944F7">
        <w:rPr>
          <w:rFonts w:cs="Times New Roman"/>
          <w:szCs w:val="24"/>
        </w:rPr>
        <w:t xml:space="preserve"> and Timmermans, 2014; </w:t>
      </w:r>
      <w:proofErr w:type="spellStart"/>
      <w:r w:rsidR="00A66C76" w:rsidRPr="005944F7">
        <w:rPr>
          <w:rFonts w:cs="Times New Roman"/>
          <w:szCs w:val="24"/>
        </w:rPr>
        <w:t>Panter</w:t>
      </w:r>
      <w:proofErr w:type="spellEnd"/>
      <w:r w:rsidR="00A66C76" w:rsidRPr="005944F7">
        <w:rPr>
          <w:rFonts w:cs="Times New Roman"/>
          <w:szCs w:val="24"/>
        </w:rPr>
        <w:t xml:space="preserve"> et al. 2008</w:t>
      </w:r>
      <w:r w:rsidR="00AE14CF" w:rsidRPr="005944F7">
        <w:rPr>
          <w:rFonts w:cs="Times New Roman"/>
          <w:szCs w:val="24"/>
        </w:rPr>
        <w:t>)</w:t>
      </w:r>
      <w:r w:rsidR="00F5109F" w:rsidRPr="005944F7">
        <w:rPr>
          <w:rFonts w:cs="Times New Roman"/>
          <w:szCs w:val="24"/>
        </w:rPr>
        <w:t xml:space="preserve">. </w:t>
      </w:r>
    </w:p>
    <w:p w:rsidR="00751138" w:rsidRPr="005944F7" w:rsidRDefault="00A64C61" w:rsidP="005944F7">
      <w:pPr>
        <w:adjustRightInd w:val="0"/>
        <w:snapToGrid w:val="0"/>
        <w:ind w:firstLine="720"/>
        <w:jc w:val="both"/>
        <w:rPr>
          <w:rFonts w:cs="Times New Roman"/>
          <w:szCs w:val="24"/>
        </w:rPr>
      </w:pPr>
      <w:r w:rsidRPr="005944F7">
        <w:rPr>
          <w:rFonts w:cs="Times New Roman"/>
          <w:szCs w:val="24"/>
        </w:rPr>
        <w:t>Furthermore,</w:t>
      </w:r>
      <w:r w:rsidR="00751138" w:rsidRPr="005944F7">
        <w:rPr>
          <w:rFonts w:cs="Times New Roman"/>
          <w:szCs w:val="24"/>
        </w:rPr>
        <w:t xml:space="preserve"> children’s school-going patterns can also have an impact on the activity-travel patterns and commute mode choices of household adults, as exemplified in the structure of many activity-based models that use the school start and end time of children as time constraints for the parents’ schedules, imposing not only an adjustment of work start and end times, but also drop-off/pick-up obligations that influence all the household members’ commute mode choices (see Bhat et al., 2004 and Bhat et al., 2013). However, the inter-linkage between adults’ and children’s activity-travel patterns is not simply confined to the work-related travel of adults and the school-related travel of children. </w:t>
      </w:r>
      <w:r w:rsidR="00660B29" w:rsidRPr="005944F7">
        <w:rPr>
          <w:rFonts w:cs="Times New Roman"/>
          <w:szCs w:val="24"/>
        </w:rPr>
        <w:t>T</w:t>
      </w:r>
      <w:r w:rsidR="000963DD" w:rsidRPr="005944F7">
        <w:rPr>
          <w:rFonts w:cs="Times New Roman"/>
          <w:szCs w:val="24"/>
        </w:rPr>
        <w:t xml:space="preserve">he majority of </w:t>
      </w:r>
      <w:r w:rsidR="00650BD8" w:rsidRPr="005944F7">
        <w:rPr>
          <w:rFonts w:cs="Times New Roman"/>
          <w:szCs w:val="24"/>
        </w:rPr>
        <w:t>current e</w:t>
      </w:r>
      <w:r w:rsidRPr="005944F7">
        <w:rPr>
          <w:rFonts w:cs="Times New Roman"/>
          <w:szCs w:val="24"/>
        </w:rPr>
        <w:t>vidence</w:t>
      </w:r>
      <w:r w:rsidR="000963DD" w:rsidRPr="005944F7">
        <w:rPr>
          <w:rFonts w:cs="Times New Roman"/>
          <w:szCs w:val="24"/>
        </w:rPr>
        <w:t xml:space="preserve"> </w:t>
      </w:r>
      <w:r w:rsidRPr="005944F7">
        <w:rPr>
          <w:rFonts w:cs="Times New Roman"/>
          <w:szCs w:val="24"/>
        </w:rPr>
        <w:t>suggest</w:t>
      </w:r>
      <w:r w:rsidR="000963DD" w:rsidRPr="005944F7">
        <w:rPr>
          <w:rFonts w:cs="Times New Roman"/>
          <w:szCs w:val="24"/>
        </w:rPr>
        <w:t>s</w:t>
      </w:r>
      <w:r w:rsidRPr="005944F7">
        <w:rPr>
          <w:rFonts w:cs="Times New Roman"/>
          <w:szCs w:val="24"/>
        </w:rPr>
        <w:t xml:space="preserve"> that </w:t>
      </w:r>
      <w:r w:rsidR="00751138" w:rsidRPr="005944F7">
        <w:rPr>
          <w:rFonts w:cs="Times New Roman"/>
          <w:szCs w:val="24"/>
        </w:rPr>
        <w:t>children to a large extent</w:t>
      </w:r>
      <w:r w:rsidR="00650BD8" w:rsidRPr="005944F7">
        <w:rPr>
          <w:rFonts w:cs="Times New Roman"/>
          <w:szCs w:val="24"/>
        </w:rPr>
        <w:t xml:space="preserve"> still depend </w:t>
      </w:r>
      <w:r w:rsidR="00751138" w:rsidRPr="005944F7">
        <w:rPr>
          <w:rFonts w:cs="Times New Roman"/>
          <w:szCs w:val="24"/>
        </w:rPr>
        <w:t>on household adults to drive</w:t>
      </w:r>
      <w:r w:rsidR="00660B29" w:rsidRPr="005944F7">
        <w:rPr>
          <w:rFonts w:cs="Times New Roman"/>
          <w:szCs w:val="24"/>
        </w:rPr>
        <w:t xml:space="preserve"> or take</w:t>
      </w:r>
      <w:r w:rsidR="00751138" w:rsidRPr="005944F7">
        <w:rPr>
          <w:rFonts w:cs="Times New Roman"/>
          <w:szCs w:val="24"/>
        </w:rPr>
        <w:t xml:space="preserve"> them to extra-curricular activity events outside the realm of </w:t>
      </w:r>
      <w:r w:rsidR="001474DB" w:rsidRPr="005944F7">
        <w:rPr>
          <w:rFonts w:cs="Times New Roman"/>
          <w:szCs w:val="24"/>
        </w:rPr>
        <w:t>children’s school activities</w:t>
      </w:r>
      <w:r w:rsidR="00751138" w:rsidRPr="005944F7">
        <w:rPr>
          <w:rFonts w:cs="Times New Roman"/>
          <w:szCs w:val="24"/>
        </w:rPr>
        <w:t xml:space="preserve">, </w:t>
      </w:r>
      <w:r w:rsidR="00E842DD" w:rsidRPr="005944F7">
        <w:rPr>
          <w:rFonts w:cs="Times New Roman"/>
          <w:szCs w:val="24"/>
        </w:rPr>
        <w:t xml:space="preserve">especially </w:t>
      </w:r>
      <w:r w:rsidR="001474DB" w:rsidRPr="005944F7">
        <w:rPr>
          <w:rFonts w:cs="Times New Roman"/>
          <w:szCs w:val="24"/>
        </w:rPr>
        <w:t xml:space="preserve">those from </w:t>
      </w:r>
      <w:r w:rsidR="00E842DD" w:rsidRPr="005944F7">
        <w:rPr>
          <w:rFonts w:cs="Times New Roman"/>
          <w:szCs w:val="24"/>
        </w:rPr>
        <w:t xml:space="preserve">households owning more vehicles in lower density </w:t>
      </w:r>
      <w:r w:rsidR="009A15D7" w:rsidRPr="005944F7">
        <w:rPr>
          <w:rFonts w:cs="Times New Roman"/>
          <w:szCs w:val="24"/>
        </w:rPr>
        <w:t>neighbourhoods</w:t>
      </w:r>
      <w:r w:rsidR="000963DD" w:rsidRPr="005944F7">
        <w:rPr>
          <w:rFonts w:cs="Times New Roman"/>
          <w:szCs w:val="24"/>
        </w:rPr>
        <w:t xml:space="preserve"> (</w:t>
      </w:r>
      <w:proofErr w:type="spellStart"/>
      <w:r w:rsidR="000963DD" w:rsidRPr="005944F7">
        <w:rPr>
          <w:rFonts w:cs="Times New Roman"/>
          <w:szCs w:val="24"/>
        </w:rPr>
        <w:t>Copperman</w:t>
      </w:r>
      <w:proofErr w:type="spellEnd"/>
      <w:r w:rsidR="000963DD" w:rsidRPr="005944F7">
        <w:rPr>
          <w:rFonts w:cs="Times New Roman"/>
          <w:szCs w:val="24"/>
        </w:rPr>
        <w:t xml:space="preserve"> and Bhat, 2007; </w:t>
      </w:r>
      <w:proofErr w:type="spellStart"/>
      <w:r w:rsidR="000963DD" w:rsidRPr="005944F7">
        <w:rPr>
          <w:rFonts w:cs="Times New Roman"/>
          <w:szCs w:val="24"/>
        </w:rPr>
        <w:t>Paleti</w:t>
      </w:r>
      <w:proofErr w:type="spellEnd"/>
      <w:r w:rsidR="000963DD" w:rsidRPr="005944F7">
        <w:rPr>
          <w:rFonts w:cs="Times New Roman"/>
          <w:szCs w:val="24"/>
        </w:rPr>
        <w:t xml:space="preserve"> et al., 2013; </w:t>
      </w:r>
      <w:proofErr w:type="spellStart"/>
      <w:r w:rsidR="000963DD" w:rsidRPr="005944F7">
        <w:rPr>
          <w:rFonts w:cs="Times New Roman"/>
          <w:szCs w:val="24"/>
        </w:rPr>
        <w:lastRenderedPageBreak/>
        <w:t>Hjorthol</w:t>
      </w:r>
      <w:proofErr w:type="spellEnd"/>
      <w:r w:rsidR="000963DD" w:rsidRPr="005944F7">
        <w:rPr>
          <w:rFonts w:cs="Times New Roman"/>
          <w:szCs w:val="24"/>
        </w:rPr>
        <w:t xml:space="preserve"> and </w:t>
      </w:r>
      <w:proofErr w:type="spellStart"/>
      <w:r w:rsidR="000963DD" w:rsidRPr="005944F7">
        <w:rPr>
          <w:rFonts w:cs="Times New Roman"/>
          <w:szCs w:val="24"/>
        </w:rPr>
        <w:t>Fyhri</w:t>
      </w:r>
      <w:proofErr w:type="spellEnd"/>
      <w:r w:rsidR="000963DD" w:rsidRPr="005944F7">
        <w:rPr>
          <w:rFonts w:cs="Times New Roman"/>
          <w:szCs w:val="24"/>
        </w:rPr>
        <w:t>, 2009)</w:t>
      </w:r>
      <w:r w:rsidR="00E842DD" w:rsidRPr="005944F7">
        <w:rPr>
          <w:rFonts w:cs="Times New Roman"/>
          <w:szCs w:val="24"/>
        </w:rPr>
        <w:t>. S</w:t>
      </w:r>
      <w:r w:rsidR="00751138" w:rsidRPr="005944F7">
        <w:rPr>
          <w:rFonts w:cs="Times New Roman"/>
          <w:szCs w:val="24"/>
        </w:rPr>
        <w:t xml:space="preserve">uch serve-passenger activities constrain adults’ activity-travel patterns in important ways. In addition to serve-passenger activities, the activity-travel patterns of children and adults get inter-linked in the context of joint activity participations in extra-curricular activities. </w:t>
      </w:r>
      <w:r w:rsidR="007B59DD" w:rsidRPr="005944F7">
        <w:rPr>
          <w:rFonts w:cs="Times New Roman"/>
          <w:szCs w:val="24"/>
        </w:rPr>
        <w:t xml:space="preserve">In other words, the importance of considering the geographical context of these inter-linkages between adults’ and children’s activity-travel patterns must be recognized. In many cities, public schools are allocated based on students’ home locations (Loo and Lam, 2015). Attendance at a </w:t>
      </w:r>
      <w:r w:rsidR="009A15D7" w:rsidRPr="005944F7">
        <w:rPr>
          <w:rFonts w:cs="Times New Roman"/>
          <w:szCs w:val="24"/>
        </w:rPr>
        <w:t>neighbourhood</w:t>
      </w:r>
      <w:r w:rsidR="007B59DD" w:rsidRPr="005944F7">
        <w:rPr>
          <w:rFonts w:cs="Times New Roman"/>
          <w:szCs w:val="24"/>
        </w:rPr>
        <w:t xml:space="preserve"> school, whether public or private, will have the obvious benefit of reducing the need for young children to travel too far and will also make it easier for a parent (or guardian) to supervise a child between school and home, and by extension, extra-curricular activities. Some parents may even consider moving to so-called better </w:t>
      </w:r>
      <w:r w:rsidR="009A15D7" w:rsidRPr="005944F7">
        <w:rPr>
          <w:rFonts w:cs="Times New Roman"/>
          <w:szCs w:val="24"/>
        </w:rPr>
        <w:t>neighbourhoods</w:t>
      </w:r>
      <w:r w:rsidR="007B59DD" w:rsidRPr="005944F7">
        <w:rPr>
          <w:rFonts w:cs="Times New Roman"/>
          <w:szCs w:val="24"/>
        </w:rPr>
        <w:t xml:space="preserve"> for a higher chance of their children to be admitted to better schools and better surrounding activity facilities and amenities (Lam and Loo, 2014; Loo and Lam, 2015). </w:t>
      </w:r>
      <w:r w:rsidR="00707232" w:rsidRPr="005944F7">
        <w:rPr>
          <w:rFonts w:cs="Times New Roman"/>
          <w:szCs w:val="24"/>
        </w:rPr>
        <w:t xml:space="preserve">From the above, it should be apparent that </w:t>
      </w:r>
      <w:r w:rsidR="000963DD" w:rsidRPr="005944F7">
        <w:rPr>
          <w:rFonts w:cs="Times New Roman"/>
          <w:szCs w:val="24"/>
        </w:rPr>
        <w:t xml:space="preserve">both children’s and adults’ activity-travel patterns ought to be considered together within the </w:t>
      </w:r>
      <w:r w:rsidR="00707232" w:rsidRPr="005944F7">
        <w:rPr>
          <w:rFonts w:cs="Times New Roman"/>
          <w:szCs w:val="24"/>
        </w:rPr>
        <w:t xml:space="preserve">geographical context </w:t>
      </w:r>
      <w:r w:rsidR="000963DD" w:rsidRPr="005944F7">
        <w:rPr>
          <w:rFonts w:cs="Times New Roman"/>
          <w:szCs w:val="24"/>
        </w:rPr>
        <w:t>of the built environment.</w:t>
      </w:r>
    </w:p>
    <w:p w:rsidR="00751138" w:rsidRPr="005944F7" w:rsidRDefault="00751138" w:rsidP="005944F7">
      <w:pPr>
        <w:pStyle w:val="NormalWeb"/>
        <w:spacing w:before="0" w:beforeAutospacing="0" w:after="0" w:afterAutospacing="0"/>
        <w:ind w:firstLine="720"/>
        <w:jc w:val="both"/>
        <w:rPr>
          <w:rFonts w:ascii="Times New Roman" w:hAnsi="Times New Roman" w:cs="Times New Roman"/>
        </w:rPr>
      </w:pPr>
      <w:r w:rsidRPr="005944F7">
        <w:rPr>
          <w:rFonts w:ascii="Times New Roman" w:hAnsi="Times New Roman" w:cs="Times New Roman"/>
        </w:rPr>
        <w:t xml:space="preserve">The strong inter-linkage just discussed between children’s and adult’s activity-travel patterns is not adequately recognized in the literature, which has focused more on the intra-household interactions solely among the adults in the household (see, for example, Zhang and Fujiwara, 2009; Lim, 2015; Kim et al., 2015). The implicit assumption in such an </w:t>
      </w:r>
      <w:r w:rsidRPr="005944F7">
        <w:rPr>
          <w:rFonts w:ascii="Times New Roman" w:hAnsi="Times New Roman" w:cs="Times New Roman"/>
          <w:u w:val="single"/>
        </w:rPr>
        <w:t>adult-centric activity-travel approach</w:t>
      </w:r>
      <w:r w:rsidRPr="005944F7">
        <w:rPr>
          <w:rFonts w:ascii="Times New Roman" w:hAnsi="Times New Roman" w:cs="Times New Roman"/>
        </w:rPr>
        <w:t xml:space="preserve"> is that the activity participation of children is primarily driven by the activity participation needs/responsibilities of adults (such as a parent having to go to the groceries, and tagging along her/his child for the grocery trip). And even if a serve-passenger activity is for the express purpose of enabling participation of a child in an activity, the implicit assumption is that it is the adults who decide on their children’s activity participations. However, earlier studies in the child development field (</w:t>
      </w:r>
      <w:proofErr w:type="spellStart"/>
      <w:r w:rsidRPr="005944F7">
        <w:rPr>
          <w:rFonts w:ascii="Times New Roman" w:hAnsi="Times New Roman" w:cs="Times New Roman"/>
        </w:rPr>
        <w:t>Prinzie</w:t>
      </w:r>
      <w:proofErr w:type="spellEnd"/>
      <w:r w:rsidRPr="005944F7">
        <w:rPr>
          <w:rFonts w:ascii="Times New Roman" w:hAnsi="Times New Roman" w:cs="Times New Roman"/>
        </w:rPr>
        <w:t xml:space="preserve"> et al., 2008; Tackett et al., 2012; </w:t>
      </w:r>
      <w:proofErr w:type="spellStart"/>
      <w:r w:rsidRPr="005944F7">
        <w:rPr>
          <w:rFonts w:ascii="Times New Roman" w:hAnsi="Times New Roman" w:cs="Times New Roman"/>
        </w:rPr>
        <w:t>Tomasello</w:t>
      </w:r>
      <w:proofErr w:type="spellEnd"/>
      <w:r w:rsidRPr="005944F7">
        <w:rPr>
          <w:rFonts w:ascii="Times New Roman" w:hAnsi="Times New Roman" w:cs="Times New Roman"/>
        </w:rPr>
        <w:t xml:space="preserve">, 2014) indicate that children as young as 5-6 years of age start developing their own identities and individualities, and social needs, and then interact with their parents and other adults to facilitate the </w:t>
      </w:r>
      <w:r w:rsidR="00DD34F1" w:rsidRPr="005944F7">
        <w:rPr>
          <w:rFonts w:ascii="Times New Roman" w:hAnsi="Times New Roman" w:cs="Times New Roman"/>
        </w:rPr>
        <w:t>fulfilment</w:t>
      </w:r>
      <w:r w:rsidRPr="005944F7">
        <w:rPr>
          <w:rFonts w:ascii="Times New Roman" w:hAnsi="Times New Roman" w:cs="Times New Roman"/>
        </w:rPr>
        <w:t xml:space="preserve"> of these needs. This suggests a </w:t>
      </w:r>
      <w:r w:rsidRPr="005944F7">
        <w:rPr>
          <w:rFonts w:ascii="Times New Roman" w:hAnsi="Times New Roman" w:cs="Times New Roman"/>
          <w:u w:val="single"/>
        </w:rPr>
        <w:t>child-centric activity-travel approach</w:t>
      </w:r>
      <w:r w:rsidRPr="005944F7">
        <w:rPr>
          <w:rFonts w:ascii="Times New Roman" w:hAnsi="Times New Roman" w:cs="Times New Roman"/>
        </w:rPr>
        <w:t xml:space="preserve"> that considers the characteristics of the child, while also using adult demographic and lifestyle variables (among other variables) as determinant variables. Of course, in reality, there is likely to be a combination of adult decision-driven children activities as well as child decision-driven adult activities leading up to the interactions between children and adult activity-travel patterns. This suggests a hybrid strategy of the adult-centric and child-centric approaches. While we leave the development of such a hybrid strategy for future efforts, in this paper, we focus on a more child-centric strategy as a means to shed more light on children-adult linkages.</w:t>
      </w:r>
    </w:p>
    <w:p w:rsidR="00751138" w:rsidRPr="005944F7" w:rsidRDefault="00751138" w:rsidP="005944F7">
      <w:pPr>
        <w:adjustRightInd w:val="0"/>
        <w:snapToGrid w:val="0"/>
        <w:jc w:val="both"/>
        <w:rPr>
          <w:rFonts w:cs="Times New Roman"/>
          <w:szCs w:val="24"/>
        </w:rPr>
      </w:pPr>
    </w:p>
    <w:p w:rsidR="00751138" w:rsidRPr="005944F7" w:rsidRDefault="00751138" w:rsidP="005944F7">
      <w:pPr>
        <w:pStyle w:val="ListParagraph"/>
        <w:numPr>
          <w:ilvl w:val="1"/>
          <w:numId w:val="19"/>
        </w:numPr>
        <w:adjustRightInd w:val="0"/>
        <w:snapToGrid w:val="0"/>
        <w:spacing w:after="0" w:line="240" w:lineRule="auto"/>
        <w:jc w:val="both"/>
        <w:rPr>
          <w:rFonts w:ascii="Times New Roman" w:hAnsi="Times New Roman" w:cs="Times New Roman"/>
          <w:b/>
          <w:szCs w:val="24"/>
        </w:rPr>
      </w:pPr>
      <w:r w:rsidRPr="005944F7">
        <w:rPr>
          <w:rFonts w:ascii="Times New Roman" w:hAnsi="Times New Roman" w:cs="Times New Roman"/>
          <w:b/>
          <w:szCs w:val="24"/>
        </w:rPr>
        <w:t xml:space="preserve"> Children’s Extra-Curricular Activity Participation</w:t>
      </w:r>
      <w:r w:rsidR="00B841E5" w:rsidRPr="005944F7">
        <w:rPr>
          <w:rFonts w:ascii="Times New Roman" w:hAnsi="Times New Roman" w:cs="Times New Roman"/>
          <w:b/>
          <w:szCs w:val="24"/>
        </w:rPr>
        <w:t xml:space="preserve">, </w:t>
      </w:r>
      <w:r w:rsidRPr="005944F7">
        <w:rPr>
          <w:rFonts w:ascii="Times New Roman" w:hAnsi="Times New Roman" w:cs="Times New Roman"/>
          <w:b/>
          <w:szCs w:val="24"/>
        </w:rPr>
        <w:t>Use of Active-Transport Modes</w:t>
      </w:r>
      <w:r w:rsidR="00B841E5" w:rsidRPr="005944F7">
        <w:rPr>
          <w:rFonts w:ascii="Times New Roman" w:hAnsi="Times New Roman" w:cs="Times New Roman"/>
          <w:b/>
          <w:szCs w:val="24"/>
        </w:rPr>
        <w:t>, and the Geographical Context</w:t>
      </w:r>
    </w:p>
    <w:p w:rsidR="00184C57" w:rsidRPr="005944F7" w:rsidRDefault="00751138" w:rsidP="005944F7">
      <w:pPr>
        <w:adjustRightInd w:val="0"/>
        <w:snapToGrid w:val="0"/>
        <w:jc w:val="both"/>
        <w:rPr>
          <w:rFonts w:cs="Times New Roman"/>
          <w:szCs w:val="24"/>
        </w:rPr>
      </w:pPr>
      <w:r w:rsidRPr="005944F7">
        <w:rPr>
          <w:rFonts w:cs="Times New Roman"/>
          <w:szCs w:val="24"/>
        </w:rPr>
        <w:t>As already discussed earlier, much literature regarding children</w:t>
      </w:r>
      <w:r w:rsidR="005944F7" w:rsidRPr="005944F7">
        <w:rPr>
          <w:rFonts w:cs="Times New Roman"/>
          <w:szCs w:val="24"/>
        </w:rPr>
        <w:t>’</w:t>
      </w:r>
      <w:r w:rsidRPr="005944F7">
        <w:rPr>
          <w:rFonts w:cs="Times New Roman"/>
          <w:szCs w:val="24"/>
        </w:rPr>
        <w:t>s activity-travel patterns has focused on school activity-travel</w:t>
      </w:r>
      <w:r w:rsidR="00237402" w:rsidRPr="005944F7">
        <w:rPr>
          <w:rFonts w:cs="Times New Roman"/>
          <w:szCs w:val="24"/>
        </w:rPr>
        <w:t>, and there is</w:t>
      </w:r>
      <w:r w:rsidR="00424A5C" w:rsidRPr="005944F7">
        <w:rPr>
          <w:rFonts w:cs="Times New Roman"/>
          <w:szCs w:val="24"/>
        </w:rPr>
        <w:t xml:space="preserve"> indeed</w:t>
      </w:r>
      <w:r w:rsidR="00237402" w:rsidRPr="005944F7">
        <w:rPr>
          <w:rFonts w:cs="Times New Roman"/>
          <w:szCs w:val="24"/>
        </w:rPr>
        <w:t xml:space="preserve"> a relatively </w:t>
      </w:r>
      <w:r w:rsidR="007B59DD" w:rsidRPr="005944F7">
        <w:rPr>
          <w:rFonts w:cs="Times New Roman"/>
          <w:szCs w:val="24"/>
        </w:rPr>
        <w:t xml:space="preserve">good </w:t>
      </w:r>
      <w:r w:rsidR="00237402" w:rsidRPr="005944F7">
        <w:rPr>
          <w:rFonts w:cs="Times New Roman"/>
          <w:szCs w:val="24"/>
        </w:rPr>
        <w:t>understanding</w:t>
      </w:r>
      <w:r w:rsidR="008B6160" w:rsidRPr="005944F7">
        <w:rPr>
          <w:rFonts w:cs="Times New Roman"/>
          <w:szCs w:val="24"/>
        </w:rPr>
        <w:t xml:space="preserve"> in the literature</w:t>
      </w:r>
      <w:r w:rsidR="00237402" w:rsidRPr="005944F7">
        <w:rPr>
          <w:rFonts w:cs="Times New Roman"/>
          <w:szCs w:val="24"/>
        </w:rPr>
        <w:t xml:space="preserve"> of how children travel to school in a variety of geographical contexts</w:t>
      </w:r>
      <w:r w:rsidR="008B6160" w:rsidRPr="005944F7">
        <w:rPr>
          <w:rFonts w:cs="Times New Roman"/>
          <w:szCs w:val="24"/>
        </w:rPr>
        <w:t>, including but not limited to</w:t>
      </w:r>
      <w:r w:rsidR="00237402" w:rsidRPr="005944F7">
        <w:rPr>
          <w:rFonts w:cs="Times New Roman"/>
          <w:szCs w:val="24"/>
        </w:rPr>
        <w:t xml:space="preserve"> </w:t>
      </w:r>
      <w:r w:rsidR="008B6160" w:rsidRPr="005944F7">
        <w:rPr>
          <w:rFonts w:cs="Times New Roman"/>
          <w:szCs w:val="24"/>
        </w:rPr>
        <w:t>urban, rural</w:t>
      </w:r>
      <w:r w:rsidR="00237402" w:rsidRPr="005944F7">
        <w:rPr>
          <w:rFonts w:cs="Times New Roman"/>
          <w:szCs w:val="24"/>
        </w:rPr>
        <w:t xml:space="preserve">, high-density, low-density, </w:t>
      </w:r>
      <w:r w:rsidR="008B6160" w:rsidRPr="005944F7">
        <w:rPr>
          <w:rFonts w:cs="Times New Roman"/>
          <w:szCs w:val="24"/>
        </w:rPr>
        <w:t xml:space="preserve">inner city, urban sprawl, etc. </w:t>
      </w:r>
      <w:r w:rsidRPr="005944F7">
        <w:rPr>
          <w:rFonts w:cs="Times New Roman"/>
          <w:szCs w:val="24"/>
        </w:rPr>
        <w:t>(</w:t>
      </w:r>
      <w:r w:rsidR="00237402" w:rsidRPr="005944F7">
        <w:rPr>
          <w:rFonts w:cs="Times New Roman"/>
          <w:szCs w:val="24"/>
        </w:rPr>
        <w:t>see for example</w:t>
      </w:r>
      <w:r w:rsidR="002D3731" w:rsidRPr="005944F7">
        <w:rPr>
          <w:rFonts w:cs="Times New Roman"/>
          <w:szCs w:val="24"/>
        </w:rPr>
        <w:t>, amongst many others</w:t>
      </w:r>
      <w:r w:rsidR="00237402" w:rsidRPr="005944F7">
        <w:rPr>
          <w:rFonts w:cs="Times New Roman"/>
          <w:szCs w:val="24"/>
        </w:rPr>
        <w:t xml:space="preserve">, </w:t>
      </w:r>
      <w:proofErr w:type="spellStart"/>
      <w:r w:rsidRPr="005944F7">
        <w:rPr>
          <w:rFonts w:cs="Times New Roman"/>
          <w:szCs w:val="24"/>
        </w:rPr>
        <w:t>Andersson</w:t>
      </w:r>
      <w:proofErr w:type="spellEnd"/>
      <w:r w:rsidRPr="005944F7">
        <w:rPr>
          <w:rFonts w:cs="Times New Roman"/>
          <w:szCs w:val="24"/>
        </w:rPr>
        <w:t xml:space="preserve"> et al., 2012; Fusco et al., 2012; Lang et al., 2011; Li and Zhao, 2015; </w:t>
      </w:r>
      <w:proofErr w:type="spellStart"/>
      <w:r w:rsidRPr="005944F7">
        <w:rPr>
          <w:rFonts w:cs="Times New Roman"/>
          <w:szCs w:val="24"/>
        </w:rPr>
        <w:t>Pojani</w:t>
      </w:r>
      <w:proofErr w:type="spellEnd"/>
      <w:r w:rsidRPr="005944F7">
        <w:rPr>
          <w:rFonts w:cs="Times New Roman"/>
          <w:szCs w:val="24"/>
        </w:rPr>
        <w:t xml:space="preserve"> and </w:t>
      </w:r>
      <w:proofErr w:type="spellStart"/>
      <w:r w:rsidRPr="005944F7">
        <w:rPr>
          <w:rFonts w:cs="Times New Roman"/>
          <w:szCs w:val="24"/>
        </w:rPr>
        <w:t>Boussauw</w:t>
      </w:r>
      <w:proofErr w:type="spellEnd"/>
      <w:r w:rsidRPr="005944F7">
        <w:rPr>
          <w:rFonts w:cs="Times New Roman"/>
          <w:szCs w:val="24"/>
        </w:rPr>
        <w:t xml:space="preserve">, 2014; Rothman et al., 2018; </w:t>
      </w:r>
      <w:r w:rsidR="008B6160" w:rsidRPr="005944F7">
        <w:rPr>
          <w:rFonts w:cs="Times New Roman"/>
          <w:szCs w:val="24"/>
        </w:rPr>
        <w:t xml:space="preserve">Stark et al., 2018b; </w:t>
      </w:r>
      <w:r w:rsidRPr="005944F7">
        <w:rPr>
          <w:rFonts w:cs="Times New Roman"/>
          <w:szCs w:val="24"/>
        </w:rPr>
        <w:t xml:space="preserve">Zhang et al., 2017). </w:t>
      </w:r>
      <w:r w:rsidR="008B6160" w:rsidRPr="005944F7">
        <w:rPr>
          <w:rFonts w:cs="Times New Roman"/>
          <w:szCs w:val="24"/>
        </w:rPr>
        <w:t xml:space="preserve">However, </w:t>
      </w:r>
      <w:r w:rsidRPr="005944F7">
        <w:rPr>
          <w:rFonts w:cs="Times New Roman"/>
          <w:szCs w:val="24"/>
        </w:rPr>
        <w:t>studies on children</w:t>
      </w:r>
      <w:r w:rsidR="005944F7" w:rsidRPr="005944F7">
        <w:rPr>
          <w:rFonts w:cs="Times New Roman"/>
          <w:szCs w:val="24"/>
        </w:rPr>
        <w:t>’</w:t>
      </w:r>
      <w:r w:rsidRPr="005944F7">
        <w:rPr>
          <w:rFonts w:cs="Times New Roman"/>
          <w:szCs w:val="24"/>
        </w:rPr>
        <w:t xml:space="preserve">s non-school activity-travel patterns have </w:t>
      </w:r>
      <w:r w:rsidR="00CE6A86" w:rsidRPr="005944F7">
        <w:rPr>
          <w:rFonts w:cs="Times New Roman"/>
          <w:szCs w:val="24"/>
        </w:rPr>
        <w:t>primarily been</w:t>
      </w:r>
      <w:r w:rsidRPr="005944F7">
        <w:rPr>
          <w:rFonts w:cs="Times New Roman"/>
          <w:szCs w:val="24"/>
        </w:rPr>
        <w:t xml:space="preserve"> confined to the Western Hemisphere and </w:t>
      </w:r>
      <w:r w:rsidR="00491D32" w:rsidRPr="005944F7">
        <w:rPr>
          <w:rFonts w:cs="Times New Roman"/>
          <w:szCs w:val="24"/>
        </w:rPr>
        <w:t>generally in lower</w:t>
      </w:r>
      <w:r w:rsidRPr="005944F7">
        <w:rPr>
          <w:rFonts w:cs="Times New Roman"/>
          <w:szCs w:val="24"/>
        </w:rPr>
        <w:t xml:space="preserve"> density urban environments where children are mostly dependent on automobiles for non-school activities</w:t>
      </w:r>
      <w:r w:rsidR="008B6160" w:rsidRPr="005944F7">
        <w:rPr>
          <w:rFonts w:cs="Times New Roman"/>
          <w:szCs w:val="24"/>
        </w:rPr>
        <w:t xml:space="preserve"> (see, for example, </w:t>
      </w:r>
      <w:proofErr w:type="spellStart"/>
      <w:r w:rsidR="008B6160" w:rsidRPr="005944F7">
        <w:rPr>
          <w:rFonts w:cs="Times New Roman"/>
          <w:szCs w:val="24"/>
        </w:rPr>
        <w:t>Copperman</w:t>
      </w:r>
      <w:proofErr w:type="spellEnd"/>
      <w:r w:rsidR="008B6160" w:rsidRPr="005944F7">
        <w:rPr>
          <w:rFonts w:cs="Times New Roman"/>
          <w:szCs w:val="24"/>
        </w:rPr>
        <w:t xml:space="preserve"> and </w:t>
      </w:r>
      <w:r w:rsidR="008B6160" w:rsidRPr="005944F7">
        <w:rPr>
          <w:rFonts w:cs="Times New Roman"/>
          <w:szCs w:val="24"/>
        </w:rPr>
        <w:lastRenderedPageBreak/>
        <w:t xml:space="preserve">Bhat, 2007; </w:t>
      </w:r>
      <w:proofErr w:type="spellStart"/>
      <w:r w:rsidR="008B6160" w:rsidRPr="005944F7">
        <w:rPr>
          <w:rFonts w:cs="Times New Roman"/>
          <w:szCs w:val="24"/>
        </w:rPr>
        <w:t>Sener</w:t>
      </w:r>
      <w:proofErr w:type="spellEnd"/>
      <w:r w:rsidR="008B6160" w:rsidRPr="005944F7">
        <w:rPr>
          <w:rFonts w:cs="Times New Roman"/>
          <w:szCs w:val="24"/>
        </w:rPr>
        <w:t xml:space="preserve"> and Bhat, 2007; </w:t>
      </w:r>
      <w:proofErr w:type="spellStart"/>
      <w:r w:rsidR="008B6160" w:rsidRPr="005944F7">
        <w:rPr>
          <w:rFonts w:cs="Times New Roman"/>
          <w:szCs w:val="24"/>
        </w:rPr>
        <w:t>Paleti</w:t>
      </w:r>
      <w:proofErr w:type="spellEnd"/>
      <w:r w:rsidR="008B6160" w:rsidRPr="005944F7">
        <w:rPr>
          <w:rFonts w:cs="Times New Roman"/>
          <w:szCs w:val="24"/>
        </w:rPr>
        <w:t xml:space="preserve"> et al., 2011</w:t>
      </w:r>
      <w:r w:rsidR="002D3731" w:rsidRPr="005944F7">
        <w:rPr>
          <w:rFonts w:cs="Times New Roman"/>
          <w:szCs w:val="24"/>
        </w:rPr>
        <w:t xml:space="preserve">; </w:t>
      </w:r>
      <w:proofErr w:type="spellStart"/>
      <w:r w:rsidR="002D3731" w:rsidRPr="005944F7">
        <w:rPr>
          <w:rFonts w:cs="Times New Roman"/>
          <w:szCs w:val="24"/>
        </w:rPr>
        <w:t>Fyhri</w:t>
      </w:r>
      <w:proofErr w:type="spellEnd"/>
      <w:r w:rsidR="002D3731" w:rsidRPr="005944F7">
        <w:rPr>
          <w:rFonts w:cs="Times New Roman"/>
          <w:szCs w:val="24"/>
        </w:rPr>
        <w:t xml:space="preserve"> and </w:t>
      </w:r>
      <w:proofErr w:type="spellStart"/>
      <w:r w:rsidR="002D3731" w:rsidRPr="005944F7">
        <w:rPr>
          <w:rFonts w:cs="Times New Roman"/>
          <w:szCs w:val="24"/>
        </w:rPr>
        <w:t>Hjorthol</w:t>
      </w:r>
      <w:proofErr w:type="spellEnd"/>
      <w:r w:rsidR="002D3731" w:rsidRPr="005944F7">
        <w:rPr>
          <w:rFonts w:cs="Times New Roman"/>
          <w:szCs w:val="24"/>
        </w:rPr>
        <w:t xml:space="preserve">, 2009; </w:t>
      </w:r>
      <w:proofErr w:type="spellStart"/>
      <w:r w:rsidR="002D3731" w:rsidRPr="005944F7">
        <w:rPr>
          <w:rFonts w:cs="Times New Roman"/>
          <w:szCs w:val="24"/>
        </w:rPr>
        <w:t>Hjorthol</w:t>
      </w:r>
      <w:proofErr w:type="spellEnd"/>
      <w:r w:rsidR="002D3731" w:rsidRPr="005944F7">
        <w:rPr>
          <w:rFonts w:cs="Times New Roman"/>
          <w:szCs w:val="24"/>
        </w:rPr>
        <w:t xml:space="preserve"> and </w:t>
      </w:r>
      <w:proofErr w:type="spellStart"/>
      <w:r w:rsidR="002D3731" w:rsidRPr="005944F7">
        <w:rPr>
          <w:rFonts w:cs="Times New Roman"/>
          <w:szCs w:val="24"/>
        </w:rPr>
        <w:t>Fyhri</w:t>
      </w:r>
      <w:proofErr w:type="spellEnd"/>
      <w:r w:rsidR="002D3731" w:rsidRPr="005944F7">
        <w:rPr>
          <w:rFonts w:cs="Times New Roman"/>
          <w:szCs w:val="24"/>
        </w:rPr>
        <w:t>, 2009</w:t>
      </w:r>
      <w:r w:rsidR="008B6160" w:rsidRPr="005944F7">
        <w:rPr>
          <w:rFonts w:cs="Times New Roman"/>
          <w:szCs w:val="24"/>
        </w:rPr>
        <w:t>; Stark et al., 2018a)</w:t>
      </w:r>
      <w:r w:rsidRPr="005944F7">
        <w:rPr>
          <w:rFonts w:cs="Times New Roman"/>
          <w:szCs w:val="24"/>
        </w:rPr>
        <w:t xml:space="preserve">. </w:t>
      </w:r>
      <w:r w:rsidR="00E65154" w:rsidRPr="005944F7">
        <w:rPr>
          <w:rFonts w:cs="Times New Roman"/>
          <w:szCs w:val="24"/>
        </w:rPr>
        <w:t>Therefore, to fill this gap in research</w:t>
      </w:r>
      <w:r w:rsidR="008B6160" w:rsidRPr="005944F7">
        <w:rPr>
          <w:rFonts w:cs="Times New Roman"/>
          <w:szCs w:val="24"/>
        </w:rPr>
        <w:t xml:space="preserve">, </w:t>
      </w:r>
      <w:r w:rsidR="00E65154" w:rsidRPr="005944F7">
        <w:rPr>
          <w:rFonts w:cs="Times New Roman"/>
          <w:szCs w:val="24"/>
        </w:rPr>
        <w:t xml:space="preserve">the focus of this study lays upon </w:t>
      </w:r>
      <w:r w:rsidR="008B6160" w:rsidRPr="005944F7">
        <w:rPr>
          <w:rFonts w:cs="Times New Roman"/>
          <w:szCs w:val="24"/>
        </w:rPr>
        <w:t>children’s non-s</w:t>
      </w:r>
      <w:r w:rsidR="00E65154" w:rsidRPr="005944F7">
        <w:rPr>
          <w:rFonts w:cs="Times New Roman"/>
          <w:szCs w:val="24"/>
        </w:rPr>
        <w:t>chool activity-travel patterns</w:t>
      </w:r>
      <w:r w:rsidR="00CE6A86" w:rsidRPr="005944F7">
        <w:rPr>
          <w:rFonts w:cs="Times New Roman"/>
          <w:szCs w:val="24"/>
        </w:rPr>
        <w:t xml:space="preserve"> in a high density urban environment. S</w:t>
      </w:r>
      <w:r w:rsidR="00E65154" w:rsidRPr="005944F7">
        <w:rPr>
          <w:rFonts w:cs="Times New Roman"/>
          <w:szCs w:val="24"/>
        </w:rPr>
        <w:t>pecifically</w:t>
      </w:r>
      <w:r w:rsidR="00CE6A86" w:rsidRPr="005944F7">
        <w:rPr>
          <w:rFonts w:cs="Times New Roman"/>
          <w:szCs w:val="24"/>
        </w:rPr>
        <w:t>, we focus on children’s</w:t>
      </w:r>
      <w:r w:rsidR="00E65154" w:rsidRPr="005944F7">
        <w:rPr>
          <w:rFonts w:cs="Times New Roman"/>
          <w:szCs w:val="24"/>
        </w:rPr>
        <w:t xml:space="preserve"> out-of-home (OH) activity participation beyond the usual school hours (henceforth, we will refer to such beyond-school time OH activities as “extra-curricular” activities) within the geographic locale </w:t>
      </w:r>
      <w:r w:rsidR="00CE6A86" w:rsidRPr="005944F7">
        <w:rPr>
          <w:rFonts w:cs="Times New Roman"/>
          <w:szCs w:val="24"/>
        </w:rPr>
        <w:t>of</w:t>
      </w:r>
      <w:r w:rsidR="00E65154" w:rsidRPr="005944F7">
        <w:rPr>
          <w:rFonts w:cs="Times New Roman"/>
          <w:szCs w:val="24"/>
        </w:rPr>
        <w:t xml:space="preserve"> </w:t>
      </w:r>
      <w:r w:rsidRPr="005944F7">
        <w:rPr>
          <w:rFonts w:cs="Times New Roman"/>
          <w:szCs w:val="24"/>
        </w:rPr>
        <w:t xml:space="preserve">Hong Kong, </w:t>
      </w:r>
      <w:r w:rsidR="00CE6A86" w:rsidRPr="005944F7">
        <w:rPr>
          <w:rFonts w:cs="Times New Roman"/>
          <w:szCs w:val="24"/>
        </w:rPr>
        <w:t xml:space="preserve">where its compact and highly dense urban form means that </w:t>
      </w:r>
      <w:r w:rsidRPr="005944F7">
        <w:rPr>
          <w:rFonts w:cs="Times New Roman"/>
          <w:szCs w:val="24"/>
        </w:rPr>
        <w:t>distances are much more amenable to the active-travel modes of walking and cycling.</w:t>
      </w:r>
      <w:r w:rsidR="00363B1D" w:rsidRPr="005944F7">
        <w:rPr>
          <w:rFonts w:cs="Times New Roman"/>
          <w:szCs w:val="24"/>
        </w:rPr>
        <w:t xml:space="preserve"> At this junction, t</w:t>
      </w:r>
      <w:r w:rsidR="00184C57" w:rsidRPr="005944F7">
        <w:rPr>
          <w:rFonts w:cs="Times New Roman"/>
          <w:szCs w:val="24"/>
        </w:rPr>
        <w:t xml:space="preserve">here are several important observations relating to childhood and children growing up in Hong Kong that ought to be considered, in relation to children’s </w:t>
      </w:r>
      <w:r w:rsidR="00363B1D" w:rsidRPr="005944F7">
        <w:rPr>
          <w:rFonts w:cs="Times New Roman"/>
          <w:szCs w:val="24"/>
        </w:rPr>
        <w:t xml:space="preserve">activities and </w:t>
      </w:r>
      <w:r w:rsidR="00184C57" w:rsidRPr="005944F7">
        <w:rPr>
          <w:rFonts w:cs="Times New Roman"/>
          <w:szCs w:val="24"/>
        </w:rPr>
        <w:t xml:space="preserve">travel </w:t>
      </w:r>
      <w:r w:rsidR="009A15D7" w:rsidRPr="005944F7">
        <w:rPr>
          <w:rFonts w:cs="Times New Roman"/>
          <w:szCs w:val="24"/>
        </w:rPr>
        <w:t>behaviour</w:t>
      </w:r>
      <w:r w:rsidR="00184C57" w:rsidRPr="005944F7">
        <w:rPr>
          <w:rFonts w:cs="Times New Roman"/>
          <w:szCs w:val="24"/>
        </w:rPr>
        <w:t xml:space="preserve">, as summarized from </w:t>
      </w:r>
      <w:proofErr w:type="spellStart"/>
      <w:r w:rsidR="007B59DD" w:rsidRPr="005944F7">
        <w:rPr>
          <w:rFonts w:cs="Times New Roman"/>
          <w:szCs w:val="24"/>
        </w:rPr>
        <w:t>Karsten</w:t>
      </w:r>
      <w:proofErr w:type="spellEnd"/>
      <w:r w:rsidR="007B59DD" w:rsidRPr="005944F7">
        <w:rPr>
          <w:rFonts w:cs="Times New Roman"/>
          <w:szCs w:val="24"/>
        </w:rPr>
        <w:t xml:space="preserve"> (2014) and </w:t>
      </w:r>
      <w:r w:rsidR="00184C57" w:rsidRPr="005944F7">
        <w:rPr>
          <w:rFonts w:cs="Times New Roman"/>
          <w:szCs w:val="24"/>
        </w:rPr>
        <w:t>Loo and Lam (2015)</w:t>
      </w:r>
      <w:r w:rsidR="00636163" w:rsidRPr="005944F7">
        <w:rPr>
          <w:rFonts w:cs="Times New Roman"/>
          <w:szCs w:val="24"/>
        </w:rPr>
        <w:t>:</w:t>
      </w:r>
    </w:p>
    <w:p w:rsidR="00184C57" w:rsidRPr="005944F7" w:rsidRDefault="00184C57" w:rsidP="005944F7">
      <w:pPr>
        <w:adjustRightInd w:val="0"/>
        <w:snapToGrid w:val="0"/>
        <w:jc w:val="both"/>
        <w:rPr>
          <w:rFonts w:cs="Times New Roman"/>
          <w:szCs w:val="24"/>
        </w:rPr>
      </w:pPr>
    </w:p>
    <w:p w:rsidR="00184C57" w:rsidRPr="005944F7" w:rsidRDefault="00184C57" w:rsidP="005944F7">
      <w:pPr>
        <w:pStyle w:val="ListParagraph"/>
        <w:numPr>
          <w:ilvl w:val="0"/>
          <w:numId w:val="20"/>
        </w:numPr>
        <w:adjustRightInd w:val="0"/>
        <w:snapToGrid w:val="0"/>
        <w:spacing w:after="120" w:line="240" w:lineRule="auto"/>
        <w:contextualSpacing w:val="0"/>
        <w:jc w:val="both"/>
        <w:rPr>
          <w:rFonts w:ascii="Times New Roman" w:hAnsi="Times New Roman" w:cs="Times New Roman"/>
          <w:szCs w:val="24"/>
        </w:rPr>
      </w:pPr>
      <w:r w:rsidRPr="005944F7">
        <w:rPr>
          <w:rFonts w:ascii="Times New Roman" w:hAnsi="Times New Roman" w:cs="Times New Roman"/>
          <w:szCs w:val="24"/>
        </w:rPr>
        <w:t xml:space="preserve">Hong Kong children are primarily raised in high-rise apartment buildings in compact residential </w:t>
      </w:r>
      <w:r w:rsidR="009A15D7" w:rsidRPr="005944F7">
        <w:rPr>
          <w:rFonts w:ascii="Times New Roman" w:hAnsi="Times New Roman" w:cs="Times New Roman"/>
          <w:szCs w:val="24"/>
        </w:rPr>
        <w:t>neighbourhoods</w:t>
      </w:r>
      <w:r w:rsidR="007B59DD" w:rsidRPr="005944F7">
        <w:rPr>
          <w:rFonts w:ascii="Times New Roman" w:hAnsi="Times New Roman" w:cs="Times New Roman"/>
          <w:szCs w:val="24"/>
        </w:rPr>
        <w:t>.</w:t>
      </w:r>
    </w:p>
    <w:p w:rsidR="00184C57" w:rsidRPr="005944F7" w:rsidRDefault="00184C57" w:rsidP="005944F7">
      <w:pPr>
        <w:pStyle w:val="ListParagraph"/>
        <w:numPr>
          <w:ilvl w:val="0"/>
          <w:numId w:val="20"/>
        </w:numPr>
        <w:adjustRightInd w:val="0"/>
        <w:snapToGrid w:val="0"/>
        <w:spacing w:after="120" w:line="240" w:lineRule="auto"/>
        <w:contextualSpacing w:val="0"/>
        <w:jc w:val="both"/>
        <w:rPr>
          <w:rFonts w:ascii="Times New Roman" w:hAnsi="Times New Roman" w:cs="Times New Roman"/>
          <w:szCs w:val="24"/>
        </w:rPr>
      </w:pPr>
      <w:r w:rsidRPr="005944F7">
        <w:rPr>
          <w:rFonts w:ascii="Times New Roman" w:hAnsi="Times New Roman" w:cs="Times New Roman"/>
          <w:szCs w:val="24"/>
        </w:rPr>
        <w:t>While there is a limited amount of public space, there are some playgrounds and recreational locations in urban areas for children to play in, although they reflect a “Chinese-style order” and lack in creativity</w:t>
      </w:r>
      <w:r w:rsidR="007B59DD" w:rsidRPr="005944F7">
        <w:rPr>
          <w:rFonts w:ascii="Times New Roman" w:hAnsi="Times New Roman" w:cs="Times New Roman"/>
          <w:szCs w:val="24"/>
        </w:rPr>
        <w:t>.</w:t>
      </w:r>
    </w:p>
    <w:p w:rsidR="00636163" w:rsidRPr="005944F7" w:rsidRDefault="00184C57" w:rsidP="005944F7">
      <w:pPr>
        <w:pStyle w:val="ListParagraph"/>
        <w:numPr>
          <w:ilvl w:val="0"/>
          <w:numId w:val="20"/>
        </w:numPr>
        <w:adjustRightInd w:val="0"/>
        <w:snapToGrid w:val="0"/>
        <w:spacing w:after="120" w:line="240" w:lineRule="auto"/>
        <w:contextualSpacing w:val="0"/>
        <w:jc w:val="both"/>
        <w:rPr>
          <w:rFonts w:ascii="Times New Roman" w:hAnsi="Times New Roman" w:cs="Times New Roman"/>
          <w:szCs w:val="24"/>
        </w:rPr>
      </w:pPr>
      <w:r w:rsidRPr="005944F7">
        <w:rPr>
          <w:rFonts w:ascii="Times New Roman" w:hAnsi="Times New Roman" w:cs="Times New Roman"/>
          <w:szCs w:val="24"/>
        </w:rPr>
        <w:t xml:space="preserve">Children as young as 2 years old start going to </w:t>
      </w:r>
      <w:r w:rsidR="007B59DD" w:rsidRPr="005944F7">
        <w:rPr>
          <w:rFonts w:ascii="Times New Roman" w:hAnsi="Times New Roman" w:cs="Times New Roman"/>
          <w:szCs w:val="24"/>
        </w:rPr>
        <w:t>“</w:t>
      </w:r>
      <w:r w:rsidRPr="005944F7">
        <w:rPr>
          <w:rFonts w:ascii="Times New Roman" w:hAnsi="Times New Roman" w:cs="Times New Roman"/>
          <w:szCs w:val="24"/>
        </w:rPr>
        <w:t>school</w:t>
      </w:r>
      <w:r w:rsidR="007B59DD" w:rsidRPr="005944F7">
        <w:rPr>
          <w:rFonts w:ascii="Times New Roman" w:hAnsi="Times New Roman" w:cs="Times New Roman"/>
          <w:szCs w:val="24"/>
        </w:rPr>
        <w:t>”</w:t>
      </w:r>
      <w:r w:rsidRPr="005944F7">
        <w:rPr>
          <w:rFonts w:ascii="Times New Roman" w:hAnsi="Times New Roman" w:cs="Times New Roman"/>
          <w:szCs w:val="24"/>
        </w:rPr>
        <w:t xml:space="preserve">, and parents </w:t>
      </w:r>
      <w:r w:rsidR="009A15D7" w:rsidRPr="005944F7">
        <w:rPr>
          <w:rFonts w:ascii="Times New Roman" w:hAnsi="Times New Roman" w:cs="Times New Roman"/>
          <w:szCs w:val="24"/>
        </w:rPr>
        <w:t>enrol</w:t>
      </w:r>
      <w:r w:rsidRPr="005944F7">
        <w:rPr>
          <w:rFonts w:ascii="Times New Roman" w:hAnsi="Times New Roman" w:cs="Times New Roman"/>
          <w:szCs w:val="24"/>
        </w:rPr>
        <w:t xml:space="preserve"> their children into these playgroups and kindergartens early in order to get a head start in entering better primary schools</w:t>
      </w:r>
      <w:r w:rsidR="007B59DD" w:rsidRPr="005944F7">
        <w:rPr>
          <w:rFonts w:ascii="Times New Roman" w:hAnsi="Times New Roman" w:cs="Times New Roman"/>
          <w:szCs w:val="24"/>
        </w:rPr>
        <w:t>.</w:t>
      </w:r>
      <w:r w:rsidR="00636163" w:rsidRPr="005944F7">
        <w:rPr>
          <w:rFonts w:ascii="Times New Roman" w:hAnsi="Times New Roman" w:cs="Times New Roman"/>
          <w:szCs w:val="24"/>
        </w:rPr>
        <w:t xml:space="preserve"> </w:t>
      </w:r>
    </w:p>
    <w:p w:rsidR="00636163" w:rsidRPr="005944F7" w:rsidRDefault="00184C57" w:rsidP="005944F7">
      <w:pPr>
        <w:pStyle w:val="ListParagraph"/>
        <w:numPr>
          <w:ilvl w:val="0"/>
          <w:numId w:val="20"/>
        </w:numPr>
        <w:adjustRightInd w:val="0"/>
        <w:snapToGrid w:val="0"/>
        <w:spacing w:after="0" w:line="240" w:lineRule="auto"/>
        <w:ind w:left="714" w:hanging="357"/>
        <w:jc w:val="both"/>
        <w:rPr>
          <w:rFonts w:ascii="Times New Roman" w:hAnsi="Times New Roman" w:cs="Times New Roman"/>
          <w:szCs w:val="24"/>
        </w:rPr>
      </w:pPr>
      <w:r w:rsidRPr="005944F7">
        <w:rPr>
          <w:rFonts w:ascii="Times New Roman" w:hAnsi="Times New Roman" w:cs="Times New Roman"/>
          <w:szCs w:val="24"/>
        </w:rPr>
        <w:t xml:space="preserve">Like many developed economies, Hong Kong is an ageing society and birth rates are low, but this does not seem to have restricted the competition for entering the best schools and the having the best </w:t>
      </w:r>
      <w:r w:rsidR="007B59DD" w:rsidRPr="005944F7">
        <w:rPr>
          <w:rFonts w:ascii="Times New Roman" w:hAnsi="Times New Roman" w:cs="Times New Roman"/>
          <w:szCs w:val="24"/>
        </w:rPr>
        <w:t>“</w:t>
      </w:r>
      <w:r w:rsidRPr="005944F7">
        <w:rPr>
          <w:rFonts w:ascii="Times New Roman" w:hAnsi="Times New Roman" w:cs="Times New Roman"/>
          <w:szCs w:val="24"/>
        </w:rPr>
        <w:t>CV</w:t>
      </w:r>
      <w:r w:rsidR="007B59DD" w:rsidRPr="005944F7">
        <w:rPr>
          <w:rFonts w:ascii="Times New Roman" w:hAnsi="Times New Roman" w:cs="Times New Roman"/>
          <w:szCs w:val="24"/>
        </w:rPr>
        <w:t>”</w:t>
      </w:r>
      <w:r w:rsidRPr="005944F7">
        <w:rPr>
          <w:rFonts w:ascii="Times New Roman" w:hAnsi="Times New Roman" w:cs="Times New Roman"/>
          <w:szCs w:val="24"/>
        </w:rPr>
        <w:t xml:space="preserve"> of extra-curricular activities</w:t>
      </w:r>
      <w:r w:rsidR="007B59DD" w:rsidRPr="005944F7">
        <w:rPr>
          <w:rFonts w:ascii="Times New Roman" w:hAnsi="Times New Roman" w:cs="Times New Roman"/>
          <w:szCs w:val="24"/>
        </w:rPr>
        <w:t>.</w:t>
      </w:r>
    </w:p>
    <w:p w:rsidR="00636163" w:rsidRPr="005944F7" w:rsidRDefault="00636163" w:rsidP="005944F7">
      <w:pPr>
        <w:adjustRightInd w:val="0"/>
        <w:snapToGrid w:val="0"/>
        <w:ind w:firstLine="720"/>
        <w:jc w:val="both"/>
        <w:rPr>
          <w:rFonts w:cs="Times New Roman"/>
          <w:szCs w:val="24"/>
        </w:rPr>
      </w:pPr>
    </w:p>
    <w:p w:rsidR="00751138" w:rsidRPr="005944F7" w:rsidRDefault="007610C4" w:rsidP="005944F7">
      <w:pPr>
        <w:adjustRightInd w:val="0"/>
        <w:snapToGrid w:val="0"/>
        <w:ind w:firstLine="720"/>
        <w:jc w:val="both"/>
        <w:rPr>
          <w:rFonts w:cs="Times New Roman"/>
          <w:szCs w:val="24"/>
        </w:rPr>
      </w:pPr>
      <w:r w:rsidRPr="005944F7">
        <w:rPr>
          <w:rFonts w:cs="Times New Roman"/>
          <w:szCs w:val="24"/>
        </w:rPr>
        <w:t>It is important to consider the above context when looking at children’s activ</w:t>
      </w:r>
      <w:r w:rsidR="00636163" w:rsidRPr="005944F7">
        <w:rPr>
          <w:rFonts w:cs="Times New Roman"/>
          <w:szCs w:val="24"/>
        </w:rPr>
        <w:t xml:space="preserve">ity-travel </w:t>
      </w:r>
      <w:r w:rsidR="009A15D7" w:rsidRPr="005944F7">
        <w:rPr>
          <w:rFonts w:cs="Times New Roman"/>
          <w:szCs w:val="24"/>
        </w:rPr>
        <w:t>behaviour</w:t>
      </w:r>
      <w:r w:rsidR="00636163" w:rsidRPr="005944F7">
        <w:rPr>
          <w:rFonts w:cs="Times New Roman"/>
          <w:szCs w:val="24"/>
        </w:rPr>
        <w:t xml:space="preserve"> in Hong Kong. C</w:t>
      </w:r>
      <w:r w:rsidR="00751138" w:rsidRPr="005944F7">
        <w:rPr>
          <w:rFonts w:cs="Times New Roman"/>
          <w:szCs w:val="24"/>
        </w:rPr>
        <w:t xml:space="preserve">hildren’s participation in scheduled after-school extra-curricular activities are by far the norm rather than the exception </w:t>
      </w:r>
      <w:r w:rsidR="00363B1D" w:rsidRPr="005944F7">
        <w:rPr>
          <w:rFonts w:cs="Times New Roman"/>
          <w:szCs w:val="24"/>
        </w:rPr>
        <w:t xml:space="preserve">in this part of the world </w:t>
      </w:r>
      <w:r w:rsidR="00751138" w:rsidRPr="005944F7">
        <w:rPr>
          <w:rFonts w:cs="Times New Roman"/>
          <w:szCs w:val="24"/>
        </w:rPr>
        <w:t>(</w:t>
      </w:r>
      <w:proofErr w:type="spellStart"/>
      <w:r w:rsidR="00751138" w:rsidRPr="005944F7">
        <w:rPr>
          <w:rFonts w:cs="Times New Roman"/>
          <w:szCs w:val="24"/>
        </w:rPr>
        <w:t>Karsten</w:t>
      </w:r>
      <w:proofErr w:type="spellEnd"/>
      <w:r w:rsidR="00751138" w:rsidRPr="005944F7">
        <w:rPr>
          <w:rFonts w:cs="Times New Roman"/>
          <w:szCs w:val="24"/>
        </w:rPr>
        <w:t xml:space="preserve">, 2014), </w:t>
      </w:r>
      <w:r w:rsidR="00636163" w:rsidRPr="005944F7">
        <w:rPr>
          <w:rFonts w:cs="Times New Roman"/>
          <w:szCs w:val="24"/>
        </w:rPr>
        <w:t>although</w:t>
      </w:r>
      <w:r w:rsidR="00CE6A86" w:rsidRPr="005944F7">
        <w:rPr>
          <w:rFonts w:cs="Times New Roman"/>
          <w:szCs w:val="24"/>
        </w:rPr>
        <w:t xml:space="preserve"> </w:t>
      </w:r>
      <w:r w:rsidR="00751138" w:rsidRPr="005944F7">
        <w:rPr>
          <w:rFonts w:cs="Times New Roman"/>
          <w:szCs w:val="24"/>
        </w:rPr>
        <w:t>such scheduled activities are also gaining traction in the Western Hemisphere as well (</w:t>
      </w:r>
      <w:r w:rsidR="008C5D3D" w:rsidRPr="005944F7">
        <w:rPr>
          <w:rFonts w:cs="Times New Roman"/>
          <w:szCs w:val="24"/>
        </w:rPr>
        <w:t xml:space="preserve">Wheeler and Green, 2018; </w:t>
      </w:r>
      <w:proofErr w:type="spellStart"/>
      <w:r w:rsidR="00751138" w:rsidRPr="005944F7">
        <w:rPr>
          <w:rFonts w:cs="Times New Roman"/>
          <w:szCs w:val="24"/>
        </w:rPr>
        <w:t>Molinuevo</w:t>
      </w:r>
      <w:proofErr w:type="spellEnd"/>
      <w:r w:rsidR="00751138" w:rsidRPr="005944F7">
        <w:rPr>
          <w:rFonts w:cs="Times New Roman"/>
          <w:szCs w:val="24"/>
        </w:rPr>
        <w:t xml:space="preserve"> et al., 2010). Clearly, from a travel </w:t>
      </w:r>
      <w:r w:rsidR="00DD34F1" w:rsidRPr="005944F7">
        <w:rPr>
          <w:rFonts w:cs="Times New Roman"/>
          <w:szCs w:val="24"/>
        </w:rPr>
        <w:t>modelling</w:t>
      </w:r>
      <w:r w:rsidR="00751138" w:rsidRPr="005944F7">
        <w:rPr>
          <w:rFonts w:cs="Times New Roman"/>
          <w:szCs w:val="24"/>
        </w:rPr>
        <w:t xml:space="preserve"> perspective, a better understanding of children’s extra-curricular activity participation (ECAP) can provide key insights into the downstream </w:t>
      </w:r>
      <w:r w:rsidR="009A15D7" w:rsidRPr="005944F7">
        <w:rPr>
          <w:rFonts w:cs="Times New Roman"/>
          <w:szCs w:val="24"/>
        </w:rPr>
        <w:t>modelling</w:t>
      </w:r>
      <w:r w:rsidR="00751138" w:rsidRPr="005944F7">
        <w:rPr>
          <w:rFonts w:cs="Times New Roman"/>
          <w:szCs w:val="24"/>
        </w:rPr>
        <w:t xml:space="preserve"> of travel demand patterns of both children and adults. </w:t>
      </w:r>
      <w:r w:rsidR="00E65154" w:rsidRPr="005944F7">
        <w:rPr>
          <w:rFonts w:cs="Times New Roman"/>
          <w:szCs w:val="24"/>
        </w:rPr>
        <w:t xml:space="preserve">Furthermore, from a geographical perspective, the understanding of children’s extra-curricular activities and related travel with respect to the </w:t>
      </w:r>
      <w:r w:rsidR="009A15D7" w:rsidRPr="005944F7">
        <w:rPr>
          <w:rFonts w:cs="Times New Roman"/>
          <w:szCs w:val="24"/>
        </w:rPr>
        <w:t>neighbourhood</w:t>
      </w:r>
      <w:r w:rsidR="00E65154" w:rsidRPr="005944F7">
        <w:rPr>
          <w:rFonts w:cs="Times New Roman"/>
          <w:szCs w:val="24"/>
        </w:rPr>
        <w:t xml:space="preserve"> environment will be </w:t>
      </w:r>
      <w:r w:rsidR="00E06811" w:rsidRPr="005944F7">
        <w:rPr>
          <w:rFonts w:cs="Times New Roman"/>
          <w:szCs w:val="24"/>
        </w:rPr>
        <w:t xml:space="preserve">helpful to inform policy in the planning and maintaining of communities that are compact, walkable and have a variety of destinations and activity venues for children and adults to frequent.  </w:t>
      </w:r>
      <w:r w:rsidR="008574FA" w:rsidRPr="005944F7">
        <w:rPr>
          <w:rFonts w:cs="Times New Roman"/>
          <w:szCs w:val="24"/>
        </w:rPr>
        <w:t xml:space="preserve">  </w:t>
      </w:r>
    </w:p>
    <w:p w:rsidR="00F519E8" w:rsidRPr="005944F7" w:rsidRDefault="00861CFD" w:rsidP="005944F7">
      <w:pPr>
        <w:adjustRightInd w:val="0"/>
        <w:snapToGrid w:val="0"/>
        <w:ind w:firstLine="720"/>
        <w:jc w:val="both"/>
        <w:rPr>
          <w:rFonts w:cs="Times New Roman"/>
          <w:szCs w:val="24"/>
        </w:rPr>
      </w:pPr>
      <w:r w:rsidRPr="005944F7">
        <w:rPr>
          <w:rFonts w:cs="Times New Roman"/>
          <w:szCs w:val="24"/>
        </w:rPr>
        <w:t xml:space="preserve">An important </w:t>
      </w:r>
      <w:r w:rsidR="00751138" w:rsidRPr="005944F7">
        <w:rPr>
          <w:rFonts w:cs="Times New Roman"/>
          <w:szCs w:val="24"/>
        </w:rPr>
        <w:t>activity-travel dimension to the ECAPs of children</w:t>
      </w:r>
      <w:r w:rsidRPr="005944F7">
        <w:rPr>
          <w:rFonts w:cs="Times New Roman"/>
          <w:szCs w:val="24"/>
        </w:rPr>
        <w:t>, then, is</w:t>
      </w:r>
      <w:r w:rsidR="00751138" w:rsidRPr="005944F7">
        <w:rPr>
          <w:rFonts w:cs="Times New Roman"/>
          <w:szCs w:val="24"/>
        </w:rPr>
        <w:t xml:space="preserve"> the means by which children travel to these participations, especially in places such as Hong Kong where children have more options to use active-travel modes. </w:t>
      </w:r>
      <w:r w:rsidR="007D53BD" w:rsidRPr="005944F7">
        <w:rPr>
          <w:rFonts w:cs="Times New Roman"/>
          <w:szCs w:val="24"/>
        </w:rPr>
        <w:t>Being able to safely walk or cycle to activity locations</w:t>
      </w:r>
      <w:r w:rsidR="00751138" w:rsidRPr="005944F7">
        <w:rPr>
          <w:rFonts w:cs="Times New Roman"/>
          <w:szCs w:val="24"/>
        </w:rPr>
        <w:t xml:space="preserve"> </w:t>
      </w:r>
      <w:r w:rsidR="005D4864" w:rsidRPr="005944F7">
        <w:rPr>
          <w:rFonts w:cs="Times New Roman"/>
          <w:szCs w:val="24"/>
        </w:rPr>
        <w:t>allow children to</w:t>
      </w:r>
      <w:r w:rsidR="00751138" w:rsidRPr="005944F7">
        <w:rPr>
          <w:rFonts w:cs="Times New Roman"/>
          <w:szCs w:val="24"/>
        </w:rPr>
        <w:t xml:space="preserve"> experience</w:t>
      </w:r>
      <w:r w:rsidR="005D4864" w:rsidRPr="005944F7">
        <w:rPr>
          <w:rFonts w:cs="Times New Roman"/>
          <w:szCs w:val="24"/>
        </w:rPr>
        <w:t xml:space="preserve"> </w:t>
      </w:r>
      <w:r w:rsidR="00751138" w:rsidRPr="005944F7">
        <w:rPr>
          <w:rFonts w:cs="Times New Roman"/>
          <w:szCs w:val="24"/>
        </w:rPr>
        <w:t>individual mobility and gain a certain degree of independence that may facilitate additional ECAP. At the same time, since active</w:t>
      </w:r>
      <w:r w:rsidR="00751138" w:rsidRPr="005944F7">
        <w:rPr>
          <w:rFonts w:cs="Times New Roman"/>
        </w:rPr>
        <w:t xml:space="preserve"> </w:t>
      </w:r>
      <w:r w:rsidR="00751138" w:rsidRPr="005944F7">
        <w:rPr>
          <w:rFonts w:cs="Times New Roman"/>
          <w:szCs w:val="24"/>
        </w:rPr>
        <w:t>transport involves non-motorized modes, it can significantly reduce various negative transport externalities (notably traffic congestion, carbon emissions and particulate matter emissions, and traffic fatalities) because of the reduced need for parents to drive their children (Loo and Banister, 2016</w:t>
      </w:r>
      <w:r w:rsidR="00DB076C" w:rsidRPr="005944F7">
        <w:rPr>
          <w:rFonts w:cs="Times New Roman"/>
          <w:szCs w:val="24"/>
        </w:rPr>
        <w:t xml:space="preserve">; Loo and </w:t>
      </w:r>
      <w:proofErr w:type="spellStart"/>
      <w:r w:rsidR="00DB076C" w:rsidRPr="005944F7">
        <w:rPr>
          <w:rFonts w:cs="Times New Roman"/>
          <w:szCs w:val="24"/>
        </w:rPr>
        <w:t>Tsoi</w:t>
      </w:r>
      <w:proofErr w:type="spellEnd"/>
      <w:r w:rsidR="00DB076C" w:rsidRPr="005944F7">
        <w:rPr>
          <w:rFonts w:cs="Times New Roman"/>
          <w:szCs w:val="24"/>
        </w:rPr>
        <w:t>, 2018</w:t>
      </w:r>
      <w:r w:rsidR="00751138" w:rsidRPr="005944F7">
        <w:rPr>
          <w:rFonts w:cs="Times New Roman"/>
          <w:szCs w:val="24"/>
        </w:rPr>
        <w:t xml:space="preserve">). Further, a good understanding of what facilitates or reduces the use of active-travel modes in childhood </w:t>
      </w:r>
      <w:r w:rsidR="00923A9D" w:rsidRPr="005944F7">
        <w:rPr>
          <w:rFonts w:cs="Times New Roman"/>
          <w:szCs w:val="24"/>
        </w:rPr>
        <w:t xml:space="preserve">does </w:t>
      </w:r>
      <w:r w:rsidR="00751138" w:rsidRPr="005944F7">
        <w:rPr>
          <w:rFonts w:cs="Times New Roman"/>
          <w:szCs w:val="24"/>
        </w:rPr>
        <w:t>not only help promote the use of such modes during childhood, but also potentially reduce</w:t>
      </w:r>
      <w:r w:rsidR="00923A9D" w:rsidRPr="005944F7">
        <w:rPr>
          <w:rFonts w:cs="Times New Roman"/>
          <w:szCs w:val="24"/>
        </w:rPr>
        <w:t>s</w:t>
      </w:r>
      <w:r w:rsidR="00751138" w:rsidRPr="005944F7">
        <w:rPr>
          <w:rFonts w:cs="Times New Roman"/>
          <w:szCs w:val="24"/>
        </w:rPr>
        <w:t xml:space="preserve"> motorized travel demand in the future because the use of active-travel </w:t>
      </w:r>
      <w:r w:rsidR="00751138" w:rsidRPr="005944F7">
        <w:rPr>
          <w:rFonts w:cs="Times New Roman"/>
          <w:szCs w:val="24"/>
        </w:rPr>
        <w:lastRenderedPageBreak/>
        <w:t>modes as a child translates into a higher likelihood of walking and bicycling even in adulthood (Yang et al., 2014; Craigie et al., 2011).</w:t>
      </w:r>
      <w:r w:rsidR="001A36B6" w:rsidRPr="005944F7">
        <w:rPr>
          <w:rFonts w:cs="Times New Roman"/>
          <w:szCs w:val="24"/>
        </w:rPr>
        <w:t xml:space="preserve"> </w:t>
      </w:r>
      <w:r w:rsidR="00751138" w:rsidRPr="005944F7">
        <w:rPr>
          <w:rFonts w:cs="Times New Roman"/>
          <w:szCs w:val="24"/>
        </w:rPr>
        <w:t xml:space="preserve">More broadly, engagement in extra-curricular activities and active transport can shape a child’s future </w:t>
      </w:r>
      <w:r w:rsidR="009A15D7" w:rsidRPr="005944F7">
        <w:rPr>
          <w:rFonts w:cs="Times New Roman"/>
          <w:szCs w:val="24"/>
        </w:rPr>
        <w:t>behaviour</w:t>
      </w:r>
      <w:r w:rsidR="00751138" w:rsidRPr="005944F7">
        <w:rPr>
          <w:rFonts w:cs="Times New Roman"/>
          <w:szCs w:val="24"/>
        </w:rPr>
        <w:t xml:space="preserve"> as a </w:t>
      </w:r>
      <w:r w:rsidR="009A15D7" w:rsidRPr="005944F7">
        <w:rPr>
          <w:rFonts w:cs="Times New Roman"/>
          <w:szCs w:val="24"/>
        </w:rPr>
        <w:t>traveller</w:t>
      </w:r>
      <w:r w:rsidR="00751138" w:rsidRPr="005944F7">
        <w:rPr>
          <w:rFonts w:cs="Times New Roman"/>
          <w:szCs w:val="24"/>
        </w:rPr>
        <w:t xml:space="preserve"> (and as a citizen in general). Also, due to the discretionary nature of extra-curricular activities, and the intrinsic physical energy/capability of </w:t>
      </w:r>
      <w:r w:rsidR="00751138" w:rsidRPr="005944F7">
        <w:rPr>
          <w:rFonts w:cs="Times New Roman"/>
          <w:szCs w:val="24"/>
          <w:lang w:eastAsia="zh-CN"/>
        </w:rPr>
        <w:t>the</w:t>
      </w:r>
      <w:r w:rsidR="00751138" w:rsidRPr="005944F7">
        <w:rPr>
          <w:rFonts w:cs="Times New Roman"/>
          <w:szCs w:val="24"/>
        </w:rPr>
        <w:t xml:space="preserve"> youth population, it is natural to jointly examine children’s extra-curricular activity participation (ECAP) and active-travel (ACT) choices. In this regard, although there have been some models that have </w:t>
      </w:r>
      <w:r w:rsidR="009A15D7" w:rsidRPr="005944F7">
        <w:rPr>
          <w:rFonts w:cs="Times New Roman"/>
          <w:szCs w:val="24"/>
        </w:rPr>
        <w:t>analysed</w:t>
      </w:r>
      <w:r w:rsidR="00751138" w:rsidRPr="005944F7">
        <w:rPr>
          <w:rFonts w:cs="Times New Roman"/>
          <w:szCs w:val="24"/>
        </w:rPr>
        <w:t xml:space="preserve"> children’s ECAP (</w:t>
      </w:r>
      <w:proofErr w:type="spellStart"/>
      <w:r w:rsidR="00751138" w:rsidRPr="005944F7">
        <w:rPr>
          <w:rFonts w:cs="Times New Roman"/>
          <w:szCs w:val="24"/>
        </w:rPr>
        <w:t>Reisner</w:t>
      </w:r>
      <w:proofErr w:type="spellEnd"/>
      <w:r w:rsidR="00751138" w:rsidRPr="005944F7">
        <w:rPr>
          <w:rFonts w:cs="Times New Roman"/>
          <w:szCs w:val="24"/>
        </w:rPr>
        <w:t>, 2003</w:t>
      </w:r>
      <w:r w:rsidR="00E414B8" w:rsidRPr="005944F7">
        <w:rPr>
          <w:rFonts w:cs="Times New Roman"/>
          <w:szCs w:val="24"/>
        </w:rPr>
        <w:t xml:space="preserve">; </w:t>
      </w:r>
      <w:proofErr w:type="spellStart"/>
      <w:r w:rsidR="00751138" w:rsidRPr="005944F7">
        <w:rPr>
          <w:rFonts w:cs="Times New Roman"/>
          <w:szCs w:val="24"/>
        </w:rPr>
        <w:t>Sener</w:t>
      </w:r>
      <w:proofErr w:type="spellEnd"/>
      <w:r w:rsidR="00751138" w:rsidRPr="005944F7">
        <w:rPr>
          <w:rFonts w:cs="Times New Roman"/>
          <w:szCs w:val="24"/>
        </w:rPr>
        <w:t xml:space="preserve"> et al., 2008</w:t>
      </w:r>
      <w:r w:rsidR="00E414B8" w:rsidRPr="005944F7">
        <w:rPr>
          <w:rFonts w:cs="Times New Roman"/>
          <w:szCs w:val="24"/>
        </w:rPr>
        <w:t>;</w:t>
      </w:r>
      <w:r w:rsidR="00751138" w:rsidRPr="005944F7">
        <w:rPr>
          <w:rFonts w:cs="Times New Roman"/>
          <w:szCs w:val="24"/>
        </w:rPr>
        <w:t xml:space="preserve"> </w:t>
      </w:r>
      <w:proofErr w:type="spellStart"/>
      <w:r w:rsidR="00751138" w:rsidRPr="005944F7">
        <w:rPr>
          <w:rFonts w:cs="Times New Roman"/>
          <w:szCs w:val="24"/>
        </w:rPr>
        <w:t>Paleti</w:t>
      </w:r>
      <w:proofErr w:type="spellEnd"/>
      <w:r w:rsidR="00751138" w:rsidRPr="005944F7">
        <w:rPr>
          <w:rFonts w:cs="Times New Roman"/>
          <w:szCs w:val="24"/>
        </w:rPr>
        <w:t xml:space="preserve"> et al., 2011) and some others have studied children’s ACT choices (Roth et al., 2012</w:t>
      </w:r>
      <w:r w:rsidR="00E414B8" w:rsidRPr="005944F7">
        <w:rPr>
          <w:rFonts w:cs="Times New Roman"/>
          <w:szCs w:val="24"/>
        </w:rPr>
        <w:t>;</w:t>
      </w:r>
      <w:r w:rsidR="00751138" w:rsidRPr="005944F7">
        <w:rPr>
          <w:rFonts w:cs="Times New Roman"/>
          <w:szCs w:val="24"/>
        </w:rPr>
        <w:t xml:space="preserve"> </w:t>
      </w:r>
      <w:proofErr w:type="spellStart"/>
      <w:r w:rsidR="00751138" w:rsidRPr="005944F7">
        <w:rPr>
          <w:rFonts w:cs="Times New Roman"/>
          <w:szCs w:val="24"/>
        </w:rPr>
        <w:t>Kemperman</w:t>
      </w:r>
      <w:proofErr w:type="spellEnd"/>
      <w:r w:rsidR="00751138" w:rsidRPr="005944F7">
        <w:rPr>
          <w:rFonts w:cs="Times New Roman"/>
          <w:szCs w:val="24"/>
        </w:rPr>
        <w:t xml:space="preserve"> and Timmermans, 2014), there has been no earlier attempt that we are aware of to develop a joint model of the inter-relationship between ECAP and ACT choices within the context of the relevant </w:t>
      </w:r>
      <w:r w:rsidR="009A15D7" w:rsidRPr="005944F7">
        <w:rPr>
          <w:rFonts w:cs="Times New Roman"/>
          <w:szCs w:val="24"/>
        </w:rPr>
        <w:t>neighbourhood</w:t>
      </w:r>
      <w:r w:rsidR="00C43064" w:rsidRPr="005944F7">
        <w:rPr>
          <w:rFonts w:cs="Times New Roman"/>
          <w:szCs w:val="24"/>
        </w:rPr>
        <w:t xml:space="preserve"> </w:t>
      </w:r>
      <w:r w:rsidR="00751138" w:rsidRPr="005944F7">
        <w:rPr>
          <w:rFonts w:cs="Times New Roman"/>
          <w:szCs w:val="24"/>
        </w:rPr>
        <w:t xml:space="preserve">environment. This is despite descriptive studies that have indicated that, for example, participation in sports activities is positively associated with the use of active travel modes (De </w:t>
      </w:r>
      <w:proofErr w:type="spellStart"/>
      <w:r w:rsidR="00751138" w:rsidRPr="005944F7">
        <w:rPr>
          <w:rFonts w:cs="Times New Roman"/>
          <w:szCs w:val="24"/>
        </w:rPr>
        <w:t>Meester</w:t>
      </w:r>
      <w:proofErr w:type="spellEnd"/>
      <w:r w:rsidR="00751138" w:rsidRPr="005944F7">
        <w:rPr>
          <w:rFonts w:cs="Times New Roman"/>
          <w:szCs w:val="24"/>
        </w:rPr>
        <w:t xml:space="preserve"> et al., 2017), and the use of active-travel modes is associated with generally increased ECAP (</w:t>
      </w:r>
      <w:proofErr w:type="spellStart"/>
      <w:r w:rsidR="00751138" w:rsidRPr="005944F7">
        <w:rPr>
          <w:rFonts w:cs="Times New Roman"/>
          <w:szCs w:val="24"/>
        </w:rPr>
        <w:t>Lehner-Lierz</w:t>
      </w:r>
      <w:proofErr w:type="spellEnd"/>
      <w:r w:rsidR="00751138" w:rsidRPr="005944F7">
        <w:rPr>
          <w:rFonts w:cs="Times New Roman"/>
          <w:szCs w:val="24"/>
        </w:rPr>
        <w:t>, 2003</w:t>
      </w:r>
      <w:r w:rsidR="00E414B8" w:rsidRPr="005944F7">
        <w:rPr>
          <w:rFonts w:cs="Times New Roman"/>
          <w:szCs w:val="24"/>
        </w:rPr>
        <w:t>;</w:t>
      </w:r>
      <w:r w:rsidR="00751138" w:rsidRPr="005944F7">
        <w:rPr>
          <w:rFonts w:cs="Times New Roman"/>
          <w:szCs w:val="24"/>
        </w:rPr>
        <w:t xml:space="preserve"> </w:t>
      </w:r>
      <w:proofErr w:type="spellStart"/>
      <w:r w:rsidR="00751138" w:rsidRPr="005944F7">
        <w:rPr>
          <w:rFonts w:cs="Times New Roman"/>
          <w:szCs w:val="24"/>
        </w:rPr>
        <w:t>Mapes</w:t>
      </w:r>
      <w:proofErr w:type="spellEnd"/>
      <w:r w:rsidR="00751138" w:rsidRPr="005944F7">
        <w:rPr>
          <w:rFonts w:cs="Times New Roman"/>
          <w:szCs w:val="24"/>
        </w:rPr>
        <w:t xml:space="preserve">, 2009). </w:t>
      </w:r>
    </w:p>
    <w:p w:rsidR="00751138" w:rsidRPr="005944F7" w:rsidRDefault="00C43064" w:rsidP="005944F7">
      <w:pPr>
        <w:adjustRightInd w:val="0"/>
        <w:snapToGrid w:val="0"/>
        <w:ind w:firstLine="720"/>
        <w:jc w:val="both"/>
        <w:rPr>
          <w:rFonts w:cs="Times New Roman"/>
        </w:rPr>
      </w:pPr>
      <w:r w:rsidRPr="005944F7">
        <w:rPr>
          <w:rFonts w:cs="Times New Roman"/>
          <w:szCs w:val="24"/>
        </w:rPr>
        <w:t>This paper aims to</w:t>
      </w:r>
      <w:r w:rsidR="00E64BC5" w:rsidRPr="005944F7">
        <w:rPr>
          <w:rFonts w:cs="Times New Roman"/>
          <w:szCs w:val="24"/>
        </w:rPr>
        <w:t xml:space="preserve"> demonstrate that t</w:t>
      </w:r>
      <w:r w:rsidR="00751138" w:rsidRPr="005944F7">
        <w:rPr>
          <w:rFonts w:cs="Times New Roman"/>
          <w:szCs w:val="24"/>
        </w:rPr>
        <w:t>his interaction of ECAP and ACT is</w:t>
      </w:r>
      <w:r w:rsidR="00E64BC5" w:rsidRPr="005944F7">
        <w:rPr>
          <w:rFonts w:cs="Times New Roman"/>
          <w:szCs w:val="24"/>
        </w:rPr>
        <w:t xml:space="preserve"> in fact</w:t>
      </w:r>
      <w:r w:rsidR="00751138" w:rsidRPr="005944F7">
        <w:rPr>
          <w:rFonts w:cs="Times New Roman"/>
          <w:szCs w:val="24"/>
        </w:rPr>
        <w:t xml:space="preserve"> closely intertwined with the built environment</w:t>
      </w:r>
      <w:r w:rsidR="00E64BC5" w:rsidRPr="005944F7">
        <w:rPr>
          <w:rFonts w:cs="Times New Roman"/>
          <w:szCs w:val="24"/>
        </w:rPr>
        <w:t xml:space="preserve">, and should not be overlooked. </w:t>
      </w:r>
      <w:bookmarkStart w:id="1" w:name="_Hlk529116532"/>
      <w:r w:rsidR="00E64BC5" w:rsidRPr="005944F7">
        <w:rPr>
          <w:rFonts w:cs="Times New Roman"/>
          <w:szCs w:val="24"/>
        </w:rPr>
        <w:t xml:space="preserve">Having a good mix and variety of destinations in the </w:t>
      </w:r>
      <w:r w:rsidR="009A15D7" w:rsidRPr="005944F7">
        <w:rPr>
          <w:rFonts w:cs="Times New Roman"/>
          <w:szCs w:val="24"/>
        </w:rPr>
        <w:t>neighbourhood</w:t>
      </w:r>
      <w:r w:rsidR="00E64BC5" w:rsidRPr="005944F7">
        <w:rPr>
          <w:rFonts w:cs="Times New Roman"/>
          <w:szCs w:val="24"/>
        </w:rPr>
        <w:t xml:space="preserve"> environment has been shown to be important for promoting walking</w:t>
      </w:r>
      <w:r w:rsidR="004F19FF" w:rsidRPr="005944F7">
        <w:rPr>
          <w:rFonts w:cs="Times New Roman"/>
          <w:szCs w:val="24"/>
        </w:rPr>
        <w:t xml:space="preserve"> </w:t>
      </w:r>
      <w:r w:rsidR="009A15D7" w:rsidRPr="005944F7">
        <w:rPr>
          <w:rFonts w:cs="Times New Roman"/>
          <w:szCs w:val="24"/>
        </w:rPr>
        <w:t>behaviour</w:t>
      </w:r>
      <w:r w:rsidR="00E64BC5" w:rsidRPr="005944F7">
        <w:rPr>
          <w:rFonts w:cs="Times New Roman"/>
          <w:szCs w:val="24"/>
        </w:rPr>
        <w:t xml:space="preserve"> (Giles-</w:t>
      </w:r>
      <w:proofErr w:type="spellStart"/>
      <w:r w:rsidR="00E64BC5" w:rsidRPr="005944F7">
        <w:rPr>
          <w:rFonts w:cs="Times New Roman"/>
          <w:szCs w:val="24"/>
        </w:rPr>
        <w:t>Corti</w:t>
      </w:r>
      <w:proofErr w:type="spellEnd"/>
      <w:r w:rsidR="00E64BC5" w:rsidRPr="005944F7">
        <w:rPr>
          <w:rFonts w:cs="Times New Roman"/>
          <w:szCs w:val="24"/>
        </w:rPr>
        <w:t xml:space="preserve"> et al., 2009</w:t>
      </w:r>
      <w:r w:rsidR="00EE564A" w:rsidRPr="005944F7">
        <w:rPr>
          <w:rFonts w:cs="Times New Roman"/>
          <w:szCs w:val="24"/>
        </w:rPr>
        <w:t>; Loo et al, 2017</w:t>
      </w:r>
      <w:r w:rsidR="00E64BC5" w:rsidRPr="005944F7">
        <w:rPr>
          <w:rFonts w:cs="Times New Roman"/>
          <w:szCs w:val="24"/>
        </w:rPr>
        <w:t>). Furthermore, if there are activity venues nearby children’s homes, children are able to make these journeys on foot and there would be no need for parents to provide transportation for children to travel to these venues (</w:t>
      </w:r>
      <w:proofErr w:type="spellStart"/>
      <w:r w:rsidR="00E64BC5" w:rsidRPr="005944F7">
        <w:rPr>
          <w:rFonts w:cs="Times New Roman"/>
          <w:szCs w:val="24"/>
        </w:rPr>
        <w:t>Hoefer</w:t>
      </w:r>
      <w:proofErr w:type="spellEnd"/>
      <w:r w:rsidR="00E64BC5" w:rsidRPr="005944F7">
        <w:rPr>
          <w:rFonts w:cs="Times New Roman"/>
          <w:szCs w:val="24"/>
        </w:rPr>
        <w:t xml:space="preserve"> et al., 2001).</w:t>
      </w:r>
      <w:bookmarkEnd w:id="1"/>
      <w:r w:rsidR="00E64BC5" w:rsidRPr="005944F7">
        <w:rPr>
          <w:rFonts w:cs="Times New Roman"/>
          <w:szCs w:val="24"/>
        </w:rPr>
        <w:t xml:space="preserve"> If these extra-curricular activity venues exist nearby and are within reach, it would be </w:t>
      </w:r>
      <w:r w:rsidR="00AE565B" w:rsidRPr="005944F7">
        <w:rPr>
          <w:rFonts w:cs="Times New Roman"/>
          <w:szCs w:val="24"/>
        </w:rPr>
        <w:t>a</w:t>
      </w:r>
      <w:r w:rsidR="00E64BC5" w:rsidRPr="005944F7">
        <w:rPr>
          <w:rFonts w:cs="Times New Roman"/>
          <w:szCs w:val="24"/>
        </w:rPr>
        <w:t xml:space="preserve"> reasonable </w:t>
      </w:r>
      <w:r w:rsidR="00AE565B" w:rsidRPr="005944F7">
        <w:rPr>
          <w:rFonts w:cs="Times New Roman"/>
          <w:szCs w:val="24"/>
        </w:rPr>
        <w:t>option for</w:t>
      </w:r>
      <w:r w:rsidR="00E64BC5" w:rsidRPr="005944F7">
        <w:rPr>
          <w:rFonts w:cs="Times New Roman"/>
          <w:szCs w:val="24"/>
        </w:rPr>
        <w:t xml:space="preserve"> parents</w:t>
      </w:r>
      <w:r w:rsidR="00AE565B" w:rsidRPr="005944F7">
        <w:rPr>
          <w:rFonts w:cs="Times New Roman"/>
          <w:szCs w:val="24"/>
        </w:rPr>
        <w:t xml:space="preserve"> to</w:t>
      </w:r>
      <w:r w:rsidR="00E64BC5" w:rsidRPr="005944F7">
        <w:rPr>
          <w:rFonts w:cs="Times New Roman"/>
          <w:szCs w:val="24"/>
        </w:rPr>
        <w:t xml:space="preserve"> send their children to participate in </w:t>
      </w:r>
      <w:r w:rsidR="00EE564A" w:rsidRPr="005944F7">
        <w:rPr>
          <w:rFonts w:cs="Times New Roman"/>
          <w:szCs w:val="24"/>
        </w:rPr>
        <w:t xml:space="preserve">these </w:t>
      </w:r>
      <w:r w:rsidR="00E64BC5" w:rsidRPr="005944F7">
        <w:rPr>
          <w:rFonts w:cs="Times New Roman"/>
          <w:szCs w:val="24"/>
        </w:rPr>
        <w:t xml:space="preserve">nearby </w:t>
      </w:r>
      <w:r w:rsidR="00EE564A" w:rsidRPr="005944F7">
        <w:rPr>
          <w:rFonts w:cs="Times New Roman"/>
          <w:szCs w:val="24"/>
        </w:rPr>
        <w:t xml:space="preserve">extra-curricular </w:t>
      </w:r>
      <w:r w:rsidR="00E64BC5" w:rsidRPr="005944F7">
        <w:rPr>
          <w:rFonts w:cs="Times New Roman"/>
          <w:szCs w:val="24"/>
        </w:rPr>
        <w:t>activit</w:t>
      </w:r>
      <w:r w:rsidR="00EE564A" w:rsidRPr="005944F7">
        <w:rPr>
          <w:rFonts w:cs="Times New Roman"/>
          <w:szCs w:val="24"/>
        </w:rPr>
        <w:t>ies</w:t>
      </w:r>
      <w:r w:rsidR="00E64BC5" w:rsidRPr="005944F7">
        <w:rPr>
          <w:rFonts w:cs="Times New Roman"/>
          <w:szCs w:val="24"/>
        </w:rPr>
        <w:t xml:space="preserve">. In other words, activity location and by extension how children travel to these locations </w:t>
      </w:r>
      <w:r w:rsidR="00923A9D" w:rsidRPr="005944F7">
        <w:rPr>
          <w:rFonts w:cs="Times New Roman"/>
          <w:szCs w:val="24"/>
        </w:rPr>
        <w:t>should not be seen as</w:t>
      </w:r>
      <w:r w:rsidR="00E64BC5" w:rsidRPr="005944F7">
        <w:rPr>
          <w:rFonts w:cs="Times New Roman"/>
          <w:szCs w:val="24"/>
        </w:rPr>
        <w:t xml:space="preserve"> merely a by-product of the extra-curricular activity choice, </w:t>
      </w:r>
      <w:r w:rsidR="00923A9D" w:rsidRPr="005944F7">
        <w:rPr>
          <w:rFonts w:cs="Times New Roman"/>
          <w:szCs w:val="24"/>
        </w:rPr>
        <w:t>because they are a highly important</w:t>
      </w:r>
      <w:r w:rsidR="00E64BC5" w:rsidRPr="005944F7">
        <w:rPr>
          <w:rFonts w:cs="Times New Roman"/>
          <w:szCs w:val="24"/>
        </w:rPr>
        <w:t xml:space="preserve"> part of the package in activity selection (</w:t>
      </w:r>
      <w:bookmarkStart w:id="2" w:name="_Hlk529116248"/>
      <w:r w:rsidR="00E64BC5" w:rsidRPr="005944F7">
        <w:rPr>
          <w:rFonts w:cs="Times New Roman"/>
          <w:szCs w:val="24"/>
        </w:rPr>
        <w:t xml:space="preserve">Simpkins et al., 2013; </w:t>
      </w:r>
      <w:proofErr w:type="spellStart"/>
      <w:r w:rsidR="00E64BC5" w:rsidRPr="005944F7">
        <w:rPr>
          <w:rFonts w:cs="Times New Roman"/>
          <w:szCs w:val="24"/>
        </w:rPr>
        <w:t>Ivaniushina</w:t>
      </w:r>
      <w:proofErr w:type="spellEnd"/>
      <w:r w:rsidR="00E64BC5" w:rsidRPr="005944F7">
        <w:rPr>
          <w:rFonts w:cs="Times New Roman"/>
          <w:szCs w:val="24"/>
        </w:rPr>
        <w:t xml:space="preserve"> and </w:t>
      </w:r>
      <w:proofErr w:type="spellStart"/>
      <w:r w:rsidR="00E64BC5" w:rsidRPr="005944F7">
        <w:rPr>
          <w:rFonts w:cs="Times New Roman"/>
          <w:szCs w:val="24"/>
        </w:rPr>
        <w:t>Aleksandrov</w:t>
      </w:r>
      <w:proofErr w:type="spellEnd"/>
      <w:r w:rsidR="00E64BC5" w:rsidRPr="005944F7">
        <w:rPr>
          <w:rFonts w:cs="Times New Roman"/>
          <w:szCs w:val="24"/>
        </w:rPr>
        <w:t>, 2015</w:t>
      </w:r>
      <w:bookmarkEnd w:id="2"/>
      <w:r w:rsidR="00E64BC5" w:rsidRPr="005944F7">
        <w:rPr>
          <w:rFonts w:cs="Times New Roman"/>
          <w:szCs w:val="24"/>
        </w:rPr>
        <w:t xml:space="preserve">). </w:t>
      </w:r>
      <w:r w:rsidR="00923A9D" w:rsidRPr="005944F7">
        <w:rPr>
          <w:rFonts w:cs="Times New Roman"/>
          <w:szCs w:val="24"/>
        </w:rPr>
        <w:t>From the above, it should be clear</w:t>
      </w:r>
      <w:r w:rsidR="00E64BC5" w:rsidRPr="005944F7">
        <w:rPr>
          <w:rFonts w:cs="Times New Roman"/>
          <w:szCs w:val="24"/>
        </w:rPr>
        <w:t xml:space="preserve"> that ECAP, ACT and RL need to be investigated together in order to understand the geographical context of chi</w:t>
      </w:r>
      <w:r w:rsidR="004F19FF" w:rsidRPr="005944F7">
        <w:rPr>
          <w:rFonts w:cs="Times New Roman"/>
          <w:szCs w:val="24"/>
        </w:rPr>
        <w:t xml:space="preserve">ldren’s activity-travel </w:t>
      </w:r>
      <w:r w:rsidR="009A15D7" w:rsidRPr="005944F7">
        <w:rPr>
          <w:rFonts w:cs="Times New Roman"/>
          <w:szCs w:val="24"/>
        </w:rPr>
        <w:t>behaviour</w:t>
      </w:r>
      <w:r w:rsidR="00E64BC5" w:rsidRPr="005944F7">
        <w:rPr>
          <w:rFonts w:cs="Times New Roman"/>
          <w:szCs w:val="24"/>
        </w:rPr>
        <w:t xml:space="preserve">, especially for extra-curricular activities, </w:t>
      </w:r>
      <w:r w:rsidR="004036F4" w:rsidRPr="005944F7">
        <w:rPr>
          <w:rFonts w:cs="Times New Roman"/>
          <w:szCs w:val="24"/>
        </w:rPr>
        <w:t>which deserves more attention in the literature</w:t>
      </w:r>
      <w:bookmarkStart w:id="3" w:name="_Hlk529116739"/>
      <w:r w:rsidR="00E64BC5" w:rsidRPr="005944F7">
        <w:rPr>
          <w:rFonts w:cs="Times New Roman"/>
          <w:szCs w:val="24"/>
        </w:rPr>
        <w:t>.</w:t>
      </w:r>
      <w:bookmarkEnd w:id="3"/>
      <w:r w:rsidR="00E64BC5" w:rsidRPr="005944F7">
        <w:rPr>
          <w:rFonts w:cs="Times New Roman"/>
          <w:szCs w:val="24"/>
        </w:rPr>
        <w:t xml:space="preserve"> This </w:t>
      </w:r>
      <w:r w:rsidR="00751138" w:rsidRPr="005944F7">
        <w:rPr>
          <w:rFonts w:cs="Times New Roman"/>
          <w:szCs w:val="24"/>
        </w:rPr>
        <w:t xml:space="preserve">brings in a third endogenous variable in our analysis -- residential location (RL), as captured by the population density of the tertiary planning unit </w:t>
      </w:r>
      <w:r w:rsidR="009A15D7" w:rsidRPr="005944F7">
        <w:rPr>
          <w:rFonts w:cs="Times New Roman"/>
          <w:szCs w:val="24"/>
        </w:rPr>
        <w:t>neighbourhood</w:t>
      </w:r>
      <w:r w:rsidR="00751138" w:rsidRPr="005944F7">
        <w:rPr>
          <w:rFonts w:cs="Times New Roman"/>
          <w:szCs w:val="24"/>
        </w:rPr>
        <w:t xml:space="preserve"> of the child’s residence.</w:t>
      </w:r>
      <w:r w:rsidR="00751138" w:rsidRPr="005944F7">
        <w:rPr>
          <w:rStyle w:val="FootnoteReference"/>
          <w:rFonts w:cs="Times New Roman"/>
          <w:szCs w:val="24"/>
          <w:vertAlign w:val="superscript"/>
        </w:rPr>
        <w:footnoteReference w:id="1"/>
      </w:r>
      <w:r w:rsidR="00751138" w:rsidRPr="005944F7">
        <w:rPr>
          <w:rFonts w:cs="Times New Roman"/>
          <w:szCs w:val="24"/>
          <w:vertAlign w:val="superscript"/>
        </w:rPr>
        <w:t>,</w:t>
      </w:r>
      <w:r w:rsidR="00751138" w:rsidRPr="005944F7">
        <w:rPr>
          <w:rStyle w:val="FootnoteReference"/>
          <w:rFonts w:cs="Times New Roman"/>
          <w:szCs w:val="24"/>
          <w:vertAlign w:val="superscript"/>
        </w:rPr>
        <w:footnoteReference w:id="2"/>
      </w:r>
      <w:r w:rsidR="00751138" w:rsidRPr="005944F7">
        <w:rPr>
          <w:rFonts w:cs="Times New Roman"/>
          <w:szCs w:val="24"/>
          <w:vertAlign w:val="superscript"/>
        </w:rPr>
        <w:t xml:space="preserve"> </w:t>
      </w:r>
      <w:r w:rsidR="00751138" w:rsidRPr="005944F7">
        <w:rPr>
          <w:rFonts w:cs="Times New Roman"/>
          <w:szCs w:val="24"/>
        </w:rPr>
        <w:t xml:space="preserve">We consider residential location as an endogenous variable to account for the possibility that RL, along with ECAP and ACT, are determined as a choice bundle, and to accommodate for any self-selection effects in the influence of RL on ECAP and ACT. For example, households that embrace a “green” lifestyle, or that are </w:t>
      </w:r>
      <w:proofErr w:type="spellStart"/>
      <w:r w:rsidR="00751138" w:rsidRPr="005944F7">
        <w:rPr>
          <w:rFonts w:cs="Times New Roman"/>
          <w:szCs w:val="24"/>
        </w:rPr>
        <w:t>generically</w:t>
      </w:r>
      <w:proofErr w:type="spellEnd"/>
      <w:r w:rsidR="00751138" w:rsidRPr="005944F7">
        <w:rPr>
          <w:rFonts w:cs="Times New Roman"/>
          <w:szCs w:val="24"/>
        </w:rPr>
        <w:t xml:space="preserve"> predisposed to a dynamic cultural experience, may consciously choose to locate themselves in high density </w:t>
      </w:r>
      <w:r w:rsidR="009A15D7" w:rsidRPr="005944F7">
        <w:rPr>
          <w:rFonts w:cs="Times New Roman"/>
          <w:szCs w:val="24"/>
        </w:rPr>
        <w:t>neighbourhoods</w:t>
      </w:r>
      <w:r w:rsidR="00751138" w:rsidRPr="005944F7">
        <w:rPr>
          <w:rFonts w:cs="Times New Roman"/>
          <w:szCs w:val="24"/>
        </w:rPr>
        <w:t xml:space="preserve"> (because of the ability to access activity locations within very close proximity). </w:t>
      </w:r>
      <w:r w:rsidR="00751138" w:rsidRPr="005944F7">
        <w:rPr>
          <w:rFonts w:cs="Times New Roman"/>
          <w:szCs w:val="24"/>
        </w:rPr>
        <w:lastRenderedPageBreak/>
        <w:t xml:space="preserve">The children in these same households will also then be more intrinsically pre-disposed than their counterparts in less dense </w:t>
      </w:r>
      <w:r w:rsidR="009A15D7" w:rsidRPr="005944F7">
        <w:rPr>
          <w:rFonts w:cs="Times New Roman"/>
          <w:szCs w:val="24"/>
        </w:rPr>
        <w:t>neighbourhoods</w:t>
      </w:r>
      <w:r w:rsidR="00751138" w:rsidRPr="005944F7">
        <w:rPr>
          <w:rFonts w:cs="Times New Roman"/>
          <w:szCs w:val="24"/>
        </w:rPr>
        <w:t xml:space="preserve"> to partake in, say, sports or art or music activities as well as in active-travel. If so, and if this endogeneity in residential location choice is ignored, the result will be an exaggeration of any positive effects of residential density on activity participation in sports/arts/</w:t>
      </w:r>
      <w:r w:rsidR="004036F4" w:rsidRPr="005944F7">
        <w:rPr>
          <w:rFonts w:cs="Times New Roman"/>
          <w:szCs w:val="24"/>
        </w:rPr>
        <w:t xml:space="preserve">hobbies </w:t>
      </w:r>
      <w:r w:rsidR="00751138" w:rsidRPr="005944F7">
        <w:rPr>
          <w:rFonts w:cs="Times New Roman"/>
          <w:szCs w:val="24"/>
        </w:rPr>
        <w:t xml:space="preserve">and active-travel mode use. </w:t>
      </w:r>
    </w:p>
    <w:p w:rsidR="00751138" w:rsidRPr="005944F7" w:rsidRDefault="00751138" w:rsidP="005944F7">
      <w:pPr>
        <w:adjustRightInd w:val="0"/>
        <w:snapToGrid w:val="0"/>
        <w:jc w:val="both"/>
        <w:rPr>
          <w:rFonts w:cs="Times New Roman"/>
          <w:szCs w:val="24"/>
        </w:rPr>
      </w:pPr>
    </w:p>
    <w:p w:rsidR="00751138" w:rsidRPr="005944F7" w:rsidRDefault="00751138" w:rsidP="005944F7">
      <w:pPr>
        <w:pStyle w:val="ListParagraph"/>
        <w:numPr>
          <w:ilvl w:val="1"/>
          <w:numId w:val="19"/>
        </w:numPr>
        <w:adjustRightInd w:val="0"/>
        <w:snapToGrid w:val="0"/>
        <w:spacing w:after="0" w:line="240" w:lineRule="auto"/>
        <w:jc w:val="both"/>
        <w:rPr>
          <w:rFonts w:ascii="Times New Roman" w:hAnsi="Times New Roman" w:cs="Times New Roman"/>
          <w:b/>
          <w:szCs w:val="24"/>
        </w:rPr>
      </w:pPr>
      <w:r w:rsidRPr="005944F7">
        <w:rPr>
          <w:rFonts w:ascii="Times New Roman" w:hAnsi="Times New Roman" w:cs="Times New Roman"/>
          <w:b/>
          <w:szCs w:val="24"/>
        </w:rPr>
        <w:t xml:space="preserve"> A Conceptual Environment-People Choices Interaction Framework</w:t>
      </w:r>
    </w:p>
    <w:p w:rsidR="00751138" w:rsidRPr="005944F7" w:rsidRDefault="00EE564A" w:rsidP="005944F7">
      <w:pPr>
        <w:adjustRightInd w:val="0"/>
        <w:snapToGrid w:val="0"/>
        <w:jc w:val="both"/>
        <w:rPr>
          <w:rFonts w:cs="Times New Roman"/>
          <w:szCs w:val="24"/>
        </w:rPr>
      </w:pPr>
      <w:r w:rsidRPr="005944F7">
        <w:rPr>
          <w:rFonts w:cs="Times New Roman"/>
          <w:szCs w:val="24"/>
        </w:rPr>
        <w:t xml:space="preserve">Theoretically, our study contributes more broadly to child development considerations within a more holistic framework of children’s overall life-satisfaction and wellbeing. </w:t>
      </w:r>
      <w:r w:rsidR="00751138" w:rsidRPr="005944F7">
        <w:rPr>
          <w:rFonts w:cs="Times New Roman"/>
          <w:szCs w:val="24"/>
        </w:rPr>
        <w:t>Our conceptual framework, as shown in Figure 1, builds upon and integrates the conceptual models developed by Leung and Loo (2017) and Loo et al. (2017). It puts children’s self-worth, well-being, and overall life satisfaction explicitly as the ultimate outcomes (shown by ovals toward the right in Figure 1). Following the multiscale environment geographical framework (Loo et al., 2017), sociodemographic factors and environment-</w:t>
      </w:r>
      <w:r w:rsidR="00CF0E69" w:rsidRPr="005944F7">
        <w:rPr>
          <w:rFonts w:cs="Times New Roman"/>
          <w:szCs w:val="24"/>
        </w:rPr>
        <w:t>activity-travel decisions</w:t>
      </w:r>
      <w:r w:rsidR="00751138" w:rsidRPr="005944F7">
        <w:rPr>
          <w:rFonts w:cs="Times New Roman"/>
          <w:szCs w:val="24"/>
        </w:rPr>
        <w:t xml:space="preserve"> are explicitly considered to investigate children’s residential location (RL), extra-curricular activity participation (ECAP), and active-travel (ACT) </w:t>
      </w:r>
      <w:r w:rsidR="009A15D7" w:rsidRPr="005944F7">
        <w:rPr>
          <w:rFonts w:cs="Times New Roman"/>
          <w:szCs w:val="24"/>
        </w:rPr>
        <w:t>behaviour</w:t>
      </w:r>
      <w:r w:rsidR="00751138" w:rsidRPr="005944F7">
        <w:rPr>
          <w:rFonts w:cs="Times New Roman"/>
          <w:szCs w:val="24"/>
        </w:rPr>
        <w:t>. In the framework of Figure 1, RL is part of the “</w:t>
      </w:r>
      <w:r w:rsidR="00DD34F1" w:rsidRPr="005944F7">
        <w:rPr>
          <w:rFonts w:cs="Times New Roman"/>
          <w:szCs w:val="24"/>
        </w:rPr>
        <w:t>Built</w:t>
      </w:r>
      <w:r w:rsidRPr="005944F7">
        <w:rPr>
          <w:rFonts w:cs="Times New Roman"/>
          <w:szCs w:val="24"/>
        </w:rPr>
        <w:t xml:space="preserve"> </w:t>
      </w:r>
      <w:r w:rsidR="00751138" w:rsidRPr="005944F7">
        <w:rPr>
          <w:rFonts w:cs="Times New Roman"/>
          <w:szCs w:val="24"/>
        </w:rPr>
        <w:t xml:space="preserve">Environment” block, ECAP is part of the “Activity </w:t>
      </w:r>
      <w:r w:rsidR="00DD34F1" w:rsidRPr="005944F7">
        <w:rPr>
          <w:rFonts w:cs="Times New Roman"/>
          <w:szCs w:val="24"/>
        </w:rPr>
        <w:t>Participation</w:t>
      </w:r>
      <w:r w:rsidR="00751138" w:rsidRPr="005944F7">
        <w:rPr>
          <w:rFonts w:cs="Times New Roman"/>
          <w:szCs w:val="24"/>
        </w:rPr>
        <w:t xml:space="preserve">” block, and ACT is part of the “Travel </w:t>
      </w:r>
      <w:r w:rsidR="009A15D7" w:rsidRPr="005944F7">
        <w:rPr>
          <w:rFonts w:cs="Times New Roman"/>
          <w:szCs w:val="24"/>
        </w:rPr>
        <w:t>Behaviour</w:t>
      </w:r>
      <w:r w:rsidR="00751138" w:rsidRPr="005944F7">
        <w:rPr>
          <w:rFonts w:cs="Times New Roman"/>
          <w:szCs w:val="24"/>
        </w:rPr>
        <w:t xml:space="preserve">” block.  </w:t>
      </w:r>
    </w:p>
    <w:p w:rsidR="00EC5022" w:rsidRPr="005944F7" w:rsidRDefault="00751138" w:rsidP="005944F7">
      <w:pPr>
        <w:adjustRightInd w:val="0"/>
        <w:snapToGrid w:val="0"/>
        <w:ind w:firstLine="720"/>
        <w:jc w:val="both"/>
        <w:rPr>
          <w:rFonts w:cs="Times New Roman"/>
          <w:szCs w:val="24"/>
        </w:rPr>
      </w:pPr>
      <w:r w:rsidRPr="005944F7">
        <w:rPr>
          <w:rFonts w:cs="Times New Roman"/>
          <w:szCs w:val="24"/>
        </w:rPr>
        <w:t xml:space="preserve">The conceptual framework posits that socio-demographic characteristics (the left block of Figure 1) impacts the </w:t>
      </w:r>
      <w:r w:rsidR="00CF0E69" w:rsidRPr="005944F7">
        <w:rPr>
          <w:rFonts w:cs="Times New Roman"/>
          <w:szCs w:val="24"/>
        </w:rPr>
        <w:t>environment-activity-travel decisions</w:t>
      </w:r>
      <w:r w:rsidR="00CF0E69" w:rsidRPr="005944F7" w:rsidDel="00CF0E69">
        <w:rPr>
          <w:rFonts w:cs="Times New Roman"/>
          <w:szCs w:val="24"/>
        </w:rPr>
        <w:t xml:space="preserve"> </w:t>
      </w:r>
      <w:r w:rsidRPr="005944F7">
        <w:rPr>
          <w:rFonts w:cs="Times New Roman"/>
          <w:szCs w:val="24"/>
        </w:rPr>
        <w:t xml:space="preserve"> (middle block of Figure 1, comprising the inter-relationships and joint choices among </w:t>
      </w:r>
      <w:r w:rsidR="00075389" w:rsidRPr="005944F7">
        <w:rPr>
          <w:rFonts w:cs="Times New Roman"/>
          <w:szCs w:val="24"/>
        </w:rPr>
        <w:t>neighbourhood</w:t>
      </w:r>
      <w:r w:rsidRPr="005944F7">
        <w:rPr>
          <w:rFonts w:cs="Times New Roman"/>
          <w:szCs w:val="24"/>
        </w:rPr>
        <w:t xml:space="preserve"> environment, activity participation, and travel </w:t>
      </w:r>
      <w:r w:rsidR="009A15D7" w:rsidRPr="005944F7">
        <w:rPr>
          <w:rFonts w:cs="Times New Roman"/>
          <w:szCs w:val="24"/>
        </w:rPr>
        <w:t>behaviour</w:t>
      </w:r>
      <w:r w:rsidRPr="005944F7">
        <w:rPr>
          <w:rFonts w:cs="Times New Roman"/>
          <w:szCs w:val="24"/>
        </w:rPr>
        <w:t xml:space="preserve"> </w:t>
      </w:r>
      <w:r w:rsidR="00075389" w:rsidRPr="005944F7">
        <w:rPr>
          <w:rFonts w:cs="Times New Roman"/>
          <w:szCs w:val="24"/>
        </w:rPr>
        <w:t>decisions</w:t>
      </w:r>
      <w:r w:rsidRPr="005944F7">
        <w:rPr>
          <w:rFonts w:cs="Times New Roman"/>
          <w:szCs w:val="24"/>
        </w:rPr>
        <w:t xml:space="preserve">), as well as the ultimate child outcomes (right block of Figure 1, associated with a child’s self-worth, wellbeing, and life satisfaction). </w:t>
      </w:r>
      <w:r w:rsidR="00977E4D" w:rsidRPr="005944F7">
        <w:rPr>
          <w:rFonts w:cs="Times New Roman"/>
          <w:szCs w:val="24"/>
        </w:rPr>
        <w:t>As discussed in the above sections, t</w:t>
      </w:r>
      <w:r w:rsidR="002F5950" w:rsidRPr="005944F7">
        <w:rPr>
          <w:rFonts w:cs="Times New Roman"/>
          <w:szCs w:val="24"/>
        </w:rPr>
        <w:t xml:space="preserve">he relationship between socio-demographic characteristics with activity participation, travel </w:t>
      </w:r>
      <w:r w:rsidR="009A15D7" w:rsidRPr="005944F7">
        <w:rPr>
          <w:rFonts w:cs="Times New Roman"/>
          <w:szCs w:val="24"/>
        </w:rPr>
        <w:t>behaviour</w:t>
      </w:r>
      <w:r w:rsidR="002F5950" w:rsidRPr="005944F7">
        <w:rPr>
          <w:rFonts w:cs="Times New Roman"/>
          <w:szCs w:val="24"/>
        </w:rPr>
        <w:t xml:space="preserve"> and </w:t>
      </w:r>
      <w:r w:rsidR="00075389" w:rsidRPr="005944F7">
        <w:rPr>
          <w:rFonts w:cs="Times New Roman"/>
          <w:szCs w:val="24"/>
        </w:rPr>
        <w:t>neighbourhood</w:t>
      </w:r>
      <w:r w:rsidR="002F5950" w:rsidRPr="005944F7">
        <w:rPr>
          <w:rFonts w:cs="Times New Roman"/>
          <w:szCs w:val="24"/>
        </w:rPr>
        <w:t xml:space="preserve"> environment </w:t>
      </w:r>
      <w:r w:rsidR="00977E4D" w:rsidRPr="005944F7">
        <w:rPr>
          <w:rFonts w:cs="Times New Roman"/>
          <w:szCs w:val="24"/>
        </w:rPr>
        <w:t>has primarily been related to</w:t>
      </w:r>
      <w:r w:rsidR="00005B44" w:rsidRPr="005944F7">
        <w:rPr>
          <w:rFonts w:cs="Times New Roman"/>
          <w:szCs w:val="24"/>
        </w:rPr>
        <w:t xml:space="preserve"> travel </w:t>
      </w:r>
      <w:r w:rsidR="009A15D7" w:rsidRPr="005944F7">
        <w:rPr>
          <w:rFonts w:cs="Times New Roman"/>
          <w:szCs w:val="24"/>
        </w:rPr>
        <w:t>behaviour</w:t>
      </w:r>
      <w:r w:rsidR="00005B44" w:rsidRPr="005944F7">
        <w:rPr>
          <w:rFonts w:cs="Times New Roman"/>
          <w:szCs w:val="24"/>
        </w:rPr>
        <w:t xml:space="preserve"> </w:t>
      </w:r>
      <w:r w:rsidR="00977E4D" w:rsidRPr="005944F7">
        <w:rPr>
          <w:rFonts w:cs="Times New Roman"/>
          <w:szCs w:val="24"/>
        </w:rPr>
        <w:t xml:space="preserve">for school and its on-site activities </w:t>
      </w:r>
      <w:r w:rsidR="00005B44" w:rsidRPr="005944F7">
        <w:rPr>
          <w:rFonts w:cs="Times New Roman"/>
          <w:szCs w:val="24"/>
        </w:rPr>
        <w:t>(</w:t>
      </w:r>
      <w:r w:rsidR="00FA6693" w:rsidRPr="005944F7">
        <w:rPr>
          <w:rFonts w:cs="Times New Roman"/>
          <w:szCs w:val="24"/>
        </w:rPr>
        <w:t xml:space="preserve">e.g. </w:t>
      </w:r>
      <w:proofErr w:type="spellStart"/>
      <w:r w:rsidR="00005B44" w:rsidRPr="005944F7">
        <w:rPr>
          <w:rFonts w:cs="Times New Roman"/>
          <w:szCs w:val="24"/>
        </w:rPr>
        <w:t>Andersson</w:t>
      </w:r>
      <w:proofErr w:type="spellEnd"/>
      <w:r w:rsidR="00005B44" w:rsidRPr="005944F7">
        <w:rPr>
          <w:rFonts w:cs="Times New Roman"/>
          <w:szCs w:val="24"/>
        </w:rPr>
        <w:t xml:space="preserve"> et al., 2012; Li and Zhao, 2015; </w:t>
      </w:r>
      <w:proofErr w:type="spellStart"/>
      <w:r w:rsidR="00005B44" w:rsidRPr="005944F7">
        <w:rPr>
          <w:rFonts w:cs="Times New Roman"/>
          <w:szCs w:val="24"/>
        </w:rPr>
        <w:t>Pojani</w:t>
      </w:r>
      <w:proofErr w:type="spellEnd"/>
      <w:r w:rsidR="00005B44" w:rsidRPr="005944F7">
        <w:rPr>
          <w:rFonts w:cs="Times New Roman"/>
          <w:szCs w:val="24"/>
        </w:rPr>
        <w:t xml:space="preserve"> and </w:t>
      </w:r>
      <w:proofErr w:type="spellStart"/>
      <w:r w:rsidR="00005B44" w:rsidRPr="005944F7">
        <w:rPr>
          <w:rFonts w:cs="Times New Roman"/>
          <w:szCs w:val="24"/>
        </w:rPr>
        <w:t>Boussauw</w:t>
      </w:r>
      <w:proofErr w:type="spellEnd"/>
      <w:r w:rsidR="00005B44" w:rsidRPr="005944F7">
        <w:rPr>
          <w:rFonts w:cs="Times New Roman"/>
          <w:szCs w:val="24"/>
        </w:rPr>
        <w:t>, 2014; Rothman et al., 2018; Zhang et al., 2017)</w:t>
      </w:r>
      <w:r w:rsidR="00FA6693" w:rsidRPr="005944F7">
        <w:rPr>
          <w:rFonts w:cs="Times New Roman"/>
          <w:szCs w:val="24"/>
        </w:rPr>
        <w:t>, so t</w:t>
      </w:r>
      <w:r w:rsidR="00977E4D" w:rsidRPr="005944F7">
        <w:rPr>
          <w:rFonts w:cs="Times New Roman"/>
          <w:szCs w:val="24"/>
        </w:rPr>
        <w:t xml:space="preserve">he </w:t>
      </w:r>
      <w:r w:rsidR="00CF0E69" w:rsidRPr="005944F7">
        <w:rPr>
          <w:rFonts w:cs="Times New Roman"/>
          <w:szCs w:val="24"/>
        </w:rPr>
        <w:t>“</w:t>
      </w:r>
      <w:r w:rsidR="00977E4D" w:rsidRPr="005944F7">
        <w:rPr>
          <w:rFonts w:cs="Times New Roman"/>
          <w:szCs w:val="24"/>
        </w:rPr>
        <w:t>Activity Participation</w:t>
      </w:r>
      <w:r w:rsidR="00CF0E69" w:rsidRPr="005944F7">
        <w:rPr>
          <w:rFonts w:cs="Times New Roman"/>
          <w:szCs w:val="24"/>
        </w:rPr>
        <w:t>”</w:t>
      </w:r>
      <w:r w:rsidR="00FA6693" w:rsidRPr="005944F7">
        <w:rPr>
          <w:rFonts w:cs="Times New Roman"/>
          <w:szCs w:val="24"/>
        </w:rPr>
        <w:t xml:space="preserve"> block </w:t>
      </w:r>
      <w:r w:rsidR="00977E4D" w:rsidRPr="005944F7">
        <w:rPr>
          <w:rFonts w:cs="Times New Roman"/>
          <w:szCs w:val="24"/>
        </w:rPr>
        <w:t>also considers extra-curricular activities (non-school and out-of-home)</w:t>
      </w:r>
      <w:r w:rsidR="00FA6693" w:rsidRPr="005944F7">
        <w:rPr>
          <w:rFonts w:cs="Times New Roman"/>
          <w:szCs w:val="24"/>
        </w:rPr>
        <w:t xml:space="preserve"> in this inter-relationship, in order to build on the current growing literature in this area (e.g. </w:t>
      </w:r>
      <w:proofErr w:type="spellStart"/>
      <w:r w:rsidR="00FA6693" w:rsidRPr="005944F7">
        <w:rPr>
          <w:rFonts w:cs="Times New Roman"/>
          <w:szCs w:val="24"/>
        </w:rPr>
        <w:t>Copperman</w:t>
      </w:r>
      <w:proofErr w:type="spellEnd"/>
      <w:r w:rsidR="00FA6693" w:rsidRPr="005944F7">
        <w:rPr>
          <w:rFonts w:cs="Times New Roman"/>
          <w:szCs w:val="24"/>
        </w:rPr>
        <w:t xml:space="preserve"> and Bhat, 2007; </w:t>
      </w:r>
      <w:proofErr w:type="spellStart"/>
      <w:r w:rsidR="00FA6693" w:rsidRPr="005944F7">
        <w:rPr>
          <w:rFonts w:cs="Times New Roman"/>
          <w:szCs w:val="24"/>
        </w:rPr>
        <w:t>Paleti</w:t>
      </w:r>
      <w:proofErr w:type="spellEnd"/>
      <w:r w:rsidR="00FA6693" w:rsidRPr="005944F7">
        <w:rPr>
          <w:rFonts w:cs="Times New Roman"/>
          <w:szCs w:val="24"/>
        </w:rPr>
        <w:t xml:space="preserve"> et al., 2011). The</w:t>
      </w:r>
      <w:r w:rsidR="00EC5022" w:rsidRPr="005944F7">
        <w:rPr>
          <w:rFonts w:cs="Times New Roman"/>
          <w:szCs w:val="24"/>
        </w:rPr>
        <w:t xml:space="preserve"> importance of the</w:t>
      </w:r>
      <w:r w:rsidR="00FA6693" w:rsidRPr="005944F7">
        <w:rPr>
          <w:rFonts w:cs="Times New Roman"/>
          <w:szCs w:val="24"/>
        </w:rPr>
        <w:t xml:space="preserve"> relationship between socio-demographic characteristics with the ultimate child outcomes, including self-worth, wellbeing and life satisfaction, has also been </w:t>
      </w:r>
      <w:r w:rsidR="00BC58C0" w:rsidRPr="005944F7">
        <w:rPr>
          <w:rFonts w:cs="Times New Roman"/>
          <w:szCs w:val="24"/>
        </w:rPr>
        <w:t>clearly illustrated</w:t>
      </w:r>
      <w:r w:rsidR="00FA6693" w:rsidRPr="005944F7">
        <w:rPr>
          <w:rFonts w:cs="Times New Roman"/>
          <w:szCs w:val="24"/>
        </w:rPr>
        <w:t xml:space="preserve"> in recent literature (e.g. </w:t>
      </w:r>
      <w:proofErr w:type="spellStart"/>
      <w:r w:rsidR="00BC58C0" w:rsidRPr="005944F7">
        <w:rPr>
          <w:rFonts w:cs="Times New Roman"/>
          <w:szCs w:val="24"/>
        </w:rPr>
        <w:t>Bulanda</w:t>
      </w:r>
      <w:proofErr w:type="spellEnd"/>
      <w:r w:rsidR="00BC58C0" w:rsidRPr="005944F7">
        <w:rPr>
          <w:rFonts w:cs="Times New Roman"/>
          <w:szCs w:val="24"/>
        </w:rPr>
        <w:t xml:space="preserve"> and </w:t>
      </w:r>
      <w:proofErr w:type="spellStart"/>
      <w:r w:rsidR="00BC58C0" w:rsidRPr="005944F7">
        <w:rPr>
          <w:rFonts w:cs="Times New Roman"/>
          <w:szCs w:val="24"/>
        </w:rPr>
        <w:t>Majumdar</w:t>
      </w:r>
      <w:proofErr w:type="spellEnd"/>
      <w:r w:rsidR="00BC58C0" w:rsidRPr="005944F7">
        <w:rPr>
          <w:rFonts w:cs="Times New Roman"/>
          <w:szCs w:val="24"/>
        </w:rPr>
        <w:t>, 2009; Castillo et al., 2011; Leung and Loo, 2017; Gómez et al., 2017)</w:t>
      </w:r>
      <w:r w:rsidR="00EC5022" w:rsidRPr="005944F7">
        <w:rPr>
          <w:rFonts w:cs="Times New Roman"/>
          <w:szCs w:val="24"/>
        </w:rPr>
        <w:t>, which justifies the inter-linkage between the left block and the right block in Figure 1</w:t>
      </w:r>
      <w:r w:rsidR="00BC58C0" w:rsidRPr="005944F7">
        <w:rPr>
          <w:rFonts w:cs="Times New Roman"/>
          <w:szCs w:val="24"/>
        </w:rPr>
        <w:t>.</w:t>
      </w:r>
    </w:p>
    <w:p w:rsidR="00751138" w:rsidRPr="005944F7" w:rsidRDefault="00751138" w:rsidP="005944F7">
      <w:pPr>
        <w:adjustRightInd w:val="0"/>
        <w:snapToGrid w:val="0"/>
        <w:ind w:firstLine="720"/>
        <w:jc w:val="both"/>
        <w:rPr>
          <w:rFonts w:cs="Times New Roman"/>
          <w:szCs w:val="24"/>
        </w:rPr>
      </w:pPr>
      <w:r w:rsidRPr="005944F7">
        <w:rPr>
          <w:rFonts w:cs="Times New Roman"/>
          <w:szCs w:val="24"/>
        </w:rPr>
        <w:t xml:space="preserve">Further, activity participation </w:t>
      </w:r>
      <w:r w:rsidR="009A15D7" w:rsidRPr="005944F7">
        <w:rPr>
          <w:rFonts w:cs="Times New Roman"/>
          <w:szCs w:val="24"/>
        </w:rPr>
        <w:t>behaviour</w:t>
      </w:r>
      <w:r w:rsidRPr="005944F7">
        <w:rPr>
          <w:rFonts w:cs="Times New Roman"/>
          <w:szCs w:val="24"/>
        </w:rPr>
        <w:t xml:space="preserve"> and travel </w:t>
      </w:r>
      <w:r w:rsidR="009A15D7" w:rsidRPr="005944F7">
        <w:rPr>
          <w:rFonts w:cs="Times New Roman"/>
          <w:szCs w:val="24"/>
        </w:rPr>
        <w:t>behaviour</w:t>
      </w:r>
      <w:r w:rsidRPr="005944F7">
        <w:rPr>
          <w:rFonts w:cs="Times New Roman"/>
          <w:szCs w:val="24"/>
        </w:rPr>
        <w:t xml:space="preserve"> impact the child’s self-worth (as reflected by the arrow from the “activity participation” and “travel </w:t>
      </w:r>
      <w:r w:rsidR="009A15D7" w:rsidRPr="005944F7">
        <w:rPr>
          <w:rFonts w:cs="Times New Roman"/>
          <w:szCs w:val="24"/>
        </w:rPr>
        <w:t>behaviour</w:t>
      </w:r>
      <w:r w:rsidRPr="005944F7">
        <w:rPr>
          <w:rFonts w:cs="Times New Roman"/>
          <w:szCs w:val="24"/>
        </w:rPr>
        <w:t>” boxes to the “child’s self-worth</w:t>
      </w:r>
      <w:r w:rsidR="004F4926" w:rsidRPr="005944F7">
        <w:rPr>
          <w:rFonts w:cs="Times New Roman"/>
          <w:szCs w:val="24"/>
        </w:rPr>
        <w:t>”</w:t>
      </w:r>
      <w:r w:rsidRPr="005944F7">
        <w:rPr>
          <w:rFonts w:cs="Times New Roman"/>
          <w:szCs w:val="24"/>
        </w:rPr>
        <w:t xml:space="preserve"> oval in Figure 1). </w:t>
      </w:r>
      <w:r w:rsidR="004F4926" w:rsidRPr="005944F7">
        <w:rPr>
          <w:rFonts w:cs="Times New Roman"/>
          <w:szCs w:val="24"/>
        </w:rPr>
        <w:t>B</w:t>
      </w:r>
      <w:r w:rsidRPr="005944F7">
        <w:rPr>
          <w:rFonts w:cs="Times New Roman"/>
          <w:szCs w:val="24"/>
        </w:rPr>
        <w:t>y engaging in sports or art activities, children can trust their mental and physical abilities, and become more self-confident compared with those who are restricted to the regular school curriculum (</w:t>
      </w:r>
      <w:proofErr w:type="spellStart"/>
      <w:r w:rsidRPr="005944F7">
        <w:rPr>
          <w:rFonts w:cs="Times New Roman"/>
          <w:szCs w:val="24"/>
        </w:rPr>
        <w:t>Gunduz</w:t>
      </w:r>
      <w:proofErr w:type="spellEnd"/>
      <w:r w:rsidRPr="005944F7">
        <w:rPr>
          <w:rFonts w:cs="Times New Roman"/>
          <w:szCs w:val="24"/>
        </w:rPr>
        <w:t xml:space="preserve"> et al., 2017; </w:t>
      </w:r>
      <w:proofErr w:type="spellStart"/>
      <w:r w:rsidRPr="005944F7">
        <w:rPr>
          <w:rFonts w:cs="Times New Roman"/>
          <w:szCs w:val="24"/>
        </w:rPr>
        <w:t>Kniffin</w:t>
      </w:r>
      <w:proofErr w:type="spellEnd"/>
      <w:r w:rsidRPr="005944F7">
        <w:rPr>
          <w:rFonts w:cs="Times New Roman"/>
          <w:szCs w:val="24"/>
        </w:rPr>
        <w:t xml:space="preserve"> et al., 2015). Similarly, for example, by using active-travel modes, children can experience an enhanced sense of independence and accomplishment, and obtain a sense of being able to discover the environment on their own (</w:t>
      </w:r>
      <w:proofErr w:type="spellStart"/>
      <w:r w:rsidRPr="005944F7">
        <w:rPr>
          <w:rFonts w:cs="Times New Roman"/>
          <w:szCs w:val="24"/>
        </w:rPr>
        <w:t>Kytta</w:t>
      </w:r>
      <w:proofErr w:type="spellEnd"/>
      <w:r w:rsidRPr="005944F7">
        <w:rPr>
          <w:rFonts w:cs="Times New Roman"/>
          <w:szCs w:val="24"/>
        </w:rPr>
        <w:t xml:space="preserve"> et al., 2015; Leung and Loo, 2017). </w:t>
      </w:r>
    </w:p>
    <w:p w:rsidR="00751138" w:rsidRPr="005944F7" w:rsidRDefault="00751138" w:rsidP="005944F7">
      <w:pPr>
        <w:adjustRightInd w:val="0"/>
        <w:snapToGrid w:val="0"/>
        <w:ind w:firstLine="720"/>
        <w:jc w:val="both"/>
        <w:rPr>
          <w:rFonts w:cs="Times New Roman"/>
          <w:szCs w:val="24"/>
        </w:rPr>
      </w:pPr>
      <w:r w:rsidRPr="005944F7">
        <w:rPr>
          <w:rFonts w:cs="Times New Roman"/>
          <w:szCs w:val="24"/>
        </w:rPr>
        <w:t xml:space="preserve">Activity participation and travel </w:t>
      </w:r>
      <w:r w:rsidR="009A15D7" w:rsidRPr="005944F7">
        <w:rPr>
          <w:rFonts w:cs="Times New Roman"/>
          <w:szCs w:val="24"/>
        </w:rPr>
        <w:t>behaviour</w:t>
      </w:r>
      <w:r w:rsidRPr="005944F7">
        <w:rPr>
          <w:rFonts w:cs="Times New Roman"/>
          <w:szCs w:val="24"/>
        </w:rPr>
        <w:t xml:space="preserve"> </w:t>
      </w:r>
      <w:r w:rsidR="00646BDA" w:rsidRPr="005944F7">
        <w:rPr>
          <w:rFonts w:cs="Times New Roman"/>
          <w:szCs w:val="24"/>
        </w:rPr>
        <w:t>clear</w:t>
      </w:r>
      <w:r w:rsidR="00DD34F1" w:rsidRPr="005944F7">
        <w:rPr>
          <w:rFonts w:cs="Times New Roman"/>
          <w:szCs w:val="24"/>
        </w:rPr>
        <w:t>l</w:t>
      </w:r>
      <w:r w:rsidR="00646BDA" w:rsidRPr="005944F7">
        <w:rPr>
          <w:rFonts w:cs="Times New Roman"/>
          <w:szCs w:val="24"/>
        </w:rPr>
        <w:t xml:space="preserve">y </w:t>
      </w:r>
      <w:r w:rsidRPr="005944F7">
        <w:rPr>
          <w:rFonts w:cs="Times New Roman"/>
          <w:szCs w:val="24"/>
        </w:rPr>
        <w:t>influence the child’s well-being. For example, studies in education and child development suggest that ECAP may have life-long benefits for the child, including a positive effect on the development of students’ achievement in core subjects (</w:t>
      </w:r>
      <w:proofErr w:type="spellStart"/>
      <w:r w:rsidRPr="005944F7">
        <w:rPr>
          <w:rFonts w:cs="Times New Roman"/>
          <w:szCs w:val="24"/>
        </w:rPr>
        <w:t>Schuepbach</w:t>
      </w:r>
      <w:proofErr w:type="spellEnd"/>
      <w:r w:rsidRPr="005944F7">
        <w:rPr>
          <w:rFonts w:cs="Times New Roman"/>
          <w:szCs w:val="24"/>
        </w:rPr>
        <w:t xml:space="preserve">, 2015; Covay and </w:t>
      </w:r>
      <w:proofErr w:type="spellStart"/>
      <w:r w:rsidRPr="005944F7">
        <w:rPr>
          <w:rFonts w:cs="Times New Roman"/>
          <w:szCs w:val="24"/>
        </w:rPr>
        <w:t>Carbonaro</w:t>
      </w:r>
      <w:proofErr w:type="spellEnd"/>
      <w:r w:rsidRPr="005944F7">
        <w:rPr>
          <w:rFonts w:cs="Times New Roman"/>
          <w:szCs w:val="24"/>
        </w:rPr>
        <w:t xml:space="preserve">, 2010). At the same time, the packed </w:t>
      </w:r>
      <w:r w:rsidRPr="005944F7">
        <w:rPr>
          <w:rFonts w:cs="Times New Roman"/>
          <w:szCs w:val="24"/>
        </w:rPr>
        <w:lastRenderedPageBreak/>
        <w:t>schedules and any structured ECAP activities also imply that there is less unstructured play time and “down-time” for children (</w:t>
      </w:r>
      <w:proofErr w:type="spellStart"/>
      <w:r w:rsidRPr="005944F7">
        <w:rPr>
          <w:rFonts w:cs="Times New Roman"/>
          <w:szCs w:val="24"/>
        </w:rPr>
        <w:t>Karsten</w:t>
      </w:r>
      <w:proofErr w:type="spellEnd"/>
      <w:r w:rsidRPr="005944F7">
        <w:rPr>
          <w:rFonts w:cs="Times New Roman"/>
          <w:szCs w:val="24"/>
        </w:rPr>
        <w:t>, 2014</w:t>
      </w:r>
      <w:r w:rsidR="00E414B8" w:rsidRPr="005944F7">
        <w:rPr>
          <w:rFonts w:cs="Times New Roman"/>
          <w:szCs w:val="24"/>
        </w:rPr>
        <w:t xml:space="preserve">; </w:t>
      </w:r>
      <w:r w:rsidRPr="005944F7">
        <w:rPr>
          <w:rFonts w:cs="Times New Roman"/>
          <w:szCs w:val="24"/>
        </w:rPr>
        <w:t xml:space="preserve">Holloway and </w:t>
      </w:r>
      <w:proofErr w:type="spellStart"/>
      <w:r w:rsidRPr="005944F7">
        <w:rPr>
          <w:rFonts w:cs="Times New Roman"/>
          <w:szCs w:val="24"/>
        </w:rPr>
        <w:t>Pimlott</w:t>
      </w:r>
      <w:proofErr w:type="spellEnd"/>
      <w:r w:rsidRPr="005944F7">
        <w:rPr>
          <w:rFonts w:cs="Times New Roman"/>
          <w:szCs w:val="24"/>
        </w:rPr>
        <w:t>-Wilson, 2014), which can have detrimental effects on a child’s well-being (</w:t>
      </w:r>
      <w:proofErr w:type="spellStart"/>
      <w:r w:rsidRPr="005944F7">
        <w:rPr>
          <w:rFonts w:cs="Times New Roman"/>
          <w:szCs w:val="24"/>
        </w:rPr>
        <w:t>Gray</w:t>
      </w:r>
      <w:proofErr w:type="spellEnd"/>
      <w:r w:rsidRPr="005944F7">
        <w:rPr>
          <w:rFonts w:cs="Times New Roman"/>
          <w:szCs w:val="24"/>
        </w:rPr>
        <w:t xml:space="preserve">, 2011; Laird et al., 2014). In terms of travel </w:t>
      </w:r>
      <w:r w:rsidR="009A15D7" w:rsidRPr="005944F7">
        <w:rPr>
          <w:rFonts w:cs="Times New Roman"/>
          <w:szCs w:val="24"/>
        </w:rPr>
        <w:t>behaviour</w:t>
      </w:r>
      <w:r w:rsidRPr="005944F7">
        <w:rPr>
          <w:rFonts w:cs="Times New Roman"/>
          <w:szCs w:val="24"/>
        </w:rPr>
        <w:t xml:space="preserve"> influences on well-being, epidemiological research studies have now clearly established a link between active travel and health outcomes. For example, the choice of active travel modes correlates with reduced symptoms of anxiety and depression, fewer physician visits, and reduced dependence on medications for such chronic health conditions as coronary heart disease, stroke, and diabetes (see Saunders et al., 2013; </w:t>
      </w:r>
      <w:proofErr w:type="spellStart"/>
      <w:r w:rsidRPr="005944F7">
        <w:rPr>
          <w:rFonts w:cs="Times New Roman"/>
          <w:szCs w:val="24"/>
        </w:rPr>
        <w:t>Lubans</w:t>
      </w:r>
      <w:proofErr w:type="spellEnd"/>
      <w:r w:rsidRPr="005944F7">
        <w:rPr>
          <w:rFonts w:cs="Times New Roman"/>
          <w:szCs w:val="24"/>
        </w:rPr>
        <w:t xml:space="preserve"> et al., 2011; Jarrett et al., 2012). </w:t>
      </w:r>
      <w:r w:rsidR="004F4926" w:rsidRPr="005944F7">
        <w:rPr>
          <w:rFonts w:cs="Times New Roman"/>
          <w:szCs w:val="24"/>
        </w:rPr>
        <w:t>B</w:t>
      </w:r>
      <w:r w:rsidRPr="005944F7">
        <w:rPr>
          <w:rFonts w:cs="Times New Roman"/>
          <w:szCs w:val="24"/>
        </w:rPr>
        <w:t>icycling and walking, when incorporated into a child’s daily routine, increases the rates of caloric expenditure and reduces obesity. Indeed, it has been found that countries with higher rates of walking and bicycling have lower obesity rates than countries that have a higher level of car dependency, especially for children (</w:t>
      </w:r>
      <w:proofErr w:type="spellStart"/>
      <w:r w:rsidRPr="005944F7">
        <w:rPr>
          <w:rFonts w:cs="Times New Roman"/>
          <w:szCs w:val="24"/>
        </w:rPr>
        <w:t>Poitras</w:t>
      </w:r>
      <w:proofErr w:type="spellEnd"/>
      <w:r w:rsidRPr="005944F7">
        <w:rPr>
          <w:rFonts w:cs="Times New Roman"/>
          <w:szCs w:val="24"/>
        </w:rPr>
        <w:t xml:space="preserve"> et al., 2016 and Mitchell et al., 2017).  For example, the obesity rate among children is about 19% today in Hong Kong relative to about 33% in the US (</w:t>
      </w:r>
      <w:proofErr w:type="spellStart"/>
      <w:r w:rsidRPr="005944F7">
        <w:rPr>
          <w:rFonts w:cs="Times New Roman"/>
          <w:szCs w:val="24"/>
        </w:rPr>
        <w:t>Lobstein</w:t>
      </w:r>
      <w:proofErr w:type="spellEnd"/>
      <w:r w:rsidRPr="005944F7">
        <w:rPr>
          <w:rFonts w:cs="Times New Roman"/>
          <w:szCs w:val="24"/>
        </w:rPr>
        <w:t xml:space="preserve"> et al., 2015). But, worldwide, obesity among children continues to increase over time in most countries, including Hong Kong and the US. </w:t>
      </w:r>
      <w:r w:rsidR="005A2479" w:rsidRPr="005944F7">
        <w:rPr>
          <w:rFonts w:cs="Times New Roman"/>
          <w:szCs w:val="24"/>
        </w:rPr>
        <w:t xml:space="preserve">The relationship between activity participation and travel </w:t>
      </w:r>
      <w:r w:rsidR="009A15D7" w:rsidRPr="005944F7">
        <w:rPr>
          <w:rFonts w:cs="Times New Roman"/>
          <w:szCs w:val="24"/>
        </w:rPr>
        <w:t>behaviour</w:t>
      </w:r>
      <w:r w:rsidR="005A2479" w:rsidRPr="005944F7">
        <w:rPr>
          <w:rFonts w:cs="Times New Roman"/>
          <w:szCs w:val="24"/>
        </w:rPr>
        <w:t xml:space="preserve"> should be clear from the above discussion, which shows how activity participation and travel </w:t>
      </w:r>
      <w:r w:rsidR="009A15D7" w:rsidRPr="005944F7">
        <w:rPr>
          <w:rFonts w:cs="Times New Roman"/>
          <w:szCs w:val="24"/>
        </w:rPr>
        <w:t>behaviour</w:t>
      </w:r>
      <w:r w:rsidR="005A2479" w:rsidRPr="005944F7">
        <w:rPr>
          <w:rFonts w:cs="Times New Roman"/>
          <w:szCs w:val="24"/>
        </w:rPr>
        <w:t xml:space="preserve"> can affect children’s well-being in both psychological and physical domains. </w:t>
      </w:r>
    </w:p>
    <w:p w:rsidR="00751138" w:rsidRPr="00A2305B" w:rsidRDefault="00751138" w:rsidP="00A2305B">
      <w:pPr>
        <w:adjustRightInd w:val="0"/>
        <w:snapToGrid w:val="0"/>
        <w:ind w:firstLine="720"/>
        <w:jc w:val="both"/>
        <w:rPr>
          <w:rFonts w:cs="Times New Roman"/>
          <w:szCs w:val="24"/>
        </w:rPr>
      </w:pPr>
      <w:r w:rsidRPr="005944F7">
        <w:rPr>
          <w:rFonts w:cs="Times New Roman"/>
          <w:szCs w:val="24"/>
        </w:rPr>
        <w:t xml:space="preserve">Finally, the conceptual </w:t>
      </w:r>
      <w:r w:rsidR="005A2479" w:rsidRPr="005944F7">
        <w:rPr>
          <w:rFonts w:cs="Times New Roman"/>
          <w:szCs w:val="24"/>
        </w:rPr>
        <w:t xml:space="preserve">framework </w:t>
      </w:r>
      <w:r w:rsidRPr="005944F7">
        <w:rPr>
          <w:rFonts w:cs="Times New Roman"/>
          <w:szCs w:val="24"/>
        </w:rPr>
        <w:t xml:space="preserve">in Figure 1 shows the link between a child’s self-worth (SW) and a child’s well-being (WB), and finally the connection between child’s SW/WB and the child’s overall life satisfaction (as represented by the vertical arrows in the “child outcomes” block of Figure 1), completing the conceptual framework. </w:t>
      </w:r>
      <w:r w:rsidR="005A2479" w:rsidRPr="005944F7">
        <w:rPr>
          <w:rFonts w:cs="Times New Roman"/>
          <w:szCs w:val="24"/>
        </w:rPr>
        <w:t xml:space="preserve">Self-worth, wellbeing and life satisfaction are treated as they appear primarily because considerations of perceptions of self (self-worth) and moods in mobility-specific and activity-specific situations (wellbeing) are components of life satisfaction, which justifies the one-way inter-linkage between SW and WB, SW and life satisfaction, and WB and life satisfaction (see </w:t>
      </w:r>
      <w:proofErr w:type="spellStart"/>
      <w:r w:rsidR="005A2479" w:rsidRPr="005944F7">
        <w:rPr>
          <w:rFonts w:cs="Times New Roman"/>
          <w:szCs w:val="24"/>
        </w:rPr>
        <w:t>Schimmack</w:t>
      </w:r>
      <w:proofErr w:type="spellEnd"/>
      <w:r w:rsidR="005A2479" w:rsidRPr="005944F7">
        <w:rPr>
          <w:rFonts w:cs="Times New Roman"/>
          <w:szCs w:val="24"/>
        </w:rPr>
        <w:t xml:space="preserve"> et al., 2002). While the conceptual framework being tested in this study (as marked by asterisks in Figure 1) does not include the variables in the “child outcomes” block, it </w:t>
      </w:r>
      <w:r w:rsidR="00EE52C0" w:rsidRPr="005944F7">
        <w:rPr>
          <w:rFonts w:cs="Times New Roman"/>
          <w:szCs w:val="24"/>
        </w:rPr>
        <w:t>remains highly</w:t>
      </w:r>
      <w:r w:rsidR="005A2479" w:rsidRPr="005944F7">
        <w:rPr>
          <w:rFonts w:cs="Times New Roman"/>
          <w:szCs w:val="24"/>
        </w:rPr>
        <w:t xml:space="preserve"> important to consider the implications of the interrelationships between </w:t>
      </w:r>
      <w:r w:rsidR="00EE52C0" w:rsidRPr="005944F7">
        <w:rPr>
          <w:rFonts w:cs="Times New Roman"/>
          <w:szCs w:val="24"/>
        </w:rPr>
        <w:t xml:space="preserve">the other blocks in Figure 1 and how these interrelationships may affect a child’s SW, WB and life satisfaction, and while there has been some recent work on this front (Leung and Loo, 2017; </w:t>
      </w:r>
      <w:proofErr w:type="spellStart"/>
      <w:r w:rsidR="00EE52C0" w:rsidRPr="005944F7">
        <w:rPr>
          <w:rFonts w:cs="Times New Roman"/>
          <w:lang w:val="en-HK"/>
        </w:rPr>
        <w:t>Ramanathan</w:t>
      </w:r>
      <w:proofErr w:type="spellEnd"/>
      <w:r w:rsidR="00EE52C0" w:rsidRPr="005944F7">
        <w:rPr>
          <w:rFonts w:cs="Times New Roman"/>
          <w:lang w:val="en-HK"/>
        </w:rPr>
        <w:t xml:space="preserve"> et al., 2014; Romero, 2015)</w:t>
      </w:r>
      <w:r w:rsidR="00EE52C0" w:rsidRPr="005944F7">
        <w:rPr>
          <w:rFonts w:cs="Times New Roman"/>
          <w:szCs w:val="24"/>
        </w:rPr>
        <w:t xml:space="preserve">, it evidently  deserves far more attention. </w:t>
      </w:r>
    </w:p>
    <w:p w:rsidR="00751138" w:rsidRPr="005944F7" w:rsidRDefault="00751138" w:rsidP="005944F7">
      <w:pPr>
        <w:adjustRightInd w:val="0"/>
        <w:snapToGrid w:val="0"/>
        <w:ind w:firstLine="360"/>
        <w:jc w:val="both"/>
        <w:rPr>
          <w:rFonts w:cs="Times New Roman"/>
          <w:szCs w:val="24"/>
        </w:rPr>
      </w:pPr>
    </w:p>
    <w:p w:rsidR="00751138" w:rsidRPr="005944F7" w:rsidRDefault="00751138" w:rsidP="005944F7">
      <w:pPr>
        <w:pStyle w:val="ListParagraph"/>
        <w:numPr>
          <w:ilvl w:val="1"/>
          <w:numId w:val="19"/>
        </w:numPr>
        <w:adjustRightInd w:val="0"/>
        <w:snapToGrid w:val="0"/>
        <w:spacing w:after="0" w:line="240" w:lineRule="auto"/>
        <w:jc w:val="both"/>
        <w:rPr>
          <w:rFonts w:ascii="Times New Roman" w:hAnsi="Times New Roman" w:cs="Times New Roman"/>
          <w:b/>
          <w:szCs w:val="24"/>
        </w:rPr>
      </w:pPr>
      <w:r w:rsidRPr="005944F7">
        <w:rPr>
          <w:rFonts w:ascii="Times New Roman" w:hAnsi="Times New Roman" w:cs="Times New Roman"/>
          <w:b/>
          <w:szCs w:val="24"/>
        </w:rPr>
        <w:t xml:space="preserve"> Exogenous and Endogenous Variables </w:t>
      </w:r>
    </w:p>
    <w:p w:rsidR="00751138" w:rsidRPr="005944F7" w:rsidRDefault="00751138" w:rsidP="005944F7">
      <w:pPr>
        <w:adjustRightInd w:val="0"/>
        <w:snapToGrid w:val="0"/>
        <w:jc w:val="both"/>
        <w:rPr>
          <w:rFonts w:cs="Times New Roman"/>
          <w:szCs w:val="24"/>
        </w:rPr>
      </w:pPr>
      <w:r w:rsidRPr="005944F7">
        <w:rPr>
          <w:rFonts w:cs="Times New Roman"/>
          <w:szCs w:val="24"/>
        </w:rPr>
        <w:t xml:space="preserve">Within the context of the conceptual framework presented in the previous section, the current paper considers the socio-demographic characteristics of the child and her/his household as exogenous variables. </w:t>
      </w:r>
    </w:p>
    <w:p w:rsidR="00751138" w:rsidRPr="005944F7" w:rsidRDefault="00751138" w:rsidP="005944F7">
      <w:pPr>
        <w:adjustRightInd w:val="0"/>
        <w:snapToGrid w:val="0"/>
        <w:ind w:firstLine="720"/>
        <w:jc w:val="both"/>
        <w:rPr>
          <w:rFonts w:cs="Times New Roman"/>
          <w:szCs w:val="24"/>
        </w:rPr>
      </w:pPr>
      <w:r w:rsidRPr="005944F7">
        <w:rPr>
          <w:rFonts w:cs="Times New Roman"/>
          <w:szCs w:val="24"/>
        </w:rPr>
        <w:t xml:space="preserve">The endogenous variables correspond to a subset of choices from the environment-people choices interaction block, corresponding to RL (as characterized by residential density), ECAP, and ACT choices (marked with an asterisk in Figure 1). RL is characterized as a nominal variable in our analysis and </w:t>
      </w:r>
      <w:r w:rsidR="00DD34F1" w:rsidRPr="005944F7">
        <w:rPr>
          <w:rFonts w:cs="Times New Roman"/>
          <w:szCs w:val="24"/>
        </w:rPr>
        <w:t>modelled</w:t>
      </w:r>
      <w:r w:rsidRPr="005944F7">
        <w:rPr>
          <w:rFonts w:cs="Times New Roman"/>
          <w:szCs w:val="24"/>
        </w:rPr>
        <w:t xml:space="preserve"> using a multinomial </w:t>
      </w:r>
      <w:proofErr w:type="spellStart"/>
      <w:r w:rsidRPr="005944F7">
        <w:rPr>
          <w:rFonts w:cs="Times New Roman"/>
          <w:szCs w:val="24"/>
        </w:rPr>
        <w:t>probit</w:t>
      </w:r>
      <w:proofErr w:type="spellEnd"/>
      <w:r w:rsidRPr="005944F7">
        <w:rPr>
          <w:rFonts w:cs="Times New Roman"/>
          <w:szCs w:val="24"/>
        </w:rPr>
        <w:t xml:space="preserve"> (MNP) structure with three alternatives: Low density </w:t>
      </w:r>
      <w:bookmarkStart w:id="5" w:name="_Hlk529120891"/>
      <w:r w:rsidRPr="005944F7">
        <w:rPr>
          <w:rFonts w:cs="Times New Roman"/>
          <w:szCs w:val="24"/>
        </w:rPr>
        <w:t xml:space="preserve">(&lt;35,000 </w:t>
      </w:r>
      <w:proofErr w:type="spellStart"/>
      <w:r w:rsidRPr="005944F7">
        <w:rPr>
          <w:rFonts w:cs="Times New Roman"/>
          <w:szCs w:val="24"/>
        </w:rPr>
        <w:t>pers</w:t>
      </w:r>
      <w:proofErr w:type="spellEnd"/>
      <w:r w:rsidRPr="005944F7">
        <w:rPr>
          <w:rFonts w:cs="Times New Roman"/>
          <w:szCs w:val="24"/>
        </w:rPr>
        <w:t>/sq. km</w:t>
      </w:r>
      <w:bookmarkEnd w:id="5"/>
      <w:r w:rsidRPr="005944F7">
        <w:rPr>
          <w:rFonts w:cs="Times New Roman"/>
          <w:szCs w:val="24"/>
        </w:rPr>
        <w:t xml:space="preserve">), medium density (35,000-70,000 </w:t>
      </w:r>
      <w:proofErr w:type="spellStart"/>
      <w:r w:rsidRPr="005944F7">
        <w:rPr>
          <w:rFonts w:cs="Times New Roman"/>
          <w:szCs w:val="24"/>
        </w:rPr>
        <w:t>pers</w:t>
      </w:r>
      <w:proofErr w:type="spellEnd"/>
      <w:r w:rsidRPr="005944F7">
        <w:rPr>
          <w:rFonts w:cs="Times New Roman"/>
          <w:szCs w:val="24"/>
        </w:rPr>
        <w:t xml:space="preserve">/sq. km), and high density (&gt;70,000 </w:t>
      </w:r>
      <w:proofErr w:type="spellStart"/>
      <w:r w:rsidRPr="005944F7">
        <w:rPr>
          <w:rFonts w:cs="Times New Roman"/>
          <w:szCs w:val="24"/>
        </w:rPr>
        <w:t>pers</w:t>
      </w:r>
      <w:proofErr w:type="spellEnd"/>
      <w:r w:rsidRPr="005944F7">
        <w:rPr>
          <w:rFonts w:cs="Times New Roman"/>
          <w:szCs w:val="24"/>
        </w:rPr>
        <w:t>/sq. km).</w:t>
      </w:r>
      <w:r w:rsidR="00D45007" w:rsidRPr="005944F7">
        <w:rPr>
          <w:rFonts w:eastAsia="DengXian" w:cs="Times New Roman"/>
          <w:szCs w:val="24"/>
          <w:lang w:eastAsia="zh-CN"/>
        </w:rPr>
        <w:t xml:space="preserve"> </w:t>
      </w:r>
      <w:r w:rsidR="00D45007" w:rsidRPr="005944F7">
        <w:rPr>
          <w:rFonts w:cs="Times New Roman"/>
          <w:szCs w:val="24"/>
        </w:rPr>
        <w:t xml:space="preserve">These were the density qualifications selected, as they are highly relevant especially in the Asian context where there are many cities with large and still increasing population sizes, Hong Kong being one of them, with highly compact and high-rise urban </w:t>
      </w:r>
      <w:r w:rsidR="009A15D7" w:rsidRPr="005944F7">
        <w:rPr>
          <w:rFonts w:cs="Times New Roman"/>
          <w:szCs w:val="24"/>
        </w:rPr>
        <w:t>neighbourhoods</w:t>
      </w:r>
      <w:r w:rsidR="00D45007" w:rsidRPr="005944F7">
        <w:rPr>
          <w:rFonts w:cs="Times New Roman"/>
          <w:szCs w:val="24"/>
        </w:rPr>
        <w:t>.</w:t>
      </w:r>
    </w:p>
    <w:p w:rsidR="00751138" w:rsidRPr="005944F7" w:rsidRDefault="00751138" w:rsidP="005944F7">
      <w:pPr>
        <w:ind w:firstLine="720"/>
        <w:jc w:val="both"/>
        <w:rPr>
          <w:rFonts w:cs="Times New Roman"/>
          <w:szCs w:val="24"/>
        </w:rPr>
      </w:pPr>
      <w:r w:rsidRPr="005944F7">
        <w:rPr>
          <w:rFonts w:cs="Times New Roman"/>
          <w:szCs w:val="24"/>
        </w:rPr>
        <w:lastRenderedPageBreak/>
        <w:t>ECAP is characterized by the participation decision of children (aged 5-12) over the course of a five-day Monday-to-Friday work week in each of four extra-curricular activity types</w:t>
      </w:r>
      <w:r w:rsidR="00921055" w:rsidRPr="005944F7">
        <w:rPr>
          <w:rFonts w:cs="Times New Roman"/>
          <w:szCs w:val="24"/>
        </w:rPr>
        <w:t xml:space="preserve"> (i.e. multi-day data)</w:t>
      </w:r>
      <w:r w:rsidRPr="005944F7">
        <w:rPr>
          <w:rFonts w:cs="Times New Roman"/>
          <w:szCs w:val="24"/>
        </w:rPr>
        <w:t xml:space="preserve">, as well as the time allocated (in minutes) to those activity types with a positive participation decision (weekend day data was not collected in the data used in the current analysis, and extending the current empirical investigation to include ECAP over the weekend days remains a direction for future research). The four extra-curricular activity types considered are academics (including learning new languages and attending a tutorial school for math, science, or other subjects), sports (tennis, rugby, gymnastics, taekwondo, and any other organized physical activity), arts (including piano, dance, recitation, singing, orchestra, and painting), and interests/hobbies (including such non-physical activities as engaging in chess, </w:t>
      </w:r>
      <w:proofErr w:type="spellStart"/>
      <w:r w:rsidRPr="005944F7">
        <w:rPr>
          <w:rFonts w:cs="Times New Roman"/>
          <w:szCs w:val="24"/>
        </w:rPr>
        <w:t>lego</w:t>
      </w:r>
      <w:proofErr w:type="spellEnd"/>
      <w:r w:rsidRPr="005944F7">
        <w:rPr>
          <w:rFonts w:cs="Times New Roman"/>
          <w:szCs w:val="24"/>
        </w:rPr>
        <w:t>, and magic play sessions, as well as service/religious pursuits such as charity work, adventure corps, boys/girl scouts, and church-related activities).</w:t>
      </w:r>
      <w:r w:rsidRPr="005944F7">
        <w:rPr>
          <w:rStyle w:val="FootnoteReference"/>
          <w:rFonts w:cs="Times New Roman"/>
          <w:szCs w:val="24"/>
          <w:vertAlign w:val="superscript"/>
        </w:rPr>
        <w:footnoteReference w:id="3"/>
      </w:r>
      <w:r w:rsidRPr="005944F7">
        <w:rPr>
          <w:rFonts w:cs="Times New Roman"/>
          <w:szCs w:val="24"/>
        </w:rPr>
        <w:t xml:space="preserve"> For presentation ease, we will refer to the last extra-curricular activity type simply as “hobbies” in the rest of this paper. In addition to the four ECAP activities, we also consider an “in-home” activity type to which all individuals assign a non-zero positive amount of time (including such an “outside” activity type in the analysis allows the possibility that some children do not partake in ECAP activities at all; for convenience, we will refer to this variable with five alternatives, including the in-home alternative, as ECAP, even though only the first four are the extra-curricular OH activity type alternatives). Travel time to OH activities is excluded from the time budget based on the activity-based travel demand </w:t>
      </w:r>
      <w:r w:rsidR="009A15D7" w:rsidRPr="005944F7">
        <w:rPr>
          <w:rFonts w:cs="Times New Roman"/>
          <w:szCs w:val="24"/>
        </w:rPr>
        <w:t>modelling</w:t>
      </w:r>
      <w:r w:rsidRPr="005944F7">
        <w:rPr>
          <w:rFonts w:cs="Times New Roman"/>
          <w:szCs w:val="24"/>
        </w:rPr>
        <w:t xml:space="preserve"> perspective that individuals determine their activity needs and time-use in activities, and then travel features during the step of scheduling the activities to </w:t>
      </w:r>
      <w:r w:rsidR="009A15D7" w:rsidRPr="005944F7">
        <w:rPr>
          <w:rFonts w:cs="Times New Roman"/>
          <w:szCs w:val="24"/>
        </w:rPr>
        <w:t>fulfil</w:t>
      </w:r>
      <w:r w:rsidRPr="005944F7">
        <w:rPr>
          <w:rFonts w:cs="Times New Roman"/>
          <w:szCs w:val="24"/>
        </w:rPr>
        <w:t xml:space="preserve"> the desired activity agenda (see Bhat et al., 2016</w:t>
      </w:r>
      <w:r w:rsidR="00AE565B" w:rsidRPr="005944F7">
        <w:rPr>
          <w:rFonts w:cs="Times New Roman"/>
          <w:szCs w:val="24"/>
        </w:rPr>
        <w:t>, and</w:t>
      </w:r>
      <w:r w:rsidRPr="005944F7">
        <w:rPr>
          <w:rFonts w:cs="Times New Roman"/>
          <w:szCs w:val="24"/>
        </w:rPr>
        <w:t xml:space="preserve"> </w:t>
      </w:r>
      <w:proofErr w:type="spellStart"/>
      <w:r w:rsidRPr="005944F7">
        <w:rPr>
          <w:rFonts w:cs="Times New Roman"/>
          <w:szCs w:val="24"/>
        </w:rPr>
        <w:t>Spissu</w:t>
      </w:r>
      <w:proofErr w:type="spellEnd"/>
      <w:r w:rsidRPr="005944F7">
        <w:rPr>
          <w:rFonts w:cs="Times New Roman"/>
          <w:szCs w:val="24"/>
        </w:rPr>
        <w:t xml:space="preserve"> et al., 2009, for other studies that use a similar approach of focusing on activity time-use and excluding travel time). The ECAP variable takes a multiple discrete-continuous (MDC) form because individuals can participate in multiple alternatives (activity types) </w:t>
      </w:r>
      <w:r w:rsidR="00071913" w:rsidRPr="005944F7">
        <w:rPr>
          <w:rFonts w:cs="Times New Roman"/>
          <w:szCs w:val="24"/>
        </w:rPr>
        <w:t>within the same work week (e.g. 1 sport activity and 1 academic activity)</w:t>
      </w:r>
      <w:r w:rsidRPr="005944F7">
        <w:rPr>
          <w:rFonts w:cs="Times New Roman"/>
          <w:szCs w:val="24"/>
        </w:rPr>
        <w:t>, investing positive continuous amounts of time to each activity type participated in</w:t>
      </w:r>
      <w:r w:rsidR="00071913" w:rsidRPr="005944F7">
        <w:rPr>
          <w:rFonts w:cs="Times New Roman"/>
          <w:szCs w:val="24"/>
        </w:rPr>
        <w:t xml:space="preserve"> (e.g. 3 hours of soccer, 2 hours of English tutorial school)</w:t>
      </w:r>
      <w:r w:rsidRPr="005944F7">
        <w:rPr>
          <w:rFonts w:cs="Times New Roman"/>
          <w:szCs w:val="24"/>
        </w:rPr>
        <w:t>. To construct the “time budget” of the MDC variable, we consider a typical school schedule (roughly from 8:30 am to 3 pm in Hong Kong) in which children have approximately six hours during each weekday to spend in ECAP after school (the results were not very sensitive to alternative lengths of seven and eight hours of total budget). Thus, the total time budget over the course of the work week was constructed in our analysis as being equal to 30 hours (=6 hours per day*five days per week) minus the travel times of each child.</w:t>
      </w:r>
    </w:p>
    <w:p w:rsidR="00751138" w:rsidRPr="005944F7" w:rsidRDefault="00751138" w:rsidP="005944F7">
      <w:pPr>
        <w:adjustRightInd w:val="0"/>
        <w:snapToGrid w:val="0"/>
        <w:ind w:firstLine="720"/>
        <w:jc w:val="both"/>
        <w:rPr>
          <w:rFonts w:cs="Times New Roman"/>
          <w:szCs w:val="24"/>
        </w:rPr>
      </w:pPr>
      <w:r w:rsidRPr="005944F7">
        <w:rPr>
          <w:rFonts w:cs="Times New Roman"/>
          <w:szCs w:val="24"/>
        </w:rPr>
        <w:t xml:space="preserve">The third endogenous variable, ACT, is represented as a three-category nominal variable that reflects the intensity (in terms of percentage of total weekly travel time) of active travel (walking and bicycling). From the survey data (to be discussed in the next section), we are able to compute the total weekly travel time expended in ECAP and the amount of this total travel time attributable to active travel. Then, those who spend zero ECAP travel time in active travel are categorized under the “no active travel” nominal category, while those who spend all their ECAP travel time in active travel are categorized under the “all travel is active travel” nominal category (for ease, we will refer to this category as “all active travel”). The remaining children are grouped under the “some active travel” nominal category. </w:t>
      </w:r>
      <w:r w:rsidR="00636163" w:rsidRPr="005944F7">
        <w:rPr>
          <w:rFonts w:cs="Times New Roman"/>
          <w:szCs w:val="24"/>
        </w:rPr>
        <w:t>Using a three-category nominal variable</w:t>
      </w:r>
      <w:r w:rsidR="00652BC6" w:rsidRPr="005944F7">
        <w:rPr>
          <w:rFonts w:cs="Times New Roman"/>
          <w:szCs w:val="24"/>
        </w:rPr>
        <w:t xml:space="preserve"> that describes total weekly active travel time for all activities allows readers to conceptualize children’s activity-travel </w:t>
      </w:r>
      <w:r w:rsidR="009A15D7" w:rsidRPr="005944F7">
        <w:rPr>
          <w:rFonts w:cs="Times New Roman"/>
          <w:szCs w:val="24"/>
        </w:rPr>
        <w:t>behaviour</w:t>
      </w:r>
      <w:r w:rsidR="00652BC6" w:rsidRPr="005944F7">
        <w:rPr>
          <w:rFonts w:cs="Times New Roman"/>
          <w:szCs w:val="24"/>
        </w:rPr>
        <w:t xml:space="preserve"> easier, as distinct categories, rather than having to consider the complexities of different trip time and travel mode for different activity types.</w:t>
      </w:r>
    </w:p>
    <w:p w:rsidR="00751138" w:rsidRPr="005944F7" w:rsidRDefault="00751138" w:rsidP="005944F7">
      <w:pPr>
        <w:adjustRightInd w:val="0"/>
        <w:snapToGrid w:val="0"/>
        <w:ind w:firstLine="720"/>
        <w:jc w:val="both"/>
        <w:rPr>
          <w:rFonts w:cs="Times New Roman"/>
          <w:szCs w:val="24"/>
        </w:rPr>
      </w:pPr>
      <w:r w:rsidRPr="005944F7">
        <w:rPr>
          <w:rFonts w:cs="Times New Roman"/>
          <w:szCs w:val="24"/>
        </w:rPr>
        <w:lastRenderedPageBreak/>
        <w:t xml:space="preserve">Our joint model takes the form of a multiple-discrete continuous </w:t>
      </w:r>
      <w:proofErr w:type="spellStart"/>
      <w:r w:rsidRPr="005944F7">
        <w:rPr>
          <w:rFonts w:cs="Times New Roman"/>
          <w:szCs w:val="24"/>
        </w:rPr>
        <w:t>probit</w:t>
      </w:r>
      <w:proofErr w:type="spellEnd"/>
      <w:r w:rsidRPr="005944F7">
        <w:rPr>
          <w:rFonts w:cs="Times New Roman"/>
          <w:szCs w:val="24"/>
        </w:rPr>
        <w:t xml:space="preserve"> (MDCP) and multinomial </w:t>
      </w:r>
      <w:proofErr w:type="spellStart"/>
      <w:r w:rsidRPr="005944F7">
        <w:rPr>
          <w:rFonts w:cs="Times New Roman"/>
          <w:szCs w:val="24"/>
        </w:rPr>
        <w:t>probit</w:t>
      </w:r>
      <w:proofErr w:type="spellEnd"/>
      <w:r w:rsidRPr="005944F7">
        <w:rPr>
          <w:rFonts w:cs="Times New Roman"/>
          <w:szCs w:val="24"/>
        </w:rPr>
        <w:t xml:space="preserve"> (MNP) model system, in which a MDCP component – corresponding to ECAP– and two MNP components – corresponding to RL and ACT – are </w:t>
      </w:r>
      <w:r w:rsidR="009A15D7" w:rsidRPr="005944F7">
        <w:rPr>
          <w:rFonts w:cs="Times New Roman"/>
          <w:szCs w:val="24"/>
        </w:rPr>
        <w:t>modelled</w:t>
      </w:r>
      <w:r w:rsidRPr="005944F7">
        <w:rPr>
          <w:rFonts w:cs="Times New Roman"/>
          <w:szCs w:val="24"/>
        </w:rPr>
        <w:t xml:space="preserve"> together in a multivariate framework. The model considers common observed effects of individual and household factors on these three endogenous variables. For example, children from households with low income earnings (an observed socio-demographic variable in our analysis) may be more constrained to locate in </w:t>
      </w:r>
      <w:r w:rsidR="009A15D7" w:rsidRPr="005944F7">
        <w:rPr>
          <w:rFonts w:cs="Times New Roman"/>
          <w:szCs w:val="24"/>
        </w:rPr>
        <w:t>neighbourhoods</w:t>
      </w:r>
      <w:r w:rsidRPr="005944F7">
        <w:rPr>
          <w:rFonts w:cs="Times New Roman"/>
          <w:szCs w:val="24"/>
        </w:rPr>
        <w:t xml:space="preserve"> with high population density, spend less time in ECAP, and also engage more in active transport. As importantly, our joint model also considers and accommodates the effects of potential common unobserved individual-specific factors, such as lifestyle factors, that may influence multiple endogenous variables simultaneously. For instance, a family that is intrinsically dynamic with an active lifestyle (an unobserved factor) may deliberately locate in high density residential </w:t>
      </w:r>
      <w:r w:rsidR="009A15D7" w:rsidRPr="005944F7">
        <w:rPr>
          <w:rFonts w:cs="Times New Roman"/>
          <w:szCs w:val="24"/>
        </w:rPr>
        <w:t>neighbourhoods</w:t>
      </w:r>
      <w:r w:rsidRPr="005944F7">
        <w:rPr>
          <w:rFonts w:cs="Times New Roman"/>
          <w:szCs w:val="24"/>
        </w:rPr>
        <w:t xml:space="preserve"> that offer higher accessibility to activity locations, encourage children to invest substantial time in sports pursuits, as well as encourage the use of active travel modes.</w:t>
      </w:r>
    </w:p>
    <w:p w:rsidR="00751138" w:rsidRPr="005944F7" w:rsidRDefault="00751138" w:rsidP="005944F7">
      <w:pPr>
        <w:adjustRightInd w:val="0"/>
        <w:snapToGrid w:val="0"/>
        <w:ind w:firstLine="720"/>
        <w:jc w:val="both"/>
        <w:rPr>
          <w:rFonts w:cs="Times New Roman"/>
          <w:szCs w:val="24"/>
        </w:rPr>
      </w:pPr>
      <w:r w:rsidRPr="005944F7">
        <w:rPr>
          <w:rFonts w:cs="Times New Roman"/>
          <w:szCs w:val="24"/>
        </w:rPr>
        <w:t xml:space="preserve">Finally, after accommodating for common observed and unobserved factors that necessitate the joint </w:t>
      </w:r>
      <w:r w:rsidR="009A15D7" w:rsidRPr="005944F7">
        <w:rPr>
          <w:rFonts w:cs="Times New Roman"/>
          <w:szCs w:val="24"/>
        </w:rPr>
        <w:t>modelling</w:t>
      </w:r>
      <w:r w:rsidRPr="005944F7">
        <w:rPr>
          <w:rFonts w:cs="Times New Roman"/>
          <w:szCs w:val="24"/>
        </w:rPr>
        <w:t xml:space="preserve"> of the three variables, our model also allows recursive “causal” effects among the endogenous variables (in joint choice situations where one or more of the endogenous variables is a discrete nominal or an MDC variable or some other limited-dependent variable, bi-directional causal effects are not logically consistent, and a recursive decision structure needs to be specified (</w:t>
      </w:r>
      <w:proofErr w:type="spellStart"/>
      <w:r w:rsidRPr="005944F7">
        <w:rPr>
          <w:rFonts w:cs="Times New Roman"/>
          <w:szCs w:val="24"/>
        </w:rPr>
        <w:t>Maddala</w:t>
      </w:r>
      <w:proofErr w:type="spellEnd"/>
      <w:r w:rsidRPr="005944F7">
        <w:rPr>
          <w:rFonts w:cs="Times New Roman"/>
          <w:szCs w:val="24"/>
        </w:rPr>
        <w:t xml:space="preserve">, 1983). In our empirical analysis discussed later, we tested alternative recursive structures, but the preferred one in terms of goodness of fit was also intuitive in that the long-term decision (RL) influences the medium-term decision (ACT), and both impact the short-term ECAP decision. The reader will note that our model is, however, a true joint model (and not a sequential system), because unobserved correlations across the three variables (RL, ECAP, and ACT) are explicitly considered. </w:t>
      </w:r>
    </w:p>
    <w:p w:rsidR="00751138" w:rsidRPr="005944F7" w:rsidRDefault="00751138" w:rsidP="005944F7">
      <w:pPr>
        <w:adjustRightInd w:val="0"/>
        <w:snapToGrid w:val="0"/>
        <w:ind w:firstLine="360"/>
        <w:jc w:val="both"/>
        <w:rPr>
          <w:rFonts w:cs="Times New Roman"/>
          <w:szCs w:val="24"/>
        </w:rPr>
      </w:pPr>
    </w:p>
    <w:p w:rsidR="00751138" w:rsidRPr="005944F7" w:rsidRDefault="00751138" w:rsidP="005944F7">
      <w:pPr>
        <w:adjustRightInd w:val="0"/>
        <w:snapToGrid w:val="0"/>
        <w:jc w:val="both"/>
        <w:rPr>
          <w:rFonts w:cs="Times New Roman"/>
          <w:b/>
          <w:szCs w:val="24"/>
        </w:rPr>
      </w:pPr>
      <w:r w:rsidRPr="005944F7">
        <w:rPr>
          <w:rFonts w:cs="Times New Roman"/>
          <w:b/>
          <w:szCs w:val="24"/>
        </w:rPr>
        <w:t>2. ANALYTIC FRAMEWORK AND DATA</w:t>
      </w:r>
    </w:p>
    <w:p w:rsidR="00751138" w:rsidRPr="005944F7" w:rsidRDefault="00751138" w:rsidP="005944F7">
      <w:pPr>
        <w:adjustRightInd w:val="0"/>
        <w:snapToGrid w:val="0"/>
        <w:jc w:val="both"/>
        <w:rPr>
          <w:rFonts w:cs="Times New Roman"/>
          <w:szCs w:val="24"/>
        </w:rPr>
      </w:pPr>
      <w:r w:rsidRPr="005944F7">
        <w:rPr>
          <w:rFonts w:cs="Times New Roman"/>
          <w:szCs w:val="24"/>
        </w:rPr>
        <w:t>The joint model used in the current paper takes nominal variables as well as an MDC endogenous variable.</w:t>
      </w:r>
      <w:r w:rsidR="00652BC6" w:rsidRPr="005944F7">
        <w:rPr>
          <w:rFonts w:cs="Times New Roman"/>
          <w:szCs w:val="24"/>
        </w:rPr>
        <w:t xml:space="preserve"> It </w:t>
      </w:r>
      <w:r w:rsidR="00120E43" w:rsidRPr="005944F7">
        <w:rPr>
          <w:rFonts w:cs="Times New Roman"/>
          <w:szCs w:val="24"/>
        </w:rPr>
        <w:t>is specifically</w:t>
      </w:r>
      <w:r w:rsidR="00652BC6" w:rsidRPr="005944F7">
        <w:rPr>
          <w:rFonts w:cs="Times New Roman"/>
          <w:szCs w:val="24"/>
        </w:rPr>
        <w:t xml:space="preserve"> designed to </w:t>
      </w:r>
      <w:r w:rsidR="00120E43" w:rsidRPr="005944F7">
        <w:rPr>
          <w:rFonts w:cs="Times New Roman"/>
          <w:szCs w:val="24"/>
        </w:rPr>
        <w:t xml:space="preserve">model the </w:t>
      </w:r>
      <w:r w:rsidR="00075389" w:rsidRPr="005944F7">
        <w:rPr>
          <w:rFonts w:cs="Times New Roman"/>
          <w:szCs w:val="24"/>
        </w:rPr>
        <w:t>“</w:t>
      </w:r>
      <w:r w:rsidR="00646BDA" w:rsidRPr="005944F7">
        <w:rPr>
          <w:rFonts w:cs="Times New Roman"/>
          <w:szCs w:val="24"/>
        </w:rPr>
        <w:t>Environment-Activity-Travel Decisions</w:t>
      </w:r>
      <w:r w:rsidR="00075389" w:rsidRPr="005944F7">
        <w:rPr>
          <w:rFonts w:cs="Times New Roman"/>
          <w:szCs w:val="24"/>
        </w:rPr>
        <w:t>”</w:t>
      </w:r>
      <w:r w:rsidR="00120E43" w:rsidRPr="005944F7">
        <w:rPr>
          <w:rFonts w:cs="Times New Roman"/>
          <w:szCs w:val="24"/>
        </w:rPr>
        <w:t xml:space="preserve"> that is the middle block in Figure 1, namely the joint choices of and interrelationships between residential location (nominal variable, represented by three population density categories), travel </w:t>
      </w:r>
      <w:r w:rsidR="009A15D7" w:rsidRPr="005944F7">
        <w:rPr>
          <w:rFonts w:cs="Times New Roman"/>
          <w:szCs w:val="24"/>
        </w:rPr>
        <w:t>behaviour</w:t>
      </w:r>
      <w:r w:rsidR="00120E43" w:rsidRPr="005944F7">
        <w:rPr>
          <w:rFonts w:cs="Times New Roman"/>
          <w:szCs w:val="24"/>
        </w:rPr>
        <w:t xml:space="preserve"> (nominal variable, represented by three active travel intensity categories), and extra-curricular activity participation (multiple discrete-continuous variable, represented by a discrete activity type and continuous time use in the particular activity). </w:t>
      </w:r>
      <w:r w:rsidRPr="005944F7">
        <w:rPr>
          <w:rFonts w:cs="Times New Roman"/>
          <w:szCs w:val="24"/>
        </w:rPr>
        <w:t xml:space="preserve">The next section discusses the </w:t>
      </w:r>
      <w:r w:rsidR="00120E43" w:rsidRPr="005944F7">
        <w:rPr>
          <w:rFonts w:cs="Times New Roman"/>
          <w:szCs w:val="24"/>
        </w:rPr>
        <w:t xml:space="preserve">necessary technical specifications of the </w:t>
      </w:r>
      <w:r w:rsidRPr="005944F7">
        <w:rPr>
          <w:rFonts w:cs="Times New Roman"/>
          <w:szCs w:val="24"/>
        </w:rPr>
        <w:t>model structure</w:t>
      </w:r>
      <w:r w:rsidR="00120E43" w:rsidRPr="005944F7">
        <w:rPr>
          <w:rFonts w:cs="Times New Roman"/>
          <w:szCs w:val="24"/>
        </w:rPr>
        <w:t xml:space="preserve"> in detail</w:t>
      </w:r>
      <w:r w:rsidRPr="005944F7">
        <w:rPr>
          <w:rFonts w:cs="Times New Roman"/>
          <w:szCs w:val="24"/>
        </w:rPr>
        <w:t>.</w:t>
      </w:r>
    </w:p>
    <w:p w:rsidR="00751138" w:rsidRPr="00A2305B" w:rsidRDefault="00751138" w:rsidP="00A2305B">
      <w:pPr>
        <w:adjustRightInd w:val="0"/>
        <w:snapToGrid w:val="0"/>
        <w:jc w:val="both"/>
        <w:rPr>
          <w:rFonts w:cs="Times New Roman"/>
          <w:szCs w:val="24"/>
        </w:rPr>
      </w:pPr>
    </w:p>
    <w:p w:rsidR="00751138" w:rsidRPr="00A2305B" w:rsidRDefault="00751138" w:rsidP="00A2305B">
      <w:pPr>
        <w:adjustRightInd w:val="0"/>
        <w:snapToGrid w:val="0"/>
        <w:jc w:val="both"/>
        <w:rPr>
          <w:rFonts w:cs="Times New Roman"/>
          <w:b/>
          <w:szCs w:val="24"/>
        </w:rPr>
      </w:pPr>
      <w:r w:rsidRPr="00A2305B">
        <w:rPr>
          <w:rFonts w:cs="Times New Roman"/>
          <w:b/>
          <w:szCs w:val="24"/>
        </w:rPr>
        <w:t>2.1. Model Structure</w:t>
      </w:r>
    </w:p>
    <w:p w:rsidR="00751138" w:rsidRPr="00A2305B" w:rsidRDefault="00751138" w:rsidP="00A2305B">
      <w:pPr>
        <w:adjustRightInd w:val="0"/>
        <w:snapToGrid w:val="0"/>
        <w:jc w:val="both"/>
        <w:rPr>
          <w:rFonts w:eastAsia="Times New Roman" w:cs="Times New Roman"/>
          <w:i/>
          <w:szCs w:val="24"/>
        </w:rPr>
      </w:pPr>
      <w:r w:rsidRPr="00A2305B">
        <w:rPr>
          <w:rFonts w:eastAsia="Times New Roman" w:cs="Times New Roman"/>
          <w:i/>
          <w:szCs w:val="24"/>
        </w:rPr>
        <w:t>2.1.1. The Nominal Variables</w:t>
      </w:r>
    </w:p>
    <w:p w:rsidR="00751138" w:rsidRPr="00A2305B" w:rsidRDefault="00751138" w:rsidP="00A2305B">
      <w:pPr>
        <w:adjustRightInd w:val="0"/>
        <w:snapToGrid w:val="0"/>
        <w:jc w:val="both"/>
        <w:rPr>
          <w:rFonts w:cs="Times New Roman"/>
          <w:szCs w:val="24"/>
        </w:rPr>
      </w:pPr>
      <w:r w:rsidRPr="00A2305B">
        <w:rPr>
          <w:rFonts w:cs="Times New Roman"/>
          <w:szCs w:val="24"/>
        </w:rPr>
        <w:t xml:space="preserve">Consider an individual facing a multi-dimensional array of nominal (unordered-response) choices. Let the cardinality of the multi-dimensional array be </w:t>
      </w:r>
      <w:r w:rsidRPr="00A2305B">
        <w:rPr>
          <w:rFonts w:cs="Times New Roman"/>
          <w:i/>
          <w:szCs w:val="24"/>
        </w:rPr>
        <w:t>G</w:t>
      </w:r>
      <w:r w:rsidRPr="00A2305B">
        <w:rPr>
          <w:rFonts w:cs="Times New Roman"/>
          <w:szCs w:val="24"/>
        </w:rPr>
        <w:t xml:space="preserve"> (that is, there are </w:t>
      </w:r>
      <w:r w:rsidRPr="00A2305B">
        <w:rPr>
          <w:rFonts w:cs="Times New Roman"/>
          <w:i/>
          <w:szCs w:val="24"/>
        </w:rPr>
        <w:t>G</w:t>
      </w:r>
      <w:r w:rsidRPr="00A2305B">
        <w:rPr>
          <w:rFonts w:cs="Times New Roman"/>
          <w:szCs w:val="24"/>
        </w:rPr>
        <w:t xml:space="preserve"> nominal unordered-response variables in the choice space), and let </w:t>
      </w:r>
      <w:r w:rsidRPr="00A2305B">
        <w:rPr>
          <w:rFonts w:cs="Times New Roman"/>
          <w:i/>
          <w:szCs w:val="24"/>
        </w:rPr>
        <w:t>g</w:t>
      </w:r>
      <w:r w:rsidRPr="00A2305B">
        <w:rPr>
          <w:rFonts w:cs="Times New Roman"/>
          <w:szCs w:val="24"/>
        </w:rPr>
        <w:t xml:space="preserve"> be the index for the nominal variables (</w:t>
      </w:r>
      <w:r w:rsidRPr="00A2305B">
        <w:rPr>
          <w:rFonts w:cs="Times New Roman"/>
          <w:i/>
          <w:szCs w:val="24"/>
        </w:rPr>
        <w:t>g</w:t>
      </w:r>
      <w:r w:rsidRPr="00A2305B">
        <w:rPr>
          <w:rFonts w:cs="Times New Roman"/>
          <w:szCs w:val="24"/>
        </w:rPr>
        <w:t xml:space="preserve"> = 1, 2, 3</w:t>
      </w:r>
      <w:proofErr w:type="gramStart"/>
      <w:r w:rsidRPr="00A2305B">
        <w:rPr>
          <w:rFonts w:cs="Times New Roman"/>
          <w:szCs w:val="24"/>
        </w:rPr>
        <w:t>, …,</w:t>
      </w:r>
      <w:proofErr w:type="gramEnd"/>
      <w:r w:rsidRPr="00A2305B">
        <w:rPr>
          <w:rFonts w:cs="Times New Roman"/>
          <w:szCs w:val="24"/>
        </w:rPr>
        <w:t xml:space="preserve"> </w:t>
      </w:r>
      <w:r w:rsidRPr="00A2305B">
        <w:rPr>
          <w:rFonts w:cs="Times New Roman"/>
          <w:i/>
          <w:szCs w:val="24"/>
        </w:rPr>
        <w:t>G</w:t>
      </w:r>
      <w:r w:rsidRPr="00A2305B">
        <w:rPr>
          <w:rFonts w:cs="Times New Roman"/>
          <w:szCs w:val="24"/>
        </w:rPr>
        <w:t xml:space="preserve">). In the empirical context of the current paper, </w:t>
      </w:r>
      <w:r w:rsidRPr="00A2305B">
        <w:rPr>
          <w:rFonts w:cs="Times New Roman"/>
          <w:i/>
          <w:szCs w:val="24"/>
        </w:rPr>
        <w:t>G</w:t>
      </w:r>
      <w:r w:rsidRPr="00A2305B">
        <w:rPr>
          <w:rFonts w:cs="Times New Roman"/>
          <w:szCs w:val="24"/>
        </w:rPr>
        <w:t xml:space="preserve">=2 (the nominal variables are level of RL and ACT). Also, let </w:t>
      </w:r>
      <w:r w:rsidRPr="00A2305B">
        <w:rPr>
          <w:rFonts w:cs="Times New Roman"/>
          <w:i/>
          <w:szCs w:val="24"/>
        </w:rPr>
        <w:t>I</w:t>
      </w:r>
      <w:r w:rsidRPr="00A2305B">
        <w:rPr>
          <w:rFonts w:cs="Times New Roman"/>
          <w:i/>
          <w:szCs w:val="24"/>
          <w:vertAlign w:val="subscript"/>
        </w:rPr>
        <w:t>g</w:t>
      </w:r>
      <w:r w:rsidRPr="00A2305B">
        <w:rPr>
          <w:rFonts w:cs="Times New Roman"/>
          <w:szCs w:val="24"/>
        </w:rPr>
        <w:t xml:space="preserve"> (</w:t>
      </w:r>
      <w:r w:rsidRPr="00A2305B">
        <w:rPr>
          <w:rFonts w:cs="Times New Roman"/>
          <w:i/>
          <w:szCs w:val="24"/>
        </w:rPr>
        <w:t>I</w:t>
      </w:r>
      <w:r w:rsidRPr="00A2305B">
        <w:rPr>
          <w:rFonts w:cs="Times New Roman"/>
          <w:i/>
          <w:szCs w:val="24"/>
          <w:vertAlign w:val="subscript"/>
        </w:rPr>
        <w:t>g</w:t>
      </w:r>
      <w:r w:rsidRPr="00A2305B">
        <w:rPr>
          <w:rFonts w:cs="Times New Roman"/>
          <w:noProof/>
          <w:position w:val="-4"/>
          <w:szCs w:val="24"/>
        </w:rPr>
        <w:object w:dxaOrig="200" w:dyaOrig="240">
          <v:shape id="_x0000_i1026" type="#_x0000_t75" style="width:9pt;height:12.75pt" o:ole="">
            <v:imagedata r:id="rId13" o:title=""/>
          </v:shape>
          <o:OLEObject Type="Embed" ProgID="Equation.3" ShapeID="_x0000_i1026" DrawAspect="Content" ObjectID="_1612165028" r:id="rId14"/>
        </w:object>
      </w:r>
      <w:r w:rsidRPr="00A2305B">
        <w:rPr>
          <w:rFonts w:cs="Times New Roman"/>
          <w:szCs w:val="24"/>
        </w:rPr>
        <w:t xml:space="preserve">2) be the number of alternatives corresponding to the </w:t>
      </w:r>
      <w:proofErr w:type="spellStart"/>
      <w:r w:rsidRPr="00A2305B">
        <w:rPr>
          <w:rFonts w:cs="Times New Roman"/>
          <w:i/>
          <w:szCs w:val="24"/>
        </w:rPr>
        <w:t>g</w:t>
      </w:r>
      <w:r w:rsidRPr="00A2305B">
        <w:rPr>
          <w:rFonts w:cs="Times New Roman"/>
          <w:szCs w:val="24"/>
          <w:vertAlign w:val="superscript"/>
        </w:rPr>
        <w:t>th</w:t>
      </w:r>
      <w:proofErr w:type="spellEnd"/>
      <w:r w:rsidRPr="00A2305B">
        <w:rPr>
          <w:rFonts w:cs="Times New Roman"/>
          <w:szCs w:val="24"/>
        </w:rPr>
        <w:t xml:space="preserve"> nominal variable and let </w:t>
      </w:r>
      <w:proofErr w:type="spellStart"/>
      <w:r w:rsidRPr="00A2305B">
        <w:rPr>
          <w:rFonts w:cs="Times New Roman"/>
          <w:i/>
          <w:szCs w:val="24"/>
        </w:rPr>
        <w:t>i</w:t>
      </w:r>
      <w:r w:rsidRPr="00A2305B">
        <w:rPr>
          <w:rFonts w:cs="Times New Roman"/>
          <w:i/>
          <w:szCs w:val="24"/>
          <w:vertAlign w:val="subscript"/>
        </w:rPr>
        <w:t>g</w:t>
      </w:r>
      <w:proofErr w:type="spellEnd"/>
      <w:r w:rsidRPr="00A2305B">
        <w:rPr>
          <w:rFonts w:cs="Times New Roman"/>
          <w:szCs w:val="24"/>
        </w:rPr>
        <w:t xml:space="preserve"> be the corresponding index (</w:t>
      </w:r>
      <w:proofErr w:type="spellStart"/>
      <w:r w:rsidRPr="00A2305B">
        <w:rPr>
          <w:rFonts w:cs="Times New Roman"/>
          <w:i/>
          <w:szCs w:val="24"/>
        </w:rPr>
        <w:t>i</w:t>
      </w:r>
      <w:r w:rsidRPr="00A2305B">
        <w:rPr>
          <w:rFonts w:cs="Times New Roman"/>
          <w:i/>
          <w:szCs w:val="24"/>
          <w:vertAlign w:val="subscript"/>
        </w:rPr>
        <w:t>g</w:t>
      </w:r>
      <w:proofErr w:type="spellEnd"/>
      <w:r w:rsidRPr="00A2305B">
        <w:rPr>
          <w:rFonts w:cs="Times New Roman"/>
          <w:szCs w:val="24"/>
          <w:vertAlign w:val="subscript"/>
        </w:rPr>
        <w:t xml:space="preserve"> </w:t>
      </w:r>
      <w:r w:rsidRPr="00A2305B">
        <w:rPr>
          <w:rFonts w:cs="Times New Roman"/>
          <w:szCs w:val="24"/>
        </w:rPr>
        <w:t>= 1, 2, 3</w:t>
      </w:r>
      <w:proofErr w:type="gramStart"/>
      <w:r w:rsidRPr="00A2305B">
        <w:rPr>
          <w:rFonts w:cs="Times New Roman"/>
          <w:szCs w:val="24"/>
        </w:rPr>
        <w:t>, …,</w:t>
      </w:r>
      <w:proofErr w:type="gramEnd"/>
      <w:r w:rsidRPr="00A2305B">
        <w:rPr>
          <w:rFonts w:cs="Times New Roman"/>
          <w:szCs w:val="24"/>
        </w:rPr>
        <w:t xml:space="preserve"> </w:t>
      </w:r>
      <w:r w:rsidRPr="00A2305B">
        <w:rPr>
          <w:rFonts w:cs="Times New Roman"/>
          <w:i/>
          <w:szCs w:val="24"/>
        </w:rPr>
        <w:t>I</w:t>
      </w:r>
      <w:r w:rsidRPr="00A2305B">
        <w:rPr>
          <w:rFonts w:cs="Times New Roman"/>
          <w:i/>
          <w:szCs w:val="24"/>
          <w:vertAlign w:val="subscript"/>
        </w:rPr>
        <w:t>g</w:t>
      </w:r>
      <w:r w:rsidRPr="00A2305B">
        <w:rPr>
          <w:rFonts w:cs="Times New Roman"/>
          <w:szCs w:val="24"/>
        </w:rPr>
        <w:t xml:space="preserve">). Using a typical utility maximizing framework for the nominal variables, the utility for alternative </w:t>
      </w:r>
      <w:proofErr w:type="spellStart"/>
      <w:r w:rsidRPr="00A2305B">
        <w:rPr>
          <w:rFonts w:cs="Times New Roman"/>
          <w:i/>
          <w:szCs w:val="24"/>
        </w:rPr>
        <w:t>i</w:t>
      </w:r>
      <w:r w:rsidRPr="00A2305B">
        <w:rPr>
          <w:rFonts w:cs="Times New Roman"/>
          <w:i/>
          <w:szCs w:val="24"/>
          <w:vertAlign w:val="subscript"/>
        </w:rPr>
        <w:t>g</w:t>
      </w:r>
      <w:proofErr w:type="spellEnd"/>
      <w:r w:rsidRPr="00A2305B">
        <w:rPr>
          <w:rFonts w:cs="Times New Roman"/>
          <w:szCs w:val="24"/>
        </w:rPr>
        <w:t xml:space="preserve"> for the </w:t>
      </w:r>
      <w:proofErr w:type="spellStart"/>
      <w:r w:rsidRPr="00A2305B">
        <w:rPr>
          <w:rFonts w:cs="Times New Roman"/>
          <w:i/>
          <w:szCs w:val="24"/>
        </w:rPr>
        <w:t>g</w:t>
      </w:r>
      <w:r w:rsidRPr="00A2305B">
        <w:rPr>
          <w:rFonts w:cs="Times New Roman"/>
          <w:szCs w:val="24"/>
          <w:vertAlign w:val="superscript"/>
        </w:rPr>
        <w:t>th</w:t>
      </w:r>
      <w:proofErr w:type="spellEnd"/>
      <w:r w:rsidRPr="00A2305B">
        <w:rPr>
          <w:rFonts w:cs="Times New Roman"/>
          <w:szCs w:val="24"/>
        </w:rPr>
        <w:t xml:space="preserve"> nominal variable of individual </w:t>
      </w:r>
      <w:r w:rsidRPr="00A2305B">
        <w:rPr>
          <w:rFonts w:cs="Times New Roman"/>
          <w:i/>
          <w:szCs w:val="24"/>
        </w:rPr>
        <w:t>q</w:t>
      </w:r>
      <w:r w:rsidRPr="00A2305B">
        <w:rPr>
          <w:rFonts w:cs="Times New Roman"/>
          <w:szCs w:val="24"/>
        </w:rPr>
        <w:t xml:space="preserve"> can be written as: </w:t>
      </w:r>
    </w:p>
    <w:p w:rsidR="00751138" w:rsidRPr="00A2305B" w:rsidRDefault="00751138" w:rsidP="00A2305B">
      <w:pPr>
        <w:tabs>
          <w:tab w:val="right" w:pos="9360"/>
        </w:tabs>
        <w:adjustRightInd w:val="0"/>
        <w:snapToGrid w:val="0"/>
        <w:spacing w:before="120" w:after="120"/>
        <w:jc w:val="both"/>
        <w:rPr>
          <w:rFonts w:cs="Times New Roman"/>
          <w:szCs w:val="24"/>
        </w:rPr>
      </w:pPr>
      <w:r w:rsidRPr="00A2305B">
        <w:rPr>
          <w:rFonts w:cs="Times New Roman"/>
          <w:noProof/>
          <w:position w:val="-16"/>
          <w:szCs w:val="24"/>
        </w:rPr>
        <w:object w:dxaOrig="2100" w:dyaOrig="400">
          <v:shape id="_x0000_i1027" type="#_x0000_t75" style="width:105.75pt;height:20.25pt" o:ole="" o:preferrelative="f">
            <v:imagedata r:id="rId15" o:title=""/>
            <o:lock v:ext="edit" aspectratio="f"/>
          </v:shape>
          <o:OLEObject Type="Embed" ProgID="Equation.DSMT4" ShapeID="_x0000_i1027" DrawAspect="Content" ObjectID="_1612165029" r:id="rId16"/>
        </w:object>
      </w:r>
      <w:r w:rsidRPr="00A2305B">
        <w:rPr>
          <w:rFonts w:cs="Times New Roman"/>
          <w:szCs w:val="24"/>
        </w:rPr>
        <w:tab/>
        <w:t>(1)</w:t>
      </w:r>
    </w:p>
    <w:p w:rsidR="00751138" w:rsidRPr="00A2305B" w:rsidRDefault="00751138" w:rsidP="00A2305B">
      <w:pPr>
        <w:adjustRightInd w:val="0"/>
        <w:snapToGrid w:val="0"/>
        <w:jc w:val="both"/>
        <w:rPr>
          <w:rFonts w:cs="Times New Roman"/>
          <w:noProof/>
          <w:szCs w:val="24"/>
        </w:rPr>
      </w:pPr>
      <w:proofErr w:type="gramStart"/>
      <w:r w:rsidRPr="00A2305B">
        <w:rPr>
          <w:rFonts w:cs="Times New Roman"/>
          <w:szCs w:val="24"/>
        </w:rPr>
        <w:t>where</w:t>
      </w:r>
      <w:proofErr w:type="gramEnd"/>
      <w:r w:rsidRPr="00A2305B">
        <w:rPr>
          <w:rFonts w:cs="Times New Roman"/>
          <w:szCs w:val="24"/>
        </w:rPr>
        <w:t xml:space="preserve"> </w:t>
      </w:r>
      <w:r w:rsidRPr="00A2305B">
        <w:rPr>
          <w:rFonts w:cs="Times New Roman"/>
          <w:noProof/>
          <w:position w:val="-16"/>
          <w:szCs w:val="24"/>
        </w:rPr>
        <w:object w:dxaOrig="460" w:dyaOrig="400">
          <v:shape id="_x0000_i1028" type="#_x0000_t75" style="width:23.25pt;height:20.25pt" o:ole="" o:preferrelative="f">
            <v:imagedata r:id="rId17" o:title=""/>
            <o:lock v:ext="edit" aspectratio="f"/>
          </v:shape>
          <o:OLEObject Type="Embed" ProgID="Equation.3" ShapeID="_x0000_i1028" DrawAspect="Content" ObjectID="_1612165030" r:id="rId18"/>
        </w:object>
      </w:r>
      <w:r w:rsidRPr="00A2305B">
        <w:rPr>
          <w:rFonts w:cs="Times New Roman"/>
          <w:noProof/>
          <w:szCs w:val="24"/>
        </w:rPr>
        <w:t xml:space="preserve"> </w:t>
      </w:r>
      <w:r w:rsidRPr="00A2305B">
        <w:rPr>
          <w:rFonts w:cs="Times New Roman"/>
          <w:szCs w:val="24"/>
        </w:rPr>
        <w:t>is a (</w:t>
      </w:r>
      <w:r w:rsidRPr="00A2305B">
        <w:rPr>
          <w:rFonts w:cs="Times New Roman"/>
          <w:i/>
          <w:szCs w:val="24"/>
        </w:rPr>
        <w:t>K</w:t>
      </w:r>
      <w:r w:rsidRPr="00A2305B">
        <w:rPr>
          <w:rFonts w:cs="Times New Roman"/>
          <w:i/>
          <w:szCs w:val="24"/>
          <w:vertAlign w:val="subscript"/>
        </w:rPr>
        <w:t>g</w:t>
      </w:r>
      <w:r w:rsidRPr="00A2305B">
        <w:rPr>
          <w:rFonts w:cs="Times New Roman"/>
          <w:szCs w:val="24"/>
        </w:rPr>
        <w:t xml:space="preserve">×1)-column vector of exogenous attributes as well as possibly the observed values of other endogenous nominal variables (introduced as dummy variables), </w:t>
      </w:r>
      <w:r w:rsidRPr="00A2305B">
        <w:rPr>
          <w:rFonts w:cs="Times New Roman"/>
          <w:noProof/>
          <w:position w:val="-14"/>
          <w:szCs w:val="24"/>
        </w:rPr>
        <w:object w:dxaOrig="300" w:dyaOrig="380">
          <v:shape id="_x0000_i1029" type="#_x0000_t75" style="width:15pt;height:19.5pt" o:ole="" o:preferrelative="f">
            <v:imagedata r:id="rId19" o:title=""/>
            <o:lock v:ext="edit" aspectratio="f"/>
          </v:shape>
          <o:OLEObject Type="Embed" ProgID="Equation.DSMT4" ShapeID="_x0000_i1029" DrawAspect="Content" ObjectID="_1612165031" r:id="rId20"/>
        </w:object>
      </w:r>
      <w:r w:rsidRPr="00A2305B">
        <w:rPr>
          <w:rFonts w:cs="Times New Roman"/>
          <w:szCs w:val="24"/>
        </w:rPr>
        <w:t xml:space="preserve"> is a (</w:t>
      </w:r>
      <w:r w:rsidRPr="00A2305B">
        <w:rPr>
          <w:rFonts w:cs="Times New Roman"/>
          <w:i/>
          <w:szCs w:val="24"/>
        </w:rPr>
        <w:t>K</w:t>
      </w:r>
      <w:r w:rsidRPr="00A2305B">
        <w:rPr>
          <w:rFonts w:cs="Times New Roman"/>
          <w:i/>
          <w:szCs w:val="24"/>
          <w:vertAlign w:val="subscript"/>
        </w:rPr>
        <w:t>g</w:t>
      </w:r>
      <w:r w:rsidRPr="00A2305B">
        <w:rPr>
          <w:rFonts w:cs="Times New Roman"/>
          <w:szCs w:val="24"/>
        </w:rPr>
        <w:t xml:space="preserve">×1)-column vector of corresponding coefficients, and </w:t>
      </w:r>
      <w:r w:rsidRPr="00A2305B">
        <w:rPr>
          <w:rFonts w:cs="Times New Roman"/>
          <w:noProof/>
          <w:position w:val="-16"/>
          <w:szCs w:val="24"/>
        </w:rPr>
        <w:object w:dxaOrig="440" w:dyaOrig="400">
          <v:shape id="_x0000_i1030" type="#_x0000_t75" style="width:22.5pt;height:20.25pt" o:ole="" o:preferrelative="f">
            <v:imagedata r:id="rId21" o:title=""/>
            <o:lock v:ext="edit" aspectratio="f"/>
          </v:shape>
          <o:OLEObject Type="Embed" ProgID="Equation.DSMT4" ShapeID="_x0000_i1030" DrawAspect="Content" ObjectID="_1612165032" r:id="rId22"/>
        </w:object>
      </w:r>
      <w:r w:rsidRPr="00A2305B">
        <w:rPr>
          <w:rFonts w:cs="Times New Roman"/>
          <w:noProof/>
          <w:szCs w:val="24"/>
        </w:rPr>
        <w:t xml:space="preserve"> </w:t>
      </w:r>
      <w:r w:rsidRPr="00A2305B">
        <w:rPr>
          <w:rFonts w:cs="Times New Roman"/>
          <w:szCs w:val="24"/>
        </w:rPr>
        <w:t xml:space="preserve">is a normal scalar error term. Vertically stack the vector of errors </w:t>
      </w:r>
      <w:r w:rsidRPr="00A2305B">
        <w:rPr>
          <w:rFonts w:cs="Times New Roman"/>
          <w:noProof/>
          <w:position w:val="-16"/>
          <w:szCs w:val="24"/>
        </w:rPr>
        <w:object w:dxaOrig="2780" w:dyaOrig="400">
          <v:shape id="_x0000_i1031" type="#_x0000_t75" style="width:139.5pt;height:20.25pt" o:ole="" o:preferrelative="f">
            <v:imagedata r:id="rId23" o:title=""/>
            <o:lock v:ext="edit" aspectratio="f"/>
          </v:shape>
          <o:OLEObject Type="Embed" ProgID="Equation.DSMT4" ShapeID="_x0000_i1031" DrawAspect="Content" ObjectID="_1612165033" r:id="rId24"/>
        </w:object>
      </w:r>
      <w:r w:rsidRPr="00A2305B">
        <w:rPr>
          <w:rFonts w:cs="Times New Roman"/>
          <w:szCs w:val="24"/>
        </w:rPr>
        <w:t xml:space="preserve"> for each individual. We will assume that the </w:t>
      </w:r>
      <w:bookmarkStart w:id="6" w:name="MTBlankEqn"/>
      <w:r w:rsidRPr="00A2305B">
        <w:rPr>
          <w:rFonts w:cs="Times New Roman"/>
          <w:position w:val="-14"/>
          <w:szCs w:val="24"/>
        </w:rPr>
        <w:object w:dxaOrig="340" w:dyaOrig="380">
          <v:shape id="_x0000_i1032" type="#_x0000_t75" style="width:17.25pt;height:19.5pt" o:ole="" o:preferrelative="f">
            <v:imagedata r:id="rId25" o:title=""/>
            <o:lock v:ext="edit" aspectratio="f"/>
          </v:shape>
          <o:OLEObject Type="Embed" ProgID="Equation.DSMT4" ShapeID="_x0000_i1032" DrawAspect="Content" ObjectID="_1612165034" r:id="rId26"/>
        </w:object>
      </w:r>
      <w:bookmarkEnd w:id="6"/>
      <w:r w:rsidRPr="00A2305B">
        <w:rPr>
          <w:rFonts w:cs="Times New Roman"/>
          <w:szCs w:val="24"/>
        </w:rPr>
        <w:t xml:space="preserve">vector is identically and independently distributed across individuals with a variance-covariance matrix of </w:t>
      </w:r>
      <w:r w:rsidRPr="00A2305B">
        <w:rPr>
          <w:rFonts w:cs="Times New Roman"/>
          <w:noProof/>
          <w:position w:val="-14"/>
          <w:szCs w:val="24"/>
        </w:rPr>
        <w:object w:dxaOrig="360" w:dyaOrig="380">
          <v:shape id="_x0000_i1033" type="#_x0000_t75" style="width:18.75pt;height:19.5pt" o:ole="" o:preferrelative="f">
            <v:imagedata r:id="rId27" o:title=""/>
            <o:lock v:ext="edit" aspectratio="f"/>
          </v:shape>
          <o:OLEObject Type="Embed" ProgID="Equation.DSMT4" ShapeID="_x0000_i1033" DrawAspect="Content" ObjectID="_1612165035" r:id="rId28"/>
        </w:object>
      </w:r>
      <w:r w:rsidRPr="00A2305B">
        <w:rPr>
          <w:rFonts w:cs="Times New Roman"/>
          <w:noProof/>
          <w:szCs w:val="24"/>
        </w:rPr>
        <w:t xml:space="preserve"> (note that we allow the individual scalar error terms </w:t>
      </w:r>
      <w:r w:rsidRPr="00A2305B">
        <w:rPr>
          <w:rFonts w:cs="Times New Roman"/>
          <w:position w:val="-16"/>
          <w:szCs w:val="24"/>
        </w:rPr>
        <w:object w:dxaOrig="440" w:dyaOrig="400">
          <v:shape id="_x0000_i1034" type="#_x0000_t75" style="width:22.5pt;height:20.25pt" o:ole="" o:preferrelative="f">
            <v:imagedata r:id="rId29" o:title=""/>
            <o:lock v:ext="edit" aspectratio="f"/>
          </v:shape>
          <o:OLEObject Type="Embed" ProgID="Equation.DSMT4" ShapeID="_x0000_i1034" DrawAspect="Content" ObjectID="_1612165036" r:id="rId30"/>
        </w:object>
      </w:r>
      <w:r w:rsidRPr="00A2305B">
        <w:rPr>
          <w:rFonts w:cs="Times New Roman"/>
          <w:szCs w:val="24"/>
        </w:rPr>
        <w:t xml:space="preserve">to be non-identical and non-independently distributed across alternatives within an individual </w:t>
      </w:r>
      <w:r w:rsidRPr="00A2305B">
        <w:rPr>
          <w:rFonts w:cs="Times New Roman"/>
          <w:i/>
          <w:szCs w:val="24"/>
        </w:rPr>
        <w:t>q</w:t>
      </w:r>
      <w:r w:rsidRPr="00A2305B">
        <w:rPr>
          <w:rFonts w:cs="Times New Roman"/>
          <w:szCs w:val="24"/>
        </w:rPr>
        <w:t>)</w:t>
      </w:r>
      <w:r w:rsidRPr="00A2305B">
        <w:rPr>
          <w:rFonts w:cs="Times New Roman"/>
          <w:noProof/>
          <w:szCs w:val="24"/>
        </w:rPr>
        <w:t>.</w:t>
      </w:r>
      <w:r w:rsidRPr="00A2305B">
        <w:rPr>
          <w:rFonts w:cs="Times New Roman"/>
          <w:szCs w:val="24"/>
        </w:rPr>
        <w:t xml:space="preserve"> The size of </w:t>
      </w:r>
      <w:r w:rsidRPr="00A2305B">
        <w:rPr>
          <w:rFonts w:cs="Times New Roman"/>
          <w:noProof/>
          <w:position w:val="-14"/>
          <w:szCs w:val="24"/>
        </w:rPr>
        <w:object w:dxaOrig="340" w:dyaOrig="380">
          <v:shape id="_x0000_i1035" type="#_x0000_t75" style="width:17.25pt;height:19.5pt" o:ole="" o:preferrelative="f">
            <v:imagedata r:id="rId31" o:title=""/>
            <o:lock v:ext="edit" aspectratio="f"/>
          </v:shape>
          <o:OLEObject Type="Embed" ProgID="Equation.DSMT4" ShapeID="_x0000_i1035" DrawAspect="Content" ObjectID="_1612165037" r:id="rId32"/>
        </w:object>
      </w:r>
      <w:r w:rsidRPr="00A2305B">
        <w:rPr>
          <w:rFonts w:cs="Times New Roman"/>
          <w:szCs w:val="24"/>
        </w:rPr>
        <w:t xml:space="preserve"> is </w:t>
      </w:r>
      <w:r w:rsidRPr="00A2305B">
        <w:rPr>
          <w:rFonts w:cs="Times New Roman"/>
          <w:noProof/>
          <w:position w:val="-14"/>
          <w:szCs w:val="24"/>
        </w:rPr>
        <w:object w:dxaOrig="760" w:dyaOrig="380">
          <v:shape id="_x0000_i1036" type="#_x0000_t75" style="width:37.5pt;height:19.5pt" o:ole="" o:preferrelative="f">
            <v:imagedata r:id="rId33" o:title=""/>
            <o:lock v:ext="edit" aspectratio="f"/>
          </v:shape>
          <o:OLEObject Type="Embed" ProgID="Equation.3" ShapeID="_x0000_i1036" DrawAspect="Content" ObjectID="_1612165038" r:id="rId34"/>
        </w:object>
      </w:r>
      <w:r w:rsidRPr="00A2305B">
        <w:rPr>
          <w:rFonts w:cs="Times New Roman"/>
          <w:szCs w:val="24"/>
        </w:rPr>
        <w:t xml:space="preserve"> and the size of </w:t>
      </w:r>
      <w:r w:rsidRPr="00A2305B">
        <w:rPr>
          <w:rFonts w:cs="Times New Roman"/>
          <w:noProof/>
          <w:position w:val="-14"/>
          <w:szCs w:val="24"/>
        </w:rPr>
        <w:object w:dxaOrig="360" w:dyaOrig="380">
          <v:shape id="_x0000_i1037" type="#_x0000_t75" style="width:18.75pt;height:19.5pt" o:ole="" o:preferrelative="f">
            <v:imagedata r:id="rId35" o:title=""/>
            <o:lock v:ext="edit" aspectratio="f"/>
          </v:shape>
          <o:OLEObject Type="Embed" ProgID="Equation.DSMT4" ShapeID="_x0000_i1037" DrawAspect="Content" ObjectID="_1612165039" r:id="rId36"/>
        </w:object>
      </w:r>
      <w:r w:rsidRPr="00A2305B">
        <w:rPr>
          <w:rFonts w:cs="Times New Roman"/>
          <w:szCs w:val="24"/>
        </w:rPr>
        <w:t xml:space="preserve">is </w:t>
      </w:r>
      <w:r w:rsidRPr="00A2305B">
        <w:rPr>
          <w:rFonts w:cs="Times New Roman"/>
          <w:noProof/>
          <w:position w:val="-14"/>
          <w:szCs w:val="24"/>
        </w:rPr>
        <w:object w:dxaOrig="859" w:dyaOrig="380">
          <v:shape id="_x0000_i1038" type="#_x0000_t75" style="width:43.5pt;height:19.5pt" o:ole="" o:preferrelative="f">
            <v:imagedata r:id="rId37" o:title=""/>
            <o:lock v:ext="edit" aspectratio="f"/>
          </v:shape>
          <o:OLEObject Type="Embed" ProgID="Equation.3" ShapeID="_x0000_i1038" DrawAspect="Content" ObjectID="_1612165040" r:id="rId38"/>
        </w:object>
      </w:r>
      <w:r w:rsidRPr="00A2305B">
        <w:rPr>
          <w:rFonts w:cs="Times New Roman"/>
          <w:noProof/>
          <w:szCs w:val="24"/>
        </w:rPr>
        <w:t xml:space="preserve"> </w:t>
      </w:r>
      <w:proofErr w:type="gramStart"/>
      <w:r w:rsidRPr="00A2305B">
        <w:rPr>
          <w:rFonts w:cs="Times New Roman"/>
          <w:szCs w:val="24"/>
        </w:rPr>
        <w:t>The</w:t>
      </w:r>
      <w:proofErr w:type="gramEnd"/>
      <w:r w:rsidRPr="00A2305B">
        <w:rPr>
          <w:rFonts w:cs="Times New Roman"/>
          <w:szCs w:val="24"/>
        </w:rPr>
        <w:t xml:space="preserve"> model above may be written in a more compact form by defining the following vectors and matrices: </w:t>
      </w:r>
      <w:r w:rsidRPr="00A2305B">
        <w:rPr>
          <w:rFonts w:cs="Times New Roman"/>
          <w:noProof/>
          <w:position w:val="-16"/>
          <w:szCs w:val="24"/>
        </w:rPr>
        <w:object w:dxaOrig="2600" w:dyaOrig="400">
          <v:shape id="_x0000_i1039" type="#_x0000_t75" style="width:130.5pt;height:20.25pt" o:ole="" o:preferrelative="f">
            <v:imagedata r:id="rId39" o:title=""/>
            <o:lock v:ext="edit" aspectratio="f"/>
          </v:shape>
          <o:OLEObject Type="Embed" ProgID="Equation.DSMT4" ShapeID="_x0000_i1039" DrawAspect="Content" ObjectID="_1612165041" r:id="rId40"/>
        </w:object>
      </w:r>
      <w:r w:rsidRPr="00A2305B">
        <w:rPr>
          <w:rFonts w:cs="Times New Roman"/>
          <w:szCs w:val="24"/>
          <w:lang w:val="fr-FR"/>
        </w:rPr>
        <w:t xml:space="preserve"> </w:t>
      </w:r>
      <w:r w:rsidRPr="00A2305B">
        <w:rPr>
          <w:rFonts w:cs="Times New Roman"/>
          <w:noProof/>
          <w:position w:val="-14"/>
          <w:szCs w:val="24"/>
        </w:rPr>
        <w:object w:dxaOrig="660" w:dyaOrig="380">
          <v:shape id="_x0000_i1040" type="#_x0000_t75" style="width:33.75pt;height:19.5pt" o:ole="" o:preferrelative="f">
            <v:imagedata r:id="rId41" o:title=""/>
            <o:lock v:ext="edit" aspectratio="f"/>
          </v:shape>
          <o:OLEObject Type="Embed" ProgID="Equation.3" ShapeID="_x0000_i1040" DrawAspect="Content" ObjectID="_1612165042" r:id="rId42"/>
        </w:object>
      </w:r>
      <w:r w:rsidRPr="00A2305B">
        <w:rPr>
          <w:rFonts w:cs="Times New Roman"/>
          <w:szCs w:val="24"/>
          <w:lang w:val="fr-FR"/>
        </w:rPr>
        <w:t xml:space="preserve"> </w:t>
      </w:r>
      <w:proofErr w:type="spellStart"/>
      <w:r w:rsidRPr="00A2305B">
        <w:rPr>
          <w:rFonts w:cs="Times New Roman"/>
          <w:szCs w:val="24"/>
          <w:lang w:val="fr-FR"/>
        </w:rPr>
        <w:t>vector</w:t>
      </w:r>
      <w:proofErr w:type="spellEnd"/>
      <w:r w:rsidRPr="00A2305B">
        <w:rPr>
          <w:rFonts w:cs="Times New Roman"/>
          <w:szCs w:val="24"/>
          <w:lang w:val="fr-FR"/>
        </w:rPr>
        <w:t>),</w:t>
      </w:r>
      <w:r w:rsidRPr="00A2305B">
        <w:rPr>
          <w:rFonts w:cs="Times New Roman"/>
          <w:szCs w:val="24"/>
        </w:rPr>
        <w:t xml:space="preserve"> </w:t>
      </w:r>
      <w:r w:rsidRPr="00A2305B">
        <w:rPr>
          <w:rFonts w:cs="Times New Roman"/>
          <w:noProof/>
          <w:position w:val="-16"/>
          <w:szCs w:val="24"/>
        </w:rPr>
        <w:object w:dxaOrig="2920" w:dyaOrig="400">
          <v:shape id="_x0000_i1041" type="#_x0000_t75" style="width:145.5pt;height:20.25pt" o:ole="" o:preferrelative="f">
            <v:imagedata r:id="rId43" o:title=""/>
            <o:lock v:ext="edit" aspectratio="f"/>
          </v:shape>
          <o:OLEObject Type="Embed" ProgID="Equation.3" ShapeID="_x0000_i1041" DrawAspect="Content" ObjectID="_1612165043" r:id="rId44"/>
        </w:object>
      </w:r>
      <w:r w:rsidRPr="00A2305B">
        <w:rPr>
          <w:rFonts w:cs="Times New Roman"/>
          <w:noProof/>
          <w:position w:val="-14"/>
          <w:szCs w:val="24"/>
        </w:rPr>
        <w:object w:dxaOrig="760" w:dyaOrig="380">
          <v:shape id="_x0000_i1042" type="#_x0000_t75" style="width:37.5pt;height:19.5pt" o:ole="" o:preferrelative="f">
            <v:imagedata r:id="rId45" o:title=""/>
            <o:lock v:ext="edit" aspectratio="f"/>
          </v:shape>
          <o:OLEObject Type="Embed" ProgID="Equation.3" ShapeID="_x0000_i1042" DrawAspect="Content" ObjectID="_1612165044" r:id="rId46"/>
        </w:object>
      </w:r>
      <w:r w:rsidRPr="00A2305B">
        <w:rPr>
          <w:rFonts w:cs="Times New Roman"/>
          <w:szCs w:val="24"/>
          <w:lang w:val="fr-FR"/>
        </w:rPr>
        <w:t xml:space="preserve"> matrix),</w:t>
      </w:r>
      <w:r w:rsidRPr="00A2305B">
        <w:rPr>
          <w:rFonts w:cs="Times New Roman"/>
          <w:szCs w:val="24"/>
        </w:rPr>
        <w:t xml:space="preserve"> and </w:t>
      </w:r>
      <w:r w:rsidRPr="00A2305B">
        <w:rPr>
          <w:rFonts w:cs="Times New Roman"/>
          <w:noProof/>
          <w:position w:val="-14"/>
          <w:szCs w:val="24"/>
        </w:rPr>
        <w:object w:dxaOrig="1160" w:dyaOrig="380">
          <v:shape id="_x0000_i1043" type="#_x0000_t75" style="width:58.5pt;height:19.5pt" o:ole="" o:preferrelative="f">
            <v:imagedata r:id="rId47" o:title=""/>
            <o:lock v:ext="edit" aspectratio="f"/>
          </v:shape>
          <o:OLEObject Type="Embed" ProgID="Equation.DSMT4" ShapeID="_x0000_i1043" DrawAspect="Content" ObjectID="_1612165045" r:id="rId48"/>
        </w:object>
      </w:r>
      <w:r w:rsidRPr="00A2305B">
        <w:rPr>
          <w:rFonts w:cs="Times New Roman"/>
          <w:szCs w:val="24"/>
        </w:rPr>
        <w:t xml:space="preserve"> </w:t>
      </w:r>
      <w:r w:rsidRPr="00A2305B">
        <w:rPr>
          <w:rFonts w:cs="Times New Roman"/>
          <w:noProof/>
          <w:position w:val="-14"/>
          <w:szCs w:val="24"/>
        </w:rPr>
        <w:object w:dxaOrig="680" w:dyaOrig="380">
          <v:shape id="_x0000_i1044" type="#_x0000_t75" style="width:34.5pt;height:19.5pt" o:ole="" o:preferrelative="f">
            <v:imagedata r:id="rId49" o:title=""/>
            <o:lock v:ext="edit" aspectratio="f"/>
          </v:shape>
          <o:OLEObject Type="Embed" ProgID="Equation.3" ShapeID="_x0000_i1044" DrawAspect="Content" ObjectID="_1612165046" r:id="rId50"/>
        </w:object>
      </w:r>
      <w:r w:rsidRPr="00A2305B">
        <w:rPr>
          <w:rFonts w:cs="Times New Roman"/>
          <w:szCs w:val="24"/>
        </w:rPr>
        <w:t xml:space="preserve"> vector</w:t>
      </w:r>
      <w:r w:rsidRPr="00A2305B">
        <w:rPr>
          <w:rFonts w:cs="Times New Roman"/>
          <w:szCs w:val="24"/>
          <w:lang w:val="fr-FR"/>
        </w:rPr>
        <w:t xml:space="preserve">). </w:t>
      </w:r>
      <w:proofErr w:type="spellStart"/>
      <w:r w:rsidRPr="00A2305B">
        <w:rPr>
          <w:rFonts w:cs="Times New Roman"/>
          <w:szCs w:val="24"/>
          <w:lang w:val="fr-FR"/>
        </w:rPr>
        <w:t>Then</w:t>
      </w:r>
      <w:proofErr w:type="spellEnd"/>
      <w:r w:rsidRPr="00A2305B">
        <w:rPr>
          <w:rFonts w:cs="Times New Roman"/>
          <w:szCs w:val="24"/>
          <w:lang w:val="fr-FR"/>
        </w:rPr>
        <w:t xml:space="preserve">, </w:t>
      </w:r>
      <w:r w:rsidRPr="00A2305B">
        <w:rPr>
          <w:rFonts w:cs="Times New Roman"/>
          <w:noProof/>
          <w:position w:val="-16"/>
          <w:szCs w:val="24"/>
        </w:rPr>
        <w:object w:dxaOrig="2240" w:dyaOrig="400">
          <v:shape id="_x0000_i1045" type="#_x0000_t75" style="width:112.5pt;height:20.25pt" o:ole="" o:preferrelative="f">
            <v:imagedata r:id="rId51" o:title=""/>
            <o:lock v:ext="edit" aspectratio="f"/>
          </v:shape>
          <o:OLEObject Type="Embed" ProgID="Equation.DSMT4" ShapeID="_x0000_i1045" DrawAspect="Content" ObjectID="_1612165047" r:id="rId52"/>
        </w:object>
      </w:r>
      <w:r w:rsidRPr="00A2305B">
        <w:rPr>
          <w:rFonts w:cs="Times New Roman"/>
          <w:szCs w:val="24"/>
        </w:rPr>
        <w:t xml:space="preserve">where </w:t>
      </w:r>
      <w:r w:rsidRPr="00A2305B">
        <w:rPr>
          <w:rFonts w:cs="Times New Roman"/>
          <w:noProof/>
          <w:position w:val="-16"/>
          <w:szCs w:val="24"/>
        </w:rPr>
        <w:object w:dxaOrig="1620" w:dyaOrig="400">
          <v:shape id="_x0000_i1046" type="#_x0000_t75" style="width:81.75pt;height:20.25pt" o:ole="" o:preferrelative="f">
            <v:imagedata r:id="rId53" o:title=""/>
            <o:lock v:ext="edit" aspectratio="f"/>
          </v:shape>
          <o:OLEObject Type="Embed" ProgID="Equation.DSMT4" ShapeID="_x0000_i1046" DrawAspect="Content" ObjectID="_1612165048" r:id="rId54"/>
        </w:object>
      </w:r>
      <w:r w:rsidRPr="00A2305B">
        <w:rPr>
          <w:rFonts w:cs="Times New Roman"/>
          <w:szCs w:val="24"/>
        </w:rPr>
        <w:t xml:space="preserve"> is the multivariate normal distribution with mean vector </w:t>
      </w:r>
      <w:r w:rsidRPr="00A2305B">
        <w:rPr>
          <w:rFonts w:cs="Times New Roman"/>
          <w:noProof/>
          <w:position w:val="-14"/>
          <w:szCs w:val="24"/>
        </w:rPr>
        <w:object w:dxaOrig="360" w:dyaOrig="380">
          <v:shape id="_x0000_i1047" type="#_x0000_t75" style="width:18.75pt;height:19.5pt" o:ole="" o:preferrelative="f">
            <v:imagedata r:id="rId55" o:title=""/>
            <o:lock v:ext="edit" aspectratio="f"/>
          </v:shape>
          <o:OLEObject Type="Embed" ProgID="Equation.DSMT4" ShapeID="_x0000_i1047" DrawAspect="Content" ObjectID="_1612165049" r:id="rId56"/>
        </w:object>
      </w:r>
      <w:r w:rsidRPr="00A2305B">
        <w:rPr>
          <w:rFonts w:cs="Times New Roman"/>
          <w:szCs w:val="24"/>
        </w:rPr>
        <w:t xml:space="preserve"> and covariance </w:t>
      </w:r>
      <w:r w:rsidRPr="00A2305B">
        <w:rPr>
          <w:rFonts w:cs="Times New Roman"/>
          <w:noProof/>
          <w:position w:val="-14"/>
          <w:szCs w:val="24"/>
        </w:rPr>
        <w:object w:dxaOrig="420" w:dyaOrig="380">
          <v:shape id="_x0000_i1048" type="#_x0000_t75" style="width:20.25pt;height:19.5pt" o:ole="" o:preferrelative="f">
            <v:imagedata r:id="rId57" o:title=""/>
            <o:lock v:ext="edit" aspectratio="f"/>
          </v:shape>
          <o:OLEObject Type="Embed" ProgID="Equation.DSMT4" ShapeID="_x0000_i1048" DrawAspect="Content" ObjectID="_1612165050" r:id="rId58"/>
        </w:object>
      </w:r>
      <w:r w:rsidRPr="00A2305B">
        <w:rPr>
          <w:rFonts w:cs="Times New Roman"/>
          <w:szCs w:val="24"/>
        </w:rPr>
        <w:t xml:space="preserve"> </w:t>
      </w:r>
    </w:p>
    <w:p w:rsidR="00751138" w:rsidRPr="00A2305B" w:rsidRDefault="00751138" w:rsidP="00A2305B">
      <w:pPr>
        <w:adjustRightInd w:val="0"/>
        <w:snapToGrid w:val="0"/>
        <w:ind w:firstLine="720"/>
        <w:jc w:val="both"/>
        <w:rPr>
          <w:rFonts w:eastAsia="Calibri" w:cs="Times New Roman"/>
          <w:szCs w:val="24"/>
        </w:rPr>
      </w:pPr>
      <w:r w:rsidRPr="00A2305B">
        <w:rPr>
          <w:rFonts w:cs="Times New Roman"/>
          <w:noProof/>
          <w:szCs w:val="24"/>
        </w:rPr>
        <w:t xml:space="preserve">Next, </w:t>
      </w:r>
      <w:r w:rsidRPr="00A2305B">
        <w:rPr>
          <w:rFonts w:cs="Times New Roman"/>
          <w:szCs w:val="24"/>
        </w:rPr>
        <w:t xml:space="preserve">let </w:t>
      </w:r>
      <w:r w:rsidRPr="00A2305B">
        <w:rPr>
          <w:rFonts w:cs="Times New Roman"/>
          <w:noProof/>
          <w:position w:val="-18"/>
          <w:szCs w:val="24"/>
        </w:rPr>
        <w:object w:dxaOrig="5679" w:dyaOrig="600">
          <v:shape id="_x0000_i1049" type="#_x0000_t75" style="width:283.5pt;height:30pt" o:ole="" o:preferrelative="f">
            <v:imagedata r:id="rId59" o:title=""/>
            <o:lock v:ext="edit" aspectratio="f"/>
          </v:shape>
          <o:OLEObject Type="Embed" ProgID="Equation.DSMT4" ShapeID="_x0000_i1049" DrawAspect="Content" ObjectID="_1612165051" r:id="rId60"/>
        </w:object>
      </w:r>
      <w:r w:rsidRPr="00A2305B">
        <w:rPr>
          <w:rFonts w:cs="Times New Roman"/>
          <w:szCs w:val="24"/>
        </w:rPr>
        <w:t xml:space="preserve">vector] (so </w:t>
      </w:r>
      <w:r w:rsidRPr="00A2305B">
        <w:rPr>
          <w:rFonts w:cs="Times New Roman"/>
          <w:noProof/>
          <w:position w:val="-14"/>
          <w:szCs w:val="24"/>
        </w:rPr>
        <w:object w:dxaOrig="360" w:dyaOrig="400">
          <v:shape id="_x0000_i1050" type="#_x0000_t75" style="width:18.75pt;height:20.25pt" o:ole="" o:preferrelative="f">
            <v:imagedata r:id="rId61" o:title=""/>
            <o:lock v:ext="edit" aspectratio="f"/>
          </v:shape>
          <o:OLEObject Type="Embed" ProgID="Equation.DSMT4" ShapeID="_x0000_i1050" DrawAspect="Content" ObjectID="_1612165052" r:id="rId62"/>
        </w:object>
      </w:r>
      <w:r w:rsidRPr="00A2305B">
        <w:rPr>
          <w:rFonts w:cs="Times New Roman"/>
          <w:szCs w:val="24"/>
        </w:rPr>
        <w:t xml:space="preserve"> is the vector of utility differences taken with respect to the first alternative for nominal variable </w:t>
      </w:r>
      <w:r w:rsidRPr="00A2305B">
        <w:rPr>
          <w:rFonts w:cs="Times New Roman"/>
          <w:i/>
          <w:szCs w:val="24"/>
        </w:rPr>
        <w:t>g</w:t>
      </w:r>
      <w:r w:rsidRPr="00A2305B">
        <w:rPr>
          <w:rFonts w:cs="Times New Roman"/>
          <w:szCs w:val="24"/>
        </w:rPr>
        <w:t xml:space="preserve">).  Now, for any nominal variable, the full covariance matrix </w:t>
      </w:r>
      <w:r w:rsidRPr="00A2305B">
        <w:rPr>
          <w:rFonts w:cs="Times New Roman"/>
          <w:noProof/>
          <w:position w:val="-14"/>
          <w:szCs w:val="24"/>
        </w:rPr>
        <w:object w:dxaOrig="360" w:dyaOrig="380">
          <v:shape id="_x0000_i1051" type="#_x0000_t75" style="width:18.75pt;height:19.5pt" o:ole="" o:preferrelative="f">
            <v:imagedata r:id="rId63" o:title=""/>
            <o:lock v:ext="edit" aspectratio="f"/>
          </v:shape>
          <o:OLEObject Type="Embed" ProgID="Equation.DSMT4" ShapeID="_x0000_i1051" DrawAspect="Content" ObjectID="_1612165053" r:id="rId64"/>
        </w:object>
      </w:r>
      <w:r w:rsidRPr="00A2305B">
        <w:rPr>
          <w:rFonts w:cs="Times New Roman"/>
          <w:szCs w:val="24"/>
        </w:rPr>
        <w:t xml:space="preserve"> of the original error terms in the utilities is not identifiable. One approach to estimation, typically used in univariate multinomial </w:t>
      </w:r>
      <w:proofErr w:type="spellStart"/>
      <w:r w:rsidRPr="00A2305B">
        <w:rPr>
          <w:rFonts w:cs="Times New Roman"/>
          <w:szCs w:val="24"/>
        </w:rPr>
        <w:t>probit</w:t>
      </w:r>
      <w:proofErr w:type="spellEnd"/>
      <w:r w:rsidRPr="00A2305B">
        <w:rPr>
          <w:rFonts w:cs="Times New Roman"/>
          <w:szCs w:val="24"/>
        </w:rPr>
        <w:t xml:space="preserve"> models, is to take the difference of the utilities with respect to the first alternative (that is, consider the differenced utility </w:t>
      </w:r>
      <w:proofErr w:type="gramStart"/>
      <w:r w:rsidRPr="00A2305B">
        <w:rPr>
          <w:rFonts w:cs="Times New Roman"/>
          <w:szCs w:val="24"/>
        </w:rPr>
        <w:t xml:space="preserve">vector </w:t>
      </w:r>
      <w:proofErr w:type="gramEnd"/>
      <w:r w:rsidRPr="00A2305B">
        <w:rPr>
          <w:rFonts w:cs="Times New Roman"/>
          <w:noProof/>
          <w:position w:val="-14"/>
          <w:szCs w:val="24"/>
        </w:rPr>
        <w:object w:dxaOrig="360" w:dyaOrig="400">
          <v:shape id="_x0000_i1052" type="#_x0000_t75" style="width:18.75pt;height:20.25pt" o:ole="" o:preferrelative="f">
            <v:imagedata r:id="rId65" o:title=""/>
            <o:lock v:ext="edit" aspectratio="f"/>
          </v:shape>
          <o:OLEObject Type="Embed" ProgID="Equation.DSMT4" ShapeID="_x0000_i1052" DrawAspect="Content" ObjectID="_1612165054" r:id="rId66"/>
        </w:object>
      </w:r>
      <w:r w:rsidRPr="00A2305B">
        <w:rPr>
          <w:rFonts w:cs="Times New Roman"/>
          <w:noProof/>
          <w:szCs w:val="24"/>
        </w:rPr>
        <w:t>)</w:t>
      </w:r>
      <w:r w:rsidRPr="00A2305B">
        <w:rPr>
          <w:rFonts w:cs="Times New Roman"/>
          <w:szCs w:val="24"/>
        </w:rPr>
        <w:t xml:space="preserve">, and estimate the covariance matrix of </w:t>
      </w:r>
      <w:r w:rsidRPr="00A2305B">
        <w:rPr>
          <w:rFonts w:cs="Times New Roman"/>
          <w:noProof/>
          <w:position w:val="-14"/>
          <w:szCs w:val="24"/>
        </w:rPr>
        <w:object w:dxaOrig="360" w:dyaOrig="400">
          <v:shape id="_x0000_i1053" type="#_x0000_t75" style="width:18.75pt;height:20.25pt" o:ole="" o:preferrelative="f">
            <v:imagedata r:id="rId67" o:title=""/>
            <o:lock v:ext="edit" aspectratio="f"/>
          </v:shape>
          <o:OLEObject Type="Embed" ProgID="Equation.DSMT4" ShapeID="_x0000_i1053" DrawAspect="Content" ObjectID="_1612165055" r:id="rId68"/>
        </w:object>
      </w:r>
      <w:r w:rsidRPr="00A2305B">
        <w:rPr>
          <w:rFonts w:cs="Times New Roman"/>
          <w:szCs w:val="24"/>
        </w:rPr>
        <w:t xml:space="preserve"> after scaling the first diagonal term to one. Defining </w:t>
      </w:r>
      <w:r w:rsidRPr="00A2305B">
        <w:rPr>
          <w:rFonts w:eastAsia="Calibri" w:cs="Times New Roman"/>
          <w:position w:val="-14"/>
          <w:szCs w:val="24"/>
        </w:rPr>
        <w:object w:dxaOrig="400" w:dyaOrig="380">
          <v:shape id="_x0000_i1054" type="#_x0000_t75" style="width:20.25pt;height:19.5pt" o:ole="" o:preferrelative="f">
            <v:imagedata r:id="rId69" o:title=""/>
            <o:lock v:ext="edit" aspectratio="f"/>
          </v:shape>
          <o:OLEObject Type="Embed" ProgID="Equation.DSMT4" ShapeID="_x0000_i1054" DrawAspect="Content" ObjectID="_1612165056" r:id="rId70"/>
        </w:object>
      </w:r>
      <w:r w:rsidRPr="00A2305B">
        <w:rPr>
          <w:rFonts w:cs="Times New Roman"/>
          <w:szCs w:val="24"/>
        </w:rPr>
        <w:t xml:space="preserve">as </w:t>
      </w:r>
      <w:proofErr w:type="gramStart"/>
      <w:r w:rsidRPr="00A2305B">
        <w:rPr>
          <w:rFonts w:cs="Times New Roman"/>
          <w:szCs w:val="24"/>
        </w:rPr>
        <w:t>an</w:t>
      </w:r>
      <w:proofErr w:type="gramEnd"/>
      <w:r w:rsidRPr="00A2305B">
        <w:rPr>
          <w:rFonts w:cs="Times New Roman"/>
          <w:szCs w:val="24"/>
        </w:rPr>
        <w:t xml:space="preserve"> </w:t>
      </w:r>
      <w:r w:rsidRPr="00A2305B">
        <w:rPr>
          <w:rFonts w:eastAsia="Calibri" w:cs="Times New Roman"/>
          <w:position w:val="-14"/>
          <w:szCs w:val="24"/>
        </w:rPr>
        <w:object w:dxaOrig="1164" w:dyaOrig="372">
          <v:shape id="_x0000_i1055" type="#_x0000_t75" style="width:58.5pt;height:19.5pt" o:ole="" o:preferrelative="f">
            <v:imagedata r:id="rId71" o:title=""/>
            <o:lock v:ext="edit" aspectratio="f"/>
          </v:shape>
          <o:OLEObject Type="Embed" ProgID="Equation.3" ShapeID="_x0000_i1055" DrawAspect="Content" ObjectID="_1612165057" r:id="rId72"/>
        </w:object>
      </w:r>
      <w:r w:rsidRPr="00A2305B">
        <w:rPr>
          <w:rFonts w:cs="Times New Roman"/>
          <w:szCs w:val="24"/>
        </w:rPr>
        <w:t xml:space="preserve"> matrix that corresponds to an </w:t>
      </w:r>
      <w:r w:rsidRPr="00A2305B">
        <w:rPr>
          <w:rFonts w:eastAsia="Calibri" w:cs="Times New Roman"/>
          <w:position w:val="-14"/>
          <w:szCs w:val="24"/>
        </w:rPr>
        <w:object w:dxaOrig="768" w:dyaOrig="372">
          <v:shape id="_x0000_i1056" type="#_x0000_t75" style="width:37.5pt;height:19.5pt" o:ole="" o:preferrelative="f">
            <v:imagedata r:id="rId73" o:title=""/>
            <o:lock v:ext="edit" aspectratio="f"/>
          </v:shape>
          <o:OLEObject Type="Embed" ProgID="Equation.3" ShapeID="_x0000_i1056" DrawAspect="Content" ObjectID="_1612165058" r:id="rId74"/>
        </w:object>
      </w:r>
      <w:r w:rsidRPr="00A2305B">
        <w:rPr>
          <w:rFonts w:cs="Times New Roman"/>
          <w:szCs w:val="24"/>
        </w:rPr>
        <w:t xml:space="preserve"> identity matrix with an extra column of –1’s added as the first column, we may write: </w:t>
      </w:r>
    </w:p>
    <w:p w:rsidR="00751138" w:rsidRPr="00A2305B" w:rsidRDefault="00751138" w:rsidP="00A2305B">
      <w:pPr>
        <w:tabs>
          <w:tab w:val="right" w:pos="9360"/>
        </w:tabs>
        <w:spacing w:before="120" w:after="120"/>
        <w:jc w:val="both"/>
        <w:rPr>
          <w:rFonts w:cs="Times New Roman"/>
          <w:szCs w:val="24"/>
        </w:rPr>
      </w:pPr>
      <w:r w:rsidRPr="00A2305B">
        <w:rPr>
          <w:rFonts w:eastAsia="Calibri" w:cs="Times New Roman"/>
          <w:position w:val="-16"/>
          <w:szCs w:val="24"/>
        </w:rPr>
        <w:object w:dxaOrig="6600" w:dyaOrig="440">
          <v:shape id="_x0000_i1057" type="#_x0000_t75" style="width:330.75pt;height:22.5pt" o:ole="" o:preferrelative="f">
            <v:imagedata r:id="rId75" o:title=""/>
            <o:lock v:ext="edit" aspectratio="f"/>
          </v:shape>
          <o:OLEObject Type="Embed" ProgID="Equation.DSMT4" ShapeID="_x0000_i1057" DrawAspect="Content" ObjectID="_1612165059" r:id="rId76"/>
        </w:object>
      </w:r>
      <w:r w:rsidRPr="00A2305B">
        <w:rPr>
          <w:rFonts w:cs="Times New Roman"/>
          <w:szCs w:val="24"/>
        </w:rPr>
        <w:t xml:space="preserve"> </w:t>
      </w:r>
      <w:r w:rsidRPr="00A2305B">
        <w:rPr>
          <w:rFonts w:cs="Times New Roman"/>
          <w:szCs w:val="24"/>
        </w:rPr>
        <w:tab/>
        <w:t>(2)</w:t>
      </w:r>
      <w:r w:rsidRPr="00A2305B" w:rsidDel="00CB718B">
        <w:rPr>
          <w:rFonts w:cs="Times New Roman"/>
          <w:noProof/>
          <w:szCs w:val="24"/>
        </w:rPr>
        <w:t xml:space="preserve"> </w:t>
      </w:r>
    </w:p>
    <w:p w:rsidR="00751138" w:rsidRPr="00A2305B" w:rsidRDefault="00751138" w:rsidP="00A2305B">
      <w:pPr>
        <w:jc w:val="both"/>
        <w:rPr>
          <w:rFonts w:eastAsia="Calibri" w:cs="Times New Roman"/>
          <w:szCs w:val="24"/>
        </w:rPr>
      </w:pPr>
      <w:r w:rsidRPr="00A2305B">
        <w:rPr>
          <w:rFonts w:cs="Times New Roman"/>
          <w:szCs w:val="24"/>
        </w:rPr>
        <w:t xml:space="preserve">The discussion above focuses on a single nominal variable </w:t>
      </w:r>
      <w:r w:rsidRPr="00A2305B">
        <w:rPr>
          <w:rFonts w:cs="Times New Roman"/>
          <w:i/>
          <w:szCs w:val="24"/>
        </w:rPr>
        <w:t>g</w:t>
      </w:r>
      <w:r w:rsidRPr="00A2305B">
        <w:rPr>
          <w:rFonts w:cs="Times New Roman"/>
          <w:szCs w:val="24"/>
        </w:rPr>
        <w:t xml:space="preserve">. When there are </w:t>
      </w:r>
      <w:r w:rsidRPr="00A2305B">
        <w:rPr>
          <w:rFonts w:cs="Times New Roman"/>
          <w:i/>
          <w:szCs w:val="24"/>
        </w:rPr>
        <w:t>G</w:t>
      </w:r>
      <w:r w:rsidRPr="00A2305B">
        <w:rPr>
          <w:rFonts w:cs="Times New Roman"/>
          <w:szCs w:val="24"/>
        </w:rPr>
        <w:t xml:space="preserve"> nominal variables, consider the stacked </w:t>
      </w:r>
      <w:r w:rsidRPr="00A2305B">
        <w:rPr>
          <w:rFonts w:eastAsia="Calibri" w:cs="Times New Roman"/>
          <w:position w:val="-6"/>
          <w:szCs w:val="24"/>
        </w:rPr>
        <w:object w:dxaOrig="680" w:dyaOrig="340">
          <v:shape id="_x0000_i1058" type="#_x0000_t75" style="width:34.5pt;height:16.5pt" o:ole="">
            <v:imagedata r:id="rId77" o:title=""/>
          </v:shape>
          <o:OLEObject Type="Embed" ProgID="Equation.DSMT4" ShapeID="_x0000_i1058" DrawAspect="Content" ObjectID="_1612165060" r:id="rId78"/>
        </w:object>
      </w:r>
      <w:proofErr w:type="gramStart"/>
      <w:r w:rsidRPr="00A2305B">
        <w:rPr>
          <w:rFonts w:cs="Times New Roman"/>
          <w:szCs w:val="24"/>
        </w:rPr>
        <w:t xml:space="preserve">vector </w:t>
      </w:r>
      <w:proofErr w:type="gramEnd"/>
      <w:r w:rsidRPr="00A2305B">
        <w:rPr>
          <w:rFonts w:cs="Times New Roman"/>
          <w:position w:val="-38"/>
          <w:szCs w:val="24"/>
        </w:rPr>
        <w:object w:dxaOrig="2280" w:dyaOrig="880">
          <v:shape id="_x0000_i1059" type="#_x0000_t75" style="width:114pt;height:44.25pt" o:ole="">
            <v:imagedata r:id="rId79" o:title=""/>
          </v:shape>
          <o:OLEObject Type="Embed" ProgID="Equation.3" ShapeID="_x0000_i1059" DrawAspect="Content" ObjectID="_1612165061" r:id="rId80"/>
        </w:object>
      </w:r>
      <w:r w:rsidRPr="00A2305B">
        <w:rPr>
          <w:rFonts w:cs="Times New Roman"/>
          <w:szCs w:val="24"/>
        </w:rPr>
        <w:t xml:space="preserve">, where </w:t>
      </w:r>
      <w:r w:rsidRPr="00A2305B">
        <w:rPr>
          <w:rFonts w:eastAsia="Calibri" w:cs="Times New Roman"/>
          <w:position w:val="-30"/>
          <w:szCs w:val="24"/>
        </w:rPr>
        <w:object w:dxaOrig="1560" w:dyaOrig="696">
          <v:shape id="_x0000_i1060" type="#_x0000_t75" style="width:77.25pt;height:35.25pt" o:ole="" o:preferrelative="f">
            <v:imagedata r:id="rId81" o:title=""/>
            <o:lock v:ext="edit" aspectratio="f"/>
          </v:shape>
          <o:OLEObject Type="Embed" ProgID="Equation.3" ShapeID="_x0000_i1060" DrawAspect="Content" ObjectID="_1612165062" r:id="rId82"/>
        </w:object>
      </w:r>
      <w:r w:rsidRPr="00A2305B">
        <w:rPr>
          <w:rFonts w:cs="Times New Roman"/>
          <w:szCs w:val="24"/>
        </w:rPr>
        <w:t xml:space="preserve">. One may write </w:t>
      </w:r>
      <w:r w:rsidRPr="00A2305B">
        <w:rPr>
          <w:rFonts w:eastAsia="Calibri" w:cs="Times New Roman"/>
          <w:position w:val="-14"/>
          <w:szCs w:val="24"/>
        </w:rPr>
        <w:object w:dxaOrig="2020" w:dyaOrig="400">
          <v:shape id="_x0000_i1061" type="#_x0000_t75" style="width:100.5pt;height:20.25pt" o:ole="" o:preferrelative="f">
            <v:imagedata r:id="rId83" o:title=""/>
            <o:lock v:ext="edit" aspectratio="f"/>
          </v:shape>
          <o:OLEObject Type="Embed" ProgID="Equation.DSMT4" ShapeID="_x0000_i1061" DrawAspect="Content" ObjectID="_1612165063" r:id="rId84"/>
        </w:object>
      </w:r>
      <w:r w:rsidRPr="00A2305B">
        <w:rPr>
          <w:rFonts w:cs="Times New Roman"/>
          <w:szCs w:val="24"/>
        </w:rPr>
        <w:t xml:space="preserve"> where </w:t>
      </w:r>
      <w:r w:rsidRPr="00A2305B">
        <w:rPr>
          <w:rFonts w:cs="Times New Roman"/>
          <w:position w:val="-14"/>
          <w:szCs w:val="24"/>
        </w:rPr>
        <w:object w:dxaOrig="2299" w:dyaOrig="480">
          <v:shape id="_x0000_i1062" type="#_x0000_t75" style="width:115.5pt;height:23.25pt" o:ole="">
            <v:imagedata r:id="rId85" o:title=""/>
          </v:shape>
          <o:OLEObject Type="Embed" ProgID="Equation.3" ShapeID="_x0000_i1062" DrawAspect="Content" ObjectID="_1612165064" r:id="rId86"/>
        </w:object>
      </w:r>
      <w:r w:rsidRPr="00A2305B">
        <w:rPr>
          <w:rFonts w:cs="Times New Roman"/>
          <w:szCs w:val="24"/>
        </w:rPr>
        <w:t xml:space="preserve"> and </w:t>
      </w:r>
      <w:r w:rsidRPr="00A2305B">
        <w:rPr>
          <w:rFonts w:cs="Times New Roman"/>
          <w:position w:val="-4"/>
          <w:szCs w:val="24"/>
        </w:rPr>
        <w:object w:dxaOrig="220" w:dyaOrig="260">
          <v:shape id="_x0000_i1063" type="#_x0000_t75" style="width:10.5pt;height:12.75pt" o:ole="" o:preferrelative="f">
            <v:imagedata r:id="rId87" o:title=""/>
            <o:lock v:ext="edit" aspectratio="f"/>
          </v:shape>
          <o:OLEObject Type="Embed" ProgID="Equation.DSMT4" ShapeID="_x0000_i1063" DrawAspect="Content" ObjectID="_1612165065" r:id="rId88"/>
        </w:object>
      </w:r>
      <w:r w:rsidRPr="00A2305B">
        <w:rPr>
          <w:rFonts w:eastAsia="Calibri" w:cs="Times New Roman"/>
          <w:szCs w:val="24"/>
        </w:rPr>
        <w:t xml:space="preserve"> </w:t>
      </w:r>
      <w:r w:rsidRPr="00A2305B">
        <w:rPr>
          <w:rFonts w:cs="Times New Roman"/>
          <w:szCs w:val="24"/>
        </w:rPr>
        <w:t xml:space="preserve">is a </w:t>
      </w:r>
      <w:r w:rsidRPr="00A2305B">
        <w:rPr>
          <w:rFonts w:eastAsia="Calibri" w:cs="Times New Roman"/>
          <w:position w:val="-6"/>
          <w:szCs w:val="24"/>
        </w:rPr>
        <w:object w:dxaOrig="636" w:dyaOrig="336">
          <v:shape id="_x0000_i1064" type="#_x0000_t75" style="width:31.5pt;height:17.25pt" o:ole="" o:preferrelative="f">
            <v:imagedata r:id="rId89" o:title=""/>
            <o:lock v:ext="edit" aspectratio="f"/>
          </v:shape>
          <o:OLEObject Type="Embed" ProgID="Equation.3" ShapeID="_x0000_i1064" DrawAspect="Content" ObjectID="_1612165066" r:id="rId90"/>
        </w:object>
      </w:r>
      <w:r w:rsidRPr="00A2305B">
        <w:rPr>
          <w:rFonts w:cs="Times New Roman"/>
          <w:szCs w:val="24"/>
        </w:rPr>
        <w:t xml:space="preserve"> matrix as follows:</w:t>
      </w:r>
    </w:p>
    <w:p w:rsidR="00751138" w:rsidRPr="00A2305B" w:rsidRDefault="00751138" w:rsidP="00A2305B">
      <w:pPr>
        <w:tabs>
          <w:tab w:val="right" w:pos="9360"/>
        </w:tabs>
        <w:spacing w:before="120" w:after="120"/>
        <w:jc w:val="both"/>
        <w:rPr>
          <w:rFonts w:cs="Times New Roman"/>
          <w:szCs w:val="24"/>
        </w:rPr>
      </w:pPr>
      <w:r w:rsidRPr="00A2305B">
        <w:rPr>
          <w:rFonts w:eastAsia="Calibri" w:cs="Times New Roman"/>
          <w:position w:val="-104"/>
          <w:szCs w:val="24"/>
        </w:rPr>
        <w:object w:dxaOrig="3000" w:dyaOrig="2200">
          <v:shape id="_x0000_i1065" type="#_x0000_t75" style="width:150pt;height:109.5pt" o:ole="">
            <v:imagedata r:id="rId91" o:title=""/>
          </v:shape>
          <o:OLEObject Type="Embed" ProgID="Equation.3" ShapeID="_x0000_i1065" DrawAspect="Content" ObjectID="_1612165067" r:id="rId92"/>
        </w:object>
      </w:r>
      <w:r w:rsidRPr="00A2305B">
        <w:rPr>
          <w:rFonts w:cs="Times New Roman"/>
          <w:position w:val="-94"/>
          <w:szCs w:val="24"/>
        </w:rPr>
        <w:tab/>
      </w:r>
      <w:r w:rsidRPr="00A2305B">
        <w:rPr>
          <w:rFonts w:cs="Times New Roman"/>
          <w:szCs w:val="24"/>
        </w:rPr>
        <w:t>(3)</w:t>
      </w:r>
    </w:p>
    <w:p w:rsidR="00751138" w:rsidRPr="00A2305B" w:rsidRDefault="00751138" w:rsidP="00A2305B">
      <w:pPr>
        <w:jc w:val="both"/>
        <w:rPr>
          <w:rFonts w:cs="Times New Roman"/>
          <w:szCs w:val="24"/>
        </w:rPr>
      </w:pPr>
      <w:r w:rsidRPr="00A2305B">
        <w:rPr>
          <w:rFonts w:cs="Times New Roman"/>
          <w:szCs w:val="24"/>
        </w:rPr>
        <w:lastRenderedPageBreak/>
        <w:t xml:space="preserve">The off-diagonal elements in </w:t>
      </w:r>
      <w:r w:rsidRPr="00A2305B">
        <w:rPr>
          <w:rFonts w:cs="Times New Roman"/>
          <w:position w:val="-4"/>
          <w:szCs w:val="24"/>
        </w:rPr>
        <w:object w:dxaOrig="220" w:dyaOrig="260">
          <v:shape id="_x0000_i1066" type="#_x0000_t75" style="width:10.5pt;height:12.75pt" o:ole="" o:preferrelative="f">
            <v:imagedata r:id="rId87" o:title=""/>
            <o:lock v:ext="edit" aspectratio="f"/>
          </v:shape>
          <o:OLEObject Type="Embed" ProgID="Equation.DSMT4" ShapeID="_x0000_i1066" DrawAspect="Content" ObjectID="_1612165068" r:id="rId93"/>
        </w:object>
      </w:r>
      <w:r w:rsidRPr="00A2305B">
        <w:rPr>
          <w:rFonts w:cs="Times New Roman"/>
          <w:szCs w:val="24"/>
        </w:rPr>
        <w:t xml:space="preserve"> capture the dependencies across the utility differentials of different nominal variables, the differential being taken with respect to the chosen alternative for each nominal variable. </w:t>
      </w:r>
    </w:p>
    <w:p w:rsidR="00751138" w:rsidRPr="00A2305B" w:rsidRDefault="00751138" w:rsidP="00A2305B">
      <w:pPr>
        <w:adjustRightInd w:val="0"/>
        <w:snapToGrid w:val="0"/>
        <w:jc w:val="both"/>
        <w:rPr>
          <w:rFonts w:cs="Times New Roman"/>
          <w:szCs w:val="24"/>
        </w:rPr>
      </w:pPr>
    </w:p>
    <w:p w:rsidR="00751138" w:rsidRPr="00A2305B" w:rsidRDefault="00751138" w:rsidP="00A2305B">
      <w:pPr>
        <w:autoSpaceDE w:val="0"/>
        <w:autoSpaceDN w:val="0"/>
        <w:adjustRightInd w:val="0"/>
        <w:snapToGrid w:val="0"/>
        <w:jc w:val="both"/>
        <w:rPr>
          <w:rFonts w:eastAsia="Times New Roman" w:cs="Times New Roman"/>
          <w:i/>
          <w:szCs w:val="24"/>
        </w:rPr>
      </w:pPr>
      <w:r w:rsidRPr="00A2305B">
        <w:rPr>
          <w:rFonts w:eastAsia="Times New Roman" w:cs="Times New Roman"/>
          <w:i/>
          <w:szCs w:val="24"/>
        </w:rPr>
        <w:t>2.1.2. The MDC Outcome</w:t>
      </w:r>
    </w:p>
    <w:p w:rsidR="00751138" w:rsidRPr="00A2305B" w:rsidRDefault="00751138" w:rsidP="00A2305B">
      <w:pPr>
        <w:autoSpaceDE w:val="0"/>
        <w:autoSpaceDN w:val="0"/>
        <w:adjustRightInd w:val="0"/>
        <w:snapToGrid w:val="0"/>
        <w:jc w:val="both"/>
        <w:rPr>
          <w:rFonts w:eastAsia="Times New Roman" w:cs="Times New Roman"/>
          <w:szCs w:val="24"/>
        </w:rPr>
      </w:pPr>
      <w:r w:rsidRPr="00A2305B">
        <w:rPr>
          <w:rFonts w:eastAsia="Times New Roman" w:cs="Times New Roman"/>
          <w:szCs w:val="24"/>
        </w:rPr>
        <w:t xml:space="preserve">Next, consider the ECAP MDC outcome. Following Bhat (2005) and Bhat (2008), we assume that the decision maker </w:t>
      </w:r>
      <w:r w:rsidRPr="00A2305B">
        <w:rPr>
          <w:rFonts w:eastAsia="Times New Roman" w:cs="Times New Roman"/>
          <w:i/>
          <w:szCs w:val="24"/>
        </w:rPr>
        <w:t>q</w:t>
      </w:r>
      <w:r w:rsidRPr="00A2305B">
        <w:rPr>
          <w:rFonts w:eastAsia="Times New Roman" w:cs="Times New Roman"/>
          <w:szCs w:val="24"/>
        </w:rPr>
        <w:t xml:space="preserve"> (a combination of the child and her/his parents in this case) maximizes time utility subject to a binding time budget constraint:</w:t>
      </w:r>
    </w:p>
    <w:p w:rsidR="00751138" w:rsidRPr="00A2305B" w:rsidRDefault="00751138" w:rsidP="00A2305B">
      <w:pPr>
        <w:tabs>
          <w:tab w:val="right" w:pos="9360"/>
        </w:tabs>
        <w:autoSpaceDE w:val="0"/>
        <w:autoSpaceDN w:val="0"/>
        <w:adjustRightInd w:val="0"/>
        <w:snapToGrid w:val="0"/>
        <w:spacing w:before="120"/>
        <w:jc w:val="both"/>
        <w:rPr>
          <w:rFonts w:eastAsia="Times New Roman" w:cs="Times New Roman"/>
          <w:szCs w:val="24"/>
        </w:rPr>
      </w:pPr>
      <w:r w:rsidRPr="00A2305B">
        <w:rPr>
          <w:rFonts w:eastAsia="Times New Roman" w:cs="Times New Roman"/>
          <w:noProof/>
          <w:position w:val="-38"/>
          <w:szCs w:val="24"/>
        </w:rPr>
        <w:object w:dxaOrig="5480" w:dyaOrig="880">
          <v:shape id="_x0000_i1067" type="#_x0000_t75" style="width:274.5pt;height:44.25pt" o:ole="" o:preferrelative="f">
            <v:imagedata r:id="rId94" o:title=""/>
            <o:lock v:ext="edit" aspectratio="f"/>
          </v:shape>
          <o:OLEObject Type="Embed" ProgID="Equation.DSMT4" ShapeID="_x0000_i1067" DrawAspect="Content" ObjectID="_1612165069" r:id="rId95"/>
        </w:object>
      </w:r>
      <w:r w:rsidRPr="00A2305B">
        <w:rPr>
          <w:rFonts w:eastAsia="Times New Roman" w:cs="Times New Roman"/>
          <w:szCs w:val="24"/>
        </w:rPr>
        <w:t xml:space="preserve"> </w:t>
      </w:r>
      <w:r w:rsidRPr="00A2305B">
        <w:rPr>
          <w:rFonts w:eastAsia="Times New Roman" w:cs="Times New Roman"/>
          <w:szCs w:val="24"/>
        </w:rPr>
        <w:tab/>
        <w:t>(4)</w:t>
      </w:r>
    </w:p>
    <w:p w:rsidR="00751138" w:rsidRPr="00A2305B" w:rsidRDefault="00751138" w:rsidP="00A2305B">
      <w:pPr>
        <w:autoSpaceDE w:val="0"/>
        <w:autoSpaceDN w:val="0"/>
        <w:adjustRightInd w:val="0"/>
        <w:snapToGrid w:val="0"/>
        <w:spacing w:after="120"/>
        <w:jc w:val="both"/>
        <w:rPr>
          <w:rFonts w:eastAsia="Times New Roman" w:cs="Times New Roman"/>
          <w:szCs w:val="24"/>
        </w:rPr>
      </w:pPr>
      <w:r w:rsidRPr="00A2305B">
        <w:rPr>
          <w:rFonts w:eastAsia="Times New Roman" w:cs="Times New Roman"/>
          <w:noProof/>
          <w:position w:val="-28"/>
          <w:szCs w:val="24"/>
        </w:rPr>
        <w:object w:dxaOrig="1380" w:dyaOrig="680">
          <v:shape id="_x0000_i1068" type="#_x0000_t75" style="width:68.25pt;height:34.5pt" o:ole="" o:preferrelative="f">
            <v:imagedata r:id="rId96" o:title=""/>
            <o:lock v:ext="edit" aspectratio="f"/>
          </v:shape>
          <o:OLEObject Type="Embed" ProgID="Equation.DSMT4" ShapeID="_x0000_i1068" DrawAspect="Content" ObjectID="_1612165070" r:id="rId97"/>
        </w:object>
      </w:r>
      <w:r w:rsidRPr="00A2305B">
        <w:rPr>
          <w:rFonts w:eastAsia="Times New Roman" w:cs="Times New Roman"/>
          <w:szCs w:val="24"/>
        </w:rPr>
        <w:t>,</w:t>
      </w:r>
    </w:p>
    <w:p w:rsidR="00751138" w:rsidRPr="00A2305B" w:rsidRDefault="00751138" w:rsidP="00A2305B">
      <w:pPr>
        <w:autoSpaceDE w:val="0"/>
        <w:autoSpaceDN w:val="0"/>
        <w:adjustRightInd w:val="0"/>
        <w:snapToGrid w:val="0"/>
        <w:jc w:val="both"/>
        <w:rPr>
          <w:rFonts w:eastAsia="Times New Roman" w:cs="Times New Roman"/>
          <w:szCs w:val="24"/>
        </w:rPr>
      </w:pPr>
      <w:r w:rsidRPr="00A2305B">
        <w:rPr>
          <w:rFonts w:eastAsia="Times New Roman" w:cs="Times New Roman"/>
          <w:szCs w:val="24"/>
        </w:rPr>
        <w:t xml:space="preserve">where the utility function </w:t>
      </w:r>
      <w:r w:rsidRPr="00A2305B">
        <w:rPr>
          <w:rFonts w:eastAsia="Times New Roman" w:cs="Times New Roman"/>
          <w:noProof/>
          <w:position w:val="-14"/>
          <w:szCs w:val="24"/>
        </w:rPr>
        <w:object w:dxaOrig="600" w:dyaOrig="400">
          <v:shape id="_x0000_i1069" type="#_x0000_t75" style="width:30pt;height:20.25pt;mso-position-vertical:absolute" o:ole="" o:preferrelative="f">
            <v:imagedata r:id="rId98" o:title=""/>
            <o:lock v:ext="edit" aspectratio="f"/>
          </v:shape>
          <o:OLEObject Type="Embed" ProgID="Equation.DSMT4" ShapeID="_x0000_i1069" DrawAspect="Content" ObjectID="_1612165071" r:id="rId99"/>
        </w:object>
      </w:r>
      <w:r w:rsidRPr="00A2305B">
        <w:rPr>
          <w:rFonts w:eastAsia="Times New Roman" w:cs="Times New Roman"/>
          <w:szCs w:val="24"/>
        </w:rPr>
        <w:t xml:space="preserve"> is quasi-concave, increasing and continuously differentiable, </w:t>
      </w:r>
      <w:proofErr w:type="spellStart"/>
      <w:r w:rsidRPr="00A2305B">
        <w:rPr>
          <w:rFonts w:eastAsia="Times New Roman" w:cs="Times New Roman"/>
          <w:b/>
          <w:i/>
          <w:szCs w:val="24"/>
        </w:rPr>
        <w:t>t</w:t>
      </w:r>
      <w:r w:rsidRPr="00A2305B">
        <w:rPr>
          <w:rFonts w:eastAsia="Times New Roman" w:cs="Times New Roman"/>
          <w:i/>
          <w:szCs w:val="24"/>
          <w:vertAlign w:val="subscript"/>
        </w:rPr>
        <w:t>q</w:t>
      </w:r>
      <w:proofErr w:type="spellEnd"/>
      <w:r w:rsidRPr="00A2305B">
        <w:rPr>
          <w:rFonts w:eastAsia="Times New Roman" w:cs="Times New Roman"/>
          <w:b/>
          <w:i/>
          <w:szCs w:val="24"/>
        </w:rPr>
        <w:t xml:space="preserve"> </w:t>
      </w:r>
      <w:r w:rsidRPr="00A2305B">
        <w:rPr>
          <w:rFonts w:eastAsia="Times New Roman" w:cs="Times New Roman"/>
          <w:b/>
          <w:szCs w:val="24"/>
        </w:rPr>
        <w:t xml:space="preserve"> </w:t>
      </w:r>
      <w:r w:rsidRPr="00A2305B">
        <w:rPr>
          <w:rFonts w:eastAsia="Times New Roman" w:cs="Times New Roman"/>
          <w:szCs w:val="24"/>
        </w:rPr>
        <w:t xml:space="preserve">is the time investment vector of dimension </w:t>
      </w:r>
      <w:r w:rsidRPr="00A2305B">
        <w:rPr>
          <w:rFonts w:eastAsia="Times New Roman" w:cs="Times New Roman"/>
          <w:i/>
          <w:szCs w:val="24"/>
        </w:rPr>
        <w:t>K</w:t>
      </w:r>
      <w:r w:rsidRPr="00A2305B">
        <w:rPr>
          <w:rFonts w:eastAsia="Times New Roman" w:cs="Times New Roman"/>
          <w:szCs w:val="24"/>
        </w:rPr>
        <w:t xml:space="preserve">×1 with elements </w:t>
      </w:r>
      <w:r w:rsidRPr="00A2305B">
        <w:rPr>
          <w:rFonts w:eastAsia="Times New Roman" w:cs="Times New Roman"/>
          <w:noProof/>
          <w:position w:val="-14"/>
          <w:szCs w:val="24"/>
        </w:rPr>
        <w:object w:dxaOrig="1200" w:dyaOrig="380">
          <v:shape id="_x0000_i1070" type="#_x0000_t75" style="width:59.25pt;height:19.5pt" o:ole="" o:preferrelative="f">
            <v:imagedata r:id="rId100" o:title=""/>
            <o:lock v:ext="edit" aspectratio="f"/>
          </v:shape>
          <o:OLEObject Type="Embed" ProgID="Equation.DSMT4" ShapeID="_x0000_i1070" DrawAspect="Content" ObjectID="_1612165072" r:id="rId101"/>
        </w:object>
      </w:r>
      <w:r w:rsidRPr="00A2305B">
        <w:rPr>
          <w:rFonts w:eastAsia="Times New Roman" w:cs="Times New Roman"/>
          <w:noProof/>
          <w:position w:val="-12"/>
          <w:szCs w:val="24"/>
        </w:rPr>
        <w:object w:dxaOrig="260" w:dyaOrig="360">
          <v:shape id="_x0000_i1071" type="#_x0000_t75" style="width:12.75pt;height:18.75pt" o:ole="" o:preferrelative="f">
            <v:imagedata r:id="rId102" o:title=""/>
            <o:lock v:ext="edit" aspectratio="f"/>
          </v:shape>
          <o:OLEObject Type="Embed" ProgID="Equation.3" ShapeID="_x0000_i1071" DrawAspect="Content" ObjectID="_1612165073" r:id="rId103"/>
        </w:object>
      </w:r>
      <w:r w:rsidRPr="00A2305B">
        <w:rPr>
          <w:rFonts w:eastAsia="Times New Roman" w:cs="Times New Roman"/>
          <w:szCs w:val="24"/>
        </w:rPr>
        <w:t xml:space="preserve">, </w:t>
      </w:r>
      <w:r w:rsidRPr="00A2305B">
        <w:rPr>
          <w:rFonts w:eastAsia="Times New Roman" w:cs="Times New Roman"/>
          <w:noProof/>
          <w:position w:val="-12"/>
          <w:szCs w:val="24"/>
        </w:rPr>
        <w:object w:dxaOrig="300" w:dyaOrig="360">
          <v:shape id="_x0000_i1072" type="#_x0000_t75" style="width:15pt;height:18.75pt" o:ole="" o:preferrelative="f">
            <v:imagedata r:id="rId104" o:title=""/>
            <o:lock v:ext="edit" aspectratio="f"/>
          </v:shape>
          <o:OLEObject Type="Embed" ProgID="Equation.3" ShapeID="_x0000_i1072" DrawAspect="Content" ObjectID="_1612165074" r:id="rId105"/>
        </w:object>
      </w:r>
      <w:r w:rsidRPr="00A2305B">
        <w:rPr>
          <w:rFonts w:eastAsia="Times New Roman" w:cs="Times New Roman"/>
          <w:szCs w:val="24"/>
        </w:rPr>
        <w:t xml:space="preserve">, and </w:t>
      </w:r>
      <w:r w:rsidRPr="00A2305B">
        <w:rPr>
          <w:rFonts w:eastAsia="Times New Roman" w:cs="Times New Roman"/>
          <w:noProof/>
          <w:position w:val="-14"/>
          <w:szCs w:val="24"/>
        </w:rPr>
        <w:object w:dxaOrig="380" w:dyaOrig="380">
          <v:shape id="_x0000_i1073" type="#_x0000_t75" style="width:19.5pt;height:19.5pt" o:ole="" o:preferrelative="f">
            <v:imagedata r:id="rId106" o:title=""/>
            <o:lock v:ext="edit" aspectratio="f"/>
          </v:shape>
          <o:OLEObject Type="Embed" ProgID="Equation.DSMT4" ShapeID="_x0000_i1073" DrawAspect="Content" ObjectID="_1612165075" r:id="rId107"/>
        </w:object>
      </w:r>
      <w:r w:rsidRPr="00A2305B">
        <w:rPr>
          <w:rFonts w:eastAsia="Times New Roman" w:cs="Times New Roman"/>
          <w:szCs w:val="24"/>
        </w:rPr>
        <w:t xml:space="preserve"> are parameters associated with activity purpose </w:t>
      </w:r>
      <w:r w:rsidRPr="00A2305B">
        <w:rPr>
          <w:rFonts w:eastAsia="Times New Roman" w:cs="Times New Roman"/>
          <w:i/>
          <w:szCs w:val="24"/>
        </w:rPr>
        <w:t>k</w:t>
      </w:r>
      <w:r w:rsidRPr="00A2305B">
        <w:rPr>
          <w:rFonts w:eastAsia="Times New Roman" w:cs="Times New Roman"/>
          <w:szCs w:val="24"/>
        </w:rPr>
        <w:t xml:space="preserve">, and </w:t>
      </w:r>
      <w:proofErr w:type="spellStart"/>
      <w:r w:rsidRPr="00A2305B">
        <w:rPr>
          <w:rFonts w:eastAsia="Times New Roman" w:cs="Times New Roman"/>
          <w:i/>
          <w:szCs w:val="24"/>
        </w:rPr>
        <w:t>T</w:t>
      </w:r>
      <w:r w:rsidRPr="00A2305B">
        <w:rPr>
          <w:rFonts w:eastAsia="Times New Roman" w:cs="Times New Roman"/>
          <w:i/>
          <w:szCs w:val="24"/>
          <w:vertAlign w:val="subscript"/>
        </w:rPr>
        <w:t>q</w:t>
      </w:r>
      <w:proofErr w:type="spellEnd"/>
      <w:r w:rsidRPr="00A2305B">
        <w:rPr>
          <w:rFonts w:eastAsia="Times New Roman" w:cs="Times New Roman"/>
          <w:szCs w:val="24"/>
        </w:rPr>
        <w:t xml:space="preserve"> represents the time budget </w:t>
      </w:r>
      <w:r w:rsidR="00071913" w:rsidRPr="00A2305B">
        <w:rPr>
          <w:rFonts w:eastAsia="Times New Roman" w:cs="Times New Roman"/>
          <w:szCs w:val="24"/>
        </w:rPr>
        <w:t xml:space="preserve">(i.e. </w:t>
      </w:r>
      <w:r w:rsidR="009C6655" w:rsidRPr="00A2305B">
        <w:rPr>
          <w:rFonts w:eastAsia="Times New Roman" w:cs="Times New Roman"/>
          <w:szCs w:val="24"/>
        </w:rPr>
        <w:t>30 hours</w:t>
      </w:r>
      <w:r w:rsidR="00071913" w:rsidRPr="00A2305B">
        <w:rPr>
          <w:rFonts w:eastAsia="Times New Roman" w:cs="Times New Roman"/>
          <w:szCs w:val="24"/>
        </w:rPr>
        <w:t xml:space="preserve"> over the course of the work week, as explained in section 1.3) </w:t>
      </w:r>
      <w:r w:rsidRPr="00A2305B">
        <w:rPr>
          <w:rFonts w:eastAsia="Times New Roman" w:cs="Times New Roman"/>
          <w:szCs w:val="24"/>
        </w:rPr>
        <w:t xml:space="preserve">of individual </w:t>
      </w:r>
      <w:r w:rsidRPr="00A2305B">
        <w:rPr>
          <w:rFonts w:eastAsia="Times New Roman" w:cs="Times New Roman"/>
          <w:i/>
          <w:szCs w:val="24"/>
        </w:rPr>
        <w:t>q</w:t>
      </w:r>
      <w:r w:rsidRPr="00A2305B">
        <w:rPr>
          <w:rFonts w:eastAsia="Times New Roman" w:cs="Times New Roman"/>
          <w:szCs w:val="24"/>
        </w:rPr>
        <w:t xml:space="preserve"> for allocation among the </w:t>
      </w:r>
      <w:r w:rsidRPr="00A2305B">
        <w:rPr>
          <w:rFonts w:eastAsia="Times New Roman" w:cs="Times New Roman"/>
          <w:i/>
          <w:szCs w:val="24"/>
        </w:rPr>
        <w:t>K</w:t>
      </w:r>
      <w:r w:rsidRPr="00A2305B">
        <w:rPr>
          <w:rFonts w:eastAsia="Times New Roman" w:cs="Times New Roman"/>
          <w:szCs w:val="24"/>
        </w:rPr>
        <w:t xml:space="preserve"> activity purposes (</w:t>
      </w:r>
      <w:r w:rsidRPr="00A2305B">
        <w:rPr>
          <w:rFonts w:eastAsia="Times New Roman" w:cs="Times New Roman"/>
          <w:i/>
          <w:szCs w:val="24"/>
        </w:rPr>
        <w:t>k</w:t>
      </w:r>
      <w:r w:rsidRPr="00A2305B">
        <w:rPr>
          <w:rFonts w:eastAsia="Times New Roman" w:cs="Times New Roman"/>
          <w:szCs w:val="24"/>
        </w:rPr>
        <w:t>=1,2,…,</w:t>
      </w:r>
      <w:r w:rsidRPr="00A2305B">
        <w:rPr>
          <w:rFonts w:eastAsia="Times New Roman" w:cs="Times New Roman"/>
          <w:i/>
          <w:szCs w:val="24"/>
        </w:rPr>
        <w:t>K</w:t>
      </w:r>
      <w:r w:rsidRPr="00A2305B">
        <w:rPr>
          <w:rFonts w:eastAsia="Times New Roman" w:cs="Times New Roman"/>
          <w:szCs w:val="24"/>
        </w:rPr>
        <w:t xml:space="preserve">). In our case, </w:t>
      </w:r>
      <w:r w:rsidRPr="00A2305B">
        <w:rPr>
          <w:rFonts w:eastAsia="Times New Roman" w:cs="Times New Roman"/>
          <w:i/>
          <w:szCs w:val="24"/>
        </w:rPr>
        <w:t>K</w:t>
      </w:r>
      <w:r w:rsidRPr="00A2305B">
        <w:rPr>
          <w:rFonts w:eastAsia="Times New Roman" w:cs="Times New Roman"/>
          <w:szCs w:val="24"/>
        </w:rPr>
        <w:t xml:space="preserve"> is equal to 5 (academic, sports, arts, hobbies, and in-home activities). The utility function form in Equation (4) allows corner solutions (</w:t>
      </w:r>
      <w:r w:rsidRPr="00A2305B">
        <w:rPr>
          <w:rFonts w:eastAsia="Times New Roman" w:cs="Times New Roman"/>
          <w:i/>
          <w:szCs w:val="24"/>
        </w:rPr>
        <w:t>i.e.</w:t>
      </w:r>
      <w:r w:rsidRPr="00A2305B">
        <w:rPr>
          <w:rFonts w:eastAsia="Times New Roman" w:cs="Times New Roman"/>
          <w:szCs w:val="24"/>
        </w:rPr>
        <w:t xml:space="preserve">, zero consumptions) for activity purposes 1 through </w:t>
      </w:r>
      <w:r w:rsidRPr="00A2305B">
        <w:rPr>
          <w:rFonts w:eastAsia="Times New Roman" w:cs="Times New Roman"/>
          <w:noProof/>
          <w:position w:val="-4"/>
          <w:szCs w:val="24"/>
        </w:rPr>
        <w:object w:dxaOrig="580" w:dyaOrig="260">
          <v:shape id="_x0000_i1074" type="#_x0000_t75" style="width:28.5pt;height:12.75pt" o:ole="" o:preferrelative="f">
            <v:imagedata r:id="rId108" o:title=""/>
            <o:lock v:ext="edit" aspectratio="f"/>
          </v:shape>
          <o:OLEObject Type="Embed" ProgID="Equation.3" ShapeID="_x0000_i1074" DrawAspect="Content" ObjectID="_1612165076" r:id="rId109"/>
        </w:object>
      </w:r>
      <w:r w:rsidRPr="00A2305B">
        <w:rPr>
          <w:rFonts w:eastAsia="Times New Roman" w:cs="Times New Roman"/>
          <w:szCs w:val="24"/>
        </w:rPr>
        <w:t xml:space="preserve"> </w:t>
      </w:r>
      <w:proofErr w:type="spellStart"/>
      <w:r w:rsidRPr="00A2305B">
        <w:rPr>
          <w:rFonts w:eastAsia="Times New Roman" w:cs="Times New Roman"/>
          <w:szCs w:val="24"/>
        </w:rPr>
        <w:t>through</w:t>
      </w:r>
      <w:proofErr w:type="spellEnd"/>
      <w:r w:rsidRPr="00A2305B">
        <w:rPr>
          <w:rFonts w:eastAsia="Times New Roman" w:cs="Times New Roman"/>
          <w:szCs w:val="24"/>
        </w:rPr>
        <w:t xml:space="preserve"> the parameters </w:t>
      </w:r>
      <w:r w:rsidRPr="00A2305B">
        <w:rPr>
          <w:rFonts w:eastAsia="Times New Roman" w:cs="Times New Roman"/>
          <w:noProof/>
          <w:position w:val="-12"/>
          <w:szCs w:val="24"/>
        </w:rPr>
        <w:object w:dxaOrig="260" w:dyaOrig="360">
          <v:shape id="_x0000_i1075" type="#_x0000_t75" style="width:12.75pt;height:18.75pt" o:ole="" o:preferrelative="f">
            <v:imagedata r:id="rId102" o:title=""/>
            <o:lock v:ext="edit" aspectratio="f"/>
          </v:shape>
          <o:OLEObject Type="Embed" ProgID="Equation.3" ShapeID="_x0000_i1075" DrawAspect="Content" ObjectID="_1612165077" r:id="rId110"/>
        </w:object>
      </w:r>
      <w:r w:rsidRPr="00A2305B">
        <w:rPr>
          <w:rFonts w:eastAsia="Times New Roman" w:cs="Times New Roman"/>
          <w:szCs w:val="24"/>
        </w:rPr>
        <w:t>, which allow corner solutions for these alternatives while also serving the role of satiation (</w:t>
      </w:r>
      <w:r w:rsidRPr="00A2305B">
        <w:rPr>
          <w:rFonts w:eastAsia="Times New Roman" w:cs="Times New Roman"/>
          <w:noProof/>
          <w:position w:val="-12"/>
          <w:szCs w:val="24"/>
        </w:rPr>
        <w:object w:dxaOrig="740" w:dyaOrig="360">
          <v:shape id="_x0000_i1076" type="#_x0000_t75" style="width:36.75pt;height:18.75pt" o:ole="" o:preferrelative="f">
            <v:imagedata r:id="rId111" o:title=""/>
            <o:lock v:ext="edit" aspectratio="f"/>
          </v:shape>
          <o:OLEObject Type="Embed" ProgID="Equation.3" ShapeID="_x0000_i1076" DrawAspect="Content" ObjectID="_1612165078" r:id="rId112"/>
        </w:object>
      </w:r>
      <w:r w:rsidRPr="00A2305B">
        <w:rPr>
          <w:rFonts w:eastAsia="Times New Roman" w:cs="Times New Roman"/>
          <w:noProof/>
          <w:position w:val="-8"/>
          <w:szCs w:val="24"/>
        </w:rPr>
        <w:object w:dxaOrig="1620" w:dyaOrig="300">
          <v:shape id="_x0000_i1077" type="#_x0000_t75" style="width:81.75pt;height:15pt" o:ole="" o:preferrelative="f">
            <v:imagedata r:id="rId113" o:title=""/>
            <o:lock v:ext="edit" aspectratio="f"/>
          </v:shape>
          <o:OLEObject Type="Embed" ProgID="Equation.3" ShapeID="_x0000_i1077" DrawAspect="Content" ObjectID="_1612165079" r:id="rId114"/>
        </w:object>
      </w:r>
      <w:r w:rsidRPr="00A2305B">
        <w:rPr>
          <w:rFonts w:eastAsia="Times New Roman" w:cs="Times New Roman"/>
          <w:szCs w:val="24"/>
        </w:rPr>
        <w:t xml:space="preserve">). On the other hand, the functional form for the final activity purpose (in-home activity purpose in our analysis) ensures that some time is invested in activity purpose </w:t>
      </w:r>
      <w:r w:rsidRPr="00A2305B">
        <w:rPr>
          <w:rFonts w:eastAsia="Times New Roman" w:cs="Times New Roman"/>
          <w:i/>
          <w:szCs w:val="24"/>
        </w:rPr>
        <w:t>K</w:t>
      </w:r>
      <w:r w:rsidRPr="00A2305B">
        <w:rPr>
          <w:rFonts w:eastAsia="Times New Roman" w:cs="Times New Roman"/>
          <w:szCs w:val="24"/>
        </w:rPr>
        <w:t xml:space="preserve"> (activity purpose </w:t>
      </w:r>
      <w:r w:rsidRPr="00A2305B">
        <w:rPr>
          <w:rFonts w:eastAsia="Times New Roman" w:cs="Times New Roman"/>
          <w:i/>
          <w:szCs w:val="24"/>
        </w:rPr>
        <w:t>K</w:t>
      </w:r>
      <w:r w:rsidRPr="00A2305B">
        <w:rPr>
          <w:rFonts w:eastAsia="Times New Roman" w:cs="Times New Roman"/>
          <w:szCs w:val="24"/>
        </w:rPr>
        <w:t xml:space="preserve"> is usually referred to as an </w:t>
      </w:r>
      <w:r w:rsidRPr="00A2305B">
        <w:rPr>
          <w:rFonts w:eastAsia="Times New Roman" w:cs="Times New Roman"/>
          <w:i/>
          <w:szCs w:val="24"/>
        </w:rPr>
        <w:t>essential outside good</w:t>
      </w:r>
      <w:r w:rsidRPr="00A2305B">
        <w:rPr>
          <w:rFonts w:eastAsia="Times New Roman" w:cs="Times New Roman"/>
          <w:szCs w:val="24"/>
        </w:rPr>
        <w:t xml:space="preserve"> in the microeconomics literature; see Bhat, 2008). </w:t>
      </w:r>
    </w:p>
    <w:p w:rsidR="00751138" w:rsidRPr="00A2305B" w:rsidRDefault="00751138" w:rsidP="00A2305B">
      <w:pPr>
        <w:autoSpaceDE w:val="0"/>
        <w:autoSpaceDN w:val="0"/>
        <w:adjustRightInd w:val="0"/>
        <w:snapToGrid w:val="0"/>
        <w:ind w:firstLine="720"/>
        <w:jc w:val="both"/>
        <w:rPr>
          <w:rFonts w:eastAsia="Times New Roman" w:cs="Times New Roman"/>
          <w:szCs w:val="24"/>
        </w:rPr>
      </w:pPr>
      <w:r w:rsidRPr="00A2305B">
        <w:rPr>
          <w:rFonts w:eastAsia="Times New Roman" w:cs="Times New Roman"/>
          <w:szCs w:val="24"/>
        </w:rPr>
        <w:t xml:space="preserve">The role of </w:t>
      </w:r>
      <w:r w:rsidRPr="00A2305B">
        <w:rPr>
          <w:rFonts w:eastAsia="Times New Roman" w:cs="Times New Roman"/>
          <w:noProof/>
          <w:position w:val="-12"/>
          <w:szCs w:val="24"/>
        </w:rPr>
        <w:object w:dxaOrig="300" w:dyaOrig="360">
          <v:shape id="_x0000_i1078" type="#_x0000_t75" style="width:15pt;height:18.75pt" o:ole="" o:preferrelative="f">
            <v:imagedata r:id="rId115" o:title=""/>
            <o:lock v:ext="edit" aspectratio="f"/>
          </v:shape>
          <o:OLEObject Type="Embed" ProgID="Equation.3" ShapeID="_x0000_i1078" DrawAspect="Content" ObjectID="_1612165080" r:id="rId116"/>
        </w:object>
      </w:r>
      <w:r w:rsidRPr="00A2305B">
        <w:rPr>
          <w:rFonts w:eastAsia="Times New Roman" w:cs="Times New Roman"/>
          <w:szCs w:val="24"/>
        </w:rPr>
        <w:t xml:space="preserve"> (</w:t>
      </w:r>
      <w:r w:rsidRPr="00A2305B">
        <w:rPr>
          <w:rFonts w:eastAsia="Times New Roman" w:cs="Times New Roman"/>
          <w:noProof/>
          <w:position w:val="-12"/>
          <w:szCs w:val="24"/>
        </w:rPr>
        <w:object w:dxaOrig="660" w:dyaOrig="360">
          <v:shape id="_x0000_i1079" type="#_x0000_t75" style="width:33.75pt;height:18.75pt" o:ole="" o:preferrelative="f">
            <v:imagedata r:id="rId117" o:title=""/>
            <o:lock v:ext="edit" aspectratio="f"/>
          </v:shape>
          <o:OLEObject Type="Embed" ProgID="Equation.3" ShapeID="_x0000_i1079" DrawAspect="Content" ObjectID="_1612165081" r:id="rId118"/>
        </w:object>
      </w:r>
      <w:r w:rsidRPr="00A2305B">
        <w:rPr>
          <w:rFonts w:eastAsia="Times New Roman" w:cs="Times New Roman"/>
          <w:szCs w:val="24"/>
        </w:rPr>
        <w:t xml:space="preserve">) in Equation (4) is to capture satiation effects, with a smaller value of </w:t>
      </w:r>
      <w:r w:rsidRPr="00A2305B">
        <w:rPr>
          <w:rFonts w:eastAsia="Times New Roman" w:cs="Times New Roman"/>
          <w:noProof/>
          <w:position w:val="-12"/>
          <w:szCs w:val="24"/>
        </w:rPr>
        <w:object w:dxaOrig="300" w:dyaOrig="360">
          <v:shape id="_x0000_i1080" type="#_x0000_t75" style="width:15pt;height:18.75pt" o:ole="" o:preferrelative="f">
            <v:imagedata r:id="rId115" o:title=""/>
            <o:lock v:ext="edit" aspectratio="f"/>
          </v:shape>
          <o:OLEObject Type="Embed" ProgID="Equation.3" ShapeID="_x0000_i1080" DrawAspect="Content" ObjectID="_1612165082" r:id="rId119"/>
        </w:object>
      </w:r>
      <w:r w:rsidRPr="00A2305B">
        <w:rPr>
          <w:rFonts w:eastAsia="Times New Roman" w:cs="Times New Roman"/>
          <w:szCs w:val="24"/>
        </w:rPr>
        <w:t xml:space="preserve"> implying higher satiation for activity purpose </w:t>
      </w:r>
      <w:r w:rsidRPr="00A2305B">
        <w:rPr>
          <w:rFonts w:eastAsia="Times New Roman" w:cs="Times New Roman"/>
          <w:i/>
          <w:szCs w:val="24"/>
        </w:rPr>
        <w:t>k</w:t>
      </w:r>
      <w:r w:rsidRPr="00A2305B">
        <w:rPr>
          <w:rFonts w:eastAsia="Times New Roman" w:cs="Times New Roman"/>
          <w:szCs w:val="24"/>
        </w:rPr>
        <w:t xml:space="preserve">. </w:t>
      </w:r>
      <w:r w:rsidRPr="00A2305B">
        <w:rPr>
          <w:rFonts w:eastAsia="Times New Roman" w:cs="Times New Roman"/>
          <w:noProof/>
          <w:position w:val="-12"/>
          <w:szCs w:val="24"/>
        </w:rPr>
        <w:object w:dxaOrig="260" w:dyaOrig="360">
          <v:shape id="_x0000_i1081" type="#_x0000_t75" style="width:12.75pt;height:18.75pt" o:ole="" o:preferrelative="f">
            <v:imagedata r:id="rId102" o:title=""/>
            <o:lock v:ext="edit" aspectratio="f"/>
          </v:shape>
          <o:OLEObject Type="Embed" ProgID="Equation.3" ShapeID="_x0000_i1081" DrawAspect="Content" ObjectID="_1612165083" r:id="rId120"/>
        </w:object>
      </w:r>
      <w:r w:rsidRPr="00A2305B">
        <w:rPr>
          <w:rFonts w:eastAsia="Times New Roman" w:cs="Times New Roman"/>
          <w:noProof/>
          <w:szCs w:val="24"/>
        </w:rPr>
        <w:t>, in addition to allowing zero consumptions,</w:t>
      </w:r>
      <w:r w:rsidRPr="00A2305B">
        <w:rPr>
          <w:rFonts w:eastAsia="Times New Roman" w:cs="Times New Roman"/>
          <w:szCs w:val="24"/>
        </w:rPr>
        <w:t xml:space="preserve"> controls satiation by translating consumption quantity, while </w:t>
      </w:r>
      <w:r w:rsidRPr="00A2305B">
        <w:rPr>
          <w:rFonts w:eastAsia="Times New Roman" w:cs="Times New Roman"/>
          <w:noProof/>
          <w:position w:val="-12"/>
          <w:szCs w:val="24"/>
        </w:rPr>
        <w:object w:dxaOrig="300" w:dyaOrig="360">
          <v:shape id="_x0000_i1082" type="#_x0000_t75" style="width:15pt;height:18.75pt" o:ole="" o:preferrelative="f">
            <v:imagedata r:id="rId104" o:title=""/>
            <o:lock v:ext="edit" aspectratio="f"/>
          </v:shape>
          <o:OLEObject Type="Embed" ProgID="Equation.3" ShapeID="_x0000_i1082" DrawAspect="Content" ObjectID="_1612165084" r:id="rId121"/>
        </w:object>
      </w:r>
      <w:r w:rsidRPr="00A2305B">
        <w:rPr>
          <w:rFonts w:eastAsia="Times New Roman" w:cs="Times New Roman"/>
          <w:szCs w:val="24"/>
        </w:rPr>
        <w:t xml:space="preserve"> controls satiation by </w:t>
      </w:r>
      <w:proofErr w:type="spellStart"/>
      <w:r w:rsidRPr="00A2305B">
        <w:rPr>
          <w:rFonts w:eastAsia="Times New Roman" w:cs="Times New Roman"/>
          <w:szCs w:val="24"/>
        </w:rPr>
        <w:t>exponentiating</w:t>
      </w:r>
      <w:proofErr w:type="spellEnd"/>
      <w:r w:rsidRPr="00A2305B">
        <w:rPr>
          <w:rFonts w:eastAsia="Times New Roman" w:cs="Times New Roman"/>
          <w:szCs w:val="24"/>
        </w:rPr>
        <w:t xml:space="preserve"> consumption quantity. Empirically speaking, it is difficult to disentangle the effects of </w:t>
      </w:r>
      <w:r w:rsidRPr="00A2305B">
        <w:rPr>
          <w:rFonts w:eastAsia="Times New Roman" w:cs="Times New Roman"/>
          <w:noProof/>
          <w:position w:val="-12"/>
          <w:szCs w:val="24"/>
        </w:rPr>
        <w:object w:dxaOrig="260" w:dyaOrig="360">
          <v:shape id="_x0000_i1083" type="#_x0000_t75" style="width:12.75pt;height:18.75pt" o:ole="" o:preferrelative="f">
            <v:imagedata r:id="rId102" o:title=""/>
            <o:lock v:ext="edit" aspectratio="f"/>
          </v:shape>
          <o:OLEObject Type="Embed" ProgID="Equation.3" ShapeID="_x0000_i1083" DrawAspect="Content" ObjectID="_1612165085" r:id="rId122"/>
        </w:object>
      </w:r>
      <w:r w:rsidRPr="00A2305B">
        <w:rPr>
          <w:rFonts w:eastAsia="Times New Roman" w:cs="Times New Roman"/>
          <w:szCs w:val="24"/>
        </w:rPr>
        <w:t xml:space="preserve"> and </w:t>
      </w:r>
      <w:r w:rsidRPr="00A2305B">
        <w:rPr>
          <w:rFonts w:eastAsia="Times New Roman" w:cs="Times New Roman"/>
          <w:noProof/>
          <w:position w:val="-12"/>
          <w:szCs w:val="24"/>
        </w:rPr>
        <w:object w:dxaOrig="300" w:dyaOrig="360">
          <v:shape id="_x0000_i1084" type="#_x0000_t75" style="width:15pt;height:18.75pt" o:ole="" o:preferrelative="f">
            <v:imagedata r:id="rId104" o:title=""/>
            <o:lock v:ext="edit" aspectratio="f"/>
          </v:shape>
          <o:OLEObject Type="Embed" ProgID="Equation.3" ShapeID="_x0000_i1084" DrawAspect="Content" ObjectID="_1612165086" r:id="rId123"/>
        </w:object>
      </w:r>
      <w:r w:rsidRPr="00A2305B">
        <w:rPr>
          <w:rFonts w:eastAsia="Times New Roman" w:cs="Times New Roman"/>
          <w:szCs w:val="24"/>
        </w:rPr>
        <w:t xml:space="preserve"> separately, which leads to serious empirical identification problems and estimation breakdowns when one attempts to estimate both parameters for each good. Thus, Bhat (2008) suggests estimating a </w:t>
      </w:r>
      <w:r w:rsidRPr="00A2305B">
        <w:rPr>
          <w:rFonts w:eastAsia="Times New Roman" w:cs="Times New Roman"/>
          <w:noProof/>
          <w:position w:val="-6"/>
          <w:szCs w:val="24"/>
        </w:rPr>
        <w:object w:dxaOrig="200" w:dyaOrig="220">
          <v:shape id="_x0000_i1085" type="#_x0000_t75" style="width:10.5pt;height:10.5pt" o:ole="" o:preferrelative="f">
            <v:imagedata r:id="rId124" o:title=""/>
            <o:lock v:ext="edit" aspectratio="f"/>
          </v:shape>
          <o:OLEObject Type="Embed" ProgID="Equation.3" ShapeID="_x0000_i1085" DrawAspect="Content" ObjectID="_1612165087" r:id="rId125"/>
        </w:object>
      </w:r>
      <w:r w:rsidRPr="00A2305B">
        <w:rPr>
          <w:rFonts w:eastAsia="Times New Roman" w:cs="Times New Roman"/>
          <w:szCs w:val="24"/>
        </w:rPr>
        <w:t xml:space="preserve">-profile (in which </w:t>
      </w:r>
      <w:r w:rsidRPr="00A2305B">
        <w:rPr>
          <w:rFonts w:eastAsia="Times New Roman" w:cs="Times New Roman"/>
          <w:noProof/>
          <w:position w:val="-12"/>
          <w:szCs w:val="24"/>
        </w:rPr>
        <w:object w:dxaOrig="780" w:dyaOrig="360">
          <v:shape id="_x0000_i1086" type="#_x0000_t75" style="width:38.25pt;height:18.75pt" o:ole="" o:preferrelative="f">
            <v:imagedata r:id="rId126" o:title=""/>
            <o:lock v:ext="edit" aspectratio="f"/>
          </v:shape>
          <o:OLEObject Type="Embed" ProgID="Equation.3" ShapeID="_x0000_i1086" DrawAspect="Content" ObjectID="_1612165088" r:id="rId127"/>
        </w:object>
      </w:r>
      <w:r w:rsidRPr="00A2305B">
        <w:rPr>
          <w:rFonts w:eastAsia="Times New Roman" w:cs="Times New Roman"/>
          <w:szCs w:val="24"/>
        </w:rPr>
        <w:t xml:space="preserve"> for all alternatives, and the </w:t>
      </w:r>
      <w:r w:rsidRPr="00A2305B">
        <w:rPr>
          <w:rFonts w:eastAsia="Times New Roman" w:cs="Times New Roman"/>
          <w:noProof/>
          <w:position w:val="-12"/>
          <w:szCs w:val="24"/>
        </w:rPr>
        <w:object w:dxaOrig="260" w:dyaOrig="360">
          <v:shape id="_x0000_i1087" type="#_x0000_t75" style="width:12.75pt;height:18.75pt" o:ole="" o:preferrelative="f">
            <v:imagedata r:id="rId102" o:title=""/>
            <o:lock v:ext="edit" aspectratio="f"/>
          </v:shape>
          <o:OLEObject Type="Embed" ProgID="Equation.3" ShapeID="_x0000_i1087" DrawAspect="Content" ObjectID="_1612165089" r:id="rId128"/>
        </w:object>
      </w:r>
      <w:r w:rsidRPr="00A2305B">
        <w:rPr>
          <w:rFonts w:eastAsia="Times New Roman" w:cs="Times New Roman"/>
          <w:position w:val="-14"/>
          <w:szCs w:val="24"/>
        </w:rPr>
        <w:t xml:space="preserve"> </w:t>
      </w:r>
      <w:r w:rsidRPr="00A2305B">
        <w:rPr>
          <w:rFonts w:eastAsia="Times New Roman" w:cs="Times New Roman"/>
          <w:szCs w:val="24"/>
        </w:rPr>
        <w:t xml:space="preserve">terms are estimated) and an </w:t>
      </w:r>
      <w:r w:rsidRPr="00A2305B">
        <w:rPr>
          <w:rFonts w:eastAsia="Times New Roman" w:cs="Times New Roman"/>
          <w:noProof/>
          <w:position w:val="-6"/>
          <w:szCs w:val="24"/>
        </w:rPr>
        <w:object w:dxaOrig="240" w:dyaOrig="220">
          <v:shape id="_x0000_i1088" type="#_x0000_t75" style="width:12.75pt;height:10.5pt" o:ole="" o:preferrelative="f">
            <v:imagedata r:id="rId129" o:title=""/>
            <o:lock v:ext="edit" aspectratio="f"/>
          </v:shape>
          <o:OLEObject Type="Embed" ProgID="Equation.3" ShapeID="_x0000_i1088" DrawAspect="Content" ObjectID="_1612165090" r:id="rId130"/>
        </w:object>
      </w:r>
      <w:r w:rsidRPr="00A2305B">
        <w:rPr>
          <w:rFonts w:eastAsia="Times New Roman" w:cs="Times New Roman"/>
          <w:szCs w:val="24"/>
        </w:rPr>
        <w:t xml:space="preserve">-profile (in which the </w:t>
      </w:r>
      <w:r w:rsidRPr="00A2305B">
        <w:rPr>
          <w:rFonts w:eastAsia="Times New Roman" w:cs="Times New Roman"/>
          <w:noProof/>
          <w:position w:val="-12"/>
          <w:szCs w:val="24"/>
        </w:rPr>
        <w:object w:dxaOrig="260" w:dyaOrig="360">
          <v:shape id="_x0000_i1089" type="#_x0000_t75" style="width:12.75pt;height:18.75pt" o:ole="" o:preferrelative="f">
            <v:imagedata r:id="rId102" o:title=""/>
            <o:lock v:ext="edit" aspectratio="f"/>
          </v:shape>
          <o:OLEObject Type="Embed" ProgID="Equation.3" ShapeID="_x0000_i1089" DrawAspect="Content" ObjectID="_1612165091" r:id="rId131"/>
        </w:object>
      </w:r>
      <w:r w:rsidRPr="00A2305B">
        <w:rPr>
          <w:rFonts w:eastAsia="Times New Roman" w:cs="Times New Roman"/>
          <w:szCs w:val="24"/>
        </w:rPr>
        <w:t xml:space="preserve"> terms are normalized to the value of one for all alternatives, and the </w:t>
      </w:r>
      <w:r w:rsidRPr="00A2305B">
        <w:rPr>
          <w:rFonts w:eastAsia="Times New Roman" w:cs="Times New Roman"/>
          <w:noProof/>
          <w:position w:val="-12"/>
          <w:szCs w:val="24"/>
        </w:rPr>
        <w:object w:dxaOrig="300" w:dyaOrig="360">
          <v:shape id="_x0000_i1090" type="#_x0000_t75" style="width:15pt;height:18.75pt" o:ole="" o:preferrelative="f">
            <v:imagedata r:id="rId104" o:title=""/>
            <o:lock v:ext="edit" aspectratio="f"/>
          </v:shape>
          <o:OLEObject Type="Embed" ProgID="Equation.3" ShapeID="_x0000_i1090" DrawAspect="Content" ObjectID="_1612165092" r:id="rId132"/>
        </w:object>
      </w:r>
      <w:r w:rsidRPr="00A2305B">
        <w:rPr>
          <w:rFonts w:eastAsia="Times New Roman" w:cs="Times New Roman"/>
          <w:szCs w:val="24"/>
        </w:rPr>
        <w:t xml:space="preserve"> terms are estimated), and choose the profile that provides a better statistical fit.</w:t>
      </w:r>
      <w:r w:rsidRPr="00A2305B">
        <w:rPr>
          <w:rFonts w:eastAsia="Times New Roman" w:cs="Times New Roman"/>
          <w:szCs w:val="24"/>
          <w:vertAlign w:val="superscript"/>
        </w:rPr>
        <w:t xml:space="preserve"> </w:t>
      </w:r>
    </w:p>
    <w:p w:rsidR="00751138" w:rsidRPr="00A2305B" w:rsidRDefault="00751138" w:rsidP="00A2305B">
      <w:pPr>
        <w:autoSpaceDE w:val="0"/>
        <w:autoSpaceDN w:val="0"/>
        <w:adjustRightInd w:val="0"/>
        <w:snapToGrid w:val="0"/>
        <w:ind w:firstLine="720"/>
        <w:jc w:val="both"/>
        <w:rPr>
          <w:rFonts w:cs="Times New Roman"/>
          <w:szCs w:val="24"/>
        </w:rPr>
      </w:pPr>
      <w:r w:rsidRPr="00A2305B">
        <w:rPr>
          <w:rFonts w:eastAsia="Times New Roman" w:cs="Times New Roman"/>
          <w:noProof/>
          <w:szCs w:val="24"/>
        </w:rPr>
        <w:t xml:space="preserve">The term </w:t>
      </w:r>
      <w:r w:rsidRPr="00A2305B">
        <w:rPr>
          <w:rFonts w:eastAsia="Times New Roman" w:cs="Times New Roman"/>
          <w:noProof/>
          <w:position w:val="-14"/>
          <w:szCs w:val="24"/>
        </w:rPr>
        <w:object w:dxaOrig="380" w:dyaOrig="380">
          <v:shape id="_x0000_i1091" type="#_x0000_t75" style="width:19.5pt;height:19.5pt" o:ole="" o:preferrelative="f">
            <v:imagedata r:id="rId133" o:title=""/>
            <o:lock v:ext="edit" aspectratio="f"/>
          </v:shape>
          <o:OLEObject Type="Embed" ProgID="Equation.DSMT4" ShapeID="_x0000_i1091" DrawAspect="Content" ObjectID="_1612165093" r:id="rId134"/>
        </w:object>
      </w:r>
      <w:r w:rsidRPr="00A2305B">
        <w:rPr>
          <w:rFonts w:eastAsia="Times New Roman" w:cs="Times New Roman"/>
          <w:szCs w:val="24"/>
        </w:rPr>
        <w:t xml:space="preserve"> in Equation (4) represents the stochastic baseline marginal utility for alternative </w:t>
      </w:r>
      <w:r w:rsidRPr="00A2305B">
        <w:rPr>
          <w:rFonts w:eastAsia="Times New Roman" w:cs="Times New Roman"/>
          <w:i/>
          <w:szCs w:val="24"/>
        </w:rPr>
        <w:t>k</w:t>
      </w:r>
      <w:r w:rsidRPr="00A2305B">
        <w:rPr>
          <w:rFonts w:eastAsia="Times New Roman" w:cs="Times New Roman"/>
          <w:szCs w:val="24"/>
        </w:rPr>
        <w:t xml:space="preserve"> and individual </w:t>
      </w:r>
      <w:r w:rsidRPr="00A2305B">
        <w:rPr>
          <w:rFonts w:eastAsia="Times New Roman" w:cs="Times New Roman"/>
          <w:i/>
          <w:szCs w:val="24"/>
        </w:rPr>
        <w:t>q</w:t>
      </w:r>
      <w:r w:rsidRPr="00A2305B">
        <w:rPr>
          <w:rFonts w:eastAsia="Times New Roman" w:cs="Times New Roman"/>
          <w:szCs w:val="24"/>
        </w:rPr>
        <w:t xml:space="preserve">; that is, it is the marginal utility at the point of zero time investment for alternative </w:t>
      </w:r>
      <w:r w:rsidRPr="00A2305B">
        <w:rPr>
          <w:rFonts w:eastAsia="Times New Roman" w:cs="Times New Roman"/>
          <w:i/>
          <w:szCs w:val="24"/>
        </w:rPr>
        <w:t>k</w:t>
      </w:r>
      <w:r w:rsidRPr="00A2305B">
        <w:rPr>
          <w:rFonts w:eastAsia="Times New Roman" w:cs="Times New Roman"/>
          <w:szCs w:val="24"/>
        </w:rPr>
        <w:t xml:space="preserve"> for individual </w:t>
      </w:r>
      <w:r w:rsidRPr="00A2305B">
        <w:rPr>
          <w:rFonts w:eastAsia="Times New Roman" w:cs="Times New Roman"/>
          <w:i/>
          <w:szCs w:val="24"/>
        </w:rPr>
        <w:t>q</w:t>
      </w:r>
      <w:r w:rsidRPr="00A2305B">
        <w:rPr>
          <w:rFonts w:eastAsia="Times New Roman" w:cs="Times New Roman"/>
          <w:szCs w:val="24"/>
        </w:rPr>
        <w:t xml:space="preserve">. The utility function in Equation (4) constitutes a valid utility function if, in addition to the constraints on the </w:t>
      </w:r>
      <w:r w:rsidRPr="00A2305B">
        <w:rPr>
          <w:rFonts w:eastAsia="Times New Roman" w:cs="Times New Roman"/>
          <w:noProof/>
          <w:position w:val="-12"/>
          <w:szCs w:val="24"/>
        </w:rPr>
        <w:object w:dxaOrig="260" w:dyaOrig="360">
          <v:shape id="_x0000_i1092" type="#_x0000_t75" style="width:12.75pt;height:18.75pt" o:ole="" o:preferrelative="f">
            <v:imagedata r:id="rId102" o:title=""/>
            <o:lock v:ext="edit" aspectratio="f"/>
          </v:shape>
          <o:OLEObject Type="Embed" ProgID="Equation.3" ShapeID="_x0000_i1092" DrawAspect="Content" ObjectID="_1612165094" r:id="rId135"/>
        </w:object>
      </w:r>
      <w:r w:rsidRPr="00A2305B">
        <w:rPr>
          <w:rFonts w:eastAsia="Times New Roman" w:cs="Times New Roman"/>
          <w:szCs w:val="24"/>
        </w:rPr>
        <w:t xml:space="preserve"> and </w:t>
      </w:r>
      <w:r w:rsidRPr="00A2305B">
        <w:rPr>
          <w:rFonts w:eastAsia="Times New Roman" w:cs="Times New Roman"/>
          <w:noProof/>
          <w:position w:val="-12"/>
          <w:szCs w:val="24"/>
        </w:rPr>
        <w:object w:dxaOrig="300" w:dyaOrig="360">
          <v:shape id="_x0000_i1093" type="#_x0000_t75" style="width:15pt;height:18.75pt" o:ole="" o:preferrelative="f">
            <v:imagedata r:id="rId136" o:title=""/>
            <o:lock v:ext="edit" aspectratio="f"/>
          </v:shape>
          <o:OLEObject Type="Embed" ProgID="Equation.DSMT4" ShapeID="_x0000_i1093" DrawAspect="Content" ObjectID="_1612165095" r:id="rId137"/>
        </w:object>
      </w:r>
      <w:r w:rsidRPr="00A2305B">
        <w:rPr>
          <w:rFonts w:eastAsia="Times New Roman" w:cs="Times New Roman"/>
          <w:szCs w:val="24"/>
        </w:rPr>
        <w:t xml:space="preserve"> parameters, as discussed above, </w:t>
      </w:r>
      <w:r w:rsidRPr="00A2305B">
        <w:rPr>
          <w:rFonts w:eastAsia="Times New Roman" w:cs="Times New Roman"/>
          <w:noProof/>
          <w:position w:val="-14"/>
          <w:szCs w:val="24"/>
        </w:rPr>
        <w:object w:dxaOrig="760" w:dyaOrig="380">
          <v:shape id="_x0000_i1094" type="#_x0000_t75" style="width:37.5pt;height:19.5pt" o:ole="" o:preferrelative="f">
            <v:imagedata r:id="rId138" o:title=""/>
            <o:lock v:ext="edit" aspectratio="f"/>
          </v:shape>
          <o:OLEObject Type="Embed" ProgID="Equation.DSMT4" ShapeID="_x0000_i1094" DrawAspect="Content" ObjectID="_1612165096" r:id="rId139"/>
        </w:object>
      </w:r>
      <w:r w:rsidRPr="00A2305B">
        <w:rPr>
          <w:rFonts w:eastAsia="Times New Roman" w:cs="Times New Roman"/>
          <w:szCs w:val="24"/>
        </w:rPr>
        <w:t xml:space="preserve"> </w:t>
      </w:r>
      <w:r w:rsidRPr="00A2305B">
        <w:rPr>
          <w:rFonts w:eastAsia="Times New Roman" w:cs="Times New Roman"/>
          <w:szCs w:val="24"/>
        </w:rPr>
        <w:lastRenderedPageBreak/>
        <w:t xml:space="preserve">for all </w:t>
      </w:r>
      <w:proofErr w:type="gramStart"/>
      <w:r w:rsidRPr="00A2305B">
        <w:rPr>
          <w:rFonts w:eastAsia="Times New Roman" w:cs="Times New Roman"/>
          <w:i/>
          <w:szCs w:val="24"/>
        </w:rPr>
        <w:t>k</w:t>
      </w:r>
      <w:r w:rsidRPr="00A2305B">
        <w:rPr>
          <w:rFonts w:eastAsia="Times New Roman" w:cs="Times New Roman"/>
          <w:szCs w:val="24"/>
        </w:rPr>
        <w:t xml:space="preserve">  and</w:t>
      </w:r>
      <w:proofErr w:type="gramEnd"/>
      <w:r w:rsidRPr="00A2305B">
        <w:rPr>
          <w:rFonts w:eastAsia="Times New Roman" w:cs="Times New Roman"/>
          <w:szCs w:val="24"/>
        </w:rPr>
        <w:t xml:space="preserve"> </w:t>
      </w:r>
      <w:r w:rsidRPr="00A2305B">
        <w:rPr>
          <w:rFonts w:eastAsia="Times New Roman" w:cs="Times New Roman"/>
          <w:i/>
          <w:szCs w:val="24"/>
        </w:rPr>
        <w:t>q</w:t>
      </w:r>
      <w:r w:rsidRPr="00A2305B">
        <w:rPr>
          <w:rFonts w:eastAsia="Times New Roman" w:cs="Times New Roman"/>
          <w:szCs w:val="24"/>
        </w:rPr>
        <w:t>.  To ensure this condition,</w:t>
      </w:r>
      <w:r w:rsidRPr="00A2305B">
        <w:rPr>
          <w:rFonts w:cs="Times New Roman"/>
          <w:szCs w:val="24"/>
        </w:rPr>
        <w:t xml:space="preserve"> </w:t>
      </w:r>
      <w:r w:rsidRPr="00A2305B">
        <w:rPr>
          <w:rFonts w:cs="Times New Roman"/>
          <w:position w:val="-14"/>
          <w:szCs w:val="24"/>
        </w:rPr>
        <w:object w:dxaOrig="380" w:dyaOrig="380">
          <v:shape id="_x0000_i1095" type="#_x0000_t75" style="width:19.5pt;height:19.5pt" o:ole="" o:preferrelative="f">
            <v:imagedata r:id="rId140" o:title=""/>
            <o:lock v:ext="edit" aspectratio="f"/>
          </v:shape>
          <o:OLEObject Type="Embed" ProgID="Equation.DSMT4" ShapeID="_x0000_i1095" DrawAspect="Content" ObjectID="_1612165097" r:id="rId141"/>
        </w:object>
      </w:r>
      <w:r w:rsidRPr="00A2305B">
        <w:rPr>
          <w:rFonts w:cs="Times New Roman"/>
          <w:szCs w:val="24"/>
        </w:rPr>
        <w:t xml:space="preserve"> is parametrized as an exponential function of exogenous variable vector </w:t>
      </w:r>
      <w:r w:rsidRPr="00A2305B">
        <w:rPr>
          <w:rFonts w:cs="Times New Roman"/>
          <w:position w:val="-14"/>
          <w:szCs w:val="24"/>
        </w:rPr>
        <w:object w:dxaOrig="320" w:dyaOrig="380">
          <v:shape id="_x0000_i1096" type="#_x0000_t75" style="width:15.75pt;height:19.5pt" o:ole="" o:preferrelative="f">
            <v:imagedata r:id="rId142" o:title=""/>
            <o:lock v:ext="edit" aspectratio="f"/>
          </v:shape>
          <o:OLEObject Type="Embed" ProgID="Equation.DSMT4" ShapeID="_x0000_i1096" DrawAspect="Content" ObjectID="_1612165098" r:id="rId143"/>
        </w:object>
      </w:r>
      <w:r w:rsidRPr="00A2305B">
        <w:rPr>
          <w:rFonts w:cs="Times New Roman"/>
          <w:szCs w:val="24"/>
        </w:rPr>
        <w:t xml:space="preserve"> and a random error term as follows: </w:t>
      </w:r>
    </w:p>
    <w:p w:rsidR="00751138" w:rsidRPr="00A2305B" w:rsidRDefault="00751138" w:rsidP="00A2305B">
      <w:pPr>
        <w:tabs>
          <w:tab w:val="right" w:pos="9360"/>
        </w:tabs>
        <w:spacing w:before="120" w:after="120"/>
        <w:jc w:val="both"/>
        <w:rPr>
          <w:rFonts w:cs="Times New Roman"/>
          <w:szCs w:val="24"/>
        </w:rPr>
      </w:pPr>
      <w:r w:rsidRPr="00A2305B">
        <w:rPr>
          <w:rFonts w:cs="Times New Roman"/>
          <w:position w:val="-14"/>
          <w:szCs w:val="24"/>
        </w:rPr>
        <w:object w:dxaOrig="6660" w:dyaOrig="420">
          <v:shape id="_x0000_i1097" type="#_x0000_t75" style="width:333.75pt;height:21pt" o:ole="" o:preferrelative="f">
            <v:imagedata r:id="rId144" o:title=""/>
            <o:lock v:ext="edit" aspectratio="f"/>
          </v:shape>
          <o:OLEObject Type="Embed" ProgID="Equation.DSMT4" ShapeID="_x0000_i1097" DrawAspect="Content" ObjectID="_1612165099" r:id="rId145"/>
        </w:object>
      </w:r>
      <w:r w:rsidRPr="00A2305B">
        <w:rPr>
          <w:rFonts w:cs="Times New Roman"/>
          <w:szCs w:val="24"/>
        </w:rPr>
        <w:t xml:space="preserve"> </w:t>
      </w:r>
      <w:r w:rsidRPr="00A2305B">
        <w:rPr>
          <w:rFonts w:cs="Times New Roman"/>
          <w:szCs w:val="24"/>
        </w:rPr>
        <w:tab/>
        <w:t>(5)</w:t>
      </w:r>
    </w:p>
    <w:p w:rsidR="00751138" w:rsidRPr="00A2305B" w:rsidRDefault="00751138" w:rsidP="00A2305B">
      <w:pPr>
        <w:jc w:val="both"/>
        <w:rPr>
          <w:rFonts w:cs="Times New Roman"/>
          <w:szCs w:val="24"/>
        </w:rPr>
      </w:pPr>
      <w:proofErr w:type="gramStart"/>
      <w:r w:rsidRPr="00A2305B">
        <w:rPr>
          <w:rFonts w:cs="Times New Roman"/>
          <w:szCs w:val="24"/>
        </w:rPr>
        <w:t>where</w:t>
      </w:r>
      <w:proofErr w:type="gramEnd"/>
      <w:r w:rsidRPr="00A2305B">
        <w:rPr>
          <w:rFonts w:cs="Times New Roman"/>
          <w:szCs w:val="24"/>
        </w:rPr>
        <w:t xml:space="preserve"> </w:t>
      </w:r>
      <w:r w:rsidRPr="00A2305B">
        <w:rPr>
          <w:rFonts w:cs="Times New Roman"/>
          <w:position w:val="-12"/>
          <w:szCs w:val="24"/>
        </w:rPr>
        <w:object w:dxaOrig="260" w:dyaOrig="400">
          <v:shape id="_x0000_i1098" type="#_x0000_t75" style="width:12.75pt;height:20.25pt" o:ole="" o:preferrelative="f">
            <v:imagedata r:id="rId146" o:title=""/>
            <o:lock v:ext="edit" aspectratio="f"/>
          </v:shape>
          <o:OLEObject Type="Embed" ProgID="Equation.DSMT4" ShapeID="_x0000_i1098" DrawAspect="Content" ObjectID="_1612165100" r:id="rId147"/>
        </w:object>
      </w:r>
      <w:r w:rsidRPr="00A2305B">
        <w:rPr>
          <w:rFonts w:cs="Times New Roman"/>
          <w:szCs w:val="24"/>
        </w:rPr>
        <w:t xml:space="preserve">is a column vector of coefficients and </w:t>
      </w:r>
      <w:r w:rsidRPr="00A2305B">
        <w:rPr>
          <w:rFonts w:cs="Times New Roman"/>
          <w:position w:val="-14"/>
          <w:szCs w:val="24"/>
        </w:rPr>
        <w:object w:dxaOrig="340" w:dyaOrig="420">
          <v:shape id="_x0000_i1099" type="#_x0000_t75" style="width:16.5pt;height:21pt" o:ole="" o:preferrelative="f">
            <v:imagedata r:id="rId148" o:title=""/>
            <o:lock v:ext="edit" aspectratio="f"/>
          </v:shape>
          <o:OLEObject Type="Embed" ProgID="Equation.DSMT4" ShapeID="_x0000_i1099" DrawAspect="Content" ObjectID="_1612165101" r:id="rId149"/>
        </w:object>
      </w:r>
      <w:r w:rsidRPr="00A2305B">
        <w:rPr>
          <w:rFonts w:cs="Times New Roman"/>
          <w:szCs w:val="24"/>
        </w:rPr>
        <w:t xml:space="preserve"> captures the idiosyncratic characteristics that impact the baseline utility of individual </w:t>
      </w:r>
      <w:r w:rsidRPr="00A2305B">
        <w:rPr>
          <w:rFonts w:cs="Times New Roman"/>
          <w:i/>
          <w:szCs w:val="24"/>
        </w:rPr>
        <w:t>q</w:t>
      </w:r>
      <w:r w:rsidRPr="00A2305B">
        <w:rPr>
          <w:rFonts w:cs="Times New Roman"/>
          <w:szCs w:val="24"/>
        </w:rPr>
        <w:t xml:space="preserve"> and activity purpose </w:t>
      </w:r>
      <w:r w:rsidRPr="00A2305B">
        <w:rPr>
          <w:rFonts w:cs="Times New Roman"/>
          <w:i/>
          <w:szCs w:val="24"/>
        </w:rPr>
        <w:t>k</w:t>
      </w:r>
      <w:r w:rsidRPr="00A2305B">
        <w:rPr>
          <w:rFonts w:cs="Times New Roman"/>
          <w:szCs w:val="24"/>
        </w:rPr>
        <w:t xml:space="preserve">. We assume that the error terms </w:t>
      </w:r>
      <w:r w:rsidRPr="00A2305B">
        <w:rPr>
          <w:rFonts w:cs="Times New Roman"/>
          <w:position w:val="-14"/>
          <w:szCs w:val="24"/>
        </w:rPr>
        <w:object w:dxaOrig="340" w:dyaOrig="420">
          <v:shape id="_x0000_i1100" type="#_x0000_t75" style="width:16.5pt;height:21pt" o:ole="" o:preferrelative="f">
            <v:imagedata r:id="rId150" o:title=""/>
            <o:lock v:ext="edit" aspectratio="f"/>
          </v:shape>
          <o:OLEObject Type="Embed" ProgID="Equation.DSMT4" ShapeID="_x0000_i1100" DrawAspect="Content" ObjectID="_1612165102" r:id="rId151"/>
        </w:object>
      </w:r>
      <w:r w:rsidRPr="00A2305B">
        <w:rPr>
          <w:rFonts w:cs="Times New Roman"/>
          <w:szCs w:val="24"/>
        </w:rPr>
        <w:t xml:space="preserve"> are multivariate normally distributed across alternatives</w:t>
      </w:r>
      <w:proofErr w:type="gramStart"/>
      <w:r w:rsidRPr="00A2305B">
        <w:rPr>
          <w:rFonts w:cs="Times New Roman"/>
          <w:szCs w:val="24"/>
        </w:rPr>
        <w:t xml:space="preserve">: </w:t>
      </w:r>
      <w:proofErr w:type="gramEnd"/>
      <w:r w:rsidRPr="00A2305B">
        <w:rPr>
          <w:rFonts w:cs="Times New Roman"/>
          <w:position w:val="-14"/>
          <w:szCs w:val="24"/>
        </w:rPr>
        <w:object w:dxaOrig="3600" w:dyaOrig="420">
          <v:shape id="_x0000_i1101" type="#_x0000_t75" style="width:180pt;height:21pt" o:ole="" o:preferrelative="f">
            <v:imagedata r:id="rId152" o:title=""/>
            <o:lock v:ext="edit" aspectratio="f"/>
          </v:shape>
          <o:OLEObject Type="Embed" ProgID="Equation.DSMT4" ShapeID="_x0000_i1101" DrawAspect="Content" ObjectID="_1612165103" r:id="rId153"/>
        </w:object>
      </w:r>
      <w:r w:rsidRPr="00A2305B">
        <w:rPr>
          <w:rFonts w:cs="Times New Roman"/>
          <w:szCs w:val="24"/>
        </w:rPr>
        <w:t xml:space="preserve">. But only differences in the logarithm of the baseline utilities matter, not the actual logarithm of the baseline utility values (see Bhat, 2008). Thus, it will be easier to work with the logarithm of the baseline utilities of the first </w:t>
      </w:r>
      <w:r w:rsidRPr="00A2305B">
        <w:rPr>
          <w:rFonts w:cs="Times New Roman"/>
          <w:position w:val="-4"/>
          <w:szCs w:val="24"/>
        </w:rPr>
        <w:object w:dxaOrig="560" w:dyaOrig="260">
          <v:shape id="_x0000_i1102" type="#_x0000_t75" style="width:27.75pt;height:13.5pt" o:ole="" o:preferrelative="f">
            <v:imagedata r:id="rId154" o:title=""/>
            <o:lock v:ext="edit" aspectratio="f"/>
          </v:shape>
          <o:OLEObject Type="Embed" ProgID="Equation.3" ShapeID="_x0000_i1102" DrawAspect="Content" ObjectID="_1612165104" r:id="rId155"/>
        </w:object>
      </w:r>
      <w:r w:rsidRPr="00A2305B">
        <w:rPr>
          <w:rFonts w:cs="Times New Roman"/>
          <w:szCs w:val="24"/>
        </w:rPr>
        <w:t xml:space="preserve"> alternatives, and normalize the logarithm of the baseline utility for the last alternative to zero. That is, we write:</w:t>
      </w:r>
    </w:p>
    <w:p w:rsidR="00751138" w:rsidRPr="00A2305B" w:rsidRDefault="00751138" w:rsidP="00A2305B">
      <w:pPr>
        <w:tabs>
          <w:tab w:val="right" w:pos="9360"/>
        </w:tabs>
        <w:spacing w:before="120" w:after="120"/>
        <w:jc w:val="both"/>
        <w:rPr>
          <w:rFonts w:cs="Times New Roman"/>
          <w:szCs w:val="24"/>
        </w:rPr>
      </w:pPr>
      <w:r w:rsidRPr="00A2305B">
        <w:rPr>
          <w:rFonts w:cs="Times New Roman"/>
          <w:position w:val="-56"/>
          <w:szCs w:val="24"/>
        </w:rPr>
        <w:object w:dxaOrig="6720" w:dyaOrig="1260">
          <v:shape id="_x0000_i1103" type="#_x0000_t75" style="width:337.5pt;height:63pt" o:ole="" o:preferrelative="f">
            <v:imagedata r:id="rId156" o:title=""/>
            <o:lock v:ext="edit" aspectratio="f"/>
          </v:shape>
          <o:OLEObject Type="Embed" ProgID="Equation.DSMT4" ShapeID="_x0000_i1103" DrawAspect="Content" ObjectID="_1612165105" r:id="rId157"/>
        </w:object>
      </w:r>
      <w:r w:rsidRPr="00A2305B">
        <w:rPr>
          <w:rFonts w:cs="Times New Roman"/>
          <w:szCs w:val="24"/>
        </w:rPr>
        <w:t xml:space="preserve">        </w:t>
      </w:r>
      <w:r w:rsidRPr="00A2305B">
        <w:rPr>
          <w:rFonts w:cs="Times New Roman"/>
          <w:szCs w:val="24"/>
        </w:rPr>
        <w:tab/>
        <w:t>(6)</w:t>
      </w:r>
    </w:p>
    <w:p w:rsidR="00751138" w:rsidRPr="00A2305B" w:rsidRDefault="00751138" w:rsidP="00A2305B">
      <w:pPr>
        <w:tabs>
          <w:tab w:val="right" w:pos="9360"/>
        </w:tabs>
        <w:jc w:val="both"/>
        <w:rPr>
          <w:rFonts w:cs="Times New Roman"/>
          <w:szCs w:val="24"/>
        </w:rPr>
      </w:pPr>
      <w:r w:rsidRPr="00A2305B">
        <w:rPr>
          <w:rFonts w:cs="Times New Roman"/>
          <w:szCs w:val="24"/>
        </w:rPr>
        <w:t xml:space="preserve">It should be clear from above that only the covariance matrix, say </w:t>
      </w:r>
      <w:r w:rsidRPr="00A2305B">
        <w:rPr>
          <w:rFonts w:cs="Times New Roman"/>
          <w:b/>
          <w:szCs w:val="24"/>
        </w:rPr>
        <w:t>Ω</w:t>
      </w:r>
      <w:r w:rsidRPr="00A2305B">
        <w:rPr>
          <w:rFonts w:cs="Times New Roman"/>
          <w:szCs w:val="24"/>
        </w:rPr>
        <w:t xml:space="preserve"> of the error difference vector</w:t>
      </w:r>
    </w:p>
    <w:p w:rsidR="00751138" w:rsidRPr="00A2305B" w:rsidRDefault="00751138" w:rsidP="00A2305B">
      <w:pPr>
        <w:tabs>
          <w:tab w:val="right" w:pos="9360"/>
        </w:tabs>
        <w:jc w:val="both"/>
        <w:rPr>
          <w:rFonts w:cs="Times New Roman"/>
          <w:szCs w:val="24"/>
        </w:rPr>
      </w:pPr>
      <w:r w:rsidRPr="00A2305B">
        <w:rPr>
          <w:rFonts w:cs="Times New Roman"/>
          <w:position w:val="-14"/>
        </w:rPr>
        <w:object w:dxaOrig="2200" w:dyaOrig="380">
          <v:shape id="_x0000_i1104" type="#_x0000_t75" style="width:109.5pt;height:19.5pt" o:ole="">
            <v:imagedata r:id="rId158" o:title=""/>
          </v:shape>
          <o:OLEObject Type="Embed" ProgID="Equation.3" ShapeID="_x0000_i1104" DrawAspect="Content" ObjectID="_1612165106" r:id="rId159"/>
        </w:object>
      </w:r>
      <w:r w:rsidRPr="00A2305B">
        <w:rPr>
          <w:rFonts w:cs="Times New Roman"/>
        </w:rPr>
        <w:t xml:space="preserve">, </w:t>
      </w:r>
      <w:proofErr w:type="gramStart"/>
      <w:r w:rsidRPr="00A2305B">
        <w:rPr>
          <w:rFonts w:cs="Times New Roman"/>
        </w:rPr>
        <w:t xml:space="preserve">where </w:t>
      </w:r>
      <w:proofErr w:type="gramEnd"/>
      <w:r w:rsidRPr="00A2305B">
        <w:rPr>
          <w:rFonts w:cs="Times New Roman"/>
          <w:position w:val="-14"/>
        </w:rPr>
        <w:object w:dxaOrig="1600" w:dyaOrig="420">
          <v:shape id="_x0000_i1105" type="#_x0000_t75" style="width:80.25pt;height:21pt" o:ole="">
            <v:imagedata r:id="rId160" o:title=""/>
          </v:shape>
          <o:OLEObject Type="Embed" ProgID="Equation.3" ShapeID="_x0000_i1105" DrawAspect="Content" ObjectID="_1612165107" r:id="rId161"/>
        </w:object>
      </w:r>
      <w:r w:rsidRPr="00A2305B">
        <w:rPr>
          <w:rFonts w:cs="Times New Roman"/>
        </w:rPr>
        <w:t xml:space="preserve">, </w:t>
      </w:r>
      <w:r w:rsidRPr="00A2305B">
        <w:rPr>
          <w:rFonts w:cs="Times New Roman"/>
          <w:szCs w:val="24"/>
        </w:rPr>
        <w:t xml:space="preserve">is estimable, and not the covariance matrix </w:t>
      </w:r>
      <w:r w:rsidRPr="00A2305B">
        <w:rPr>
          <w:rFonts w:cs="Times New Roman"/>
          <w:position w:val="-4"/>
          <w:szCs w:val="24"/>
        </w:rPr>
        <w:object w:dxaOrig="260" w:dyaOrig="320">
          <v:shape id="_x0000_i1106" type="#_x0000_t75" style="width:13.5pt;height:15.75pt" o:ole="" o:preferrelative="f">
            <v:imagedata r:id="rId162" o:title=""/>
            <o:lock v:ext="edit" aspectratio="f"/>
          </v:shape>
          <o:OLEObject Type="Embed" ProgID="Equation.3" ShapeID="_x0000_i1106" DrawAspect="Content" ObjectID="_1612165108" r:id="rId163"/>
        </w:object>
      </w:r>
      <w:r w:rsidRPr="00A2305B">
        <w:rPr>
          <w:rFonts w:cs="Times New Roman"/>
          <w:szCs w:val="24"/>
        </w:rPr>
        <w:t xml:space="preserve"> of the original error terms (equivalently, only the covariance matrix </w:t>
      </w:r>
      <w:r w:rsidRPr="00A2305B">
        <w:rPr>
          <w:rFonts w:cs="Times New Roman"/>
          <w:b/>
          <w:szCs w:val="24"/>
        </w:rPr>
        <w:t>Ω</w:t>
      </w:r>
      <w:r w:rsidRPr="00A2305B">
        <w:rPr>
          <w:rFonts w:cs="Times New Roman"/>
          <w:szCs w:val="24"/>
        </w:rPr>
        <w:t xml:space="preserve"> of  </w:t>
      </w:r>
      <w:r w:rsidRPr="00A2305B">
        <w:rPr>
          <w:rFonts w:cs="Times New Roman"/>
          <w:position w:val="-14"/>
          <w:szCs w:val="24"/>
        </w:rPr>
        <w:object w:dxaOrig="2380" w:dyaOrig="400">
          <v:shape id="_x0000_i1107" type="#_x0000_t75" style="width:118.5pt;height:20.25pt" o:ole="" o:preferrelative="f">
            <v:imagedata r:id="rId164" o:title=""/>
            <o:lock v:ext="edit" aspectratio="f"/>
          </v:shape>
          <o:OLEObject Type="Embed" ProgID="Equation.DSMT4" ShapeID="_x0000_i1107" DrawAspect="Content" ObjectID="_1612165109" r:id="rId165"/>
        </w:object>
      </w:r>
      <w:r w:rsidRPr="00A2305B">
        <w:rPr>
          <w:rFonts w:cs="Times New Roman"/>
          <w:szCs w:val="24"/>
        </w:rPr>
        <w:t xml:space="preserve">is estimable, not the covariance matrix of  </w:t>
      </w:r>
      <w:r w:rsidRPr="00A2305B">
        <w:rPr>
          <w:rFonts w:cs="Times New Roman"/>
          <w:position w:val="-14"/>
          <w:szCs w:val="24"/>
        </w:rPr>
        <w:object w:dxaOrig="2380" w:dyaOrig="400">
          <v:shape id="_x0000_i1108" type="#_x0000_t75" style="width:118.5pt;height:20.25pt" o:ole="" o:preferrelative="f">
            <v:imagedata r:id="rId166" o:title=""/>
            <o:lock v:ext="edit" aspectratio="f"/>
          </v:shape>
          <o:OLEObject Type="Embed" ProgID="Equation.DSMT4" ShapeID="_x0000_i1108" DrawAspect="Content" ObjectID="_1612165110" r:id="rId167"/>
        </w:object>
      </w:r>
      <w:r w:rsidRPr="00A2305B">
        <w:rPr>
          <w:rFonts w:cs="Times New Roman"/>
          <w:szCs w:val="24"/>
        </w:rPr>
        <w:t xml:space="preserve">). Further, because the sum of the time investments across activity purposes is equal to the total time budget, an additional scale normalization needs to be imposed in the general model of Equation (4) (see Bhat, 2008). A convenient normalization is to set the first element of </w:t>
      </w:r>
      <w:r w:rsidRPr="00A2305B">
        <w:rPr>
          <w:rFonts w:cs="Times New Roman"/>
          <w:b/>
          <w:szCs w:val="24"/>
        </w:rPr>
        <w:t>Ω</w:t>
      </w:r>
      <w:r w:rsidRPr="00A2305B">
        <w:rPr>
          <w:rFonts w:cs="Times New Roman"/>
          <w:szCs w:val="24"/>
        </w:rPr>
        <w:t xml:space="preserve"> (that is, </w:t>
      </w:r>
      <w:r w:rsidRPr="00A2305B">
        <w:rPr>
          <w:rFonts w:cs="Times New Roman"/>
          <w:position w:val="-10"/>
          <w:szCs w:val="24"/>
        </w:rPr>
        <w:object w:dxaOrig="400" w:dyaOrig="340">
          <v:shape id="_x0000_i1109" type="#_x0000_t75" style="width:21pt;height:16.5pt" o:ole="" o:preferrelative="f">
            <v:imagedata r:id="rId168" o:title=""/>
            <o:lock v:ext="edit" aspectratio="f"/>
          </v:shape>
          <o:OLEObject Type="Embed" ProgID="Equation.3" ShapeID="_x0000_i1109" DrawAspect="Content" ObjectID="_1612165111" r:id="rId169"/>
        </w:object>
      </w:r>
      <w:r w:rsidRPr="00A2305B">
        <w:rPr>
          <w:rFonts w:cs="Times New Roman"/>
          <w:szCs w:val="24"/>
        </w:rPr>
        <w:t xml:space="preserve">to one). Further, for ease in interpretation of the covariance matrix </w:t>
      </w:r>
      <w:r w:rsidRPr="00A2305B">
        <w:rPr>
          <w:rFonts w:cs="Times New Roman"/>
          <w:b/>
          <w:szCs w:val="24"/>
        </w:rPr>
        <w:t>Ω</w:t>
      </w:r>
      <w:r w:rsidRPr="00A2305B">
        <w:rPr>
          <w:rFonts w:cs="Times New Roman"/>
          <w:szCs w:val="24"/>
        </w:rPr>
        <w:t xml:space="preserve">, we assume that the error term of the “outside” alternative </w:t>
      </w:r>
      <w:r w:rsidRPr="00A2305B">
        <w:rPr>
          <w:rFonts w:cs="Times New Roman"/>
          <w:position w:val="-14"/>
          <w:szCs w:val="24"/>
        </w:rPr>
        <w:object w:dxaOrig="380" w:dyaOrig="420">
          <v:shape id="_x0000_i1110" type="#_x0000_t75" style="width:19.5pt;height:21pt" o:ole="" o:preferrelative="f">
            <v:imagedata r:id="rId170" o:title=""/>
            <o:lock v:ext="edit" aspectratio="f"/>
          </v:shape>
          <o:OLEObject Type="Embed" ProgID="Equation.DSMT4" ShapeID="_x0000_i1110" DrawAspect="Content" ObjectID="_1612165112" r:id="rId171"/>
        </w:object>
      </w:r>
      <w:r w:rsidRPr="00A2305B">
        <w:rPr>
          <w:rFonts w:cs="Times New Roman"/>
          <w:szCs w:val="24"/>
        </w:rPr>
        <w:t xml:space="preserve"> is independent of the error terms of the “inside” alternatives </w:t>
      </w:r>
      <w:r w:rsidRPr="00A2305B">
        <w:rPr>
          <w:rFonts w:cs="Times New Roman"/>
          <w:position w:val="-14"/>
          <w:szCs w:val="24"/>
        </w:rPr>
        <w:object w:dxaOrig="2160" w:dyaOrig="420">
          <v:shape id="_x0000_i1111" type="#_x0000_t75" style="width:108pt;height:21pt" o:ole="" o:preferrelative="f">
            <v:imagedata r:id="rId172" o:title=""/>
            <o:lock v:ext="edit" aspectratio="f"/>
          </v:shape>
          <o:OLEObject Type="Embed" ProgID="Equation.DSMT4" ShapeID="_x0000_i1111" DrawAspect="Content" ObjectID="_1612165113" r:id="rId173"/>
        </w:object>
      </w:r>
      <w:r w:rsidRPr="00A2305B">
        <w:rPr>
          <w:rFonts w:cs="Times New Roman"/>
          <w:szCs w:val="24"/>
        </w:rPr>
        <w:t xml:space="preserve"> With this assumption, each covariance matrix element of </w:t>
      </w:r>
      <w:r w:rsidRPr="00A2305B">
        <w:rPr>
          <w:rFonts w:cs="Times New Roman"/>
          <w:b/>
          <w:szCs w:val="24"/>
        </w:rPr>
        <w:t>Ω</w:t>
      </w:r>
      <w:r w:rsidRPr="00A2305B">
        <w:rPr>
          <w:rFonts w:cs="Times New Roman"/>
          <w:szCs w:val="24"/>
        </w:rPr>
        <w:t xml:space="preserve"> can then immediately be interpreted as a direct indicator of the extent of variance and covariance in the utilities of the inside alternatives.</w:t>
      </w:r>
      <w:r w:rsidRPr="00A2305B">
        <w:rPr>
          <w:rStyle w:val="FootnoteReference"/>
          <w:rFonts w:eastAsia="MS Mincho" w:cs="Times New Roman"/>
          <w:szCs w:val="24"/>
          <w:vertAlign w:val="superscript"/>
        </w:rPr>
        <w:footnoteReference w:id="4"/>
      </w:r>
    </w:p>
    <w:p w:rsidR="00751138" w:rsidRPr="00A2305B" w:rsidRDefault="00751138" w:rsidP="00A2305B">
      <w:pPr>
        <w:autoSpaceDE w:val="0"/>
        <w:autoSpaceDN w:val="0"/>
        <w:adjustRightInd w:val="0"/>
        <w:snapToGrid w:val="0"/>
        <w:jc w:val="both"/>
        <w:rPr>
          <w:rFonts w:eastAsia="Times New Roman" w:cs="Times New Roman"/>
          <w:noProof/>
          <w:szCs w:val="24"/>
          <w:u w:val="single"/>
        </w:rPr>
      </w:pPr>
    </w:p>
    <w:p w:rsidR="00751138" w:rsidRPr="00A2305B" w:rsidRDefault="00751138" w:rsidP="00A2305B">
      <w:pPr>
        <w:keepNext/>
        <w:keepLines/>
        <w:autoSpaceDE w:val="0"/>
        <w:autoSpaceDN w:val="0"/>
        <w:adjustRightInd w:val="0"/>
        <w:snapToGrid w:val="0"/>
        <w:jc w:val="both"/>
        <w:rPr>
          <w:rFonts w:eastAsia="Times New Roman" w:cs="Times New Roman"/>
          <w:i/>
          <w:noProof/>
          <w:szCs w:val="24"/>
        </w:rPr>
      </w:pPr>
      <w:r w:rsidRPr="00A2305B">
        <w:rPr>
          <w:rFonts w:eastAsia="Times New Roman" w:cs="Times New Roman"/>
          <w:i/>
          <w:noProof/>
          <w:szCs w:val="24"/>
        </w:rPr>
        <w:lastRenderedPageBreak/>
        <w:t>2.1.3. The Joint Model</w:t>
      </w:r>
    </w:p>
    <w:p w:rsidR="00751138" w:rsidRPr="00A2305B" w:rsidRDefault="00751138" w:rsidP="00A2305B">
      <w:pPr>
        <w:keepNext/>
        <w:keepLines/>
        <w:adjustRightInd w:val="0"/>
        <w:snapToGrid w:val="0"/>
        <w:jc w:val="both"/>
        <w:rPr>
          <w:rFonts w:cs="Times New Roman"/>
          <w:szCs w:val="24"/>
        </w:rPr>
      </w:pPr>
      <w:r w:rsidRPr="00A2305B">
        <w:rPr>
          <w:rFonts w:cs="Times New Roman"/>
          <w:szCs w:val="24"/>
        </w:rPr>
        <w:t xml:space="preserve">Finally, to estimate the MDC variable and the nominal variables jointly, </w:t>
      </w:r>
      <w:proofErr w:type="spellStart"/>
      <w:r w:rsidRPr="00A2305B">
        <w:rPr>
          <w:rFonts w:cs="Times New Roman"/>
          <w:szCs w:val="24"/>
        </w:rPr>
        <w:t>jointness</w:t>
      </w:r>
      <w:proofErr w:type="spellEnd"/>
      <w:r w:rsidRPr="00A2305B">
        <w:rPr>
          <w:rFonts w:cs="Times New Roman"/>
          <w:szCs w:val="24"/>
        </w:rPr>
        <w:t xml:space="preserve"> is generated in the utilities of the differenced variables. Specifically, the covariance of </w:t>
      </w:r>
      <w:r w:rsidRPr="00A2305B">
        <w:rPr>
          <w:rFonts w:cs="Times New Roman"/>
          <w:position w:val="-14"/>
          <w:szCs w:val="24"/>
        </w:rPr>
        <w:object w:dxaOrig="360" w:dyaOrig="400">
          <v:shape id="_x0000_i1112" type="#_x0000_t75" style="width:18.75pt;height:20.25pt" o:ole="" o:preferrelative="f">
            <v:imagedata r:id="rId174" o:title=""/>
            <o:lock v:ext="edit" aspectratio="f"/>
          </v:shape>
          <o:OLEObject Type="Embed" ProgID="Equation.DSMT4" ShapeID="_x0000_i1112" DrawAspect="Content" ObjectID="_1612165114" r:id="rId175"/>
        </w:object>
      </w:r>
      <w:r w:rsidRPr="00A2305B">
        <w:rPr>
          <w:rFonts w:cs="Times New Roman"/>
          <w:szCs w:val="24"/>
        </w:rPr>
        <w:t xml:space="preserve">and </w:t>
      </w:r>
      <w:r w:rsidRPr="00A2305B">
        <w:rPr>
          <w:rFonts w:cs="Times New Roman"/>
          <w:position w:val="-14"/>
          <w:szCs w:val="24"/>
        </w:rPr>
        <w:object w:dxaOrig="320" w:dyaOrig="400">
          <v:shape id="_x0000_i1113" type="#_x0000_t75" style="width:15.75pt;height:20.25pt" o:ole="" o:preferrelative="f">
            <v:imagedata r:id="rId176" o:title=""/>
            <o:lock v:ext="edit" aspectratio="f"/>
          </v:shape>
          <o:OLEObject Type="Embed" ProgID="Equation.DSMT4" ShapeID="_x0000_i1113" DrawAspect="Content" ObjectID="_1612165115" r:id="rId177"/>
        </w:object>
      </w:r>
      <w:r w:rsidRPr="00A2305B">
        <w:rPr>
          <w:rFonts w:cs="Times New Roman"/>
          <w:szCs w:val="24"/>
        </w:rPr>
        <w:t xml:space="preserve"> can be written as:</w:t>
      </w:r>
    </w:p>
    <w:p w:rsidR="00751138" w:rsidRPr="00A2305B" w:rsidRDefault="00751138" w:rsidP="00A2305B">
      <w:pPr>
        <w:tabs>
          <w:tab w:val="right" w:pos="9360"/>
        </w:tabs>
        <w:adjustRightInd w:val="0"/>
        <w:snapToGrid w:val="0"/>
        <w:spacing w:before="120" w:after="120"/>
        <w:jc w:val="both"/>
        <w:rPr>
          <w:rFonts w:cs="Times New Roman"/>
          <w:szCs w:val="24"/>
        </w:rPr>
      </w:pPr>
      <w:r w:rsidRPr="00A2305B">
        <w:rPr>
          <w:rFonts w:cs="Times New Roman"/>
          <w:noProof/>
          <w:position w:val="-30"/>
          <w:szCs w:val="24"/>
        </w:rPr>
        <w:object w:dxaOrig="1340" w:dyaOrig="720">
          <v:shape id="_x0000_i1114" type="#_x0000_t75" style="width:67.5pt;height:36pt" o:ole="" o:preferrelative="f">
            <v:imagedata r:id="rId178" o:title=""/>
            <o:lock v:ext="edit" aspectratio="f"/>
          </v:shape>
          <o:OLEObject Type="Embed" ProgID="Equation.DSMT4" ShapeID="_x0000_i1114" DrawAspect="Content" ObjectID="_1612165116" r:id="rId179"/>
        </w:object>
      </w:r>
      <w:r w:rsidRPr="00A2305B">
        <w:rPr>
          <w:rFonts w:cs="Times New Roman"/>
          <w:szCs w:val="24"/>
        </w:rPr>
        <w:tab/>
        <w:t>(7)</w:t>
      </w:r>
    </w:p>
    <w:p w:rsidR="00751138" w:rsidRPr="00A2305B" w:rsidRDefault="00751138" w:rsidP="00A2305B">
      <w:pPr>
        <w:adjustRightInd w:val="0"/>
        <w:snapToGrid w:val="0"/>
        <w:jc w:val="both"/>
        <w:rPr>
          <w:rFonts w:cs="Times New Roman"/>
          <w:szCs w:val="24"/>
        </w:rPr>
      </w:pPr>
      <w:proofErr w:type="gramStart"/>
      <w:r w:rsidRPr="00A2305B">
        <w:rPr>
          <w:rFonts w:cs="Times New Roman"/>
          <w:szCs w:val="24"/>
        </w:rPr>
        <w:t>where</w:t>
      </w:r>
      <w:proofErr w:type="gramEnd"/>
      <w:r w:rsidRPr="00A2305B">
        <w:rPr>
          <w:rFonts w:cs="Times New Roman"/>
          <w:szCs w:val="24"/>
        </w:rPr>
        <w:t xml:space="preserve"> </w:t>
      </w:r>
      <w:r w:rsidRPr="00A2305B">
        <w:rPr>
          <w:rFonts w:cs="Times New Roman"/>
          <w:position w:val="-6"/>
          <w:szCs w:val="24"/>
        </w:rPr>
        <w:object w:dxaOrig="260" w:dyaOrig="279">
          <v:shape id="_x0000_i1115" type="#_x0000_t75" style="width:12.75pt;height:14.25pt" o:ole="">
            <v:imagedata r:id="rId180" o:title=""/>
          </v:shape>
          <o:OLEObject Type="Embed" ProgID="Equation.DSMT4" ShapeID="_x0000_i1115" DrawAspect="Content" ObjectID="_1612165117" r:id="rId181"/>
        </w:object>
      </w:r>
      <w:r w:rsidRPr="00A2305B">
        <w:rPr>
          <w:rFonts w:cs="Times New Roman"/>
          <w:szCs w:val="24"/>
        </w:rPr>
        <w:t xml:space="preserve"> captures the covariance between the vectors </w:t>
      </w:r>
      <w:r w:rsidRPr="00A2305B">
        <w:rPr>
          <w:rFonts w:cs="Times New Roman"/>
          <w:position w:val="-14"/>
          <w:szCs w:val="24"/>
        </w:rPr>
        <w:object w:dxaOrig="360" w:dyaOrig="400">
          <v:shape id="_x0000_i1116" type="#_x0000_t75" style="width:18.75pt;height:20.25pt" o:ole="" o:preferrelative="f">
            <v:imagedata r:id="rId174" o:title=""/>
            <o:lock v:ext="edit" aspectratio="f"/>
          </v:shape>
          <o:OLEObject Type="Embed" ProgID="Equation.DSMT4" ShapeID="_x0000_i1116" DrawAspect="Content" ObjectID="_1612165118" r:id="rId182"/>
        </w:object>
      </w:r>
      <w:r w:rsidRPr="00A2305B">
        <w:rPr>
          <w:rFonts w:cs="Times New Roman"/>
          <w:szCs w:val="24"/>
        </w:rPr>
        <w:t xml:space="preserve">and </w:t>
      </w:r>
      <w:r w:rsidRPr="00A2305B">
        <w:rPr>
          <w:rFonts w:cs="Times New Roman"/>
          <w:position w:val="-14"/>
          <w:szCs w:val="24"/>
        </w:rPr>
        <w:object w:dxaOrig="320" w:dyaOrig="400">
          <v:shape id="_x0000_i1117" type="#_x0000_t75" style="width:15.75pt;height:20.25pt" o:ole="" o:preferrelative="f">
            <v:imagedata r:id="rId176" o:title=""/>
            <o:lock v:ext="edit" aspectratio="f"/>
          </v:shape>
          <o:OLEObject Type="Embed" ProgID="Equation.DSMT4" ShapeID="_x0000_i1117" DrawAspect="Content" ObjectID="_1612165119" r:id="rId183"/>
        </w:object>
      </w:r>
      <w:r w:rsidRPr="00A2305B">
        <w:rPr>
          <w:rFonts w:cs="Times New Roman"/>
          <w:szCs w:val="24"/>
        </w:rPr>
        <w:t xml:space="preserve">. Assuming that the base utilities of the “low density” (for the RL choice) and “no active travel” (for the ACT choice) nominal categories, and the base utility preference for the “in-home” category of the ECAP MDC category, are independent of the utilities of all other non-base nominal/ECAP utilities, </w:t>
      </w:r>
      <w:r w:rsidRPr="00A2305B">
        <w:rPr>
          <w:rFonts w:cs="Times New Roman"/>
          <w:position w:val="-6"/>
          <w:szCs w:val="24"/>
        </w:rPr>
        <w:object w:dxaOrig="260" w:dyaOrig="279">
          <v:shape id="_x0000_i1118" type="#_x0000_t75" style="width:13.5pt;height:13.5pt" o:ole="" o:preferrelative="f">
            <v:imagedata r:id="rId180" o:title=""/>
            <o:lock v:ext="edit" aspectratio="f"/>
          </v:shape>
          <o:OLEObject Type="Embed" ProgID="Equation.DSMT4" ShapeID="_x0000_i1118" DrawAspect="Content" ObjectID="_1612165120" r:id="rId184"/>
        </w:object>
      </w:r>
      <w:r w:rsidRPr="00A2305B">
        <w:rPr>
          <w:rFonts w:cs="Times New Roman"/>
          <w:szCs w:val="24"/>
        </w:rPr>
        <w:t xml:space="preserve"> can be viewed as the covariance across the utilities of the non-base nominal categories and the non-base ECAP extra-curricular activities. </w:t>
      </w:r>
    </w:p>
    <w:p w:rsidR="00751138" w:rsidRPr="00A2305B" w:rsidRDefault="00751138" w:rsidP="00A2305B">
      <w:pPr>
        <w:adjustRightInd w:val="0"/>
        <w:snapToGrid w:val="0"/>
        <w:ind w:firstLine="720"/>
        <w:jc w:val="both"/>
        <w:rPr>
          <w:rFonts w:cs="Times New Roman"/>
          <w:szCs w:val="24"/>
        </w:rPr>
      </w:pPr>
      <w:r w:rsidRPr="00A2305B">
        <w:rPr>
          <w:rFonts w:cs="Times New Roman"/>
          <w:szCs w:val="24"/>
        </w:rPr>
        <w:t>The model is estimated</w:t>
      </w:r>
      <w:r w:rsidR="00D54C9A" w:rsidRPr="00A2305B">
        <w:rPr>
          <w:rFonts w:cs="Times New Roman"/>
          <w:szCs w:val="24"/>
        </w:rPr>
        <w:t xml:space="preserve"> in GAUSS</w:t>
      </w:r>
      <w:r w:rsidRPr="00A2305B">
        <w:rPr>
          <w:rFonts w:cs="Times New Roman"/>
          <w:szCs w:val="24"/>
        </w:rPr>
        <w:t xml:space="preserve"> using the maximum approximated composite marginal likelihood (MACML) approach (Bhat, 2011)</w:t>
      </w:r>
      <w:r w:rsidR="0081064B" w:rsidRPr="00A2305B">
        <w:rPr>
          <w:rFonts w:cs="Times New Roman"/>
          <w:szCs w:val="24"/>
        </w:rPr>
        <w:t xml:space="preserve">, </w:t>
      </w:r>
      <w:r w:rsidR="00DC366F" w:rsidRPr="00A2305B">
        <w:rPr>
          <w:rFonts w:cs="Times New Roman"/>
          <w:szCs w:val="24"/>
        </w:rPr>
        <w:t xml:space="preserve">which is </w:t>
      </w:r>
      <w:r w:rsidR="0081064B" w:rsidRPr="00A2305B">
        <w:rPr>
          <w:rFonts w:cs="Times New Roman"/>
          <w:szCs w:val="24"/>
        </w:rPr>
        <w:t>suitable for any context in which an MDC dependent variable and a nominal dependent variable are estimated jointly</w:t>
      </w:r>
      <w:r w:rsidRPr="00A2305B">
        <w:rPr>
          <w:rFonts w:cs="Times New Roman"/>
          <w:szCs w:val="24"/>
        </w:rPr>
        <w:t>. Th</w:t>
      </w:r>
      <w:r w:rsidR="0081064B" w:rsidRPr="00A2305B">
        <w:rPr>
          <w:rFonts w:cs="Times New Roman"/>
          <w:szCs w:val="24"/>
        </w:rPr>
        <w:t>is</w:t>
      </w:r>
      <w:r w:rsidRPr="00A2305B">
        <w:rPr>
          <w:rFonts w:cs="Times New Roman"/>
          <w:szCs w:val="24"/>
        </w:rPr>
        <w:t xml:space="preserve"> method of estimation is a simplification of the generalized heterogeneous data model (GHDM) proposed by Bhat et al. (2016), which in addition to nominal and MDC variables, estimates jointly count and ordinal variables. </w:t>
      </w:r>
    </w:p>
    <w:p w:rsidR="00751138" w:rsidRPr="00A2305B" w:rsidRDefault="00751138" w:rsidP="00A2305B">
      <w:pPr>
        <w:adjustRightInd w:val="0"/>
        <w:snapToGrid w:val="0"/>
        <w:jc w:val="both"/>
        <w:rPr>
          <w:rFonts w:cs="Times New Roman"/>
          <w:b/>
          <w:szCs w:val="24"/>
        </w:rPr>
      </w:pPr>
    </w:p>
    <w:p w:rsidR="00751138" w:rsidRPr="00A2305B" w:rsidRDefault="00751138" w:rsidP="00A2305B">
      <w:pPr>
        <w:keepNext/>
        <w:keepLines/>
        <w:adjustRightInd w:val="0"/>
        <w:snapToGrid w:val="0"/>
        <w:jc w:val="both"/>
        <w:rPr>
          <w:rFonts w:cs="Times New Roman"/>
          <w:szCs w:val="24"/>
        </w:rPr>
      </w:pPr>
      <w:r w:rsidRPr="00A2305B">
        <w:rPr>
          <w:rFonts w:cs="Times New Roman"/>
          <w:b/>
          <w:szCs w:val="24"/>
        </w:rPr>
        <w:t>2.2. The Data and Sample Description</w:t>
      </w:r>
    </w:p>
    <w:p w:rsidR="00751138" w:rsidRPr="00A2305B" w:rsidRDefault="00751138" w:rsidP="00A2305B">
      <w:pPr>
        <w:keepNext/>
        <w:keepLines/>
        <w:adjustRightInd w:val="0"/>
        <w:snapToGrid w:val="0"/>
        <w:jc w:val="both"/>
        <w:rPr>
          <w:rFonts w:cs="Times New Roman"/>
          <w:szCs w:val="24"/>
        </w:rPr>
      </w:pPr>
      <w:r w:rsidRPr="00A2305B">
        <w:rPr>
          <w:rFonts w:cs="Times New Roman"/>
          <w:szCs w:val="24"/>
        </w:rPr>
        <w:t xml:space="preserve">The data used in this study were collected from a survey conducted at four primary schools between November 2015 and June 2016 in Hong Kong. In the survey, a child questionnaire was administered using a face-to-face interview approach by a team of research assistants. The interviews were held on-campus with select child participants aged five to 12 years of age. The participating children were also asked to bring home a parent questionnaire for one of their parents to fill in. Leung and Loo (2017) provide more details about the school and participant sampling methods. Detailed information about any weekly (from Monday to Friday, no weekend) extra-curricular activities of the children, including activity type, activity duration, travel time to activity, and travel mode to activity were obtained in the survey. </w:t>
      </w:r>
    </w:p>
    <w:p w:rsidR="00751138" w:rsidRPr="00A2305B" w:rsidRDefault="00751138" w:rsidP="00A2305B">
      <w:pPr>
        <w:adjustRightInd w:val="0"/>
        <w:snapToGrid w:val="0"/>
        <w:jc w:val="both"/>
        <w:rPr>
          <w:rFonts w:cs="Times New Roman"/>
          <w:szCs w:val="24"/>
        </w:rPr>
      </w:pPr>
    </w:p>
    <w:p w:rsidR="00751138" w:rsidRPr="00A2305B" w:rsidRDefault="00751138" w:rsidP="00A2305B">
      <w:pPr>
        <w:adjustRightInd w:val="0"/>
        <w:snapToGrid w:val="0"/>
        <w:jc w:val="both"/>
        <w:rPr>
          <w:rFonts w:cs="Times New Roman"/>
          <w:i/>
          <w:szCs w:val="24"/>
        </w:rPr>
      </w:pPr>
      <w:r w:rsidRPr="00A2305B">
        <w:rPr>
          <w:rFonts w:cs="Times New Roman"/>
          <w:i/>
          <w:szCs w:val="24"/>
        </w:rPr>
        <w:t>2.2.1. Sample Description</w:t>
      </w:r>
    </w:p>
    <w:p w:rsidR="00751138" w:rsidRPr="00A2305B" w:rsidRDefault="00751138" w:rsidP="00A2305B">
      <w:pPr>
        <w:adjustRightInd w:val="0"/>
        <w:snapToGrid w:val="0"/>
        <w:jc w:val="both"/>
        <w:rPr>
          <w:rFonts w:cs="Times New Roman"/>
          <w:szCs w:val="24"/>
        </w:rPr>
      </w:pPr>
      <w:r w:rsidRPr="00A2305B">
        <w:rPr>
          <w:rFonts w:cs="Times New Roman"/>
          <w:szCs w:val="24"/>
        </w:rPr>
        <w:t xml:space="preserve">In this study, from the original raw data sample of </w:t>
      </w:r>
      <w:r w:rsidRPr="00A2305B">
        <w:rPr>
          <w:rFonts w:cs="Times New Roman"/>
          <w:szCs w:val="24"/>
          <w:lang w:eastAsia="zh-CN"/>
        </w:rPr>
        <w:t>655</w:t>
      </w:r>
      <w:r w:rsidRPr="00A2305B">
        <w:rPr>
          <w:rFonts w:cs="Times New Roman"/>
          <w:szCs w:val="24"/>
        </w:rPr>
        <w:t xml:space="preserve"> children, 103 were removed because of missing information on the endogenous variables of interest. The final sample comprises information on the residential locations and activity-travel patterns of </w:t>
      </w:r>
      <w:r w:rsidRPr="00A2305B">
        <w:rPr>
          <w:rFonts w:cs="Times New Roman"/>
          <w:szCs w:val="24"/>
          <w:lang w:eastAsia="zh-CN"/>
        </w:rPr>
        <w:t>552 children</w:t>
      </w:r>
      <w:r w:rsidRPr="00A2305B">
        <w:rPr>
          <w:rFonts w:cs="Times New Roman"/>
          <w:szCs w:val="24"/>
        </w:rPr>
        <w:t xml:space="preserve">. </w:t>
      </w:r>
    </w:p>
    <w:p w:rsidR="00751138" w:rsidRPr="00A2305B" w:rsidRDefault="00751138" w:rsidP="00A2305B">
      <w:pPr>
        <w:adjustRightInd w:val="0"/>
        <w:snapToGrid w:val="0"/>
        <w:ind w:firstLine="720"/>
        <w:jc w:val="both"/>
        <w:rPr>
          <w:rFonts w:cs="Times New Roman"/>
          <w:szCs w:val="24"/>
        </w:rPr>
      </w:pPr>
      <w:r w:rsidRPr="00A2305B">
        <w:rPr>
          <w:rFonts w:cs="Times New Roman"/>
          <w:szCs w:val="24"/>
        </w:rPr>
        <w:t xml:space="preserve">Table 1 presents descriptive sample characteristics of the socio-demographic variables. Some interesting observations are as follows: (a) no specific age is dominant, though there are fewer five-year old and 12-year old children, (b) boys are over-represented relative to girls, (c) a majority of the parents have received post-secondary (beyond high-school) education (the education level of the parent corresponds to that of the parent who responds to the parent questionnaire), (d) more than a third of the households belong to the high income category (&gt;59,999 HK$ per month), (e) as expected, motorized vehicle ownership in Hong Kong is much less than in the US and many other Western countries, (f) more than 70% of the families with children have at least two children, and (g) close to 60% of the children live in households in which both parents work, while over a third of children live in households where only the father works.  </w:t>
      </w:r>
      <w:r w:rsidRPr="00A2305B">
        <w:rPr>
          <w:rFonts w:cs="Times New Roman"/>
          <w:szCs w:val="24"/>
        </w:rPr>
        <w:lastRenderedPageBreak/>
        <w:t>When compared with the statistics from the most recent census data (see final column of Table 1), as obtained from the Hong Kong Population By-census 2016 (CSD, 2018), our sample is skewed toward boys, children from households with highly educated parents, high household income, high motorized vehicle ownership, and children with one or more siblings (for some of the sociodemographic variables, comparable census information is not available and so is not provided in Table 1). The over-representation of children from households with multiple children (siblings) may be attributable to siblings attending the same school (Hui, 2015)</w:t>
      </w:r>
      <w:r w:rsidRPr="00A2305B">
        <w:rPr>
          <w:rFonts w:cs="Times New Roman"/>
          <w:szCs w:val="24"/>
          <w:lang w:eastAsia="zh-CN"/>
        </w:rPr>
        <w:t xml:space="preserve">. Overall, however, </w:t>
      </w:r>
      <w:r w:rsidRPr="00A2305B">
        <w:rPr>
          <w:rFonts w:cs="Times New Roman"/>
          <w:szCs w:val="24"/>
        </w:rPr>
        <w:t>the survey sample is not an unreasonable representation of Hong Kong’s population of child</w:t>
      </w:r>
      <w:r w:rsidR="00A2305B">
        <w:rPr>
          <w:rFonts w:cs="Times New Roman"/>
          <w:szCs w:val="24"/>
        </w:rPr>
        <w:t xml:space="preserve">ren between 5-12 years of age. </w:t>
      </w:r>
    </w:p>
    <w:p w:rsidR="00751138" w:rsidRPr="00A2305B" w:rsidRDefault="00751138" w:rsidP="00A2305B">
      <w:pPr>
        <w:ind w:firstLine="720"/>
        <w:jc w:val="both"/>
        <w:rPr>
          <w:rFonts w:cs="Times New Roman"/>
          <w:szCs w:val="24"/>
        </w:rPr>
      </w:pPr>
      <w:r w:rsidRPr="00A2305B">
        <w:rPr>
          <w:rFonts w:cs="Times New Roman"/>
          <w:szCs w:val="24"/>
        </w:rPr>
        <w:t xml:space="preserve">In terms of the endogenous variables, the distribution of children with respect to residential location (RL) is as follows: low density (48%; n = 265), medium density (24.6%; n = 136), and high density (27.4%; n = 151). The distribution of the other nominal variable of ACT (active travel) is as follows: no active travel (40.9%; n = 226), some active travel (28.1%; n = 155), and all active travel (31%; n = 171). </w:t>
      </w:r>
    </w:p>
    <w:p w:rsidR="00751138" w:rsidRPr="00A2305B" w:rsidRDefault="00751138" w:rsidP="00A2305B">
      <w:pPr>
        <w:ind w:firstLine="720"/>
        <w:jc w:val="both"/>
        <w:rPr>
          <w:rFonts w:cs="Times New Roman"/>
          <w:szCs w:val="24"/>
        </w:rPr>
      </w:pPr>
      <w:r w:rsidRPr="00A2305B">
        <w:rPr>
          <w:rFonts w:cs="Times New Roman"/>
          <w:szCs w:val="24"/>
        </w:rPr>
        <w:t xml:space="preserve">Table 2 provides the statistics on the ECAP MDC variable. The second and third numeric columns indicate the number (percentage) of individuals participating in each activity type and the mean duration of participation among those who participate, respectively.  All children participate in in-home activities during the work week, as may be observed from the last row of the table. The mean duration in in-home pursuits exceeds 25 hours. Among the out-of-home (OH) extra-curricular activities, children participate most in academic and sports activities, and the least in hobbies.  However, conditional on participation, the average duration of participation is highest in the academic purpose (exceeding three hours), and lowest in the arts activity purpose (an average of a little more than an hour and a half). These descriptive statistics suggest a relatively high baseline utility preference for the academic and sports activity purposes, and a clear high satiation for the arts activity purpose. The last two columns in Table 2 indicate the split between solo participations and multiple activity participations. For the first four activity purposes, solo participation implies  individual participation in only that activity purpose, in addition to the in-home activity purpose, while multiple activity participation refers to participation in at least one other of the four OH extra-curricular activity purposes. For the in-home activity purpose, solo participation corresponds to participation in only in-home activities (no extra-curricular activity participation outside the home), while multiple activity participation refers to participation in in-home as well as at least one extra-curricular activity outside the home. Thus, the number for the “academic” activity purpose indicates that, of the 269 children participating in this activity purpose, 62 (or 23%) participated </w:t>
      </w:r>
      <w:r w:rsidRPr="00A2305B">
        <w:rPr>
          <w:rFonts w:cs="Times New Roman"/>
          <w:szCs w:val="24"/>
          <w:u w:val="single"/>
        </w:rPr>
        <w:t>only</w:t>
      </w:r>
      <w:r w:rsidRPr="00A2305B">
        <w:rPr>
          <w:rFonts w:cs="Times New Roman"/>
          <w:szCs w:val="24"/>
        </w:rPr>
        <w:t xml:space="preserve"> in academic activity and in-home activity during the work week, and 207 (or 77%) participated in academic activity, in-home activity, and at least one of the remaining three extra-curricular activity purposes. Other numbers and percentages can be similarly interpreted. The main take-away is that there is a substantial amount of participation in multiple extra-curricular activity purposes during the work week, necessitating the use of our MDC framework for </w:t>
      </w:r>
      <w:r w:rsidR="00DD34F1" w:rsidRPr="00A2305B">
        <w:rPr>
          <w:rFonts w:cs="Times New Roman"/>
          <w:szCs w:val="24"/>
        </w:rPr>
        <w:t>modelling</w:t>
      </w:r>
      <w:r w:rsidRPr="00A2305B">
        <w:rPr>
          <w:rFonts w:cs="Times New Roman"/>
          <w:szCs w:val="24"/>
        </w:rPr>
        <w:t xml:space="preserve"> the ECAP variable. </w:t>
      </w:r>
    </w:p>
    <w:p w:rsidR="00751138" w:rsidRPr="00A2305B" w:rsidRDefault="00751138" w:rsidP="00A2305B">
      <w:pPr>
        <w:jc w:val="both"/>
        <w:rPr>
          <w:rFonts w:cs="Times New Roman"/>
          <w:szCs w:val="24"/>
        </w:rPr>
      </w:pPr>
    </w:p>
    <w:p w:rsidR="00751138" w:rsidRPr="00A2305B" w:rsidRDefault="00751138" w:rsidP="00A2305B">
      <w:pPr>
        <w:adjustRightInd w:val="0"/>
        <w:snapToGrid w:val="0"/>
        <w:jc w:val="both"/>
        <w:rPr>
          <w:rFonts w:cs="Times New Roman"/>
          <w:b/>
          <w:szCs w:val="24"/>
        </w:rPr>
      </w:pPr>
      <w:r w:rsidRPr="00A2305B">
        <w:rPr>
          <w:rFonts w:cs="Times New Roman"/>
          <w:b/>
          <w:szCs w:val="24"/>
        </w:rPr>
        <w:t>3. RESULTS</w:t>
      </w:r>
    </w:p>
    <w:p w:rsidR="00751138" w:rsidRPr="00A2305B" w:rsidRDefault="00751138" w:rsidP="00A2305B">
      <w:pPr>
        <w:autoSpaceDE w:val="0"/>
        <w:autoSpaceDN w:val="0"/>
        <w:adjustRightInd w:val="0"/>
        <w:jc w:val="both"/>
        <w:rPr>
          <w:rFonts w:eastAsia="MT-Extra" w:cs="Times New Roman"/>
          <w:szCs w:val="24"/>
        </w:rPr>
      </w:pPr>
      <w:r w:rsidRPr="00A2305B">
        <w:rPr>
          <w:rFonts w:cs="Times New Roman"/>
          <w:szCs w:val="24"/>
        </w:rPr>
        <w:t xml:space="preserve">This section presents an overview of the model estimation results. A number of model specifications were tested, and variables were carefully introduced or excluded based on considerations of </w:t>
      </w:r>
      <w:r w:rsidR="009A15D7" w:rsidRPr="00A2305B">
        <w:rPr>
          <w:rFonts w:cs="Times New Roman"/>
          <w:szCs w:val="24"/>
        </w:rPr>
        <w:t>behaviour</w:t>
      </w:r>
      <w:r w:rsidRPr="00A2305B">
        <w:rPr>
          <w:rFonts w:cs="Times New Roman"/>
          <w:szCs w:val="24"/>
        </w:rPr>
        <w:t xml:space="preserve">al intuition and statistical significance. For the ECAP MDC mode component, </w:t>
      </w:r>
      <w:r w:rsidRPr="00A2305B">
        <w:rPr>
          <w:rFonts w:eastAsia="SimSun" w:cs="Times New Roman"/>
          <w:szCs w:val="24"/>
        </w:rPr>
        <w:t xml:space="preserve">the </w:t>
      </w:r>
      <w:r w:rsidRPr="00A2305B">
        <w:rPr>
          <w:rFonts w:eastAsia="Times New Roman" w:cs="Times New Roman"/>
          <w:noProof/>
          <w:position w:val="-6"/>
          <w:szCs w:val="24"/>
        </w:rPr>
        <w:object w:dxaOrig="200" w:dyaOrig="220">
          <v:shape id="_x0000_i1119" type="#_x0000_t75" style="width:10.5pt;height:10.5pt" o:ole="" o:preferrelative="f">
            <v:imagedata r:id="rId124" o:title=""/>
            <o:lock v:ext="edit" aspectratio="f"/>
          </v:shape>
          <o:OLEObject Type="Embed" ProgID="Equation.3" ShapeID="_x0000_i1119" DrawAspect="Content" ObjectID="_1612165121" r:id="rId185"/>
        </w:object>
      </w:r>
      <w:r w:rsidRPr="00A2305B">
        <w:rPr>
          <w:rFonts w:eastAsia="Times New Roman" w:cs="Times New Roman"/>
          <w:szCs w:val="24"/>
        </w:rPr>
        <w:t xml:space="preserve">-profile (in which </w:t>
      </w:r>
      <w:r w:rsidRPr="00A2305B">
        <w:rPr>
          <w:rFonts w:eastAsia="Times New Roman" w:cs="Times New Roman"/>
          <w:noProof/>
          <w:position w:val="-12"/>
          <w:szCs w:val="24"/>
        </w:rPr>
        <w:object w:dxaOrig="780" w:dyaOrig="360">
          <v:shape id="_x0000_i1120" type="#_x0000_t75" style="width:38.25pt;height:18.75pt" o:ole="" o:preferrelative="f">
            <v:imagedata r:id="rId126" o:title=""/>
            <o:lock v:ext="edit" aspectratio="f"/>
          </v:shape>
          <o:OLEObject Type="Embed" ProgID="Equation.3" ShapeID="_x0000_i1120" DrawAspect="Content" ObjectID="_1612165122" r:id="rId186"/>
        </w:object>
      </w:r>
      <w:r w:rsidRPr="00A2305B">
        <w:rPr>
          <w:rFonts w:eastAsia="Times New Roman" w:cs="Times New Roman"/>
          <w:szCs w:val="24"/>
        </w:rPr>
        <w:t xml:space="preserve"> for all alternatives, and the </w:t>
      </w:r>
      <w:r w:rsidRPr="00A2305B">
        <w:rPr>
          <w:rFonts w:eastAsia="Times New Roman" w:cs="Times New Roman"/>
          <w:noProof/>
          <w:position w:val="-12"/>
          <w:szCs w:val="24"/>
        </w:rPr>
        <w:object w:dxaOrig="260" w:dyaOrig="360">
          <v:shape id="_x0000_i1121" type="#_x0000_t75" style="width:12.75pt;height:18.75pt" o:ole="" o:preferrelative="f">
            <v:imagedata r:id="rId102" o:title=""/>
            <o:lock v:ext="edit" aspectratio="f"/>
          </v:shape>
          <o:OLEObject Type="Embed" ProgID="Equation.3" ShapeID="_x0000_i1121" DrawAspect="Content" ObjectID="_1612165123" r:id="rId187"/>
        </w:object>
      </w:r>
      <w:r w:rsidRPr="00A2305B">
        <w:rPr>
          <w:rFonts w:eastAsia="Times New Roman" w:cs="Times New Roman"/>
          <w:position w:val="-14"/>
          <w:szCs w:val="24"/>
        </w:rPr>
        <w:t xml:space="preserve"> </w:t>
      </w:r>
      <w:r w:rsidRPr="00A2305B">
        <w:rPr>
          <w:rFonts w:eastAsia="Times New Roman" w:cs="Times New Roman"/>
          <w:szCs w:val="24"/>
        </w:rPr>
        <w:t xml:space="preserve">terms are estimated) </w:t>
      </w:r>
      <w:r w:rsidRPr="00A2305B">
        <w:rPr>
          <w:rFonts w:eastAsia="SimSun" w:cs="Times New Roman"/>
          <w:szCs w:val="24"/>
        </w:rPr>
        <w:t xml:space="preserve">was found to offer a better statistical fit in this study. </w:t>
      </w:r>
    </w:p>
    <w:p w:rsidR="00751138" w:rsidRPr="00A2305B" w:rsidRDefault="00751138" w:rsidP="00A2305B">
      <w:pPr>
        <w:autoSpaceDE w:val="0"/>
        <w:autoSpaceDN w:val="0"/>
        <w:adjustRightInd w:val="0"/>
        <w:ind w:firstLine="720"/>
        <w:jc w:val="both"/>
        <w:rPr>
          <w:rFonts w:cs="Times New Roman"/>
          <w:szCs w:val="24"/>
        </w:rPr>
      </w:pPr>
      <w:r w:rsidRPr="00A2305B">
        <w:rPr>
          <w:rFonts w:cs="Times New Roman"/>
          <w:szCs w:val="24"/>
        </w:rPr>
        <w:lastRenderedPageBreak/>
        <w:t xml:space="preserve">Table 3 shows the estimated coefficients for the final utility function specifications. The effects of exogenous variables (that is, the socio-demographic variables) on the utility of alternatives (that is, the estimates of the </w:t>
      </w:r>
      <w:r w:rsidRPr="00A2305B">
        <w:rPr>
          <w:rFonts w:cs="Times New Roman"/>
          <w:noProof/>
          <w:position w:val="-14"/>
          <w:szCs w:val="24"/>
        </w:rPr>
        <w:object w:dxaOrig="300" w:dyaOrig="380">
          <v:shape id="_x0000_i1122" type="#_x0000_t75" style="width:15pt;height:19.5pt" o:ole="" o:preferrelative="f">
            <v:imagedata r:id="rId19" o:title=""/>
            <o:lock v:ext="edit" aspectratio="f"/>
          </v:shape>
          <o:OLEObject Type="Embed" ProgID="Equation.DSMT4" ShapeID="_x0000_i1122" DrawAspect="Content" ObjectID="_1612165124" r:id="rId188"/>
        </w:object>
      </w:r>
      <w:r w:rsidRPr="00A2305B">
        <w:rPr>
          <w:rFonts w:cs="Times New Roman"/>
          <w:szCs w:val="24"/>
        </w:rPr>
        <w:t xml:space="preserve"> vector elements on exogenous variables) for the nominal variables RL and ACT, and the effects of exogenous variables on the baseline preference (that is, the estimates of the </w:t>
      </w:r>
      <w:r w:rsidRPr="00A2305B">
        <w:rPr>
          <w:rFonts w:cs="Times New Roman"/>
          <w:position w:val="-6"/>
          <w:szCs w:val="24"/>
        </w:rPr>
        <w:object w:dxaOrig="200" w:dyaOrig="279">
          <v:shape id="_x0000_i1123" type="#_x0000_t75" style="width:10.5pt;height:13.5pt" o:ole="">
            <v:imagedata r:id="rId189" o:title=""/>
          </v:shape>
          <o:OLEObject Type="Embed" ProgID="Equation.DSMT4" ShapeID="_x0000_i1123" DrawAspect="Content" ObjectID="_1612165125" r:id="rId190"/>
        </w:object>
      </w:r>
      <w:r w:rsidRPr="00A2305B">
        <w:rPr>
          <w:rFonts w:cs="Times New Roman"/>
          <w:szCs w:val="24"/>
        </w:rPr>
        <w:t xml:space="preserve"> vector elements on the exogenous variables), are presented in the next section</w:t>
      </w:r>
      <w:r w:rsidR="00AF71B3" w:rsidRPr="00A2305B">
        <w:rPr>
          <w:rFonts w:cs="Times New Roman"/>
          <w:szCs w:val="24"/>
        </w:rPr>
        <w:t xml:space="preserve">, corresponding to the linkage between the variables in the </w:t>
      </w:r>
      <w:r w:rsidR="00075389" w:rsidRPr="00A2305B">
        <w:rPr>
          <w:rFonts w:cs="Times New Roman"/>
          <w:szCs w:val="24"/>
        </w:rPr>
        <w:t>“</w:t>
      </w:r>
      <w:r w:rsidR="00AF71B3" w:rsidRPr="00A2305B">
        <w:rPr>
          <w:rFonts w:cs="Times New Roman"/>
          <w:szCs w:val="24"/>
        </w:rPr>
        <w:t>Socio-demographic Characteristics</w:t>
      </w:r>
      <w:r w:rsidR="00075389" w:rsidRPr="00A2305B">
        <w:rPr>
          <w:rFonts w:cs="Times New Roman"/>
          <w:szCs w:val="24"/>
        </w:rPr>
        <w:t>”</w:t>
      </w:r>
      <w:r w:rsidR="00AF71B3" w:rsidRPr="00A2305B">
        <w:rPr>
          <w:rFonts w:cs="Times New Roman"/>
          <w:szCs w:val="24"/>
        </w:rPr>
        <w:t xml:space="preserve"> block with the </w:t>
      </w:r>
      <w:r w:rsidR="00075389" w:rsidRPr="00A2305B">
        <w:rPr>
          <w:rFonts w:cs="Times New Roman"/>
          <w:szCs w:val="24"/>
        </w:rPr>
        <w:t>“</w:t>
      </w:r>
      <w:r w:rsidR="00646BDA" w:rsidRPr="00A2305B">
        <w:rPr>
          <w:rFonts w:cs="Times New Roman"/>
          <w:szCs w:val="24"/>
        </w:rPr>
        <w:t>Environment-Activity-Travel Decisions</w:t>
      </w:r>
      <w:r w:rsidR="00075389" w:rsidRPr="00A2305B">
        <w:rPr>
          <w:rFonts w:cs="Times New Roman"/>
          <w:szCs w:val="24"/>
        </w:rPr>
        <w:t>”</w:t>
      </w:r>
      <w:r w:rsidR="00AF71B3" w:rsidRPr="00A2305B">
        <w:rPr>
          <w:rFonts w:cs="Times New Roman"/>
          <w:szCs w:val="24"/>
        </w:rPr>
        <w:t xml:space="preserve"> block in Figure 1</w:t>
      </w:r>
      <w:r w:rsidRPr="00A2305B">
        <w:rPr>
          <w:rFonts w:cs="Times New Roman"/>
          <w:szCs w:val="24"/>
        </w:rPr>
        <w:t xml:space="preserve">. Then, the endogenous effects (that is, the estimates of the </w:t>
      </w:r>
      <w:r w:rsidRPr="00A2305B">
        <w:rPr>
          <w:rFonts w:cs="Times New Roman"/>
          <w:noProof/>
          <w:position w:val="-14"/>
          <w:szCs w:val="24"/>
        </w:rPr>
        <w:object w:dxaOrig="300" w:dyaOrig="380">
          <v:shape id="_x0000_i1124" type="#_x0000_t75" style="width:15pt;height:19.5pt" o:ole="" o:preferrelative="f">
            <v:imagedata r:id="rId19" o:title=""/>
            <o:lock v:ext="edit" aspectratio="f"/>
          </v:shape>
          <o:OLEObject Type="Embed" ProgID="Equation.DSMT4" ShapeID="_x0000_i1124" DrawAspect="Content" ObjectID="_1612165126" r:id="rId191"/>
        </w:object>
      </w:r>
      <w:r w:rsidRPr="00A2305B">
        <w:rPr>
          <w:rFonts w:cs="Times New Roman"/>
          <w:noProof/>
          <w:szCs w:val="24"/>
        </w:rPr>
        <w:t xml:space="preserve"> and </w:t>
      </w:r>
      <w:r w:rsidRPr="00A2305B">
        <w:rPr>
          <w:rFonts w:cs="Times New Roman"/>
          <w:b/>
          <w:i/>
          <w:noProof/>
          <w:szCs w:val="24"/>
        </w:rPr>
        <w:t>δ</w:t>
      </w:r>
      <w:r w:rsidRPr="00A2305B">
        <w:rPr>
          <w:rFonts w:cs="Times New Roman"/>
          <w:szCs w:val="24"/>
        </w:rPr>
        <w:t xml:space="preserve"> vector elements corresponding to the endogenous variables) are presented in Section 3.2</w:t>
      </w:r>
      <w:r w:rsidR="00AF71B3" w:rsidRPr="00A2305B">
        <w:rPr>
          <w:rFonts w:cs="Times New Roman"/>
          <w:szCs w:val="24"/>
        </w:rPr>
        <w:t xml:space="preserve">, which corresponds to the joint </w:t>
      </w:r>
      <w:r w:rsidR="00646BDA" w:rsidRPr="00A2305B">
        <w:rPr>
          <w:rFonts w:cs="Times New Roman"/>
          <w:szCs w:val="24"/>
        </w:rPr>
        <w:t>modelling</w:t>
      </w:r>
      <w:r w:rsidR="00AF71B3" w:rsidRPr="00A2305B">
        <w:rPr>
          <w:rFonts w:cs="Times New Roman"/>
          <w:szCs w:val="24"/>
        </w:rPr>
        <w:t xml:space="preserve"> of the </w:t>
      </w:r>
      <w:r w:rsidR="00075389" w:rsidRPr="00A2305B">
        <w:rPr>
          <w:rFonts w:cs="Times New Roman"/>
          <w:szCs w:val="24"/>
        </w:rPr>
        <w:t>“</w:t>
      </w:r>
      <w:r w:rsidR="00646BDA" w:rsidRPr="00A2305B">
        <w:rPr>
          <w:rFonts w:cs="Times New Roman"/>
          <w:szCs w:val="24"/>
        </w:rPr>
        <w:t>Environment-Activity-Travel Decisions</w:t>
      </w:r>
      <w:r w:rsidR="00075389" w:rsidRPr="00A2305B">
        <w:rPr>
          <w:rFonts w:cs="Times New Roman"/>
          <w:szCs w:val="24"/>
        </w:rPr>
        <w:t>”</w:t>
      </w:r>
      <w:r w:rsidR="00AF71B3" w:rsidRPr="00A2305B">
        <w:rPr>
          <w:rFonts w:cs="Times New Roman"/>
          <w:szCs w:val="24"/>
        </w:rPr>
        <w:t xml:space="preserve"> block in our conceptual framework in Figure 1. This is</w:t>
      </w:r>
      <w:r w:rsidRPr="00A2305B">
        <w:rPr>
          <w:rFonts w:cs="Times New Roman"/>
          <w:szCs w:val="24"/>
        </w:rPr>
        <w:t xml:space="preserve"> followed by the satiation parameters (</w:t>
      </w:r>
      <w:r w:rsidRPr="00A2305B">
        <w:rPr>
          <w:rFonts w:eastAsia="Times New Roman" w:cs="Times New Roman"/>
          <w:szCs w:val="24"/>
        </w:rPr>
        <w:t xml:space="preserve">the </w:t>
      </w:r>
      <w:r w:rsidRPr="00A2305B">
        <w:rPr>
          <w:rFonts w:eastAsia="Times New Roman" w:cs="Times New Roman"/>
          <w:noProof/>
          <w:position w:val="-12"/>
          <w:szCs w:val="24"/>
        </w:rPr>
        <w:object w:dxaOrig="260" w:dyaOrig="360">
          <v:shape id="_x0000_i1125" type="#_x0000_t75" style="width:12.75pt;height:18.75pt" o:ole="" o:preferrelative="f">
            <v:imagedata r:id="rId102" o:title=""/>
            <o:lock v:ext="edit" aspectratio="f"/>
          </v:shape>
          <o:OLEObject Type="Embed" ProgID="Equation.3" ShapeID="_x0000_i1125" DrawAspect="Content" ObjectID="_1612165127" r:id="rId192"/>
        </w:object>
      </w:r>
      <w:r w:rsidRPr="00A2305B">
        <w:rPr>
          <w:rFonts w:eastAsia="Times New Roman" w:cs="Times New Roman"/>
          <w:position w:val="-14"/>
          <w:szCs w:val="24"/>
        </w:rPr>
        <w:t xml:space="preserve"> </w:t>
      </w:r>
      <w:r w:rsidRPr="00A2305B">
        <w:rPr>
          <w:rFonts w:cs="Times New Roman"/>
          <w:szCs w:val="24"/>
        </w:rPr>
        <w:t>terms in the ECAP MDC model) in Section 3.3</w:t>
      </w:r>
      <w:r w:rsidR="008F2F13" w:rsidRPr="00A2305B">
        <w:rPr>
          <w:rFonts w:cs="Times New Roman"/>
          <w:szCs w:val="24"/>
        </w:rPr>
        <w:t>, as well as</w:t>
      </w:r>
      <w:r w:rsidRPr="00A2305B">
        <w:rPr>
          <w:rFonts w:cs="Times New Roman"/>
          <w:szCs w:val="24"/>
        </w:rPr>
        <w:t xml:space="preserve"> the estimates of the </w:t>
      </w:r>
      <w:r w:rsidRPr="00A2305B">
        <w:rPr>
          <w:rFonts w:cs="Times New Roman"/>
          <w:position w:val="-4"/>
          <w:szCs w:val="24"/>
        </w:rPr>
        <w:object w:dxaOrig="240" w:dyaOrig="260">
          <v:shape id="_x0000_i1126" type="#_x0000_t75" style="width:12.75pt;height:12.75pt" o:ole="" o:preferrelative="f">
            <v:imagedata r:id="rId193" o:title=""/>
            <o:lock v:ext="edit" aspectratio="f"/>
          </v:shape>
          <o:OLEObject Type="Embed" ProgID="Equation.DSMT4" ShapeID="_x0000_i1126" DrawAspect="Content" ObjectID="_1612165128" r:id="rId194"/>
        </w:object>
      </w:r>
      <w:r w:rsidRPr="00A2305B">
        <w:rPr>
          <w:rFonts w:cs="Times New Roman"/>
          <w:szCs w:val="24"/>
        </w:rPr>
        <w:t>covariance matrix</w:t>
      </w:r>
      <w:r w:rsidR="008F2F13" w:rsidRPr="00A2305B">
        <w:rPr>
          <w:rFonts w:cs="Times New Roman"/>
          <w:szCs w:val="24"/>
        </w:rPr>
        <w:t xml:space="preserve"> in Section 3.4. </w:t>
      </w:r>
      <w:r w:rsidRPr="00A2305B">
        <w:rPr>
          <w:rFonts w:cs="Times New Roman"/>
          <w:szCs w:val="24"/>
        </w:rPr>
        <w:t xml:space="preserve">Sections 3.5 and 3.6 present information on likelihood and non-likelihood measures of fit, respectively. </w:t>
      </w:r>
      <w:r w:rsidR="008F2F13" w:rsidRPr="00A2305B">
        <w:rPr>
          <w:rFonts w:cs="Times New Roman"/>
          <w:szCs w:val="24"/>
        </w:rPr>
        <w:t>In t</w:t>
      </w:r>
      <w:r w:rsidR="001D704B" w:rsidRPr="00A2305B">
        <w:rPr>
          <w:rFonts w:cs="Times New Roman"/>
          <w:szCs w:val="24"/>
        </w:rPr>
        <w:t>he context of Figure 1, Section</w:t>
      </w:r>
      <w:r w:rsidR="008F2F13" w:rsidRPr="00A2305B">
        <w:rPr>
          <w:rFonts w:cs="Times New Roman"/>
          <w:szCs w:val="24"/>
        </w:rPr>
        <w:t xml:space="preserve"> 3.3</w:t>
      </w:r>
      <w:r w:rsidR="001D704B" w:rsidRPr="00A2305B">
        <w:rPr>
          <w:rFonts w:cs="Times New Roman"/>
          <w:szCs w:val="24"/>
        </w:rPr>
        <w:t xml:space="preserve"> provides more</w:t>
      </w:r>
      <w:r w:rsidR="005458B5" w:rsidRPr="00A2305B">
        <w:rPr>
          <w:rFonts w:cs="Times New Roman"/>
          <w:szCs w:val="24"/>
        </w:rPr>
        <w:t xml:space="preserve"> specific</w:t>
      </w:r>
      <w:r w:rsidR="001D704B" w:rsidRPr="00A2305B">
        <w:rPr>
          <w:rFonts w:cs="Times New Roman"/>
          <w:szCs w:val="24"/>
        </w:rPr>
        <w:t xml:space="preserve"> detail about the ECAP block, while Sections 3.4-3.6 provide</w:t>
      </w:r>
      <w:r w:rsidR="005458B5" w:rsidRPr="00A2305B">
        <w:rPr>
          <w:rFonts w:cs="Times New Roman"/>
          <w:szCs w:val="24"/>
        </w:rPr>
        <w:t xml:space="preserve"> the empirical support by illustrating the superiority of our joint model</w:t>
      </w:r>
      <w:r w:rsidR="00536411" w:rsidRPr="00A2305B">
        <w:rPr>
          <w:rFonts w:cs="Times New Roman"/>
          <w:szCs w:val="24"/>
        </w:rPr>
        <w:t xml:space="preserve">, corresponding to the joint choices of the </w:t>
      </w:r>
      <w:r w:rsidR="00481771" w:rsidRPr="00A2305B">
        <w:rPr>
          <w:rFonts w:cs="Times New Roman"/>
          <w:szCs w:val="24"/>
        </w:rPr>
        <w:t>“</w:t>
      </w:r>
      <w:r w:rsidR="00646BDA" w:rsidRPr="00A2305B">
        <w:rPr>
          <w:rFonts w:cs="Times New Roman"/>
          <w:szCs w:val="24"/>
        </w:rPr>
        <w:t>Environment-Activity-Travel Decisions</w:t>
      </w:r>
      <w:r w:rsidR="00481771" w:rsidRPr="00A2305B">
        <w:rPr>
          <w:rFonts w:cs="Times New Roman"/>
          <w:szCs w:val="24"/>
        </w:rPr>
        <w:t>”</w:t>
      </w:r>
      <w:r w:rsidR="00536411" w:rsidRPr="00A2305B">
        <w:rPr>
          <w:rFonts w:cs="Times New Roman"/>
          <w:szCs w:val="24"/>
        </w:rPr>
        <w:t xml:space="preserve"> block, being influenced by the exogenous variables in the </w:t>
      </w:r>
      <w:r w:rsidR="00481771" w:rsidRPr="00A2305B">
        <w:rPr>
          <w:rFonts w:cs="Times New Roman"/>
          <w:szCs w:val="24"/>
        </w:rPr>
        <w:t>“</w:t>
      </w:r>
      <w:r w:rsidR="00536411" w:rsidRPr="00A2305B">
        <w:rPr>
          <w:rFonts w:cs="Times New Roman"/>
          <w:szCs w:val="24"/>
        </w:rPr>
        <w:t>Socio-</w:t>
      </w:r>
      <w:r w:rsidR="00536411" w:rsidRPr="00A2305B">
        <w:rPr>
          <w:rFonts w:eastAsiaTheme="minorEastAsia" w:cs="Times New Roman"/>
          <w:szCs w:val="24"/>
          <w:lang w:eastAsia="zh-TW"/>
        </w:rPr>
        <w:t>demographic Characteristics</w:t>
      </w:r>
      <w:r w:rsidR="00481771" w:rsidRPr="00A2305B">
        <w:rPr>
          <w:rFonts w:eastAsiaTheme="minorEastAsia" w:cs="Times New Roman"/>
          <w:szCs w:val="24"/>
          <w:lang w:eastAsia="zh-TW"/>
        </w:rPr>
        <w:t>”</w:t>
      </w:r>
      <w:r w:rsidR="00536411" w:rsidRPr="00A2305B">
        <w:rPr>
          <w:rFonts w:eastAsiaTheme="minorEastAsia" w:cs="Times New Roman"/>
          <w:szCs w:val="24"/>
          <w:lang w:eastAsia="zh-TW"/>
        </w:rPr>
        <w:t xml:space="preserve"> block, and in turn influencing the </w:t>
      </w:r>
      <w:r w:rsidR="00481771" w:rsidRPr="00A2305B">
        <w:rPr>
          <w:rFonts w:eastAsiaTheme="minorEastAsia" w:cs="Times New Roman"/>
          <w:szCs w:val="24"/>
          <w:lang w:eastAsia="zh-TW"/>
        </w:rPr>
        <w:t>“</w:t>
      </w:r>
      <w:r w:rsidR="00536411" w:rsidRPr="00A2305B">
        <w:rPr>
          <w:rFonts w:eastAsiaTheme="minorEastAsia" w:cs="Times New Roman"/>
          <w:szCs w:val="24"/>
          <w:lang w:eastAsia="zh-TW"/>
        </w:rPr>
        <w:t>Child Outcomes</w:t>
      </w:r>
      <w:r w:rsidR="00481771" w:rsidRPr="00A2305B">
        <w:rPr>
          <w:rFonts w:eastAsiaTheme="minorEastAsia" w:cs="Times New Roman"/>
          <w:szCs w:val="24"/>
          <w:lang w:eastAsia="zh-TW"/>
        </w:rPr>
        <w:t>”</w:t>
      </w:r>
      <w:r w:rsidR="00536411" w:rsidRPr="00A2305B">
        <w:rPr>
          <w:rFonts w:eastAsiaTheme="minorEastAsia" w:cs="Times New Roman"/>
          <w:szCs w:val="24"/>
          <w:lang w:eastAsia="zh-TW"/>
        </w:rPr>
        <w:t xml:space="preserve"> block</w:t>
      </w:r>
      <w:r w:rsidR="00536411" w:rsidRPr="00A2305B">
        <w:rPr>
          <w:rFonts w:cs="Times New Roman"/>
          <w:szCs w:val="24"/>
        </w:rPr>
        <w:t xml:space="preserve"> (an independent model not considering RL, ECAP and ACT jointly would </w:t>
      </w:r>
      <w:r w:rsidR="005458B5" w:rsidRPr="00A2305B">
        <w:rPr>
          <w:rFonts w:cs="Times New Roman"/>
          <w:szCs w:val="24"/>
        </w:rPr>
        <w:t xml:space="preserve">fail to </w:t>
      </w:r>
      <w:r w:rsidR="00536411" w:rsidRPr="00A2305B">
        <w:rPr>
          <w:rFonts w:cs="Times New Roman"/>
          <w:szCs w:val="24"/>
        </w:rPr>
        <w:t xml:space="preserve">address </w:t>
      </w:r>
      <w:r w:rsidR="005458B5" w:rsidRPr="00A2305B">
        <w:rPr>
          <w:rFonts w:cs="Times New Roman"/>
          <w:szCs w:val="24"/>
        </w:rPr>
        <w:t>unobserved factors</w:t>
      </w:r>
      <w:r w:rsidR="00536411" w:rsidRPr="00A2305B">
        <w:rPr>
          <w:rFonts w:cs="Times New Roman"/>
          <w:szCs w:val="24"/>
        </w:rPr>
        <w:t xml:space="preserve"> such as residential self-selection effects)</w:t>
      </w:r>
      <w:r w:rsidR="005458B5" w:rsidRPr="00A2305B">
        <w:rPr>
          <w:rFonts w:cs="Times New Roman"/>
          <w:szCs w:val="24"/>
        </w:rPr>
        <w:t>.</w:t>
      </w:r>
    </w:p>
    <w:p w:rsidR="00751138" w:rsidRPr="00A2305B" w:rsidRDefault="00751138" w:rsidP="00A2305B">
      <w:pPr>
        <w:autoSpaceDE w:val="0"/>
        <w:autoSpaceDN w:val="0"/>
        <w:adjustRightInd w:val="0"/>
        <w:ind w:firstLine="720"/>
        <w:jc w:val="both"/>
        <w:rPr>
          <w:rFonts w:cs="Times New Roman"/>
          <w:szCs w:val="24"/>
        </w:rPr>
      </w:pPr>
    </w:p>
    <w:p w:rsidR="00751138" w:rsidRPr="00A2305B" w:rsidRDefault="00751138" w:rsidP="00A2305B">
      <w:pPr>
        <w:adjustRightInd w:val="0"/>
        <w:snapToGrid w:val="0"/>
        <w:jc w:val="both"/>
        <w:rPr>
          <w:rFonts w:cs="Times New Roman"/>
          <w:b/>
          <w:szCs w:val="24"/>
        </w:rPr>
      </w:pPr>
      <w:r w:rsidRPr="00A2305B">
        <w:rPr>
          <w:rFonts w:cs="Times New Roman"/>
          <w:b/>
          <w:szCs w:val="24"/>
        </w:rPr>
        <w:t>3.1. Effects of Exogenous Variables</w:t>
      </w:r>
    </w:p>
    <w:p w:rsidR="00751138" w:rsidRPr="00A2305B" w:rsidRDefault="00751138" w:rsidP="00A2305B">
      <w:pPr>
        <w:adjustRightInd w:val="0"/>
        <w:snapToGrid w:val="0"/>
        <w:jc w:val="both"/>
        <w:rPr>
          <w:rFonts w:cs="Times New Roman"/>
          <w:szCs w:val="24"/>
        </w:rPr>
      </w:pPr>
      <w:r w:rsidRPr="00A2305B">
        <w:rPr>
          <w:rFonts w:cs="Times New Roman"/>
          <w:szCs w:val="24"/>
        </w:rPr>
        <w:t>The first row in Table 3, provides the estimates of the alternative specific constants, which do not have any substantive interpretations because of the presence of the age continuous variable. For the age variable, we examined alternative specifications, including a linear continuous specification, dummy variables for various age ranges, as well as a general piece-wise linear specification. Among these alternative specifications, the linear specification came out to be as good as the most non-linear dummy variable specification (corresponding to a dummy variable for each age) as well as a piece-wise linear specification, and is the one used in the final specification because of its parsimonious nature. The effects of the exogenous variables are now discussed in the same order as they appear in Table 3</w:t>
      </w:r>
      <w:r w:rsidR="007A774B" w:rsidRPr="00A2305B">
        <w:rPr>
          <w:rFonts w:cs="Times New Roman"/>
          <w:szCs w:val="24"/>
        </w:rPr>
        <w:t xml:space="preserve">, corresponding to the linkage between the variables in the </w:t>
      </w:r>
      <w:r w:rsidR="00481771" w:rsidRPr="00A2305B">
        <w:rPr>
          <w:rFonts w:cs="Times New Roman"/>
          <w:szCs w:val="24"/>
        </w:rPr>
        <w:t>“</w:t>
      </w:r>
      <w:r w:rsidR="007A774B" w:rsidRPr="00A2305B">
        <w:rPr>
          <w:rFonts w:cs="Times New Roman"/>
          <w:szCs w:val="24"/>
        </w:rPr>
        <w:t>Socio-demographic Characteristics</w:t>
      </w:r>
      <w:r w:rsidR="00481771" w:rsidRPr="00A2305B">
        <w:rPr>
          <w:rFonts w:cs="Times New Roman"/>
          <w:szCs w:val="24"/>
        </w:rPr>
        <w:t>”</w:t>
      </w:r>
      <w:r w:rsidR="007A774B" w:rsidRPr="00A2305B">
        <w:rPr>
          <w:rFonts w:cs="Times New Roman"/>
          <w:szCs w:val="24"/>
        </w:rPr>
        <w:t xml:space="preserve"> block with the </w:t>
      </w:r>
      <w:r w:rsidR="00481771" w:rsidRPr="00A2305B">
        <w:rPr>
          <w:rFonts w:cs="Times New Roman"/>
          <w:szCs w:val="24"/>
        </w:rPr>
        <w:t>“</w:t>
      </w:r>
      <w:r w:rsidR="00646BDA" w:rsidRPr="00A2305B">
        <w:rPr>
          <w:rFonts w:cs="Times New Roman"/>
          <w:szCs w:val="24"/>
        </w:rPr>
        <w:t>Environment-Activity-Travel Decisions</w:t>
      </w:r>
      <w:r w:rsidR="00481771" w:rsidRPr="00A2305B">
        <w:rPr>
          <w:rFonts w:cs="Times New Roman"/>
          <w:szCs w:val="24"/>
        </w:rPr>
        <w:t>”</w:t>
      </w:r>
      <w:r w:rsidR="007A774B" w:rsidRPr="00A2305B">
        <w:rPr>
          <w:rFonts w:cs="Times New Roman"/>
          <w:szCs w:val="24"/>
        </w:rPr>
        <w:t xml:space="preserve"> block in Figure 1</w:t>
      </w:r>
      <w:r w:rsidR="00504588" w:rsidRPr="00A2305B">
        <w:rPr>
          <w:rFonts w:cs="Times New Roman"/>
          <w:szCs w:val="24"/>
        </w:rPr>
        <w:t>.</w:t>
      </w:r>
    </w:p>
    <w:p w:rsidR="00751138" w:rsidRPr="00A2305B" w:rsidRDefault="00751138" w:rsidP="00A2305B">
      <w:pPr>
        <w:adjustRightInd w:val="0"/>
        <w:snapToGrid w:val="0"/>
        <w:jc w:val="both"/>
        <w:rPr>
          <w:rFonts w:cs="Times New Roman"/>
          <w:szCs w:val="24"/>
          <w:u w:val="single"/>
        </w:rPr>
      </w:pPr>
    </w:p>
    <w:p w:rsidR="00751138" w:rsidRPr="00A2305B" w:rsidRDefault="00751138" w:rsidP="00A2305B">
      <w:pPr>
        <w:adjustRightInd w:val="0"/>
        <w:snapToGrid w:val="0"/>
        <w:jc w:val="both"/>
        <w:rPr>
          <w:rFonts w:cs="Times New Roman"/>
          <w:szCs w:val="24"/>
        </w:rPr>
      </w:pPr>
      <w:r w:rsidRPr="00A2305B">
        <w:rPr>
          <w:rFonts w:cs="Times New Roman"/>
          <w:szCs w:val="24"/>
          <w:u w:val="single"/>
        </w:rPr>
        <w:t>AGE</w:t>
      </w:r>
      <w:r w:rsidRPr="00A2305B">
        <w:rPr>
          <w:rFonts w:cs="Times New Roman"/>
          <w:szCs w:val="24"/>
        </w:rPr>
        <w:t>: The age of the child has no impact on residential location, but older children (relative to younger children) have a higher baseline preference for participating in (and, consequently, also higher durations of time-use, conditional on participation in) extra-curricular activities. This is to be expected, as children develop more independence as they grow older and parents are more likely to allow their children to be away from home for longer periods of time</w:t>
      </w:r>
      <w:r w:rsidR="006C303E" w:rsidRPr="00A2305B">
        <w:rPr>
          <w:rFonts w:cs="Times New Roman"/>
          <w:szCs w:val="24"/>
        </w:rPr>
        <w:t xml:space="preserve"> (</w:t>
      </w:r>
      <w:proofErr w:type="spellStart"/>
      <w:r w:rsidR="006C303E" w:rsidRPr="00A2305B">
        <w:rPr>
          <w:rFonts w:cs="Times New Roman"/>
          <w:szCs w:val="24"/>
        </w:rPr>
        <w:t>Schoeppe</w:t>
      </w:r>
      <w:proofErr w:type="spellEnd"/>
      <w:r w:rsidR="006C303E" w:rsidRPr="00A2305B">
        <w:rPr>
          <w:rFonts w:cs="Times New Roman"/>
          <w:szCs w:val="24"/>
        </w:rPr>
        <w:t xml:space="preserve"> et al., 2018)</w:t>
      </w:r>
      <w:r w:rsidRPr="00A2305B">
        <w:rPr>
          <w:rFonts w:cs="Times New Roman"/>
          <w:szCs w:val="24"/>
        </w:rPr>
        <w:t xml:space="preserve">. For similar reasons, older children are more likely than younger children to partake in active travel, especially because of their better ability to navigate traffic safely as a pedestrian or bicyclist. </w:t>
      </w:r>
      <w:r w:rsidR="008D16DF" w:rsidRPr="00A2305B">
        <w:rPr>
          <w:rFonts w:cs="Times New Roman"/>
          <w:szCs w:val="24"/>
        </w:rPr>
        <w:t>Pare</w:t>
      </w:r>
      <w:r w:rsidR="004F19FF" w:rsidRPr="00A2305B">
        <w:rPr>
          <w:rFonts w:cs="Times New Roman"/>
          <w:szCs w:val="24"/>
        </w:rPr>
        <w:t xml:space="preserve">nts’ perceptions of the </w:t>
      </w:r>
      <w:r w:rsidR="00CF0E69" w:rsidRPr="00A2305B">
        <w:rPr>
          <w:rFonts w:cs="Times New Roman"/>
          <w:szCs w:val="24"/>
        </w:rPr>
        <w:t>neighbourhood</w:t>
      </w:r>
      <w:r w:rsidR="008D16DF" w:rsidRPr="00A2305B">
        <w:rPr>
          <w:rFonts w:cs="Times New Roman"/>
          <w:szCs w:val="24"/>
        </w:rPr>
        <w:t xml:space="preserve"> traffic situation or </w:t>
      </w:r>
      <w:r w:rsidR="00481771" w:rsidRPr="00A2305B">
        <w:rPr>
          <w:rFonts w:cs="Times New Roman"/>
          <w:szCs w:val="24"/>
        </w:rPr>
        <w:t>“</w:t>
      </w:r>
      <w:r w:rsidR="008D16DF" w:rsidRPr="00A2305B">
        <w:rPr>
          <w:rFonts w:cs="Times New Roman"/>
          <w:szCs w:val="24"/>
        </w:rPr>
        <w:t>stranger danger</w:t>
      </w:r>
      <w:r w:rsidR="00481771" w:rsidRPr="00A2305B">
        <w:rPr>
          <w:rFonts w:cs="Times New Roman"/>
          <w:szCs w:val="24"/>
        </w:rPr>
        <w:t>”</w:t>
      </w:r>
      <w:r w:rsidR="008D16DF" w:rsidRPr="00A2305B">
        <w:rPr>
          <w:rFonts w:cs="Times New Roman"/>
          <w:szCs w:val="24"/>
        </w:rPr>
        <w:t xml:space="preserve"> </w:t>
      </w:r>
      <w:r w:rsidR="0084028C" w:rsidRPr="00A2305B">
        <w:rPr>
          <w:rFonts w:cs="Times New Roman"/>
          <w:szCs w:val="24"/>
        </w:rPr>
        <w:t>seem to</w:t>
      </w:r>
      <w:r w:rsidR="008D16DF" w:rsidRPr="00A2305B">
        <w:rPr>
          <w:rFonts w:cs="Times New Roman"/>
          <w:szCs w:val="24"/>
        </w:rPr>
        <w:t xml:space="preserve"> be at play here, and it would be sensible to target improving</w:t>
      </w:r>
      <w:r w:rsidR="004F19FF" w:rsidRPr="00A2305B">
        <w:rPr>
          <w:rFonts w:cs="Times New Roman"/>
          <w:szCs w:val="24"/>
        </w:rPr>
        <w:t xml:space="preserve"> the </w:t>
      </w:r>
      <w:r w:rsidR="00CF0E69" w:rsidRPr="00A2305B">
        <w:rPr>
          <w:rFonts w:cs="Times New Roman"/>
          <w:szCs w:val="24"/>
        </w:rPr>
        <w:t>neighbourhood</w:t>
      </w:r>
      <w:r w:rsidR="008D16DF" w:rsidRPr="00A2305B">
        <w:rPr>
          <w:rFonts w:cs="Times New Roman"/>
          <w:szCs w:val="24"/>
        </w:rPr>
        <w:t xml:space="preserve"> environment and social cohesion attributes </w:t>
      </w:r>
      <w:r w:rsidR="0084028C" w:rsidRPr="00A2305B">
        <w:rPr>
          <w:rFonts w:cs="Times New Roman"/>
          <w:szCs w:val="24"/>
        </w:rPr>
        <w:t xml:space="preserve">to have a community </w:t>
      </w:r>
      <w:r w:rsidR="008D16DF" w:rsidRPr="00A2305B">
        <w:rPr>
          <w:rFonts w:cs="Times New Roman"/>
          <w:szCs w:val="24"/>
        </w:rPr>
        <w:t>that is all-inclusive and friendly for families with young children (</w:t>
      </w:r>
      <w:proofErr w:type="spellStart"/>
      <w:r w:rsidR="008D16DF" w:rsidRPr="00A2305B">
        <w:rPr>
          <w:rFonts w:cs="Times New Roman"/>
          <w:szCs w:val="24"/>
        </w:rPr>
        <w:t>Schoeppe</w:t>
      </w:r>
      <w:proofErr w:type="spellEnd"/>
      <w:r w:rsidR="008D16DF" w:rsidRPr="00A2305B">
        <w:rPr>
          <w:rFonts w:cs="Times New Roman"/>
          <w:szCs w:val="24"/>
        </w:rPr>
        <w:t xml:space="preserve"> et al., 2018; </w:t>
      </w:r>
      <w:proofErr w:type="spellStart"/>
      <w:r w:rsidR="008D16DF" w:rsidRPr="00A2305B">
        <w:rPr>
          <w:rFonts w:cs="Times New Roman"/>
          <w:szCs w:val="24"/>
        </w:rPr>
        <w:t>Fyhri</w:t>
      </w:r>
      <w:proofErr w:type="spellEnd"/>
      <w:r w:rsidR="008D16DF" w:rsidRPr="00A2305B">
        <w:rPr>
          <w:rFonts w:cs="Times New Roman"/>
          <w:szCs w:val="24"/>
        </w:rPr>
        <w:t xml:space="preserve"> and </w:t>
      </w:r>
      <w:proofErr w:type="spellStart"/>
      <w:r w:rsidR="008D16DF" w:rsidRPr="00A2305B">
        <w:rPr>
          <w:rFonts w:cs="Times New Roman"/>
          <w:szCs w:val="24"/>
        </w:rPr>
        <w:t>Horthol</w:t>
      </w:r>
      <w:proofErr w:type="spellEnd"/>
      <w:r w:rsidR="008D16DF" w:rsidRPr="00A2305B">
        <w:rPr>
          <w:rFonts w:cs="Times New Roman"/>
          <w:szCs w:val="24"/>
        </w:rPr>
        <w:t>, 2009; Francis et al., 2017).</w:t>
      </w:r>
    </w:p>
    <w:p w:rsidR="00751138" w:rsidRPr="00A2305B" w:rsidRDefault="00751138" w:rsidP="00A2305B">
      <w:pPr>
        <w:jc w:val="both"/>
        <w:rPr>
          <w:rFonts w:cs="Times New Roman"/>
          <w:szCs w:val="24"/>
          <w:u w:val="single"/>
        </w:rPr>
      </w:pPr>
    </w:p>
    <w:p w:rsidR="00751138" w:rsidRPr="00A2305B" w:rsidRDefault="00751138" w:rsidP="00A2305B">
      <w:pPr>
        <w:jc w:val="both"/>
        <w:rPr>
          <w:rFonts w:cs="Times New Roman"/>
          <w:szCs w:val="24"/>
        </w:rPr>
      </w:pPr>
      <w:r w:rsidRPr="00A2305B">
        <w:rPr>
          <w:rFonts w:cs="Times New Roman"/>
          <w:szCs w:val="24"/>
          <w:u w:val="single"/>
        </w:rPr>
        <w:lastRenderedPageBreak/>
        <w:t>GENDER</w:t>
      </w:r>
      <w:r w:rsidRPr="00A2305B">
        <w:rPr>
          <w:rFonts w:cs="Times New Roman"/>
          <w:szCs w:val="24"/>
        </w:rPr>
        <w:t xml:space="preserve">: Girls, relative to boys, have a higher baseline preference for arts-related extra-curricular activities, suggesting gender-based variations in extra-curricular activity participation as encouraged by parents and societal norms. A similar result has also been observed in earlier studies with respect to the higher participation of girls in music, dance-related, and other artistic pursuits (see Sweeting and West, 2003, Mello and Worrell, 2008, and Holloway and </w:t>
      </w:r>
      <w:proofErr w:type="spellStart"/>
      <w:r w:rsidRPr="00A2305B">
        <w:rPr>
          <w:rFonts w:cs="Times New Roman"/>
          <w:szCs w:val="24"/>
        </w:rPr>
        <w:t>Pimlott</w:t>
      </w:r>
      <w:proofErr w:type="spellEnd"/>
      <w:r w:rsidRPr="00A2305B">
        <w:rPr>
          <w:rFonts w:cs="Times New Roman"/>
          <w:szCs w:val="24"/>
        </w:rPr>
        <w:t>-Wilson, 2014</w:t>
      </w:r>
      <w:r w:rsidR="007B106C" w:rsidRPr="00A2305B">
        <w:rPr>
          <w:rFonts w:cs="Times New Roman"/>
          <w:szCs w:val="24"/>
        </w:rPr>
        <w:t>)</w:t>
      </w:r>
      <w:r w:rsidRPr="00A2305B">
        <w:rPr>
          <w:rFonts w:cs="Times New Roman"/>
          <w:szCs w:val="24"/>
        </w:rPr>
        <w:t xml:space="preserve">. However, unlike these earlier studies that have consistently indicated a higher participation of boys in sports-related activities, no variations were found in our analysis between boys and girls in sports participation, pointing to a more gender-neutral encouragement of sports participation in Hong Kong relative to the US and other Western nations. </w:t>
      </w:r>
      <w:r w:rsidR="00467652" w:rsidRPr="00A2305B">
        <w:rPr>
          <w:rFonts w:cs="Times New Roman"/>
          <w:szCs w:val="24"/>
        </w:rPr>
        <w:t>P</w:t>
      </w:r>
      <w:r w:rsidR="006A204D" w:rsidRPr="00A2305B">
        <w:rPr>
          <w:rFonts w:cs="Times New Roman"/>
          <w:szCs w:val="24"/>
        </w:rPr>
        <w:t>erhaps factors transcending traditional gender roles may be at play here</w:t>
      </w:r>
      <w:r w:rsidR="00593077" w:rsidRPr="00A2305B">
        <w:rPr>
          <w:rFonts w:cs="Times New Roman"/>
          <w:szCs w:val="24"/>
        </w:rPr>
        <w:t xml:space="preserve">, such as </w:t>
      </w:r>
      <w:r w:rsidR="0034072B" w:rsidRPr="00A2305B">
        <w:rPr>
          <w:rFonts w:cs="Times New Roman"/>
          <w:szCs w:val="24"/>
        </w:rPr>
        <w:t>p</w:t>
      </w:r>
      <w:r w:rsidR="00A062CB" w:rsidRPr="00A2305B">
        <w:rPr>
          <w:rFonts w:cs="Times New Roman"/>
          <w:szCs w:val="24"/>
        </w:rPr>
        <w:t>arent</w:t>
      </w:r>
      <w:r w:rsidR="0084355E" w:rsidRPr="00A2305B">
        <w:rPr>
          <w:rFonts w:cs="Times New Roman"/>
          <w:szCs w:val="24"/>
        </w:rPr>
        <w:t xml:space="preserve">al support for </w:t>
      </w:r>
      <w:r w:rsidR="00A062CB" w:rsidRPr="00A2305B">
        <w:rPr>
          <w:rFonts w:cs="Times New Roman"/>
          <w:szCs w:val="24"/>
        </w:rPr>
        <w:t>participation in sport activities for healthy physical development of their children regardless of gender</w:t>
      </w:r>
      <w:r w:rsidR="0084355E" w:rsidRPr="00A2305B">
        <w:rPr>
          <w:rFonts w:cs="Times New Roman"/>
          <w:szCs w:val="24"/>
        </w:rPr>
        <w:t xml:space="preserve"> (Leung et al., 2017)</w:t>
      </w:r>
      <w:r w:rsidR="00350B29" w:rsidRPr="00A2305B">
        <w:rPr>
          <w:rFonts w:cs="Times New Roman"/>
          <w:szCs w:val="24"/>
        </w:rPr>
        <w:t xml:space="preserve">, which calls for future literature to consider a more nuanced understanding of </w:t>
      </w:r>
      <w:r w:rsidR="0084028C" w:rsidRPr="00A2305B">
        <w:rPr>
          <w:rFonts w:cs="Times New Roman"/>
          <w:szCs w:val="24"/>
        </w:rPr>
        <w:t xml:space="preserve">activities with respect to </w:t>
      </w:r>
      <w:r w:rsidR="00350B29" w:rsidRPr="00A2305B">
        <w:rPr>
          <w:rFonts w:cs="Times New Roman"/>
          <w:szCs w:val="24"/>
        </w:rPr>
        <w:t>gender in the modern day</w:t>
      </w:r>
      <w:r w:rsidR="00A062CB" w:rsidRPr="00A2305B">
        <w:rPr>
          <w:rFonts w:cs="Times New Roman"/>
          <w:szCs w:val="24"/>
        </w:rPr>
        <w:t>.</w:t>
      </w:r>
      <w:r w:rsidR="006A204D" w:rsidRPr="00A2305B">
        <w:rPr>
          <w:rFonts w:cs="Times New Roman"/>
          <w:szCs w:val="24"/>
        </w:rPr>
        <w:t xml:space="preserve"> </w:t>
      </w:r>
      <w:r w:rsidR="00350B29" w:rsidRPr="00A2305B">
        <w:rPr>
          <w:rFonts w:cs="Times New Roman"/>
          <w:szCs w:val="24"/>
        </w:rPr>
        <w:t>However</w:t>
      </w:r>
      <w:r w:rsidRPr="00A2305B">
        <w:rPr>
          <w:rFonts w:cs="Times New Roman"/>
          <w:szCs w:val="24"/>
        </w:rPr>
        <w:t>, similar to results in the Western world, girls do</w:t>
      </w:r>
      <w:r w:rsidR="00350B29" w:rsidRPr="00A2305B">
        <w:rPr>
          <w:rFonts w:cs="Times New Roman"/>
          <w:szCs w:val="24"/>
        </w:rPr>
        <w:t xml:space="preserve"> still</w:t>
      </w:r>
      <w:r w:rsidRPr="00A2305B">
        <w:rPr>
          <w:rFonts w:cs="Times New Roman"/>
          <w:szCs w:val="24"/>
        </w:rPr>
        <w:t xml:space="preserve"> tend to spend less time in active travel to activities, presumably because of parents’ rather asymmetric concerns for a daughter’s vulnerability to social dangers (including road safety issues when walking or bicycling) relative to that of a son (see </w:t>
      </w:r>
      <w:proofErr w:type="spellStart"/>
      <w:r w:rsidRPr="00A2305B">
        <w:rPr>
          <w:rFonts w:cs="Times New Roman"/>
          <w:szCs w:val="24"/>
        </w:rPr>
        <w:t>Mitra</w:t>
      </w:r>
      <w:proofErr w:type="spellEnd"/>
      <w:r w:rsidRPr="00A2305B">
        <w:rPr>
          <w:rFonts w:cs="Times New Roman"/>
          <w:szCs w:val="24"/>
        </w:rPr>
        <w:t xml:space="preserve"> and </w:t>
      </w:r>
      <w:proofErr w:type="spellStart"/>
      <w:r w:rsidRPr="00A2305B">
        <w:rPr>
          <w:rFonts w:cs="Times New Roman"/>
          <w:szCs w:val="24"/>
        </w:rPr>
        <w:t>Buliung</w:t>
      </w:r>
      <w:proofErr w:type="spellEnd"/>
      <w:r w:rsidRPr="00A2305B">
        <w:rPr>
          <w:rFonts w:cs="Times New Roman"/>
          <w:szCs w:val="24"/>
        </w:rPr>
        <w:t xml:space="preserve">, 2012). Besides, earlier transportation studies have identified a higher safety consciousness and motorized traffic-associated risk perception (to pedestrians and bicyclists) in girls relative to boys (see </w:t>
      </w:r>
      <w:proofErr w:type="spellStart"/>
      <w:r w:rsidRPr="00A2305B">
        <w:rPr>
          <w:rFonts w:cs="Times New Roman"/>
          <w:szCs w:val="24"/>
        </w:rPr>
        <w:t>Kamargianni</w:t>
      </w:r>
      <w:proofErr w:type="spellEnd"/>
      <w:r w:rsidRPr="00A2305B">
        <w:rPr>
          <w:rFonts w:cs="Times New Roman"/>
          <w:szCs w:val="24"/>
        </w:rPr>
        <w:t xml:space="preserve"> et al., 2015 and Bhat et al., 2015). </w:t>
      </w:r>
      <w:r w:rsidR="007B106C" w:rsidRPr="00A2305B">
        <w:rPr>
          <w:rFonts w:cs="Times New Roman"/>
          <w:szCs w:val="24"/>
        </w:rPr>
        <w:t>Ultimately then</w:t>
      </w:r>
      <w:r w:rsidR="00E6077C" w:rsidRPr="00A2305B">
        <w:rPr>
          <w:rFonts w:cs="Times New Roman"/>
          <w:szCs w:val="24"/>
        </w:rPr>
        <w:t xml:space="preserve">, it seems that Hong Kong is still quite deeply rooted as a traditional </w:t>
      </w:r>
      <w:r w:rsidR="007B106C" w:rsidRPr="00A2305B">
        <w:rPr>
          <w:rFonts w:cs="Times New Roman"/>
          <w:szCs w:val="24"/>
        </w:rPr>
        <w:t>patria</w:t>
      </w:r>
      <w:r w:rsidR="00E6077C" w:rsidRPr="00A2305B">
        <w:rPr>
          <w:rFonts w:cs="Times New Roman"/>
          <w:szCs w:val="24"/>
        </w:rPr>
        <w:t>rchal society</w:t>
      </w:r>
      <w:r w:rsidR="007B106C" w:rsidRPr="00A2305B">
        <w:rPr>
          <w:rFonts w:cs="Times New Roman"/>
          <w:szCs w:val="24"/>
        </w:rPr>
        <w:t xml:space="preserve"> (</w:t>
      </w:r>
      <w:proofErr w:type="spellStart"/>
      <w:r w:rsidR="007B106C" w:rsidRPr="00A2305B">
        <w:rPr>
          <w:rFonts w:cs="Times New Roman"/>
          <w:szCs w:val="24"/>
        </w:rPr>
        <w:t>Karsten</w:t>
      </w:r>
      <w:proofErr w:type="spellEnd"/>
      <w:r w:rsidR="007B106C" w:rsidRPr="00A2305B">
        <w:rPr>
          <w:rFonts w:cs="Times New Roman"/>
          <w:szCs w:val="24"/>
        </w:rPr>
        <w:t>, 2014</w:t>
      </w:r>
      <w:r w:rsidR="0076222E" w:rsidRPr="00A2305B">
        <w:rPr>
          <w:rFonts w:cs="Times New Roman"/>
          <w:szCs w:val="24"/>
        </w:rPr>
        <w:t xml:space="preserve">, and </w:t>
      </w:r>
      <w:proofErr w:type="spellStart"/>
      <w:r w:rsidR="0076222E" w:rsidRPr="00A2305B">
        <w:rPr>
          <w:rFonts w:cs="Times New Roman"/>
          <w:szCs w:val="24"/>
        </w:rPr>
        <w:t>Liong</w:t>
      </w:r>
      <w:proofErr w:type="spellEnd"/>
      <w:r w:rsidR="0076222E" w:rsidRPr="00A2305B">
        <w:rPr>
          <w:rFonts w:cs="Times New Roman"/>
          <w:szCs w:val="24"/>
        </w:rPr>
        <w:t>, 2017</w:t>
      </w:r>
      <w:r w:rsidR="007B106C" w:rsidRPr="00A2305B">
        <w:rPr>
          <w:rFonts w:cs="Times New Roman"/>
          <w:szCs w:val="24"/>
        </w:rPr>
        <w:t>),</w:t>
      </w:r>
      <w:r w:rsidR="00E6077C" w:rsidRPr="00A2305B">
        <w:rPr>
          <w:rFonts w:cs="Times New Roman"/>
          <w:szCs w:val="24"/>
        </w:rPr>
        <w:t xml:space="preserve"> and</w:t>
      </w:r>
      <w:r w:rsidR="007B106C" w:rsidRPr="00A2305B">
        <w:rPr>
          <w:rFonts w:cs="Times New Roman"/>
          <w:szCs w:val="24"/>
        </w:rPr>
        <w:t xml:space="preserve"> </w:t>
      </w:r>
      <w:r w:rsidR="00481771" w:rsidRPr="00A2305B">
        <w:rPr>
          <w:rFonts w:cs="Times New Roman"/>
          <w:szCs w:val="24"/>
        </w:rPr>
        <w:t xml:space="preserve">the </w:t>
      </w:r>
      <w:r w:rsidR="007B106C" w:rsidRPr="00A2305B">
        <w:rPr>
          <w:rFonts w:cs="Times New Roman"/>
          <w:szCs w:val="24"/>
        </w:rPr>
        <w:t xml:space="preserve">gender differences </w:t>
      </w:r>
      <w:r w:rsidR="00481771" w:rsidRPr="00A2305B">
        <w:rPr>
          <w:rFonts w:cs="Times New Roman"/>
          <w:szCs w:val="24"/>
        </w:rPr>
        <w:t>found suggest</w:t>
      </w:r>
      <w:r w:rsidR="00E6077C" w:rsidRPr="00A2305B">
        <w:rPr>
          <w:rFonts w:cs="Times New Roman"/>
          <w:szCs w:val="24"/>
        </w:rPr>
        <w:t xml:space="preserve"> that these traditions do </w:t>
      </w:r>
      <w:r w:rsidR="0076222E" w:rsidRPr="00A2305B">
        <w:rPr>
          <w:rFonts w:cs="Times New Roman"/>
          <w:szCs w:val="24"/>
        </w:rPr>
        <w:t>influence</w:t>
      </w:r>
      <w:r w:rsidR="00E6077C" w:rsidRPr="00A2305B">
        <w:rPr>
          <w:rFonts w:cs="Times New Roman"/>
          <w:szCs w:val="24"/>
        </w:rPr>
        <w:t xml:space="preserve"> parents’ decisions on children’s extra-curricular activities</w:t>
      </w:r>
      <w:r w:rsidR="008A3CFB" w:rsidRPr="00A2305B">
        <w:rPr>
          <w:rFonts w:cs="Times New Roman"/>
          <w:szCs w:val="24"/>
        </w:rPr>
        <w:t xml:space="preserve"> (Simpkins et al., 2010</w:t>
      </w:r>
      <w:r w:rsidR="000B45AB" w:rsidRPr="00A2305B">
        <w:rPr>
          <w:rFonts w:cs="Times New Roman"/>
          <w:szCs w:val="24"/>
        </w:rPr>
        <w:t>)</w:t>
      </w:r>
      <w:r w:rsidR="00CF6820" w:rsidRPr="00A2305B">
        <w:rPr>
          <w:rFonts w:cs="Times New Roman"/>
          <w:szCs w:val="24"/>
        </w:rPr>
        <w:t xml:space="preserve">, and </w:t>
      </w:r>
      <w:r w:rsidR="001B0922" w:rsidRPr="00A2305B">
        <w:rPr>
          <w:rFonts w:cs="Times New Roman"/>
          <w:szCs w:val="24"/>
        </w:rPr>
        <w:t>they further seem to</w:t>
      </w:r>
      <w:r w:rsidR="00CF6820" w:rsidRPr="00A2305B">
        <w:rPr>
          <w:rFonts w:cs="Times New Roman"/>
          <w:szCs w:val="24"/>
        </w:rPr>
        <w:t xml:space="preserve"> play a large part in </w:t>
      </w:r>
      <w:r w:rsidR="001B0922" w:rsidRPr="00A2305B">
        <w:rPr>
          <w:rFonts w:cs="Times New Roman"/>
          <w:szCs w:val="24"/>
        </w:rPr>
        <w:t>the d</w:t>
      </w:r>
      <w:r w:rsidR="004F19FF" w:rsidRPr="00A2305B">
        <w:rPr>
          <w:rFonts w:cs="Times New Roman"/>
          <w:szCs w:val="24"/>
        </w:rPr>
        <w:t xml:space="preserve">ifferent upbringing and </w:t>
      </w:r>
      <w:r w:rsidR="009A15D7" w:rsidRPr="00A2305B">
        <w:rPr>
          <w:rFonts w:cs="Times New Roman"/>
          <w:szCs w:val="24"/>
        </w:rPr>
        <w:t>behaviour</w:t>
      </w:r>
      <w:r w:rsidR="001B0922" w:rsidRPr="00A2305B">
        <w:rPr>
          <w:rFonts w:cs="Times New Roman"/>
          <w:szCs w:val="24"/>
        </w:rPr>
        <w:t xml:space="preserve"> </w:t>
      </w:r>
      <w:r w:rsidR="00CF6820" w:rsidRPr="00A2305B">
        <w:rPr>
          <w:rFonts w:cs="Times New Roman"/>
          <w:szCs w:val="24"/>
        </w:rPr>
        <w:t>in boys and girls</w:t>
      </w:r>
      <w:r w:rsidR="00E6077C" w:rsidRPr="00A2305B">
        <w:rPr>
          <w:rFonts w:cs="Times New Roman"/>
          <w:szCs w:val="24"/>
        </w:rPr>
        <w:t xml:space="preserve">. </w:t>
      </w:r>
      <w:r w:rsidR="001B0922" w:rsidRPr="00A2305B">
        <w:rPr>
          <w:rFonts w:cs="Times New Roman"/>
          <w:szCs w:val="24"/>
        </w:rPr>
        <w:t>Ta</w:t>
      </w:r>
      <w:r w:rsidR="007B106C" w:rsidRPr="00A2305B">
        <w:rPr>
          <w:rFonts w:cs="Times New Roman"/>
          <w:szCs w:val="24"/>
        </w:rPr>
        <w:t xml:space="preserve">rgeted efforts to improve arts participation in boys and active travel to activities in girls </w:t>
      </w:r>
      <w:r w:rsidR="00E6077C" w:rsidRPr="00A2305B">
        <w:rPr>
          <w:rFonts w:cs="Times New Roman"/>
          <w:szCs w:val="24"/>
        </w:rPr>
        <w:t xml:space="preserve">could be </w:t>
      </w:r>
      <w:r w:rsidR="00481771" w:rsidRPr="00A2305B">
        <w:rPr>
          <w:rFonts w:cs="Times New Roman"/>
          <w:szCs w:val="24"/>
        </w:rPr>
        <w:t>considered</w:t>
      </w:r>
      <w:r w:rsidR="007B106C" w:rsidRPr="00A2305B">
        <w:rPr>
          <w:rFonts w:cs="Times New Roman"/>
          <w:szCs w:val="24"/>
        </w:rPr>
        <w:t xml:space="preserve">. </w:t>
      </w:r>
    </w:p>
    <w:p w:rsidR="00751138" w:rsidRPr="00A2305B" w:rsidRDefault="00751138" w:rsidP="00A2305B">
      <w:pPr>
        <w:tabs>
          <w:tab w:val="left" w:pos="3120"/>
        </w:tabs>
        <w:jc w:val="both"/>
        <w:rPr>
          <w:rFonts w:cs="Times New Roman"/>
          <w:szCs w:val="24"/>
          <w:u w:val="single"/>
        </w:rPr>
      </w:pPr>
    </w:p>
    <w:p w:rsidR="00751138" w:rsidRPr="00A2305B" w:rsidRDefault="00751138" w:rsidP="00A2305B">
      <w:pPr>
        <w:tabs>
          <w:tab w:val="left" w:pos="3120"/>
        </w:tabs>
        <w:jc w:val="both"/>
        <w:rPr>
          <w:rFonts w:cs="Times New Roman"/>
          <w:szCs w:val="24"/>
        </w:rPr>
      </w:pPr>
      <w:r w:rsidRPr="00A2305B">
        <w:rPr>
          <w:rFonts w:cs="Times New Roman"/>
          <w:szCs w:val="24"/>
          <w:u w:val="single"/>
        </w:rPr>
        <w:t>PARENT’S EDUCATION LEVEL</w:t>
      </w:r>
      <w:r w:rsidRPr="00A2305B">
        <w:rPr>
          <w:rFonts w:cs="Times New Roman"/>
          <w:szCs w:val="24"/>
        </w:rPr>
        <w:t xml:space="preserve">: A high (post-secondary) educational level of the responding parent (undergraduate or graduate studies) increases the probability of the household to reside in a high density area. Highly educated individuals tend to be more likely to have a green lifestyle (see </w:t>
      </w:r>
      <w:proofErr w:type="spellStart"/>
      <w:r w:rsidRPr="00A2305B">
        <w:rPr>
          <w:rFonts w:cs="Times New Roman"/>
          <w:szCs w:val="24"/>
          <w:lang w:eastAsia="zh-CN"/>
        </w:rPr>
        <w:t>Franzen</w:t>
      </w:r>
      <w:proofErr w:type="spellEnd"/>
      <w:r w:rsidRPr="00A2305B">
        <w:rPr>
          <w:rFonts w:cs="Times New Roman"/>
          <w:szCs w:val="24"/>
          <w:lang w:eastAsia="zh-CN"/>
        </w:rPr>
        <w:t xml:space="preserve"> and </w:t>
      </w:r>
      <w:proofErr w:type="spellStart"/>
      <w:r w:rsidRPr="00A2305B">
        <w:rPr>
          <w:rFonts w:cs="Times New Roman"/>
          <w:szCs w:val="24"/>
          <w:lang w:eastAsia="zh-CN"/>
        </w:rPr>
        <w:t>Vogl</w:t>
      </w:r>
      <w:proofErr w:type="spellEnd"/>
      <w:r w:rsidRPr="00A2305B">
        <w:rPr>
          <w:rFonts w:cs="Times New Roman"/>
          <w:szCs w:val="24"/>
          <w:lang w:eastAsia="zh-CN"/>
        </w:rPr>
        <w:t xml:space="preserve">, 2013), </w:t>
      </w:r>
      <w:r w:rsidRPr="00A2305B">
        <w:rPr>
          <w:rFonts w:cs="Times New Roman"/>
          <w:szCs w:val="24"/>
        </w:rPr>
        <w:t xml:space="preserve">because individuals with a higher education are better able to assimilate environmental information quickly, and are more self-aware of the negative consequences of degrading the environment (such as the resulting health-related problems and global warming). And a green lifestyle also positively affects residence in high density </w:t>
      </w:r>
      <w:r w:rsidR="00646BDA" w:rsidRPr="00A2305B">
        <w:rPr>
          <w:rFonts w:cs="Times New Roman"/>
          <w:szCs w:val="24"/>
        </w:rPr>
        <w:t>neighbourhoods</w:t>
      </w:r>
      <w:r w:rsidRPr="00A2305B">
        <w:rPr>
          <w:rFonts w:cs="Times New Roman"/>
          <w:szCs w:val="24"/>
        </w:rPr>
        <w:t xml:space="preserve"> with better access to transportation </w:t>
      </w:r>
      <w:r w:rsidR="007837EA" w:rsidRPr="00A2305B">
        <w:rPr>
          <w:rFonts w:cs="Times New Roman"/>
          <w:szCs w:val="24"/>
        </w:rPr>
        <w:t xml:space="preserve">modes other than solo auto, like public transit, walking, etc. </w:t>
      </w:r>
      <w:r w:rsidRPr="00A2305B">
        <w:rPr>
          <w:rFonts w:cs="Times New Roman"/>
          <w:szCs w:val="24"/>
        </w:rPr>
        <w:t>(see, for example, de Abreu e Silva et al., 2012</w:t>
      </w:r>
      <w:r w:rsidR="001077ED" w:rsidRPr="00A2305B">
        <w:rPr>
          <w:rFonts w:cs="Times New Roman"/>
          <w:szCs w:val="24"/>
        </w:rPr>
        <w:t>,</w:t>
      </w:r>
      <w:r w:rsidRPr="00A2305B">
        <w:rPr>
          <w:rFonts w:cs="Times New Roman"/>
          <w:szCs w:val="24"/>
        </w:rPr>
        <w:t xml:space="preserve"> and Bhat, 2015). The</w:t>
      </w:r>
      <w:r w:rsidR="00D31383" w:rsidRPr="00A2305B">
        <w:rPr>
          <w:rFonts w:cs="Times New Roman"/>
          <w:szCs w:val="24"/>
        </w:rPr>
        <w:t xml:space="preserve"> results also reveal a</w:t>
      </w:r>
      <w:r w:rsidRPr="00A2305B">
        <w:rPr>
          <w:rFonts w:cs="Times New Roman"/>
          <w:szCs w:val="24"/>
        </w:rPr>
        <w:t xml:space="preserve"> positive effect of parental education on children’s participation in </w:t>
      </w:r>
      <w:r w:rsidR="00D31383" w:rsidRPr="00A2305B">
        <w:rPr>
          <w:rFonts w:cs="Times New Roman"/>
          <w:szCs w:val="24"/>
        </w:rPr>
        <w:t xml:space="preserve">more activities after school (specifically </w:t>
      </w:r>
      <w:r w:rsidRPr="00A2305B">
        <w:rPr>
          <w:rFonts w:cs="Times New Roman"/>
          <w:szCs w:val="24"/>
        </w:rPr>
        <w:t>academic and arts-related</w:t>
      </w:r>
      <w:r w:rsidR="00D31383" w:rsidRPr="00A2305B">
        <w:rPr>
          <w:rFonts w:cs="Times New Roman"/>
          <w:szCs w:val="24"/>
        </w:rPr>
        <w:t xml:space="preserve"> activities), and this</w:t>
      </w:r>
      <w:r w:rsidRPr="00A2305B">
        <w:rPr>
          <w:rFonts w:cs="Times New Roman"/>
          <w:szCs w:val="24"/>
        </w:rPr>
        <w:t xml:space="preserve"> has also been observed in the literature (see, for example, Pew Research </w:t>
      </w:r>
      <w:proofErr w:type="spellStart"/>
      <w:r w:rsidRPr="00A2305B">
        <w:rPr>
          <w:rFonts w:cs="Times New Roman"/>
          <w:szCs w:val="24"/>
        </w:rPr>
        <w:t>Center</w:t>
      </w:r>
      <w:proofErr w:type="spellEnd"/>
      <w:r w:rsidRPr="00A2305B">
        <w:rPr>
          <w:rFonts w:cs="Times New Roman"/>
          <w:szCs w:val="24"/>
        </w:rPr>
        <w:t>, 2015</w:t>
      </w:r>
      <w:r w:rsidR="001077ED" w:rsidRPr="00A2305B">
        <w:rPr>
          <w:rFonts w:cs="Times New Roman"/>
          <w:szCs w:val="24"/>
        </w:rPr>
        <w:t xml:space="preserve">; Bray and Kwok, 2003; </w:t>
      </w:r>
      <w:proofErr w:type="spellStart"/>
      <w:r w:rsidR="001077ED" w:rsidRPr="00A2305B">
        <w:rPr>
          <w:rFonts w:cs="Times New Roman"/>
          <w:szCs w:val="24"/>
        </w:rPr>
        <w:t>Hjorthol</w:t>
      </w:r>
      <w:proofErr w:type="spellEnd"/>
      <w:r w:rsidR="001077ED" w:rsidRPr="00A2305B">
        <w:rPr>
          <w:rFonts w:cs="Times New Roman"/>
          <w:szCs w:val="24"/>
        </w:rPr>
        <w:t xml:space="preserve"> and </w:t>
      </w:r>
      <w:proofErr w:type="spellStart"/>
      <w:r w:rsidR="001077ED" w:rsidRPr="00A2305B">
        <w:rPr>
          <w:rFonts w:cs="Times New Roman"/>
          <w:szCs w:val="24"/>
        </w:rPr>
        <w:t>Fyhri</w:t>
      </w:r>
      <w:proofErr w:type="spellEnd"/>
      <w:r w:rsidR="001077ED" w:rsidRPr="00A2305B">
        <w:rPr>
          <w:rFonts w:cs="Times New Roman"/>
          <w:szCs w:val="24"/>
        </w:rPr>
        <w:t>, 2009</w:t>
      </w:r>
      <w:r w:rsidRPr="00A2305B">
        <w:rPr>
          <w:rFonts w:cs="Times New Roman"/>
          <w:szCs w:val="24"/>
        </w:rPr>
        <w:t xml:space="preserve">). Overall, children in households with highly educated </w:t>
      </w:r>
      <w:r w:rsidR="00481771" w:rsidRPr="00A2305B">
        <w:rPr>
          <w:rFonts w:cs="Times New Roman"/>
          <w:szCs w:val="24"/>
        </w:rPr>
        <w:t>parents/guardians</w:t>
      </w:r>
      <w:r w:rsidR="00481771" w:rsidRPr="00A2305B" w:rsidDel="00481771">
        <w:rPr>
          <w:rFonts w:cs="Times New Roman"/>
          <w:szCs w:val="24"/>
        </w:rPr>
        <w:t xml:space="preserve"> </w:t>
      </w:r>
      <w:r w:rsidRPr="00A2305B">
        <w:rPr>
          <w:rFonts w:cs="Times New Roman"/>
          <w:szCs w:val="24"/>
        </w:rPr>
        <w:t xml:space="preserve">tend to locate in denser </w:t>
      </w:r>
      <w:r w:rsidR="00646BDA" w:rsidRPr="00A2305B">
        <w:rPr>
          <w:rFonts w:cs="Times New Roman"/>
          <w:szCs w:val="24"/>
        </w:rPr>
        <w:t>neighbourhoods</w:t>
      </w:r>
      <w:r w:rsidRPr="00A2305B">
        <w:rPr>
          <w:rFonts w:cs="Times New Roman"/>
          <w:szCs w:val="24"/>
        </w:rPr>
        <w:t xml:space="preserve"> and participate more in academic and “high culture” arts activities</w:t>
      </w:r>
      <w:r w:rsidR="00271046" w:rsidRPr="00A2305B">
        <w:rPr>
          <w:rFonts w:cs="Times New Roman"/>
          <w:szCs w:val="24"/>
        </w:rPr>
        <w:t>, most conceivably</w:t>
      </w:r>
      <w:r w:rsidR="00D31383" w:rsidRPr="00A2305B">
        <w:rPr>
          <w:rFonts w:cs="Times New Roman"/>
          <w:szCs w:val="24"/>
        </w:rPr>
        <w:t xml:space="preserve"> because </w:t>
      </w:r>
      <w:r w:rsidR="001077ED" w:rsidRPr="00A2305B">
        <w:rPr>
          <w:rFonts w:cs="Times New Roman"/>
          <w:szCs w:val="24"/>
        </w:rPr>
        <w:t xml:space="preserve">they are better able to access </w:t>
      </w:r>
      <w:r w:rsidR="00D31383" w:rsidRPr="00A2305B">
        <w:rPr>
          <w:rFonts w:cs="Times New Roman"/>
          <w:szCs w:val="24"/>
        </w:rPr>
        <w:t>these types of activit</w:t>
      </w:r>
      <w:r w:rsidR="00CB2C63" w:rsidRPr="00A2305B">
        <w:rPr>
          <w:rFonts w:cs="Times New Roman"/>
          <w:szCs w:val="24"/>
        </w:rPr>
        <w:t>ies and activity</w:t>
      </w:r>
      <w:r w:rsidR="00D31383" w:rsidRPr="00A2305B">
        <w:rPr>
          <w:rFonts w:cs="Times New Roman"/>
          <w:szCs w:val="24"/>
        </w:rPr>
        <w:t xml:space="preserve"> </w:t>
      </w:r>
      <w:r w:rsidR="00646BDA" w:rsidRPr="00A2305B">
        <w:rPr>
          <w:rFonts w:cs="Times New Roman"/>
          <w:szCs w:val="24"/>
        </w:rPr>
        <w:t>centres</w:t>
      </w:r>
      <w:r w:rsidR="00D31383" w:rsidRPr="00A2305B">
        <w:rPr>
          <w:rFonts w:cs="Times New Roman"/>
          <w:szCs w:val="24"/>
        </w:rPr>
        <w:t xml:space="preserve"> in high-density areas</w:t>
      </w:r>
      <w:r w:rsidR="00CB2C63" w:rsidRPr="00A2305B">
        <w:rPr>
          <w:rFonts w:cs="Times New Roman"/>
          <w:szCs w:val="24"/>
        </w:rPr>
        <w:t xml:space="preserve"> (</w:t>
      </w:r>
      <w:proofErr w:type="spellStart"/>
      <w:r w:rsidR="00CB2C63" w:rsidRPr="00A2305B">
        <w:rPr>
          <w:rFonts w:cs="Times New Roman"/>
          <w:szCs w:val="24"/>
        </w:rPr>
        <w:t>Karsten</w:t>
      </w:r>
      <w:proofErr w:type="spellEnd"/>
      <w:r w:rsidR="00CB2C63" w:rsidRPr="00A2305B">
        <w:rPr>
          <w:rFonts w:cs="Times New Roman"/>
          <w:szCs w:val="24"/>
        </w:rPr>
        <w:t>, 2014)</w:t>
      </w:r>
      <w:r w:rsidR="00271046" w:rsidRPr="00A2305B">
        <w:rPr>
          <w:rFonts w:cs="Times New Roman"/>
          <w:szCs w:val="24"/>
        </w:rPr>
        <w:t>, and also because these parents/guardians may have higher expectations of their children and as a result arrange their children to participate more in these extra-curricular activities for their future all-rounded, whole person development (Bray and Kwok, 2003)</w:t>
      </w:r>
      <w:r w:rsidRPr="00A2305B">
        <w:rPr>
          <w:rFonts w:cs="Times New Roman"/>
          <w:szCs w:val="24"/>
        </w:rPr>
        <w:t xml:space="preserve">. </w:t>
      </w:r>
    </w:p>
    <w:p w:rsidR="00751138" w:rsidRPr="00A2305B" w:rsidRDefault="00751138" w:rsidP="00A2305B">
      <w:pPr>
        <w:autoSpaceDE w:val="0"/>
        <w:autoSpaceDN w:val="0"/>
        <w:adjustRightInd w:val="0"/>
        <w:jc w:val="both"/>
        <w:rPr>
          <w:rFonts w:cs="Times New Roman"/>
          <w:szCs w:val="24"/>
          <w:u w:val="single"/>
        </w:rPr>
      </w:pPr>
    </w:p>
    <w:p w:rsidR="00751138" w:rsidRPr="00A2305B" w:rsidRDefault="00751138" w:rsidP="00A2305B">
      <w:pPr>
        <w:autoSpaceDE w:val="0"/>
        <w:autoSpaceDN w:val="0"/>
        <w:adjustRightInd w:val="0"/>
        <w:jc w:val="both"/>
        <w:rPr>
          <w:rFonts w:cs="Times New Roman"/>
          <w:szCs w:val="24"/>
        </w:rPr>
      </w:pPr>
      <w:r w:rsidRPr="00A2305B">
        <w:rPr>
          <w:rFonts w:cs="Times New Roman"/>
          <w:szCs w:val="24"/>
          <w:u w:val="single"/>
        </w:rPr>
        <w:lastRenderedPageBreak/>
        <w:t>HOUSEHOLD INCOME</w:t>
      </w:r>
      <w:r w:rsidRPr="00A2305B">
        <w:rPr>
          <w:rFonts w:cs="Times New Roman"/>
          <w:szCs w:val="24"/>
        </w:rPr>
        <w:t xml:space="preserve">: Lower income households appear to be less likely to reside in higher density areas relative to higher income households, perhaps a reflection of not being able to afford homes in urban locations. Chiu (2007) provides a detailed overview of public and private housing in Hong Kong, and notes that, while most Hong Kong housing developments are high-rises, government-sponsored housing for lower-income households are usually in the urban periphery and new towns, where residential density is relatively lower. Higher income households, on the other hand, are more likely to be living in newer, higher density multi-tower private developments in urban areas. Our model results also show that children living in lower income households (household monthly income of &lt;HKD 30,000) tend to participate less in extra-curricular activities in general (as can be observed from the many negative coefficients on the income variable in the ECAP model component of Table 3). </w:t>
      </w:r>
      <w:r w:rsidRPr="00A2305B">
        <w:rPr>
          <w:rFonts w:eastAsia="SimSun" w:cs="Times New Roman"/>
          <w:szCs w:val="24"/>
        </w:rPr>
        <w:t>This effect of income is intuitive, because lower incomes constrain the money budget that can be allocated for extra-curricular activities, while higher incomes provide not only the financial wherewithal to indulge, but an explicit show of indulgence may be viewed as a socio-cultural vehicle to signal wealth, power and status, and privileged access to limited resources</w:t>
      </w:r>
      <w:r w:rsidR="00AF71B3" w:rsidRPr="00A2305B">
        <w:rPr>
          <w:rFonts w:eastAsia="SimSun" w:cs="Times New Roman"/>
          <w:szCs w:val="24"/>
        </w:rPr>
        <w:t xml:space="preserve"> (de Castro and de Guzman, 2014)</w:t>
      </w:r>
      <w:r w:rsidRPr="00A2305B">
        <w:rPr>
          <w:rFonts w:eastAsia="SimSun" w:cs="Times New Roman"/>
          <w:szCs w:val="24"/>
        </w:rPr>
        <w:t>.</w:t>
      </w:r>
      <w:r w:rsidRPr="00A2305B">
        <w:rPr>
          <w:rFonts w:cs="Times New Roman"/>
          <w:szCs w:val="24"/>
        </w:rPr>
        <w:t xml:space="preserve"> Interestingly, the income effect is confined to non-academic activity participation, but not academic extra-curricular activity participation. This seems indicative of the widespread ubiquity of academic activities among children across households of different walks of life. These academic activities correspond mainly to tutorial or revision classes at so-called “cram schools”, and would only typically require a room with some tables, chairs and stationery. They are commonplace all around Hong Kong, and will likely become even more accessible and affordable in the future, as a consequence of various sociocultural factors such as expectations from the family, peer pressure and media culture (Yung and Bray, 2016). </w:t>
      </w:r>
    </w:p>
    <w:p w:rsidR="00751138" w:rsidRPr="00A2305B" w:rsidRDefault="00751138" w:rsidP="00A2305B">
      <w:pPr>
        <w:autoSpaceDE w:val="0"/>
        <w:autoSpaceDN w:val="0"/>
        <w:adjustRightInd w:val="0"/>
        <w:jc w:val="both"/>
        <w:rPr>
          <w:rFonts w:cs="Times New Roman"/>
          <w:szCs w:val="24"/>
          <w:u w:val="single"/>
        </w:rPr>
      </w:pPr>
    </w:p>
    <w:p w:rsidR="00751138" w:rsidRPr="00A2305B" w:rsidRDefault="00751138" w:rsidP="00A2305B">
      <w:pPr>
        <w:autoSpaceDE w:val="0"/>
        <w:autoSpaceDN w:val="0"/>
        <w:adjustRightInd w:val="0"/>
        <w:jc w:val="both"/>
        <w:rPr>
          <w:rFonts w:cs="Times New Roman"/>
          <w:szCs w:val="24"/>
        </w:rPr>
      </w:pPr>
      <w:r w:rsidRPr="00A2305B">
        <w:rPr>
          <w:rFonts w:cs="Times New Roman"/>
          <w:szCs w:val="24"/>
          <w:u w:val="single"/>
        </w:rPr>
        <w:t>PRESENCE OF MOTORIZED VEHICLES</w:t>
      </w:r>
      <w:r w:rsidRPr="00A2305B">
        <w:rPr>
          <w:rFonts w:cs="Times New Roman"/>
          <w:szCs w:val="24"/>
        </w:rPr>
        <w:t xml:space="preserve">: We do not consider the presence of motorized vehicles as an explanatory variable of residential location, because motorized vehicle ownership is likely to be co-determined with residential location. This inter-dependence and </w:t>
      </w:r>
      <w:proofErr w:type="spellStart"/>
      <w:r w:rsidRPr="00A2305B">
        <w:rPr>
          <w:rFonts w:cs="Times New Roman"/>
          <w:szCs w:val="24"/>
        </w:rPr>
        <w:t>jointness</w:t>
      </w:r>
      <w:proofErr w:type="spellEnd"/>
      <w:r w:rsidRPr="00A2305B">
        <w:rPr>
          <w:rFonts w:cs="Times New Roman"/>
          <w:szCs w:val="24"/>
        </w:rPr>
        <w:t xml:space="preserve"> has been shown in many previous studies, including those by </w:t>
      </w:r>
      <w:proofErr w:type="spellStart"/>
      <w:r w:rsidRPr="00A2305B">
        <w:rPr>
          <w:rFonts w:cs="Times New Roman"/>
          <w:szCs w:val="24"/>
        </w:rPr>
        <w:t>Paleti</w:t>
      </w:r>
      <w:proofErr w:type="spellEnd"/>
      <w:r w:rsidRPr="00A2305B">
        <w:rPr>
          <w:rFonts w:cs="Times New Roman"/>
          <w:szCs w:val="24"/>
        </w:rPr>
        <w:t xml:space="preserve"> et al. (2013), Bhat et al. (2013), and Bhat et al. (2016). In terms of the effects of motorized vehicle ownership on children’s ECAP, the results show that children living in households with 1 or more motorized vehicles tend to participate more in (and allocate more time to) extra-curricular activities (in particular, sports and hobbies) than children living in households without motorized vehicles. This is to be expected, because motorized vehicle ownership increases the activity “reach” of children (</w:t>
      </w:r>
      <w:proofErr w:type="spellStart"/>
      <w:r w:rsidRPr="00A2305B">
        <w:rPr>
          <w:rFonts w:cs="Times New Roman"/>
          <w:szCs w:val="24"/>
        </w:rPr>
        <w:t>Karsten</w:t>
      </w:r>
      <w:proofErr w:type="spellEnd"/>
      <w:r w:rsidRPr="00A2305B">
        <w:rPr>
          <w:rFonts w:cs="Times New Roman"/>
          <w:szCs w:val="24"/>
        </w:rPr>
        <w:t xml:space="preserve">, 2014; Holloway and </w:t>
      </w:r>
      <w:proofErr w:type="spellStart"/>
      <w:r w:rsidRPr="00A2305B">
        <w:rPr>
          <w:rFonts w:cs="Times New Roman"/>
          <w:szCs w:val="24"/>
        </w:rPr>
        <w:t>Pimlott</w:t>
      </w:r>
      <w:proofErr w:type="spellEnd"/>
      <w:r w:rsidRPr="00A2305B">
        <w:rPr>
          <w:rFonts w:cs="Times New Roman"/>
          <w:szCs w:val="24"/>
        </w:rPr>
        <w:t xml:space="preserve">-Wilson, 2014, </w:t>
      </w:r>
      <w:proofErr w:type="spellStart"/>
      <w:r w:rsidRPr="00A2305B">
        <w:rPr>
          <w:rFonts w:cs="Times New Roman"/>
          <w:szCs w:val="24"/>
        </w:rPr>
        <w:t>Astroza</w:t>
      </w:r>
      <w:proofErr w:type="spellEnd"/>
      <w:r w:rsidRPr="00A2305B">
        <w:rPr>
          <w:rFonts w:cs="Times New Roman"/>
          <w:szCs w:val="24"/>
        </w:rPr>
        <w:t xml:space="preserve"> et al., 2018). Further, the ubiquity of locations for academic and arts pursuits in Hong Kong makes the trip distances shorter for these kinds of activity participations (facilitating participation by non-motorized modes of transportation and public transport), while trip distances for sports and hobbies are longer (making it more difficult to participate in sports and hobbies using non-motorized modes and public transport). This is also observed in the fact that, while about 55-65% of trips to academic and arts pursuits are undertaken by active travel, the percentage drops to about 47% for sports and hobbies.  Finally, as expected, </w:t>
      </w:r>
      <w:r w:rsidRPr="00A2305B">
        <w:rPr>
          <w:rFonts w:cs="Times New Roman"/>
          <w:szCs w:val="24"/>
          <w:lang w:eastAsia="zh-CN"/>
        </w:rPr>
        <w:t>motorized vehicle ownership has</w:t>
      </w:r>
      <w:r w:rsidRPr="00A2305B">
        <w:rPr>
          <w:rFonts w:cs="Times New Roman"/>
          <w:szCs w:val="24"/>
        </w:rPr>
        <w:t xml:space="preserve"> a negative impact on active travel, as also found in </w:t>
      </w:r>
      <w:proofErr w:type="spellStart"/>
      <w:r w:rsidRPr="00A2305B">
        <w:rPr>
          <w:rFonts w:cs="Times New Roman"/>
          <w:szCs w:val="24"/>
        </w:rPr>
        <w:t>Copperman</w:t>
      </w:r>
      <w:proofErr w:type="spellEnd"/>
      <w:r w:rsidRPr="00A2305B">
        <w:rPr>
          <w:rFonts w:cs="Times New Roman"/>
          <w:szCs w:val="24"/>
        </w:rPr>
        <w:t xml:space="preserve"> and Bhat (2007) and Bhat et al. (2015).</w:t>
      </w:r>
    </w:p>
    <w:p w:rsidR="00751138" w:rsidRPr="00A2305B" w:rsidRDefault="00751138" w:rsidP="00A2305B">
      <w:pPr>
        <w:adjustRightInd w:val="0"/>
        <w:snapToGrid w:val="0"/>
        <w:jc w:val="both"/>
        <w:rPr>
          <w:rFonts w:cs="Times New Roman"/>
          <w:szCs w:val="24"/>
          <w:u w:val="single"/>
        </w:rPr>
      </w:pPr>
    </w:p>
    <w:p w:rsidR="00751138" w:rsidRPr="00A2305B" w:rsidRDefault="00751138" w:rsidP="00A2305B">
      <w:pPr>
        <w:adjustRightInd w:val="0"/>
        <w:snapToGrid w:val="0"/>
        <w:jc w:val="both"/>
        <w:rPr>
          <w:rFonts w:cs="Times New Roman"/>
          <w:szCs w:val="24"/>
        </w:rPr>
      </w:pPr>
      <w:r w:rsidRPr="00A2305B">
        <w:rPr>
          <w:rFonts w:cs="Times New Roman"/>
          <w:szCs w:val="24"/>
          <w:u w:val="single"/>
        </w:rPr>
        <w:t>PRESENCE OF SIBLINGS</w:t>
      </w:r>
      <w:r w:rsidRPr="00A2305B">
        <w:rPr>
          <w:rFonts w:cs="Times New Roman"/>
          <w:szCs w:val="24"/>
        </w:rPr>
        <w:t xml:space="preserve">: The presence of one or more siblings has no statistically significant impact on residential choice and active travel, but does affect ECAP. In particular, a child with a sibling in the household has a higher baseline preference for (is more likely to participate in, and spend more time in) academic and sports activities. This may be because academic and sports </w:t>
      </w:r>
      <w:r w:rsidRPr="00A2305B">
        <w:rPr>
          <w:rFonts w:cs="Times New Roman"/>
          <w:szCs w:val="24"/>
        </w:rPr>
        <w:lastRenderedPageBreak/>
        <w:t>activities (such as a tutorial class or a tennis lesson or soccer practice) lend themselves more easily to group participation (allowing siblings to participate together, and also making it easier for parents to drive multiple children to extra-curricular activities)</w:t>
      </w:r>
      <w:r w:rsidR="009C6AA1" w:rsidRPr="00A2305B">
        <w:rPr>
          <w:rFonts w:cs="Times New Roman"/>
          <w:szCs w:val="24"/>
        </w:rPr>
        <w:t xml:space="preserve"> (see for example, </w:t>
      </w:r>
      <w:proofErr w:type="spellStart"/>
      <w:r w:rsidR="009C6AA1" w:rsidRPr="00A2305B">
        <w:rPr>
          <w:rFonts w:cs="Times New Roman"/>
          <w:szCs w:val="24"/>
        </w:rPr>
        <w:t>Allbaugh</w:t>
      </w:r>
      <w:proofErr w:type="spellEnd"/>
      <w:r w:rsidR="009C6AA1" w:rsidRPr="00A2305B">
        <w:rPr>
          <w:rFonts w:cs="Times New Roman"/>
          <w:szCs w:val="24"/>
        </w:rPr>
        <w:t xml:space="preserve"> et al., 2016</w:t>
      </w:r>
      <w:r w:rsidR="00374F07" w:rsidRPr="00A2305B">
        <w:rPr>
          <w:rFonts w:cs="Times New Roman"/>
          <w:szCs w:val="24"/>
        </w:rPr>
        <w:t xml:space="preserve">; Price et al., </w:t>
      </w:r>
      <w:r w:rsidR="001748DD" w:rsidRPr="00A2305B">
        <w:rPr>
          <w:rFonts w:cs="Times New Roman"/>
          <w:szCs w:val="24"/>
        </w:rPr>
        <w:t>2017</w:t>
      </w:r>
      <w:r w:rsidR="009C6AA1" w:rsidRPr="00A2305B">
        <w:rPr>
          <w:rFonts w:cs="Times New Roman"/>
          <w:szCs w:val="24"/>
        </w:rPr>
        <w:t>). A</w:t>
      </w:r>
      <w:r w:rsidRPr="00A2305B">
        <w:rPr>
          <w:rFonts w:cs="Times New Roman"/>
          <w:szCs w:val="24"/>
        </w:rPr>
        <w:t>rt/music-related activity (such as piano or violin lessons)</w:t>
      </w:r>
      <w:r w:rsidR="009C6AA1" w:rsidRPr="00A2305B">
        <w:rPr>
          <w:rFonts w:cs="Times New Roman"/>
          <w:szCs w:val="24"/>
        </w:rPr>
        <w:t xml:space="preserve">, on the other hand, </w:t>
      </w:r>
      <w:r w:rsidRPr="00A2305B">
        <w:rPr>
          <w:rFonts w:cs="Times New Roman"/>
          <w:szCs w:val="24"/>
        </w:rPr>
        <w:t>tend to be one-on-one and hobby pursuits can be rather individual-specific</w:t>
      </w:r>
      <w:r w:rsidR="009C6AA1" w:rsidRPr="00A2305B">
        <w:rPr>
          <w:rFonts w:cs="Times New Roman"/>
          <w:szCs w:val="24"/>
        </w:rPr>
        <w:t xml:space="preserve"> as well</w:t>
      </w:r>
      <w:r w:rsidR="001748DD" w:rsidRPr="00A2305B">
        <w:rPr>
          <w:rFonts w:cs="Times New Roman"/>
          <w:szCs w:val="24"/>
        </w:rPr>
        <w:t>, which may be why the effect for these activity types are not as apparent in terms of sibling presence</w:t>
      </w:r>
      <w:r w:rsidRPr="00A2305B">
        <w:rPr>
          <w:rFonts w:cs="Times New Roman"/>
          <w:szCs w:val="24"/>
        </w:rPr>
        <w:t>.</w:t>
      </w:r>
    </w:p>
    <w:p w:rsidR="00751138" w:rsidRPr="00A2305B" w:rsidRDefault="00751138" w:rsidP="00A2305B">
      <w:pPr>
        <w:adjustRightInd w:val="0"/>
        <w:snapToGrid w:val="0"/>
        <w:jc w:val="both"/>
        <w:rPr>
          <w:rFonts w:cs="Times New Roman"/>
          <w:szCs w:val="24"/>
          <w:u w:val="single"/>
        </w:rPr>
      </w:pPr>
    </w:p>
    <w:p w:rsidR="00751138" w:rsidRPr="00A2305B" w:rsidRDefault="00751138" w:rsidP="00A2305B">
      <w:pPr>
        <w:adjustRightInd w:val="0"/>
        <w:snapToGrid w:val="0"/>
        <w:jc w:val="both"/>
        <w:rPr>
          <w:rFonts w:cs="Times New Roman"/>
          <w:szCs w:val="24"/>
        </w:rPr>
      </w:pPr>
      <w:r w:rsidRPr="00A2305B">
        <w:rPr>
          <w:rFonts w:cs="Times New Roman"/>
          <w:szCs w:val="24"/>
          <w:u w:val="single"/>
        </w:rPr>
        <w:t xml:space="preserve">WORKING STATUS OF PARENTS: </w:t>
      </w:r>
      <w:r w:rsidRPr="00A2305B">
        <w:rPr>
          <w:rFonts w:cs="Times New Roman"/>
          <w:szCs w:val="24"/>
        </w:rPr>
        <w:t xml:space="preserve">In our analysis sample, only 14 children (less than 3% of all children) were living in households with only a single parent. That is, almost all children live in households with both parents. Further, only 12 children lived in households with no parent working outside the home. Thus, to consider the working status of parents, we used a simple dummy variable representing whether both parents (in dual-parent households) were working or not. The base category represents dual-parent households with only one parent working as well as the very small percentage of single-parent households and/or dual-parent households with none of the parents working. But, given the dominance of dual-parent households with only one parent working in the base category, we will interpret the results of the working status dummy variable simply as a distinction, within dual-parent households, between both parents working versus only one of the parents working. The results indicate that, if both parents work outside the home, then the household is more likely (relative to only one parent working) to reside in high-density locations rather than low-density locations. The preference of families with both parents working to live in the primary city may be a reflection of the benefits of knowledge </w:t>
      </w:r>
      <w:proofErr w:type="spellStart"/>
      <w:r w:rsidRPr="00A2305B">
        <w:rPr>
          <w:rFonts w:cs="Times New Roman"/>
          <w:szCs w:val="24"/>
        </w:rPr>
        <w:t>spillovers</w:t>
      </w:r>
      <w:proofErr w:type="spellEnd"/>
      <w:r w:rsidRPr="00A2305B">
        <w:rPr>
          <w:rFonts w:cs="Times New Roman"/>
          <w:szCs w:val="24"/>
        </w:rPr>
        <w:t xml:space="preserve"> (through formal and informal personal interactions) that occur in dense urban regions, and that provide and allow workers to retain (and enhance) their competitive edge in the market place (see </w:t>
      </w:r>
      <w:proofErr w:type="spellStart"/>
      <w:r w:rsidRPr="00A2305B">
        <w:rPr>
          <w:rFonts w:cs="Times New Roman"/>
          <w:szCs w:val="24"/>
        </w:rPr>
        <w:t>Autant</w:t>
      </w:r>
      <w:proofErr w:type="spellEnd"/>
      <w:r w:rsidRPr="00A2305B">
        <w:rPr>
          <w:rFonts w:cs="Times New Roman"/>
          <w:szCs w:val="24"/>
        </w:rPr>
        <w:t xml:space="preserve">-Bernard and </w:t>
      </w:r>
      <w:proofErr w:type="spellStart"/>
      <w:r w:rsidRPr="00A2305B">
        <w:rPr>
          <w:rFonts w:cs="Times New Roman"/>
          <w:szCs w:val="24"/>
        </w:rPr>
        <w:t>LeSage</w:t>
      </w:r>
      <w:proofErr w:type="spellEnd"/>
      <w:r w:rsidRPr="00A2305B">
        <w:rPr>
          <w:rFonts w:cs="Times New Roman"/>
          <w:szCs w:val="24"/>
        </w:rPr>
        <w:t xml:space="preserve">, 2011). Additionally, children living in households with both parents working appear to be less likely to partake in active travel relative to their peers in households with only one parent working. Perhaps non-working parents are willing to spend the additional time investment (relative to driving) involved in walking/bicycling when accompanying their children to extra-curricular activities, while children with dual-working parents are more likely to be driven to activities because of the time constraints on the working parents. </w:t>
      </w:r>
    </w:p>
    <w:p w:rsidR="00751138" w:rsidRPr="00A2305B" w:rsidRDefault="00751138" w:rsidP="00A2305B">
      <w:pPr>
        <w:ind w:firstLine="720"/>
        <w:jc w:val="both"/>
        <w:rPr>
          <w:rFonts w:cs="Times New Roman"/>
          <w:b/>
          <w:szCs w:val="24"/>
        </w:rPr>
      </w:pPr>
    </w:p>
    <w:p w:rsidR="00751138" w:rsidRPr="00A2305B" w:rsidRDefault="00751138" w:rsidP="00A2305B">
      <w:pPr>
        <w:adjustRightInd w:val="0"/>
        <w:snapToGrid w:val="0"/>
        <w:jc w:val="both"/>
        <w:rPr>
          <w:rFonts w:cs="Times New Roman"/>
          <w:b/>
          <w:szCs w:val="24"/>
        </w:rPr>
      </w:pPr>
      <w:r w:rsidRPr="00A2305B">
        <w:rPr>
          <w:rFonts w:cs="Times New Roman"/>
          <w:b/>
          <w:szCs w:val="24"/>
        </w:rPr>
        <w:t>3.2. Endogenous Effects</w:t>
      </w:r>
    </w:p>
    <w:p w:rsidR="00751138" w:rsidRPr="00A2305B" w:rsidRDefault="00751138" w:rsidP="00A2305B">
      <w:pPr>
        <w:autoSpaceDE w:val="0"/>
        <w:autoSpaceDN w:val="0"/>
        <w:adjustRightInd w:val="0"/>
        <w:jc w:val="both"/>
        <w:rPr>
          <w:rFonts w:cs="Times New Roman"/>
          <w:szCs w:val="24"/>
        </w:rPr>
      </w:pPr>
      <w:r w:rsidRPr="00A2305B">
        <w:rPr>
          <w:rFonts w:cs="Times New Roman"/>
          <w:szCs w:val="24"/>
        </w:rPr>
        <w:t xml:space="preserve">A number of different directions of recursive endogenous effects were tested, but the preferred one corresponds to the long-term residential location decision (RL) influencing the medium-term decision (ACT), and both of these impacting the short-term ECAP decision. </w:t>
      </w:r>
      <w:r w:rsidR="007A774B" w:rsidRPr="00A2305B">
        <w:rPr>
          <w:rFonts w:cs="Times New Roman"/>
          <w:szCs w:val="24"/>
        </w:rPr>
        <w:t xml:space="preserve">This corresponds to the joint </w:t>
      </w:r>
      <w:r w:rsidR="00B87C48" w:rsidRPr="00A2305B">
        <w:rPr>
          <w:rFonts w:cs="Times New Roman"/>
          <w:szCs w:val="24"/>
        </w:rPr>
        <w:t>modelling</w:t>
      </w:r>
      <w:r w:rsidR="007A774B" w:rsidRPr="00A2305B">
        <w:rPr>
          <w:rFonts w:cs="Times New Roman"/>
          <w:szCs w:val="24"/>
        </w:rPr>
        <w:t xml:space="preserve"> of the </w:t>
      </w:r>
      <w:r w:rsidR="00481771" w:rsidRPr="00A2305B">
        <w:rPr>
          <w:rFonts w:cs="Times New Roman"/>
          <w:szCs w:val="24"/>
        </w:rPr>
        <w:t>“</w:t>
      </w:r>
      <w:r w:rsidR="00646BDA" w:rsidRPr="00A2305B">
        <w:rPr>
          <w:rFonts w:cs="Times New Roman"/>
          <w:szCs w:val="24"/>
        </w:rPr>
        <w:t>Environment-Activity-Travel Decisions</w:t>
      </w:r>
      <w:r w:rsidR="00481771" w:rsidRPr="00A2305B">
        <w:rPr>
          <w:rFonts w:cs="Times New Roman"/>
          <w:szCs w:val="24"/>
        </w:rPr>
        <w:t>”</w:t>
      </w:r>
      <w:r w:rsidR="007A774B" w:rsidRPr="00A2305B">
        <w:rPr>
          <w:rFonts w:cs="Times New Roman"/>
          <w:szCs w:val="24"/>
        </w:rPr>
        <w:t xml:space="preserve"> block in our conceptual framework in Figure 1.</w:t>
      </w:r>
    </w:p>
    <w:p w:rsidR="008F2F13" w:rsidRPr="00A2305B" w:rsidRDefault="00751138" w:rsidP="00A2305B">
      <w:pPr>
        <w:autoSpaceDE w:val="0"/>
        <w:autoSpaceDN w:val="0"/>
        <w:adjustRightInd w:val="0"/>
        <w:ind w:firstLine="720"/>
        <w:jc w:val="both"/>
        <w:rPr>
          <w:rFonts w:eastAsia="SimSun" w:cs="Times New Roman"/>
          <w:szCs w:val="24"/>
        </w:rPr>
      </w:pPr>
      <w:r w:rsidRPr="00A2305B">
        <w:rPr>
          <w:rFonts w:cs="Times New Roman"/>
          <w:szCs w:val="24"/>
        </w:rPr>
        <w:t xml:space="preserve">At least three observations may be made from Table 3 regarding endogenous effects. </w:t>
      </w:r>
      <w:r w:rsidRPr="00A2305B">
        <w:rPr>
          <w:rFonts w:cs="Times New Roman"/>
          <w:szCs w:val="24"/>
          <w:u w:val="single"/>
        </w:rPr>
        <w:t>First</w:t>
      </w:r>
      <w:r w:rsidRPr="00A2305B">
        <w:rPr>
          <w:rFonts w:cs="Times New Roman"/>
          <w:szCs w:val="24"/>
        </w:rPr>
        <w:t xml:space="preserve">, children living in households located in medium- or high-density </w:t>
      </w:r>
      <w:r w:rsidR="00DD34F1" w:rsidRPr="00A2305B">
        <w:rPr>
          <w:rFonts w:cs="Times New Roman"/>
          <w:szCs w:val="24"/>
        </w:rPr>
        <w:t>neighbourhoods</w:t>
      </w:r>
      <w:r w:rsidRPr="00A2305B">
        <w:rPr>
          <w:rFonts w:cs="Times New Roman"/>
          <w:szCs w:val="24"/>
        </w:rPr>
        <w:t xml:space="preserve"> are more likely to participate in sports and arts activities (in comparison to children living in low density </w:t>
      </w:r>
      <w:r w:rsidR="00DD34F1" w:rsidRPr="00A2305B">
        <w:rPr>
          <w:rFonts w:cs="Times New Roman"/>
          <w:szCs w:val="24"/>
        </w:rPr>
        <w:t>neighbourhoods</w:t>
      </w:r>
      <w:r w:rsidRPr="00A2305B">
        <w:rPr>
          <w:rFonts w:cs="Times New Roman"/>
          <w:szCs w:val="24"/>
        </w:rPr>
        <w:t xml:space="preserve">), presumably because they are more conveniently located to access a greater range of activity/ recreation locations (such as parks, museums, and community </w:t>
      </w:r>
      <w:r w:rsidR="00DD34F1" w:rsidRPr="00A2305B">
        <w:rPr>
          <w:rFonts w:cs="Times New Roman"/>
          <w:szCs w:val="24"/>
        </w:rPr>
        <w:t>centres</w:t>
      </w:r>
      <w:r w:rsidRPr="00A2305B">
        <w:rPr>
          <w:rFonts w:cs="Times New Roman"/>
          <w:szCs w:val="24"/>
        </w:rPr>
        <w:t xml:space="preserve">). This result is consistent with the studies of </w:t>
      </w:r>
      <w:r w:rsidRPr="00A2305B">
        <w:rPr>
          <w:rFonts w:eastAsia="SimSun" w:cs="Times New Roman"/>
          <w:szCs w:val="24"/>
        </w:rPr>
        <w:t xml:space="preserve">Ding </w:t>
      </w:r>
      <w:r w:rsidRPr="00A2305B">
        <w:rPr>
          <w:rFonts w:eastAsia="SimSun" w:cs="Times New Roman"/>
          <w:iCs/>
          <w:szCs w:val="24"/>
        </w:rPr>
        <w:t>et al.</w:t>
      </w:r>
      <w:r w:rsidRPr="00A2305B">
        <w:rPr>
          <w:rFonts w:eastAsia="SimSun" w:cs="Times New Roman"/>
          <w:i/>
          <w:iCs/>
          <w:szCs w:val="24"/>
        </w:rPr>
        <w:t xml:space="preserve"> </w:t>
      </w:r>
      <w:r w:rsidRPr="00A2305B">
        <w:rPr>
          <w:rFonts w:eastAsia="SimSun" w:cs="Times New Roman"/>
          <w:szCs w:val="24"/>
        </w:rPr>
        <w:t>(2013) and Born et al. (2014), both of which identify proximity to activities (such as parks and exercise facilities) as promoters of physical activity and leisure.</w:t>
      </w:r>
      <w:r w:rsidR="00BD3F43" w:rsidRPr="00A2305B">
        <w:rPr>
          <w:rFonts w:eastAsia="SimSun" w:cs="Times New Roman"/>
          <w:szCs w:val="24"/>
        </w:rPr>
        <w:t xml:space="preserve"> This finding has important implications</w:t>
      </w:r>
      <w:r w:rsidR="00180856" w:rsidRPr="00A2305B">
        <w:rPr>
          <w:rFonts w:eastAsia="SimSun" w:cs="Times New Roman"/>
          <w:szCs w:val="24"/>
        </w:rPr>
        <w:t xml:space="preserve"> in a geographical and urban planning context</w:t>
      </w:r>
      <w:r w:rsidR="00BD3F43" w:rsidRPr="00A2305B">
        <w:rPr>
          <w:rFonts w:eastAsia="SimSun" w:cs="Times New Roman"/>
          <w:szCs w:val="24"/>
        </w:rPr>
        <w:t xml:space="preserve">, because </w:t>
      </w:r>
      <w:r w:rsidR="004F19FF" w:rsidRPr="00A2305B">
        <w:rPr>
          <w:rFonts w:eastAsia="SimSun" w:cs="Times New Roman"/>
          <w:szCs w:val="24"/>
        </w:rPr>
        <w:t xml:space="preserve">the association of higher density </w:t>
      </w:r>
      <w:r w:rsidR="00646BDA" w:rsidRPr="00A2305B">
        <w:rPr>
          <w:rFonts w:eastAsia="SimSun" w:cs="Times New Roman"/>
          <w:szCs w:val="24"/>
        </w:rPr>
        <w:t>neighbourhoods</w:t>
      </w:r>
      <w:r w:rsidR="004F19FF" w:rsidRPr="00A2305B">
        <w:rPr>
          <w:rFonts w:eastAsia="SimSun" w:cs="Times New Roman"/>
          <w:szCs w:val="24"/>
        </w:rPr>
        <w:t xml:space="preserve"> with more activity participation can </w:t>
      </w:r>
      <w:r w:rsidR="004F19FF" w:rsidRPr="00A2305B">
        <w:rPr>
          <w:rFonts w:eastAsia="SimSun" w:cs="Times New Roman"/>
          <w:szCs w:val="24"/>
        </w:rPr>
        <w:lastRenderedPageBreak/>
        <w:t>potentially inform policymakers on the planning of where to locate future activity/ recreation venues for the greatest benefit of children and adults alike.</w:t>
      </w:r>
    </w:p>
    <w:p w:rsidR="008F2F13" w:rsidRPr="00A2305B" w:rsidRDefault="00751138" w:rsidP="00A2305B">
      <w:pPr>
        <w:autoSpaceDE w:val="0"/>
        <w:autoSpaceDN w:val="0"/>
        <w:adjustRightInd w:val="0"/>
        <w:ind w:firstLine="720"/>
        <w:jc w:val="both"/>
        <w:rPr>
          <w:rFonts w:eastAsia="SimSun" w:cs="Times New Roman"/>
          <w:szCs w:val="24"/>
        </w:rPr>
      </w:pPr>
      <w:r w:rsidRPr="00A2305B">
        <w:rPr>
          <w:rFonts w:cs="Times New Roman"/>
          <w:szCs w:val="24"/>
          <w:u w:val="single"/>
        </w:rPr>
        <w:t>Second</w:t>
      </w:r>
      <w:r w:rsidRPr="00A2305B">
        <w:rPr>
          <w:rFonts w:cs="Times New Roman"/>
          <w:szCs w:val="24"/>
        </w:rPr>
        <w:t xml:space="preserve">, higher density living is also related to higher levels of use of active transport by children to access extra-curricular activities. </w:t>
      </w:r>
      <w:r w:rsidRPr="00A2305B">
        <w:rPr>
          <w:rFonts w:eastAsia="SimSun" w:cs="Times New Roman"/>
          <w:szCs w:val="24"/>
        </w:rPr>
        <w:t xml:space="preserve">This impact may be attributed to higher densities being strongly correlated with better walk and bicycle infrastructure, as well as </w:t>
      </w:r>
      <w:r w:rsidRPr="00A2305B">
        <w:rPr>
          <w:rFonts w:cs="Times New Roman"/>
          <w:szCs w:val="24"/>
        </w:rPr>
        <w:t xml:space="preserve">higher density areas providing more activity opportunities in close proximity that can be </w:t>
      </w:r>
      <w:r w:rsidR="00DD34F1" w:rsidRPr="00A2305B">
        <w:rPr>
          <w:rFonts w:cs="Times New Roman"/>
          <w:szCs w:val="24"/>
        </w:rPr>
        <w:t>travelled</w:t>
      </w:r>
      <w:r w:rsidRPr="00A2305B">
        <w:rPr>
          <w:rFonts w:cs="Times New Roman"/>
          <w:szCs w:val="24"/>
        </w:rPr>
        <w:t xml:space="preserve"> to by active transport. Indeed, earlier time-use and physical activity studies, such as </w:t>
      </w:r>
      <w:r w:rsidRPr="00A2305B">
        <w:rPr>
          <w:rFonts w:eastAsia="SimSun" w:cs="Times New Roman"/>
          <w:szCs w:val="24"/>
        </w:rPr>
        <w:t xml:space="preserve">McCormack </w:t>
      </w:r>
      <w:r w:rsidRPr="00A2305B">
        <w:rPr>
          <w:rFonts w:eastAsia="SimSun" w:cs="Times New Roman"/>
          <w:iCs/>
          <w:szCs w:val="24"/>
        </w:rPr>
        <w:t>et al.</w:t>
      </w:r>
      <w:r w:rsidRPr="00A2305B">
        <w:rPr>
          <w:rFonts w:eastAsia="SimSun" w:cs="Times New Roman"/>
          <w:i/>
          <w:iCs/>
          <w:szCs w:val="24"/>
        </w:rPr>
        <w:t xml:space="preserve"> </w:t>
      </w:r>
      <w:r w:rsidRPr="00A2305B">
        <w:rPr>
          <w:rFonts w:eastAsia="SimSun" w:cs="Times New Roman"/>
          <w:szCs w:val="24"/>
        </w:rPr>
        <w:t xml:space="preserve">(2014) and </w:t>
      </w:r>
      <w:proofErr w:type="spellStart"/>
      <w:r w:rsidRPr="00A2305B">
        <w:rPr>
          <w:rFonts w:eastAsia="SimSun" w:cs="Times New Roman"/>
          <w:szCs w:val="24"/>
        </w:rPr>
        <w:t>Sallis</w:t>
      </w:r>
      <w:proofErr w:type="spellEnd"/>
      <w:r w:rsidRPr="00A2305B">
        <w:rPr>
          <w:rFonts w:eastAsia="SimSun" w:cs="Times New Roman"/>
          <w:szCs w:val="24"/>
        </w:rPr>
        <w:t xml:space="preserve"> et al. (2016) indicate that higher density increases time spent in </w:t>
      </w:r>
      <w:r w:rsidR="00DD34F1" w:rsidRPr="00A2305B">
        <w:rPr>
          <w:rFonts w:eastAsia="SimSun" w:cs="Times New Roman"/>
          <w:szCs w:val="24"/>
        </w:rPr>
        <w:t>neighbourhood</w:t>
      </w:r>
      <w:r w:rsidRPr="00A2305B">
        <w:rPr>
          <w:rFonts w:eastAsia="SimSun" w:cs="Times New Roman"/>
          <w:szCs w:val="24"/>
        </w:rPr>
        <w:t xml:space="preserve"> physical activity (primarily walking).</w:t>
      </w:r>
      <w:r w:rsidR="00180856" w:rsidRPr="00A2305B">
        <w:rPr>
          <w:rFonts w:eastAsia="SimSun" w:cs="Times New Roman"/>
          <w:szCs w:val="24"/>
        </w:rPr>
        <w:t xml:space="preserve"> Once again, this finding is highly beneficial for policymakers to design and maintain compact and walkable communities with a healthy mix of land uses</w:t>
      </w:r>
      <w:r w:rsidR="00B87C48" w:rsidRPr="00A2305B">
        <w:rPr>
          <w:rFonts w:eastAsia="SimSun" w:cs="Times New Roman"/>
          <w:szCs w:val="24"/>
        </w:rPr>
        <w:t xml:space="preserve"> (Loo et al, 2017)</w:t>
      </w:r>
      <w:r w:rsidR="00180856" w:rsidRPr="00A2305B">
        <w:rPr>
          <w:rFonts w:eastAsia="SimSun" w:cs="Times New Roman"/>
          <w:szCs w:val="24"/>
        </w:rPr>
        <w:t>.</w:t>
      </w:r>
    </w:p>
    <w:p w:rsidR="00751138" w:rsidRPr="00A2305B" w:rsidRDefault="00751138" w:rsidP="00A2305B">
      <w:pPr>
        <w:autoSpaceDE w:val="0"/>
        <w:autoSpaceDN w:val="0"/>
        <w:adjustRightInd w:val="0"/>
        <w:ind w:firstLine="720"/>
        <w:jc w:val="both"/>
        <w:rPr>
          <w:rFonts w:eastAsia="SimSun" w:cs="Times New Roman"/>
          <w:szCs w:val="24"/>
        </w:rPr>
      </w:pPr>
      <w:r w:rsidRPr="00A2305B">
        <w:rPr>
          <w:rFonts w:eastAsia="SimSun" w:cs="Times New Roman"/>
          <w:szCs w:val="24"/>
          <w:u w:val="single"/>
        </w:rPr>
        <w:t>Third</w:t>
      </w:r>
      <w:r w:rsidRPr="00A2305B">
        <w:rPr>
          <w:rFonts w:eastAsia="SimSun" w:cs="Times New Roman"/>
          <w:szCs w:val="24"/>
        </w:rPr>
        <w:t xml:space="preserve">, </w:t>
      </w:r>
      <w:r w:rsidRPr="00A2305B">
        <w:rPr>
          <w:rFonts w:cs="Times New Roman"/>
          <w:szCs w:val="24"/>
        </w:rPr>
        <w:t xml:space="preserve">children who partake in active transport to access extra-curricular activities are more likely than their peers to spend time in sports activities. This complementary tendency between active transport use and active physical activity in recreational pursuits has been observed by </w:t>
      </w:r>
      <w:proofErr w:type="spellStart"/>
      <w:r w:rsidRPr="00A2305B">
        <w:rPr>
          <w:rFonts w:cs="Times New Roman"/>
          <w:szCs w:val="24"/>
        </w:rPr>
        <w:t>Copperman</w:t>
      </w:r>
      <w:proofErr w:type="spellEnd"/>
      <w:r w:rsidRPr="00A2305B">
        <w:rPr>
          <w:rFonts w:cs="Times New Roman"/>
          <w:szCs w:val="24"/>
        </w:rPr>
        <w:t xml:space="preserve"> and Bhat (2007) and Stewart et al. (2017) too. </w:t>
      </w:r>
      <w:r w:rsidR="00E44A5C" w:rsidRPr="00A2305B">
        <w:rPr>
          <w:rFonts w:cs="Times New Roman"/>
          <w:szCs w:val="24"/>
        </w:rPr>
        <w:t>This finding provides evidence that</w:t>
      </w:r>
      <w:r w:rsidR="00FA3D1D" w:rsidRPr="00A2305B">
        <w:rPr>
          <w:rFonts w:cs="Times New Roman"/>
          <w:szCs w:val="24"/>
        </w:rPr>
        <w:t xml:space="preserve"> greater after-school sport time use and</w:t>
      </w:r>
      <w:r w:rsidR="00E44A5C" w:rsidRPr="00A2305B">
        <w:rPr>
          <w:rFonts w:cs="Times New Roman"/>
          <w:szCs w:val="24"/>
        </w:rPr>
        <w:t xml:space="preserve"> </w:t>
      </w:r>
      <w:r w:rsidR="00FA3D1D" w:rsidRPr="00A2305B">
        <w:rPr>
          <w:rFonts w:cs="Times New Roman"/>
          <w:szCs w:val="24"/>
        </w:rPr>
        <w:t xml:space="preserve">active travel to activities </w:t>
      </w:r>
      <w:r w:rsidR="00E44A5C" w:rsidRPr="00A2305B">
        <w:rPr>
          <w:rFonts w:cs="Times New Roman"/>
          <w:szCs w:val="24"/>
        </w:rPr>
        <w:t>may reinforce one another</w:t>
      </w:r>
      <w:r w:rsidR="00FA3D1D" w:rsidRPr="00A2305B">
        <w:rPr>
          <w:rFonts w:cs="Times New Roman"/>
          <w:szCs w:val="24"/>
        </w:rPr>
        <w:t xml:space="preserve">, which provides support for parents and educators to act as role models and further promote a physically active lifestyle among </w:t>
      </w:r>
      <w:r w:rsidR="00D23FAD" w:rsidRPr="00A2305B">
        <w:rPr>
          <w:rFonts w:cs="Times New Roman"/>
          <w:szCs w:val="24"/>
        </w:rPr>
        <w:t>children, in order for children</w:t>
      </w:r>
      <w:r w:rsidR="00FA3D1D" w:rsidRPr="00A2305B">
        <w:rPr>
          <w:rFonts w:cs="Times New Roman"/>
          <w:szCs w:val="24"/>
        </w:rPr>
        <w:t xml:space="preserve"> to develop and maintain these healthy habits as they grow up into teenagers and young adults</w:t>
      </w:r>
      <w:r w:rsidR="001F668B" w:rsidRPr="00A2305B">
        <w:rPr>
          <w:rFonts w:cs="Times New Roman"/>
          <w:szCs w:val="24"/>
        </w:rPr>
        <w:t xml:space="preserve"> (Yang et al., 2014; Craigie et al., 2011)</w:t>
      </w:r>
      <w:r w:rsidR="00FA3D1D" w:rsidRPr="00A2305B">
        <w:rPr>
          <w:rFonts w:cs="Times New Roman"/>
          <w:szCs w:val="24"/>
        </w:rPr>
        <w:t xml:space="preserve">. </w:t>
      </w:r>
    </w:p>
    <w:p w:rsidR="00751138" w:rsidRPr="00A2305B" w:rsidRDefault="00751138" w:rsidP="00A2305B">
      <w:pPr>
        <w:adjustRightInd w:val="0"/>
        <w:snapToGrid w:val="0"/>
        <w:ind w:firstLine="720"/>
        <w:jc w:val="both"/>
        <w:rPr>
          <w:rFonts w:cs="Times New Roman"/>
          <w:i/>
          <w:szCs w:val="24"/>
        </w:rPr>
      </w:pPr>
    </w:p>
    <w:p w:rsidR="00751138" w:rsidRPr="00A2305B" w:rsidRDefault="00751138" w:rsidP="00A2305B">
      <w:pPr>
        <w:adjustRightInd w:val="0"/>
        <w:snapToGrid w:val="0"/>
        <w:jc w:val="both"/>
        <w:rPr>
          <w:rFonts w:cs="Times New Roman"/>
          <w:b/>
          <w:szCs w:val="24"/>
        </w:rPr>
      </w:pPr>
      <w:r w:rsidRPr="00A2305B">
        <w:rPr>
          <w:rFonts w:cs="Times New Roman"/>
          <w:b/>
          <w:szCs w:val="24"/>
        </w:rPr>
        <w:t>3.3. Satiation Parameters</w:t>
      </w:r>
    </w:p>
    <w:p w:rsidR="00751138" w:rsidRPr="00A2305B" w:rsidRDefault="00751138" w:rsidP="00A2305B">
      <w:pPr>
        <w:autoSpaceDE w:val="0"/>
        <w:autoSpaceDN w:val="0"/>
        <w:adjustRightInd w:val="0"/>
        <w:snapToGrid w:val="0"/>
        <w:jc w:val="both"/>
        <w:rPr>
          <w:rFonts w:cs="Times New Roman"/>
          <w:szCs w:val="24"/>
        </w:rPr>
      </w:pPr>
      <w:r w:rsidRPr="00A2305B">
        <w:rPr>
          <w:rFonts w:eastAsia="Times New Roman" w:cs="Times New Roman"/>
          <w:szCs w:val="24"/>
        </w:rPr>
        <w:t xml:space="preserve">The </w:t>
      </w:r>
      <w:r w:rsidRPr="00A2305B">
        <w:rPr>
          <w:rFonts w:cs="Times New Roman"/>
          <w:position w:val="-12"/>
        </w:rPr>
        <w:object w:dxaOrig="260" w:dyaOrig="360">
          <v:shape id="_x0000_i1127" type="#_x0000_t75" style="width:13.5pt;height:18.75pt" o:ole="">
            <v:imagedata r:id="rId195" o:title=""/>
          </v:shape>
          <o:OLEObject Type="Embed" ProgID="Equation.DSMT4" ShapeID="_x0000_i1127" DrawAspect="Content" ObjectID="_1612165129" r:id="rId196"/>
        </w:object>
      </w:r>
      <w:r w:rsidRPr="00A2305B">
        <w:rPr>
          <w:rFonts w:cs="Times New Roman"/>
        </w:rPr>
        <w:t xml:space="preserve"> </w:t>
      </w:r>
      <w:r w:rsidRPr="00A2305B">
        <w:rPr>
          <w:rFonts w:eastAsia="Times New Roman" w:cs="Times New Roman"/>
          <w:szCs w:val="24"/>
        </w:rPr>
        <w:t>satiation parameters are presented in the last row of Table 3</w:t>
      </w:r>
      <w:r w:rsidR="007A774B" w:rsidRPr="00A2305B">
        <w:rPr>
          <w:rFonts w:eastAsia="Times New Roman" w:cs="Times New Roman"/>
          <w:szCs w:val="24"/>
        </w:rPr>
        <w:t xml:space="preserve">, </w:t>
      </w:r>
      <w:r w:rsidR="007A774B" w:rsidRPr="00A2305B">
        <w:rPr>
          <w:rFonts w:cs="Times New Roman"/>
          <w:szCs w:val="24"/>
        </w:rPr>
        <w:t>and provides more specific detail about the ECAP block in the context of Figure 1.</w:t>
      </w:r>
      <w:r w:rsidRPr="00A2305B">
        <w:rPr>
          <w:rFonts w:eastAsia="Times New Roman" w:cs="Times New Roman"/>
          <w:szCs w:val="24"/>
        </w:rPr>
        <w:t xml:space="preserve"> Satiation for a specific extra-curricular activity purpose </w:t>
      </w:r>
      <w:proofErr w:type="gramStart"/>
      <w:r w:rsidRPr="00A2305B">
        <w:rPr>
          <w:rFonts w:eastAsia="Times New Roman" w:cs="Times New Roman"/>
          <w:i/>
          <w:szCs w:val="24"/>
        </w:rPr>
        <w:t>k</w:t>
      </w:r>
      <w:r w:rsidRPr="00A2305B">
        <w:rPr>
          <w:rFonts w:eastAsia="Times New Roman" w:cs="Times New Roman"/>
          <w:szCs w:val="24"/>
        </w:rPr>
        <w:t xml:space="preserve">  (</w:t>
      </w:r>
      <w:proofErr w:type="gramEnd"/>
      <w:r w:rsidRPr="00A2305B">
        <w:rPr>
          <w:rFonts w:eastAsia="Times New Roman" w:cs="Times New Roman"/>
          <w:i/>
          <w:szCs w:val="24"/>
        </w:rPr>
        <w:t>k</w:t>
      </w:r>
      <w:r w:rsidRPr="00A2305B">
        <w:rPr>
          <w:rFonts w:eastAsia="Times New Roman" w:cs="Times New Roman"/>
          <w:szCs w:val="24"/>
        </w:rPr>
        <w:t>=1,2,…,</w:t>
      </w:r>
      <w:r w:rsidRPr="00A2305B">
        <w:rPr>
          <w:rFonts w:eastAsia="Times New Roman" w:cs="Times New Roman"/>
          <w:i/>
          <w:szCs w:val="24"/>
        </w:rPr>
        <w:t>K</w:t>
      </w:r>
      <w:r w:rsidRPr="00A2305B">
        <w:rPr>
          <w:rFonts w:eastAsia="Times New Roman" w:cs="Times New Roman"/>
          <w:szCs w:val="24"/>
        </w:rPr>
        <w:t xml:space="preserve">–1) increases as </w:t>
      </w:r>
      <w:r w:rsidRPr="00A2305B">
        <w:rPr>
          <w:rFonts w:eastAsia="Times New Roman" w:cs="Times New Roman"/>
          <w:noProof/>
          <w:position w:val="-12"/>
          <w:szCs w:val="24"/>
        </w:rPr>
        <w:object w:dxaOrig="260" w:dyaOrig="360">
          <v:shape id="_x0000_i1128" type="#_x0000_t75" style="width:12.75pt;height:18.75pt" o:ole="" o:preferrelative="f">
            <v:imagedata r:id="rId197" o:title=""/>
            <o:lock v:ext="edit" aspectratio="f"/>
          </v:shape>
          <o:OLEObject Type="Embed" ProgID="Equation.3" ShapeID="_x0000_i1128" DrawAspect="Content" ObjectID="_1612165130" r:id="rId198"/>
        </w:object>
      </w:r>
      <w:r w:rsidRPr="00A2305B">
        <w:rPr>
          <w:rFonts w:eastAsia="Times New Roman" w:cs="Times New Roman"/>
          <w:szCs w:val="24"/>
        </w:rPr>
        <w:t xml:space="preserve"> gets closer to zero. </w:t>
      </w:r>
      <w:r w:rsidRPr="00A2305B">
        <w:rPr>
          <w:rFonts w:eastAsia="Times New Roman" w:cs="Times New Roman"/>
          <w:noProof/>
          <w:position w:val="-12"/>
          <w:szCs w:val="24"/>
        </w:rPr>
        <w:object w:dxaOrig="260" w:dyaOrig="360">
          <v:shape id="_x0000_i1129" type="#_x0000_t75" style="width:12.75pt;height:18.75pt" o:ole="" o:preferrelative="f">
            <v:imagedata r:id="rId199" o:title=""/>
            <o:lock v:ext="edit" aspectratio="f"/>
          </v:shape>
          <o:OLEObject Type="Embed" ProgID="Equation.DSMT4" ShapeID="_x0000_i1129" DrawAspect="Content" ObjectID="_1612165131" r:id="rId200"/>
        </w:object>
      </w:r>
      <w:r w:rsidRPr="00A2305B">
        <w:rPr>
          <w:rFonts w:eastAsia="Times New Roman" w:cs="Times New Roman"/>
          <w:noProof/>
          <w:szCs w:val="24"/>
        </w:rPr>
        <w:t xml:space="preserve"> is not relevant</w:t>
      </w:r>
      <w:r w:rsidRPr="00A2305B">
        <w:rPr>
          <w:rFonts w:eastAsia="Times New Roman" w:cs="Times New Roman"/>
          <w:szCs w:val="24"/>
        </w:rPr>
        <w:t xml:space="preserve"> for the in-home activity in the </w:t>
      </w:r>
      <w:r w:rsidRPr="00A2305B">
        <w:rPr>
          <w:rFonts w:eastAsia="Times New Roman" w:cs="Times New Roman"/>
          <w:noProof/>
          <w:position w:val="-6"/>
          <w:szCs w:val="24"/>
        </w:rPr>
        <w:object w:dxaOrig="200" w:dyaOrig="220">
          <v:shape id="_x0000_i1130" type="#_x0000_t75" style="width:9pt;height:11.25pt" o:ole="" o:preferrelative="f">
            <v:imagedata r:id="rId124" o:title=""/>
            <o:lock v:ext="edit" aspectratio="f"/>
          </v:shape>
          <o:OLEObject Type="Embed" ProgID="Equation.3" ShapeID="_x0000_i1130" DrawAspect="Content" ObjectID="_1612165132" r:id="rId201"/>
        </w:object>
      </w:r>
      <w:r w:rsidRPr="00A2305B">
        <w:rPr>
          <w:rFonts w:eastAsia="Times New Roman" w:cs="Times New Roman"/>
          <w:szCs w:val="24"/>
        </w:rPr>
        <w:t xml:space="preserve">-profile because the in-home activity is always participated in, but satiation in the in-home activity is accommodated because as </w:t>
      </w:r>
      <w:r w:rsidRPr="00A2305B">
        <w:rPr>
          <w:rFonts w:cs="Times New Roman"/>
          <w:position w:val="-12"/>
          <w:szCs w:val="24"/>
        </w:rPr>
        <w:object w:dxaOrig="880" w:dyaOrig="360">
          <v:shape id="_x0000_i1131" type="#_x0000_t75" style="width:44.25pt;height:18.75pt" o:ole="" o:preferrelative="f">
            <v:imagedata r:id="rId202" o:title=""/>
            <o:lock v:ext="edit" aspectratio="f"/>
          </v:shape>
          <o:OLEObject Type="Embed" ProgID="Equation.DSMT4" ShapeID="_x0000_i1131" DrawAspect="Content" ObjectID="_1612165133" r:id="rId203"/>
        </w:object>
      </w:r>
      <w:r w:rsidRPr="00A2305B">
        <w:rPr>
          <w:rFonts w:cs="Times New Roman"/>
          <w:szCs w:val="24"/>
        </w:rPr>
        <w:t xml:space="preserve"> which implies that the utility contribution of the in-home alternative,</w:t>
      </w:r>
      <w:r w:rsidRPr="00A2305B">
        <w:rPr>
          <w:rFonts w:cs="Times New Roman"/>
          <w:position w:val="-30"/>
          <w:szCs w:val="24"/>
        </w:rPr>
        <w:object w:dxaOrig="1420" w:dyaOrig="680">
          <v:shape id="_x0000_i1132" type="#_x0000_t75" style="width:71.25pt;height:34.5pt" o:ole="" o:preferrelative="f">
            <v:imagedata r:id="rId204" o:title=""/>
            <o:lock v:ext="edit" aspectratio="f"/>
          </v:shape>
          <o:OLEObject Type="Embed" ProgID="Equation.DSMT4" ShapeID="_x0000_i1132" DrawAspect="Content" ObjectID="_1612165134" r:id="rId205"/>
        </w:object>
      </w:r>
      <w:proofErr w:type="gramStart"/>
      <w:r w:rsidRPr="00A2305B">
        <w:rPr>
          <w:rFonts w:cs="Times New Roman"/>
          <w:szCs w:val="24"/>
        </w:rPr>
        <w:t>,</w:t>
      </w:r>
      <w:proofErr w:type="gramEnd"/>
      <w:r w:rsidRPr="00A2305B">
        <w:rPr>
          <w:rFonts w:cs="Times New Roman"/>
          <w:szCs w:val="24"/>
        </w:rPr>
        <w:t xml:space="preserve"> in Equation (4), gets transformed to a non-linear utility term </w:t>
      </w:r>
      <w:r w:rsidRPr="00A2305B">
        <w:rPr>
          <w:rFonts w:cs="Times New Roman"/>
          <w:position w:val="-14"/>
          <w:szCs w:val="24"/>
        </w:rPr>
        <w:object w:dxaOrig="1120" w:dyaOrig="380">
          <v:shape id="_x0000_i1133" type="#_x0000_t75" style="width:55.5pt;height:19.5pt" o:ole="">
            <v:imagedata r:id="rId206" o:title=""/>
          </v:shape>
          <o:OLEObject Type="Embed" ProgID="Equation.3" ShapeID="_x0000_i1133" DrawAspect="Content" ObjectID="_1612165135" r:id="rId207"/>
        </w:object>
      </w:r>
      <w:r w:rsidRPr="00A2305B">
        <w:rPr>
          <w:rFonts w:cs="Times New Roman"/>
          <w:szCs w:val="24"/>
        </w:rPr>
        <w:t>.</w:t>
      </w:r>
      <w:r w:rsidRPr="00A2305B">
        <w:rPr>
          <w:rFonts w:cs="Times New Roman"/>
        </w:rPr>
        <w:t xml:space="preserve"> </w:t>
      </w:r>
      <w:r w:rsidRPr="00A2305B">
        <w:rPr>
          <w:rFonts w:eastAsia="Times New Roman" w:cs="Times New Roman"/>
          <w:szCs w:val="24"/>
        </w:rPr>
        <w:t xml:space="preserve">As expected initially from the descriptive statistics, the extra-curricular arts activity in Table 3 has the highest satiation rate (lowest value of </w:t>
      </w:r>
      <w:r w:rsidRPr="00A2305B">
        <w:rPr>
          <w:rFonts w:eastAsia="Times New Roman" w:cs="Times New Roman"/>
          <w:noProof/>
          <w:position w:val="-12"/>
          <w:szCs w:val="24"/>
        </w:rPr>
        <w:object w:dxaOrig="260" w:dyaOrig="360">
          <v:shape id="_x0000_i1134" type="#_x0000_t75" style="width:12.75pt;height:18.75pt" o:ole="" o:preferrelative="f">
            <v:imagedata r:id="rId197" o:title=""/>
            <o:lock v:ext="edit" aspectratio="f"/>
          </v:shape>
          <o:OLEObject Type="Embed" ProgID="Equation.3" ShapeID="_x0000_i1134" DrawAspect="Content" ObjectID="_1612165136" r:id="rId208"/>
        </w:object>
      </w:r>
      <w:r w:rsidRPr="00A2305B">
        <w:rPr>
          <w:rFonts w:eastAsia="Times New Roman" w:cs="Times New Roman"/>
          <w:noProof/>
          <w:szCs w:val="24"/>
        </w:rPr>
        <w:t>at 1.641</w:t>
      </w:r>
      <w:r w:rsidRPr="00A2305B">
        <w:rPr>
          <w:rFonts w:eastAsia="Times New Roman" w:cs="Times New Roman"/>
          <w:szCs w:val="24"/>
        </w:rPr>
        <w:t xml:space="preserve">). </w:t>
      </w:r>
      <w:r w:rsidR="001F668B" w:rsidRPr="00A2305B">
        <w:rPr>
          <w:rFonts w:eastAsia="Times New Roman" w:cs="Times New Roman"/>
          <w:szCs w:val="24"/>
        </w:rPr>
        <w:t xml:space="preserve">The high satiation rate for the arts activity means that participating in a shorter time period is already enough to achieve the same utility as compared with the other activity types. </w:t>
      </w:r>
      <w:r w:rsidRPr="00A2305B">
        <w:rPr>
          <w:rFonts w:eastAsia="Times New Roman" w:cs="Times New Roman"/>
          <w:szCs w:val="24"/>
        </w:rPr>
        <w:t>The satiation rates for the other extra-curricular activities are</w:t>
      </w:r>
      <w:r w:rsidR="001F668B" w:rsidRPr="00A2305B">
        <w:rPr>
          <w:rFonts w:eastAsia="Times New Roman" w:cs="Times New Roman"/>
          <w:szCs w:val="24"/>
        </w:rPr>
        <w:t xml:space="preserve"> not as high as the arts activity, but in a similar </w:t>
      </w:r>
      <w:r w:rsidRPr="00A2305B">
        <w:rPr>
          <w:rFonts w:eastAsia="Times New Roman" w:cs="Times New Roman"/>
          <w:szCs w:val="24"/>
        </w:rPr>
        <w:t xml:space="preserve">range. </w:t>
      </w:r>
      <w:r w:rsidR="001F668B" w:rsidRPr="00A2305B">
        <w:rPr>
          <w:rFonts w:eastAsia="Times New Roman" w:cs="Times New Roman"/>
          <w:szCs w:val="24"/>
        </w:rPr>
        <w:t xml:space="preserve">This finding shows that </w:t>
      </w:r>
      <w:r w:rsidR="00A02EF9" w:rsidRPr="00A2305B">
        <w:rPr>
          <w:rFonts w:eastAsia="Times New Roman" w:cs="Times New Roman"/>
          <w:szCs w:val="24"/>
        </w:rPr>
        <w:t>arts activities do not usually last too long, in comparison with academic or sports activities. A musical instrument lesson would typically last around one hour, and meet once a week, whereas sporting practice or tutorial classes could conceivably last anywhere from one to three hours per session, and there may be more than one session per week. This is why we consider duration as well as activity type in children’s ECAP, because considering activity type alone would remove the important details relating to time use and lead to a poorer and less accurate modelling framework.</w:t>
      </w:r>
    </w:p>
    <w:p w:rsidR="00751138" w:rsidRPr="00A2305B" w:rsidRDefault="00751138" w:rsidP="00A2305B">
      <w:pPr>
        <w:adjustRightInd w:val="0"/>
        <w:snapToGrid w:val="0"/>
        <w:ind w:firstLine="720"/>
        <w:jc w:val="both"/>
        <w:rPr>
          <w:rFonts w:cs="Times New Roman"/>
          <w:szCs w:val="24"/>
        </w:rPr>
      </w:pPr>
    </w:p>
    <w:p w:rsidR="00751138" w:rsidRPr="00A2305B" w:rsidRDefault="00751138" w:rsidP="00A2305B">
      <w:pPr>
        <w:jc w:val="both"/>
        <w:rPr>
          <w:rFonts w:cs="Times New Roman"/>
          <w:b/>
          <w:szCs w:val="24"/>
        </w:rPr>
      </w:pPr>
      <w:r w:rsidRPr="00A2305B">
        <w:rPr>
          <w:rFonts w:cs="Times New Roman"/>
          <w:b/>
          <w:szCs w:val="24"/>
        </w:rPr>
        <w:t>3.4. Variance-Covariance Matrix of the Error Terms</w:t>
      </w:r>
    </w:p>
    <w:p w:rsidR="00751138" w:rsidRPr="00A2305B" w:rsidRDefault="00751138" w:rsidP="00A2305B">
      <w:pPr>
        <w:jc w:val="both"/>
        <w:rPr>
          <w:rFonts w:cs="Times New Roman"/>
          <w:szCs w:val="24"/>
        </w:rPr>
      </w:pPr>
      <w:r w:rsidRPr="00A2305B">
        <w:rPr>
          <w:rFonts w:cs="Times New Roman"/>
          <w:szCs w:val="24"/>
        </w:rPr>
        <w:t xml:space="preserve">Table 4 presents the estimated covariance matrix </w:t>
      </w:r>
      <w:r w:rsidRPr="00A2305B">
        <w:rPr>
          <w:rFonts w:cs="Times New Roman"/>
          <w:position w:val="-4"/>
          <w:szCs w:val="24"/>
        </w:rPr>
        <w:object w:dxaOrig="240" w:dyaOrig="260">
          <v:shape id="_x0000_i1135" type="#_x0000_t75" style="width:12.75pt;height:12.75pt" o:ole="" o:preferrelative="f">
            <v:imagedata r:id="rId193" o:title=""/>
            <o:lock v:ext="edit" aspectratio="f"/>
          </v:shape>
          <o:OLEObject Type="Embed" ProgID="Equation.DSMT4" ShapeID="_x0000_i1135" DrawAspect="Content" ObjectID="_1612165137" r:id="rId209"/>
        </w:object>
      </w:r>
      <w:r w:rsidRPr="00A2305B">
        <w:rPr>
          <w:rFonts w:cs="Times New Roman"/>
          <w:szCs w:val="24"/>
        </w:rPr>
        <w:t>of the error terms in the joint model (only the lower diagonal elements are presented, because of the symmetric nature of the covariance matrix)</w:t>
      </w:r>
      <w:r w:rsidR="007A774B" w:rsidRPr="00A2305B">
        <w:rPr>
          <w:rFonts w:cs="Times New Roman"/>
          <w:szCs w:val="24"/>
        </w:rPr>
        <w:t xml:space="preserve">, </w:t>
      </w:r>
      <w:r w:rsidR="007A774B" w:rsidRPr="00A2305B">
        <w:rPr>
          <w:rFonts w:cs="Times New Roman"/>
          <w:szCs w:val="24"/>
        </w:rPr>
        <w:lastRenderedPageBreak/>
        <w:t xml:space="preserve">where </w:t>
      </w:r>
      <w:r w:rsidR="00260DC3" w:rsidRPr="00A2305B">
        <w:rPr>
          <w:rFonts w:cs="Times New Roman"/>
          <w:szCs w:val="24"/>
        </w:rPr>
        <w:t>significant</w:t>
      </w:r>
      <w:r w:rsidR="007A774B" w:rsidRPr="00A2305B">
        <w:rPr>
          <w:rFonts w:cs="Times New Roman"/>
          <w:szCs w:val="24"/>
        </w:rPr>
        <w:t xml:space="preserve"> error correlations would be indicative of the presence of unobserved factors that need to be considered</w:t>
      </w:r>
      <w:r w:rsidRPr="00A2305B">
        <w:rPr>
          <w:rFonts w:cs="Times New Roman"/>
          <w:szCs w:val="24"/>
        </w:rPr>
        <w:t xml:space="preserve">. Many different specifications were considered for this covariance matrix. Interestingly, the diagonal blocks of the matrix (corresponding to the covariance within alternatives for each of the RL, ECAP, and ACT model components) were not significantly different from diagonal values of one and </w:t>
      </w:r>
      <w:proofErr w:type="spellStart"/>
      <w:r w:rsidRPr="00A2305B">
        <w:rPr>
          <w:rFonts w:cs="Times New Roman"/>
          <w:szCs w:val="24"/>
        </w:rPr>
        <w:t>covariances</w:t>
      </w:r>
      <w:proofErr w:type="spellEnd"/>
      <w:r w:rsidRPr="00A2305B">
        <w:rPr>
          <w:rFonts w:cs="Times New Roman"/>
          <w:szCs w:val="24"/>
        </w:rPr>
        <w:t xml:space="preserve"> of 0.5. Thus, these are fixed in our estimation. The implication is that the original error terms in the vectors </w:t>
      </w:r>
      <w:r w:rsidRPr="00A2305B">
        <w:rPr>
          <w:rFonts w:cs="Times New Roman"/>
          <w:position w:val="-14"/>
          <w:szCs w:val="24"/>
        </w:rPr>
        <w:object w:dxaOrig="340" w:dyaOrig="380">
          <v:shape id="_x0000_i1136" type="#_x0000_t75" style="width:17.25pt;height:19.5pt" o:ole="" o:preferrelative="f">
            <v:imagedata r:id="rId25" o:title=""/>
            <o:lock v:ext="edit" aspectratio="f"/>
          </v:shape>
          <o:OLEObject Type="Embed" ProgID="Equation.DSMT4" ShapeID="_x0000_i1136" DrawAspect="Content" ObjectID="_1612165138" r:id="rId210"/>
        </w:object>
      </w:r>
      <w:r w:rsidRPr="00A2305B">
        <w:rPr>
          <w:rFonts w:cs="Times New Roman"/>
          <w:szCs w:val="24"/>
        </w:rPr>
        <w:t xml:space="preserve">(representing the utilities of alternatives within the RL choice and within the ACT choice) are identically and independently distributed (IID) of each other (for each of </w:t>
      </w:r>
      <w:r w:rsidRPr="00A2305B">
        <w:rPr>
          <w:rFonts w:cs="Times New Roman"/>
          <w:i/>
          <w:szCs w:val="24"/>
        </w:rPr>
        <w:t>g</w:t>
      </w:r>
      <w:r w:rsidRPr="00A2305B">
        <w:rPr>
          <w:rFonts w:cs="Times New Roman"/>
          <w:szCs w:val="24"/>
        </w:rPr>
        <w:t xml:space="preserve">=1 corresponding to the RL nominal choice and </w:t>
      </w:r>
      <w:r w:rsidRPr="00A2305B">
        <w:rPr>
          <w:rFonts w:cs="Times New Roman"/>
          <w:i/>
          <w:szCs w:val="24"/>
        </w:rPr>
        <w:t>g</w:t>
      </w:r>
      <w:r w:rsidRPr="00A2305B">
        <w:rPr>
          <w:rFonts w:cs="Times New Roman"/>
          <w:szCs w:val="24"/>
        </w:rPr>
        <w:t xml:space="preserve">=2 corresponding to the ACT nominal choice). Similarly, </w:t>
      </w:r>
      <w:r w:rsidRPr="00A2305B">
        <w:rPr>
          <w:rFonts w:cs="Times New Roman"/>
          <w:position w:val="-14"/>
          <w:szCs w:val="24"/>
        </w:rPr>
        <w:object w:dxaOrig="1280" w:dyaOrig="420">
          <v:shape id="_x0000_i1137" type="#_x0000_t75" style="width:63.75pt;height:20.25pt" o:ole="" o:preferrelative="f">
            <v:imagedata r:id="rId211" o:title=""/>
            <o:lock v:ext="edit" aspectratio="f"/>
          </v:shape>
          <o:OLEObject Type="Embed" ProgID="Equation.DSMT4" ShapeID="_x0000_i1137" DrawAspect="Content" ObjectID="_1612165139" r:id="rId212"/>
        </w:object>
      </w:r>
      <w:r w:rsidRPr="00A2305B">
        <w:rPr>
          <w:rFonts w:cs="Times New Roman"/>
          <w:szCs w:val="24"/>
        </w:rPr>
        <w:t xml:space="preserve"> of alternatives of the ECAP MDC model component are IID of each other. This is a result that just happens to be in our case, and we would not know if this is the case or not unless we estimated a more general model that allows the error terms within each of the three model components to be non-identical and correlated. </w:t>
      </w:r>
    </w:p>
    <w:p w:rsidR="00751138" w:rsidRPr="00A2305B" w:rsidRDefault="00751138" w:rsidP="00A2305B">
      <w:pPr>
        <w:adjustRightInd w:val="0"/>
        <w:snapToGrid w:val="0"/>
        <w:ind w:firstLine="720"/>
        <w:jc w:val="both"/>
        <w:rPr>
          <w:rFonts w:cs="Times New Roman"/>
          <w:szCs w:val="24"/>
        </w:rPr>
      </w:pPr>
      <w:r w:rsidRPr="00A2305B">
        <w:rPr>
          <w:rFonts w:cs="Times New Roman"/>
          <w:szCs w:val="24"/>
        </w:rPr>
        <w:t>From the results presented in Table 4, it can also be observed that there are some significant error correlations across the RL, ECAP, and ACT components (see the off-diagonal block of the matrix). In particular, there are common unobserved statistically significant correlation effects between the RL medium/high density utilities of the RL and the ECAP baseline utilities of arts activities (a covariance of 0.12 between the utility of the medium density alternative and the arts baseline utility, a covariance of 0.27 between the utility of the high density alternative and the arts baseline utility, and a covariance of 0.43 between the utility of the high density alternative and the hobbies baseline utility</w:t>
      </w:r>
      <w:r w:rsidR="007A774B" w:rsidRPr="00A2305B">
        <w:rPr>
          <w:rFonts w:cs="Times New Roman"/>
          <w:szCs w:val="24"/>
        </w:rPr>
        <w:t>)</w:t>
      </w:r>
      <w:r w:rsidRPr="00A2305B">
        <w:rPr>
          <w:rFonts w:cs="Times New Roman"/>
          <w:szCs w:val="24"/>
        </w:rPr>
        <w:t xml:space="preserve">. One possible explanation is that </w:t>
      </w:r>
      <w:r w:rsidR="00646BDA" w:rsidRPr="00A2305B">
        <w:rPr>
          <w:rFonts w:cs="Times New Roman"/>
          <w:szCs w:val="24"/>
        </w:rPr>
        <w:t>neighbourhoods</w:t>
      </w:r>
      <w:r w:rsidRPr="00A2305B">
        <w:rPr>
          <w:rFonts w:cs="Times New Roman"/>
          <w:szCs w:val="24"/>
        </w:rPr>
        <w:t xml:space="preserve"> with high residential density are also key activity nodes with mixed land use that support specialized arts pursuits as well as diverse hobby activities for children to join. In addition, there is a positive statistically significant covariance (0.19) between the utilities of the RL high density alternative and the ACT “all travel is active travel” alternative, as well as positive statistically significant </w:t>
      </w:r>
      <w:proofErr w:type="spellStart"/>
      <w:r w:rsidRPr="00A2305B">
        <w:rPr>
          <w:rFonts w:cs="Times New Roman"/>
          <w:szCs w:val="24"/>
        </w:rPr>
        <w:t>covariances</w:t>
      </w:r>
      <w:proofErr w:type="spellEnd"/>
      <w:r w:rsidRPr="00A2305B">
        <w:rPr>
          <w:rFonts w:cs="Times New Roman"/>
          <w:szCs w:val="24"/>
        </w:rPr>
        <w:t xml:space="preserve"> between the ECAP sports baseline utility and the utility of the ACT “all travel is active travel” alternative. These findings lend support to the observations in Bhat et al. (2016) that adults in households with a green lifestyle (unobserved factor) tend to locate in high density </w:t>
      </w:r>
      <w:r w:rsidR="00646BDA" w:rsidRPr="00A2305B">
        <w:rPr>
          <w:rFonts w:cs="Times New Roman"/>
          <w:szCs w:val="24"/>
        </w:rPr>
        <w:t>neighbourhoods</w:t>
      </w:r>
      <w:r w:rsidRPr="00A2305B">
        <w:rPr>
          <w:rFonts w:cs="Times New Roman"/>
          <w:szCs w:val="24"/>
        </w:rPr>
        <w:t>, are more likely to pursue sports-related activities, and also partake more in active travel. As the values and lifestyles of parents permeate to the children, children living in high density areas appear intrinsically more likely also to pursue sports-related activities and active transport.</w:t>
      </w:r>
      <w:r w:rsidR="00260DC3" w:rsidRPr="00A2305B">
        <w:rPr>
          <w:rFonts w:cs="Times New Roman"/>
          <w:szCs w:val="24"/>
        </w:rPr>
        <w:t xml:space="preserve"> In other words, these findings show that when considering the effect of residential density on children’s activity-travel </w:t>
      </w:r>
      <w:r w:rsidR="009A15D7" w:rsidRPr="00A2305B">
        <w:rPr>
          <w:rFonts w:cs="Times New Roman"/>
          <w:szCs w:val="24"/>
        </w:rPr>
        <w:t>behaviour</w:t>
      </w:r>
      <w:r w:rsidR="00260DC3" w:rsidRPr="00A2305B">
        <w:rPr>
          <w:rFonts w:cs="Times New Roman"/>
          <w:szCs w:val="24"/>
        </w:rPr>
        <w:t xml:space="preserve">, it is important to take into account these unobserved factors, or else risk overstating the effect of the </w:t>
      </w:r>
      <w:r w:rsidR="00481771" w:rsidRPr="00A2305B">
        <w:rPr>
          <w:rFonts w:cs="Times New Roman"/>
          <w:szCs w:val="24"/>
        </w:rPr>
        <w:t>neighbourhood</w:t>
      </w:r>
      <w:r w:rsidR="00260DC3" w:rsidRPr="00A2305B">
        <w:rPr>
          <w:rFonts w:cs="Times New Roman"/>
          <w:szCs w:val="24"/>
        </w:rPr>
        <w:t xml:space="preserve"> environment.</w:t>
      </w:r>
    </w:p>
    <w:p w:rsidR="00751138" w:rsidRPr="00A2305B" w:rsidRDefault="00751138" w:rsidP="00A2305B">
      <w:pPr>
        <w:adjustRightInd w:val="0"/>
        <w:snapToGrid w:val="0"/>
        <w:jc w:val="both"/>
        <w:rPr>
          <w:rFonts w:cs="Times New Roman"/>
          <w:szCs w:val="24"/>
        </w:rPr>
      </w:pPr>
    </w:p>
    <w:p w:rsidR="00751138" w:rsidRPr="00A2305B" w:rsidRDefault="00751138" w:rsidP="00A2305B">
      <w:pPr>
        <w:adjustRightInd w:val="0"/>
        <w:snapToGrid w:val="0"/>
        <w:jc w:val="both"/>
        <w:rPr>
          <w:rFonts w:cs="Times New Roman"/>
          <w:b/>
          <w:szCs w:val="24"/>
        </w:rPr>
      </w:pPr>
      <w:r w:rsidRPr="00A2305B">
        <w:rPr>
          <w:rFonts w:cs="Times New Roman"/>
          <w:b/>
          <w:szCs w:val="24"/>
        </w:rPr>
        <w:t>3.5. Likelihood Based Goodness of Fit Measures</w:t>
      </w:r>
    </w:p>
    <w:p w:rsidR="00751138" w:rsidRPr="00A2305B" w:rsidRDefault="00751138" w:rsidP="00A2305B">
      <w:pPr>
        <w:adjustRightInd w:val="0"/>
        <w:snapToGrid w:val="0"/>
        <w:jc w:val="both"/>
        <w:rPr>
          <w:rFonts w:cs="Times New Roman"/>
          <w:szCs w:val="24"/>
        </w:rPr>
      </w:pPr>
      <w:r w:rsidRPr="00A2305B">
        <w:rPr>
          <w:rFonts w:cs="Times New Roman"/>
          <w:szCs w:val="24"/>
        </w:rPr>
        <w:t xml:space="preserve">So, does the joint model provide a better data fit? The joint and independent models may be compared using the adjusted composite likelihood ratio test (ADCLRT) statistic that is approximately chi-squared distributed (Bhat, 2011). The ADCLRT statistic value of comparison between the two models is 41.35. This value is higher than the chi-squared value corresponding to six degrees of freedom (based on the six covariance elements in Table 4) at the 0.05 level of statistical significance, which demonstrates the superior statistical fit of the joint model. Recently, Bhat (2018) demonstrated that the traditional likelihood-based tests for MDC models provides data fit only for the continuous values of consumption and, hence, a discrete consumption test is still needed. Following Bhat’s (2018) likelihood form for the discrete consumption, we computed the predictive composite log-likelihood at convergence of the joint and independent models </w:t>
      </w:r>
      <w:r w:rsidR="00FF26AA">
        <w:rPr>
          <w:rFonts w:cs="Times New Roman"/>
          <w:szCs w:val="24"/>
        </w:rPr>
        <w:t xml:space="preserve">                    </w:t>
      </w:r>
      <w:bookmarkStart w:id="7" w:name="_GoBack"/>
      <w:bookmarkEnd w:id="7"/>
      <w:r w:rsidRPr="00A2305B">
        <w:rPr>
          <w:rFonts w:cs="Times New Roman"/>
          <w:szCs w:val="24"/>
        </w:rPr>
        <w:lastRenderedPageBreak/>
        <w:t xml:space="preserve">(–11,277.38 and –11,491.02, respectively), considering only the discrete participation decision in the ECAP MDC model component. In this case, the </w:t>
      </w:r>
      <w:r w:rsidR="00260DC3" w:rsidRPr="00A2305B">
        <w:rPr>
          <w:rFonts w:cs="Times New Roman"/>
          <w:szCs w:val="24"/>
        </w:rPr>
        <w:t xml:space="preserve">ADCLRT </w:t>
      </w:r>
      <w:r w:rsidRPr="00A2305B">
        <w:rPr>
          <w:rFonts w:cs="Times New Roman"/>
          <w:szCs w:val="24"/>
        </w:rPr>
        <w:t>statistic is 42.65, clearly indicating that the joint model is statistically superior to the independent model also in terms of the discrete event prediction.</w:t>
      </w:r>
      <w:r w:rsidR="00260DC3" w:rsidRPr="00A2305B">
        <w:rPr>
          <w:rFonts w:cs="Times New Roman"/>
          <w:szCs w:val="24"/>
        </w:rPr>
        <w:t xml:space="preserve"> </w:t>
      </w:r>
    </w:p>
    <w:p w:rsidR="00751138" w:rsidRPr="00A2305B" w:rsidRDefault="00751138" w:rsidP="00A2305B">
      <w:pPr>
        <w:adjustRightInd w:val="0"/>
        <w:snapToGrid w:val="0"/>
        <w:ind w:firstLine="720"/>
        <w:jc w:val="both"/>
        <w:rPr>
          <w:rFonts w:cs="Times New Roman"/>
          <w:szCs w:val="24"/>
        </w:rPr>
      </w:pPr>
    </w:p>
    <w:p w:rsidR="00751138" w:rsidRPr="00A2305B" w:rsidRDefault="00751138" w:rsidP="00A2305B">
      <w:pPr>
        <w:adjustRightInd w:val="0"/>
        <w:snapToGrid w:val="0"/>
        <w:jc w:val="both"/>
        <w:rPr>
          <w:rFonts w:cs="Times New Roman"/>
          <w:b/>
          <w:szCs w:val="24"/>
        </w:rPr>
      </w:pPr>
      <w:r w:rsidRPr="00A2305B">
        <w:rPr>
          <w:rFonts w:cs="Times New Roman"/>
          <w:b/>
          <w:szCs w:val="24"/>
        </w:rPr>
        <w:t>3.6. Additional (Non-Likelihood Based) Goodness of Fit Measures</w:t>
      </w:r>
    </w:p>
    <w:p w:rsidR="00751138" w:rsidRPr="00A2305B" w:rsidRDefault="00751138" w:rsidP="00A2305B">
      <w:pPr>
        <w:adjustRightInd w:val="0"/>
        <w:snapToGrid w:val="0"/>
        <w:jc w:val="both"/>
        <w:rPr>
          <w:rFonts w:cs="Times New Roman"/>
          <w:szCs w:val="24"/>
        </w:rPr>
      </w:pPr>
      <w:r w:rsidRPr="00A2305B">
        <w:rPr>
          <w:rFonts w:cs="Times New Roman"/>
          <w:szCs w:val="24"/>
        </w:rPr>
        <w:t xml:space="preserve">The likelihood-based tests (for the comparison of the independent and joint models) constitute disaggregate measures of fit that consider performance at the multivariate and disaggregate level. But, they are not the most intuitive. So, we also evaluate the performance of the two models intuitively and informally at an aggregate level through a heuristic diagnostic check of model fit by computing the predicted aggregate share of individuals for each multivariate outcome. In particular, we first compute the probability of each child participating in each of the 36 possible combinations of RL (three categories), ECAP (five categories), and ACT (three categories). The probabilities for each combination are averaged across individuals to obtain the predicted percentage of individuals falling into each combination category. The predicted probabilities are then compared with the actual percentage of children in each combination category using the weighted mean absolute percentage error (MAPE) statistic. To keep the presentation manageable, we confine our attention to the four out-of-home extra-curricular activities for the ECAP component and focus our results on the top ten combination categories of the resultant RL, ECAP, and ACT choices. The results are summarized in the top panel of Table 5. The first numerical entry indicates that 5.62% of the children in the sample live in a low-density </w:t>
      </w:r>
      <w:r w:rsidR="00646BDA" w:rsidRPr="00A2305B">
        <w:rPr>
          <w:rFonts w:cs="Times New Roman"/>
          <w:szCs w:val="24"/>
        </w:rPr>
        <w:t>neighbourhood</w:t>
      </w:r>
      <w:r w:rsidRPr="00A2305B">
        <w:rPr>
          <w:rFonts w:cs="Times New Roman"/>
          <w:szCs w:val="24"/>
        </w:rPr>
        <w:t>, participate only in the extra-curricular sports activity, and engage in active travel. For that same multivariate combination, the joint model predicts a 4.65% share, while the independent model predicts a 4.12% share. Other numerical entries can be similarly interpreted. Overall, the MAPE values clearly indicate that the joint model does much better in prediction for any of the top 10 combinations listed in Table 5. Across all the ten combination categories, the weighted MAPE is about 60% higher for the independent model predictions (18.06 versus 29.12).</w:t>
      </w:r>
    </w:p>
    <w:p w:rsidR="00751138" w:rsidRPr="00A2305B" w:rsidRDefault="00751138" w:rsidP="00A2305B">
      <w:pPr>
        <w:adjustRightInd w:val="0"/>
        <w:snapToGrid w:val="0"/>
        <w:ind w:firstLine="720"/>
        <w:jc w:val="both"/>
        <w:rPr>
          <w:rFonts w:cs="Times New Roman"/>
          <w:szCs w:val="24"/>
        </w:rPr>
      </w:pPr>
      <w:r w:rsidRPr="00A2305B">
        <w:rPr>
          <w:rFonts w:cs="Times New Roman"/>
          <w:szCs w:val="24"/>
        </w:rPr>
        <w:t>In the bottom panel of Table 5, we move beyond the discrete event predictions discussed in the last paragraph to present predictions for the continuous measure of the ECAP MDC variable (actual amount of allocated time). We do so by computing the percentage of the time-budget that is allocated to each of the extra-curricular activity purposes for children falling in a particular combination of residential density and active travel level. Again, only the statistics for the ten combinations with the highest time budget shares in the sample are summarized. Similar to the participation prediction case, the joint model provides a much better data fit (in comparison to the independent model) in the prediction of the actual amount of time spent in each activity type, no matter the density category and the level of active travel. Overall, the weighted MAPE is about 50% higher for the independent model predictions (15.17 versus 23.25).</w:t>
      </w:r>
      <w:r w:rsidR="00260DC3" w:rsidRPr="00A2305B">
        <w:rPr>
          <w:rFonts w:cs="Times New Roman"/>
          <w:szCs w:val="24"/>
        </w:rPr>
        <w:t xml:space="preserve"> The above findings lend strong support to the employment of the joint model for this study, and justify our </w:t>
      </w:r>
      <w:r w:rsidR="00BB1BEC" w:rsidRPr="00A2305B">
        <w:rPr>
          <w:rFonts w:cs="Times New Roman"/>
          <w:szCs w:val="24"/>
        </w:rPr>
        <w:t>consideration</w:t>
      </w:r>
      <w:r w:rsidR="00260DC3" w:rsidRPr="00A2305B">
        <w:rPr>
          <w:rFonts w:cs="Times New Roman"/>
          <w:szCs w:val="24"/>
        </w:rPr>
        <w:t xml:space="preserve"> of RL, ECAP and ACT as </w:t>
      </w:r>
      <w:r w:rsidR="00B87C48" w:rsidRPr="00A2305B">
        <w:rPr>
          <w:rFonts w:cs="Times New Roman"/>
          <w:szCs w:val="24"/>
        </w:rPr>
        <w:t>intertwined and fully integrated</w:t>
      </w:r>
      <w:r w:rsidR="00260DC3" w:rsidRPr="00A2305B">
        <w:rPr>
          <w:rFonts w:cs="Times New Roman"/>
          <w:szCs w:val="24"/>
        </w:rPr>
        <w:t xml:space="preserve"> in the </w:t>
      </w:r>
      <w:r w:rsidR="00481771" w:rsidRPr="00A2305B">
        <w:rPr>
          <w:rFonts w:cs="Times New Roman"/>
          <w:szCs w:val="24"/>
        </w:rPr>
        <w:t>“</w:t>
      </w:r>
      <w:r w:rsidR="00260DC3" w:rsidRPr="00A2305B">
        <w:rPr>
          <w:rFonts w:cs="Times New Roman"/>
          <w:szCs w:val="24"/>
        </w:rPr>
        <w:t>Environment-</w:t>
      </w:r>
      <w:r w:rsidR="00B87C48" w:rsidRPr="00A2305B">
        <w:rPr>
          <w:rFonts w:cs="Times New Roman"/>
          <w:szCs w:val="24"/>
        </w:rPr>
        <w:t>Activity-Travel Decisions</w:t>
      </w:r>
      <w:r w:rsidR="00481771" w:rsidRPr="00A2305B">
        <w:rPr>
          <w:rFonts w:cs="Times New Roman"/>
          <w:szCs w:val="24"/>
        </w:rPr>
        <w:t>”</w:t>
      </w:r>
      <w:r w:rsidR="00260DC3" w:rsidRPr="00A2305B">
        <w:rPr>
          <w:rFonts w:cs="Times New Roman"/>
          <w:szCs w:val="24"/>
        </w:rPr>
        <w:t xml:space="preserve"> block in the conceptual framework</w:t>
      </w:r>
      <w:r w:rsidR="00481771" w:rsidRPr="00A2305B">
        <w:rPr>
          <w:rFonts w:cs="Times New Roman"/>
          <w:szCs w:val="24"/>
        </w:rPr>
        <w:t xml:space="preserve"> (</w:t>
      </w:r>
      <w:r w:rsidR="00BB1BEC" w:rsidRPr="00A2305B">
        <w:rPr>
          <w:rFonts w:cs="Times New Roman"/>
          <w:szCs w:val="24"/>
        </w:rPr>
        <w:t>Figure 1</w:t>
      </w:r>
      <w:r w:rsidR="00481771" w:rsidRPr="00A2305B">
        <w:rPr>
          <w:rFonts w:cs="Times New Roman"/>
          <w:szCs w:val="24"/>
        </w:rPr>
        <w:t>)</w:t>
      </w:r>
      <w:r w:rsidR="00BB1BEC" w:rsidRPr="00A2305B">
        <w:rPr>
          <w:rFonts w:cs="Times New Roman"/>
          <w:szCs w:val="24"/>
        </w:rPr>
        <w:t>.</w:t>
      </w:r>
    </w:p>
    <w:p w:rsidR="00751138" w:rsidRPr="00A2305B" w:rsidRDefault="00751138" w:rsidP="00A2305B">
      <w:pPr>
        <w:adjustRightInd w:val="0"/>
        <w:snapToGrid w:val="0"/>
        <w:jc w:val="both"/>
        <w:rPr>
          <w:rFonts w:cs="Times New Roman"/>
          <w:szCs w:val="24"/>
        </w:rPr>
      </w:pPr>
    </w:p>
    <w:p w:rsidR="00751138" w:rsidRPr="00A2305B" w:rsidRDefault="00751138" w:rsidP="00A2305B">
      <w:pPr>
        <w:adjustRightInd w:val="0"/>
        <w:snapToGrid w:val="0"/>
        <w:jc w:val="both"/>
        <w:rPr>
          <w:rFonts w:cs="Times New Roman"/>
          <w:b/>
          <w:szCs w:val="24"/>
        </w:rPr>
      </w:pPr>
      <w:r w:rsidRPr="00A2305B">
        <w:rPr>
          <w:rFonts w:cs="Times New Roman"/>
          <w:b/>
          <w:szCs w:val="24"/>
        </w:rPr>
        <w:t>4. TREATMENT EFFECTS BASED ON RESIDENTIAL LOCATION CHOICE</w:t>
      </w:r>
    </w:p>
    <w:p w:rsidR="00751138" w:rsidRPr="00A2305B" w:rsidRDefault="00751138" w:rsidP="00A2305B">
      <w:pPr>
        <w:autoSpaceDE w:val="0"/>
        <w:autoSpaceDN w:val="0"/>
        <w:adjustRightInd w:val="0"/>
        <w:snapToGrid w:val="0"/>
        <w:jc w:val="both"/>
        <w:rPr>
          <w:rFonts w:cs="Times New Roman"/>
          <w:szCs w:val="24"/>
        </w:rPr>
      </w:pPr>
      <w:r w:rsidRPr="00A2305B">
        <w:rPr>
          <w:rFonts w:cs="Times New Roman"/>
          <w:szCs w:val="24"/>
        </w:rPr>
        <w:t xml:space="preserve">In this section, the joint model is used to assess the impact of residential location choice (the “treatment”) on the children-related ECAP and ACT dependent variables (the “outcomes”). An important measure to do so is the Average Treatment Effect (ATE) (see Heckman et al., 2001), which provides the expected change in the share of each ECAP and ACT alternative for a random </w:t>
      </w:r>
      <w:r w:rsidRPr="00A2305B">
        <w:rPr>
          <w:rFonts w:cs="Times New Roman"/>
          <w:szCs w:val="24"/>
        </w:rPr>
        <w:lastRenderedPageBreak/>
        <w:t xml:space="preserve">child if s/he were located in a specific residential density configuration </w:t>
      </w:r>
      <w:proofErr w:type="spellStart"/>
      <w:r w:rsidRPr="00A2305B">
        <w:rPr>
          <w:rFonts w:cs="Times New Roman"/>
          <w:i/>
          <w:szCs w:val="24"/>
        </w:rPr>
        <w:t>i</w:t>
      </w:r>
      <w:proofErr w:type="spellEnd"/>
      <w:r w:rsidRPr="00A2305B">
        <w:rPr>
          <w:rFonts w:cs="Times New Roman"/>
          <w:szCs w:val="24"/>
        </w:rPr>
        <w:t xml:space="preserve"> as opposed to another residential density configuration </w:t>
      </w:r>
      <w:r w:rsidRPr="00A2305B">
        <w:rPr>
          <w:rFonts w:cs="Times New Roman"/>
          <w:position w:val="-6"/>
          <w:szCs w:val="24"/>
        </w:rPr>
        <w:object w:dxaOrig="499" w:dyaOrig="279">
          <v:shape id="_x0000_i1138" type="#_x0000_t75" style="width:25.5pt;height:14.25pt" o:ole="">
            <v:imagedata r:id="rId213" o:title=""/>
          </v:shape>
          <o:OLEObject Type="Embed" ProgID="Equation.3" ShapeID="_x0000_i1138" DrawAspect="Content" ObjectID="_1612165140" r:id="rId214"/>
        </w:object>
      </w:r>
      <w:r w:rsidRPr="00A2305B">
        <w:rPr>
          <w:rFonts w:cs="Times New Roman"/>
          <w:szCs w:val="24"/>
        </w:rPr>
        <w:t>.</w:t>
      </w:r>
    </w:p>
    <w:p w:rsidR="00751138" w:rsidRPr="00A2305B" w:rsidRDefault="00751138" w:rsidP="00A2305B">
      <w:pPr>
        <w:autoSpaceDE w:val="0"/>
        <w:autoSpaceDN w:val="0"/>
        <w:adjustRightInd w:val="0"/>
        <w:snapToGrid w:val="0"/>
        <w:ind w:firstLine="720"/>
        <w:jc w:val="both"/>
        <w:rPr>
          <w:rFonts w:eastAsia="Times New Roman" w:cs="Times New Roman"/>
          <w:szCs w:val="24"/>
        </w:rPr>
      </w:pPr>
      <w:r w:rsidRPr="00A2305B">
        <w:rPr>
          <w:rFonts w:eastAsia="Times New Roman" w:cs="Times New Roman"/>
          <w:szCs w:val="24"/>
        </w:rPr>
        <w:t xml:space="preserve">For the ECAP variable, we focus only on the participation dimension here and compute the ATE measure for the extra-curricular activity </w:t>
      </w:r>
      <w:r w:rsidRPr="00A2305B">
        <w:rPr>
          <w:rFonts w:eastAsia="Times New Roman" w:cs="Times New Roman"/>
          <w:i/>
          <w:szCs w:val="24"/>
        </w:rPr>
        <w:t>k</w:t>
      </w:r>
      <w:r w:rsidRPr="00A2305B">
        <w:rPr>
          <w:rFonts w:eastAsia="Times New Roman" w:cs="Times New Roman"/>
          <w:szCs w:val="24"/>
        </w:rPr>
        <w:t xml:space="preserve"> (</w:t>
      </w:r>
      <w:r w:rsidRPr="00A2305B">
        <w:rPr>
          <w:rFonts w:eastAsia="Times New Roman" w:cs="Times New Roman"/>
          <w:i/>
          <w:szCs w:val="24"/>
        </w:rPr>
        <w:t>k</w:t>
      </w:r>
      <w:r w:rsidRPr="00A2305B">
        <w:rPr>
          <w:rFonts w:eastAsia="Times New Roman" w:cs="Times New Roman"/>
          <w:szCs w:val="24"/>
        </w:rPr>
        <w:t>=1</w:t>
      </w:r>
      <w:proofErr w:type="gramStart"/>
      <w:r w:rsidRPr="00A2305B">
        <w:rPr>
          <w:rFonts w:eastAsia="Times New Roman" w:cs="Times New Roman"/>
          <w:szCs w:val="24"/>
        </w:rPr>
        <w:t>,2</w:t>
      </w:r>
      <w:proofErr w:type="gramEnd"/>
      <w:r w:rsidRPr="00A2305B">
        <w:rPr>
          <w:rFonts w:eastAsia="Times New Roman" w:cs="Times New Roman"/>
          <w:szCs w:val="24"/>
        </w:rPr>
        <w:t>,…,</w:t>
      </w:r>
      <w:r w:rsidRPr="00A2305B">
        <w:rPr>
          <w:rFonts w:eastAsia="Times New Roman" w:cs="Times New Roman"/>
          <w:i/>
          <w:szCs w:val="24"/>
        </w:rPr>
        <w:t>K</w:t>
      </w:r>
      <w:r w:rsidRPr="00A2305B">
        <w:rPr>
          <w:rFonts w:eastAsia="Times New Roman" w:cs="Times New Roman"/>
          <w:szCs w:val="24"/>
        </w:rPr>
        <w:t>–1) as follows:</w:t>
      </w:r>
    </w:p>
    <w:p w:rsidR="00751138" w:rsidRPr="00A2305B" w:rsidRDefault="00751138" w:rsidP="00A2305B">
      <w:pPr>
        <w:tabs>
          <w:tab w:val="right" w:pos="9360"/>
        </w:tabs>
        <w:autoSpaceDE w:val="0"/>
        <w:autoSpaceDN w:val="0"/>
        <w:adjustRightInd w:val="0"/>
        <w:snapToGrid w:val="0"/>
        <w:spacing w:before="120" w:after="120"/>
        <w:jc w:val="both"/>
        <w:rPr>
          <w:rFonts w:eastAsia="Times New Roman" w:cs="Times New Roman"/>
          <w:szCs w:val="24"/>
        </w:rPr>
      </w:pPr>
      <w:r w:rsidRPr="00A2305B">
        <w:rPr>
          <w:rFonts w:eastAsia="Times New Roman" w:cs="Times New Roman"/>
          <w:position w:val="-30"/>
          <w:szCs w:val="24"/>
        </w:rPr>
        <w:object w:dxaOrig="5400" w:dyaOrig="720">
          <v:shape id="_x0000_i1139" type="#_x0000_t75" style="width:270pt;height:36pt;mso-position-vertical:absolute" o:ole="" o:preferrelative="f">
            <v:imagedata r:id="rId215" o:title=""/>
            <o:lock v:ext="edit" aspectratio="f"/>
          </v:shape>
          <o:OLEObject Type="Embed" ProgID="Equation.DSMT4" ShapeID="_x0000_i1139" DrawAspect="Content" ObjectID="_1612165141" r:id="rId216"/>
        </w:object>
      </w:r>
      <w:r w:rsidRPr="00A2305B">
        <w:rPr>
          <w:rFonts w:eastAsia="Times New Roman" w:cs="Times New Roman"/>
          <w:szCs w:val="24"/>
        </w:rPr>
        <w:t xml:space="preserve">    </w:t>
      </w:r>
      <w:r w:rsidRPr="00A2305B">
        <w:rPr>
          <w:rFonts w:eastAsia="Times New Roman" w:cs="Times New Roman"/>
          <w:szCs w:val="24"/>
        </w:rPr>
        <w:tab/>
        <w:t>(8)</w:t>
      </w:r>
    </w:p>
    <w:p w:rsidR="00751138" w:rsidRPr="00A2305B" w:rsidRDefault="00751138" w:rsidP="00A2305B">
      <w:pPr>
        <w:autoSpaceDE w:val="0"/>
        <w:autoSpaceDN w:val="0"/>
        <w:adjustRightInd w:val="0"/>
        <w:snapToGrid w:val="0"/>
        <w:jc w:val="both"/>
        <w:rPr>
          <w:rFonts w:cs="Times New Roman"/>
          <w:szCs w:val="24"/>
        </w:rPr>
      </w:pPr>
      <w:proofErr w:type="gramStart"/>
      <w:r w:rsidRPr="00A2305B">
        <w:rPr>
          <w:rFonts w:eastAsia="Times New Roman" w:cs="Times New Roman"/>
          <w:szCs w:val="24"/>
        </w:rPr>
        <w:t>where</w:t>
      </w:r>
      <w:proofErr w:type="gramEnd"/>
      <w:r w:rsidRPr="00A2305B">
        <w:rPr>
          <w:rFonts w:eastAsia="Times New Roman" w:cs="Times New Roman"/>
          <w:szCs w:val="24"/>
        </w:rPr>
        <w:t xml:space="preserve"> </w:t>
      </w:r>
      <w:r w:rsidRPr="00A2305B">
        <w:rPr>
          <w:rFonts w:eastAsia="Times New Roman" w:cs="Times New Roman"/>
          <w:position w:val="-14"/>
          <w:szCs w:val="24"/>
        </w:rPr>
        <w:object w:dxaOrig="300" w:dyaOrig="380">
          <v:shape id="_x0000_i1140" type="#_x0000_t75" style="width:15pt;height:19.5pt" o:ole="" o:preferrelative="f">
            <v:imagedata r:id="rId217" o:title=""/>
            <o:lock v:ext="edit" aspectratio="f"/>
          </v:shape>
          <o:OLEObject Type="Embed" ProgID="Equation.3" ShapeID="_x0000_i1140" DrawAspect="Content" ObjectID="_1612165142" r:id="rId218"/>
        </w:object>
      </w:r>
      <w:r w:rsidRPr="00A2305B">
        <w:rPr>
          <w:rFonts w:eastAsia="Times New Roman" w:cs="Times New Roman"/>
          <w:szCs w:val="24"/>
        </w:rPr>
        <w:t xml:space="preserve"> is the time spent by child </w:t>
      </w:r>
      <w:r w:rsidRPr="00A2305B">
        <w:rPr>
          <w:rFonts w:eastAsia="Times New Roman" w:cs="Times New Roman"/>
          <w:i/>
          <w:szCs w:val="24"/>
        </w:rPr>
        <w:t>q</w:t>
      </w:r>
      <w:r w:rsidRPr="00A2305B">
        <w:rPr>
          <w:rFonts w:eastAsia="Times New Roman" w:cs="Times New Roman"/>
          <w:szCs w:val="24"/>
        </w:rPr>
        <w:t xml:space="preserve"> on the extra-curricular activity </w:t>
      </w:r>
      <w:r w:rsidRPr="00A2305B">
        <w:rPr>
          <w:rFonts w:eastAsia="Times New Roman" w:cs="Times New Roman"/>
          <w:i/>
          <w:szCs w:val="24"/>
        </w:rPr>
        <w:t>k</w:t>
      </w:r>
      <w:r w:rsidRPr="00A2305B">
        <w:rPr>
          <w:rFonts w:eastAsia="Times New Roman" w:cs="Times New Roman"/>
          <w:szCs w:val="24"/>
        </w:rPr>
        <w:t xml:space="preserve"> and </w:t>
      </w:r>
      <w:r w:rsidRPr="00A2305B">
        <w:rPr>
          <w:rFonts w:cs="Times New Roman"/>
          <w:position w:val="-14"/>
          <w:szCs w:val="24"/>
        </w:rPr>
        <w:object w:dxaOrig="320" w:dyaOrig="380">
          <v:shape id="_x0000_i1141" type="#_x0000_t75" style="width:15pt;height:19.5pt" o:ole="" o:preferrelative="f">
            <v:imagedata r:id="rId219" o:title=""/>
            <o:lock v:ext="edit" aspectratio="f"/>
          </v:shape>
          <o:OLEObject Type="Embed" ProgID="Equation.DSMT4" ShapeID="_x0000_i1141" DrawAspect="Content" ObjectID="_1612165143" r:id="rId220"/>
        </w:object>
      </w:r>
      <w:r w:rsidRPr="00A2305B">
        <w:rPr>
          <w:rFonts w:cs="Times New Roman"/>
          <w:szCs w:val="24"/>
        </w:rPr>
        <w:t xml:space="preserve"> </w:t>
      </w:r>
      <w:r w:rsidRPr="00A2305B">
        <w:rPr>
          <w:rFonts w:eastAsia="Times New Roman" w:cs="Times New Roman"/>
          <w:szCs w:val="24"/>
        </w:rPr>
        <w:t xml:space="preserve">is the dummy variable taking the value ‘1’ if child </w:t>
      </w:r>
      <w:r w:rsidRPr="00A2305B">
        <w:rPr>
          <w:rFonts w:eastAsia="Times New Roman" w:cs="Times New Roman"/>
          <w:i/>
          <w:szCs w:val="24"/>
        </w:rPr>
        <w:t>q</w:t>
      </w:r>
      <w:r w:rsidRPr="00A2305B">
        <w:rPr>
          <w:rFonts w:eastAsia="Times New Roman" w:cs="Times New Roman"/>
          <w:szCs w:val="24"/>
        </w:rPr>
        <w:t xml:space="preserve"> resides in residential density category </w:t>
      </w:r>
      <w:proofErr w:type="spellStart"/>
      <w:r w:rsidRPr="00A2305B">
        <w:rPr>
          <w:rFonts w:eastAsia="Times New Roman" w:cs="Times New Roman"/>
          <w:i/>
          <w:szCs w:val="24"/>
        </w:rPr>
        <w:t>i</w:t>
      </w:r>
      <w:proofErr w:type="spellEnd"/>
      <w:r w:rsidRPr="00A2305B">
        <w:rPr>
          <w:rFonts w:eastAsia="Times New Roman" w:cs="Times New Roman"/>
          <w:szCs w:val="24"/>
        </w:rPr>
        <w:t xml:space="preserve">. To compute the probability </w:t>
      </w:r>
      <w:proofErr w:type="gramStart"/>
      <w:r w:rsidRPr="00A2305B">
        <w:rPr>
          <w:rFonts w:eastAsia="Times New Roman" w:cs="Times New Roman"/>
          <w:szCs w:val="24"/>
        </w:rPr>
        <w:t xml:space="preserve">that </w:t>
      </w:r>
      <w:proofErr w:type="gramEnd"/>
      <w:r w:rsidRPr="00A2305B">
        <w:rPr>
          <w:rFonts w:eastAsia="Times New Roman" w:cs="Times New Roman"/>
          <w:position w:val="-14"/>
          <w:szCs w:val="24"/>
        </w:rPr>
        <w:object w:dxaOrig="660" w:dyaOrig="380">
          <v:shape id="_x0000_i1142" type="#_x0000_t75" style="width:33.75pt;height:19.5pt" o:ole="" o:preferrelative="f">
            <v:imagedata r:id="rId221" o:title=""/>
            <o:lock v:ext="edit" aspectratio="f"/>
          </v:shape>
          <o:OLEObject Type="Embed" ProgID="Equation.3" ShapeID="_x0000_i1142" DrawAspect="Content" ObjectID="_1612165144" r:id="rId222"/>
        </w:object>
      </w:r>
      <w:r w:rsidRPr="00A2305B">
        <w:rPr>
          <w:rFonts w:eastAsia="Times New Roman" w:cs="Times New Roman"/>
          <w:szCs w:val="24"/>
        </w:rPr>
        <w:t xml:space="preserve">, we draw, for each child, 100 sets of 1000 realizations from a multivariate normal sampling distribution of estimated parameters and the distribution of the error terms involved. For each child, each set, and each realization, we use the forecasting algorithm of </w:t>
      </w:r>
      <w:proofErr w:type="spellStart"/>
      <w:r w:rsidRPr="00A2305B">
        <w:rPr>
          <w:rFonts w:eastAsia="Times New Roman" w:cs="Times New Roman"/>
          <w:szCs w:val="24"/>
        </w:rPr>
        <w:t>Pinjari</w:t>
      </w:r>
      <w:proofErr w:type="spellEnd"/>
      <w:r w:rsidRPr="00A2305B">
        <w:rPr>
          <w:rFonts w:eastAsia="Times New Roman" w:cs="Times New Roman"/>
          <w:szCs w:val="24"/>
        </w:rPr>
        <w:t xml:space="preserve"> and Bhat (2010) to predict time allocations and, then, for each child and each set, evaluate the share of the 1000 realizations that predicted </w:t>
      </w:r>
      <w:r w:rsidRPr="00A2305B">
        <w:rPr>
          <w:rFonts w:eastAsia="Times New Roman" w:cs="Times New Roman"/>
          <w:position w:val="-14"/>
          <w:szCs w:val="24"/>
        </w:rPr>
        <w:object w:dxaOrig="660" w:dyaOrig="380">
          <v:shape id="_x0000_i1143" type="#_x0000_t75" style="width:33.75pt;height:19.5pt" o:ole="" o:preferrelative="f">
            <v:imagedata r:id="rId221" o:title=""/>
            <o:lock v:ext="edit" aspectratio="f"/>
          </v:shape>
          <o:OLEObject Type="Embed" ProgID="Equation.3" ShapeID="_x0000_i1143" DrawAspect="Content" ObjectID="_1612165145" r:id="rId223"/>
        </w:object>
      </w:r>
      <w:r w:rsidRPr="00A2305B">
        <w:rPr>
          <w:rFonts w:eastAsia="Times New Roman" w:cs="Times New Roman"/>
          <w:szCs w:val="24"/>
        </w:rPr>
        <w:t xml:space="preserve"> for each of the two density categories involved. The treatment effect is then computed as in Equation (8) for each set, and the mean across all the 100 sets is computed as the final ATE effect and the standard deviation across the 100 sets is computed as the standard error estimate. </w:t>
      </w:r>
      <w:r w:rsidR="00D45007" w:rsidRPr="00A2305B">
        <w:rPr>
          <w:rFonts w:eastAsia="Times New Roman" w:cs="Times New Roman"/>
          <w:szCs w:val="24"/>
        </w:rPr>
        <w:t xml:space="preserve">The calculation of ATE effects are helpful not only to obtain insights regarding whether, and how much, neo-urbanist design measures impact activity- and travel-related </w:t>
      </w:r>
      <w:r w:rsidR="009A15D7" w:rsidRPr="00A2305B">
        <w:rPr>
          <w:rFonts w:eastAsia="Times New Roman" w:cs="Times New Roman"/>
          <w:szCs w:val="24"/>
        </w:rPr>
        <w:t>behaviour</w:t>
      </w:r>
      <w:r w:rsidR="00D45007" w:rsidRPr="00A2305B">
        <w:rPr>
          <w:rFonts w:eastAsia="Times New Roman" w:cs="Times New Roman"/>
          <w:szCs w:val="24"/>
        </w:rPr>
        <w:t xml:space="preserve">s in the local context (Bhat et al., 2016), but also to understand the differences between the joint and independent models, and which </w:t>
      </w:r>
      <w:r w:rsidR="00051658" w:rsidRPr="00A2305B">
        <w:rPr>
          <w:rFonts w:eastAsia="Times New Roman" w:cs="Times New Roman"/>
          <w:szCs w:val="24"/>
        </w:rPr>
        <w:t>model formulation is</w:t>
      </w:r>
      <w:r w:rsidR="00D45007" w:rsidRPr="00A2305B">
        <w:rPr>
          <w:rFonts w:eastAsia="Times New Roman" w:cs="Times New Roman"/>
          <w:szCs w:val="24"/>
        </w:rPr>
        <w:t xml:space="preserve"> superior.</w:t>
      </w:r>
    </w:p>
    <w:p w:rsidR="00751138" w:rsidRPr="00A2305B" w:rsidRDefault="00751138" w:rsidP="00A2305B">
      <w:pPr>
        <w:ind w:firstLine="720"/>
        <w:jc w:val="both"/>
        <w:rPr>
          <w:rFonts w:cs="Times New Roman"/>
          <w:szCs w:val="24"/>
        </w:rPr>
      </w:pPr>
      <w:r w:rsidRPr="00A2305B">
        <w:rPr>
          <w:rFonts w:cs="Times New Roman"/>
          <w:szCs w:val="24"/>
        </w:rPr>
        <w:t>For the ACT nominal variable, we compute the ATE measure as follows:</w:t>
      </w:r>
    </w:p>
    <w:p w:rsidR="00751138" w:rsidRPr="00A2305B" w:rsidRDefault="00751138" w:rsidP="00A2305B">
      <w:pPr>
        <w:tabs>
          <w:tab w:val="right" w:pos="9360"/>
        </w:tabs>
        <w:adjustRightInd w:val="0"/>
        <w:snapToGrid w:val="0"/>
        <w:spacing w:before="120" w:after="120"/>
        <w:jc w:val="both"/>
        <w:rPr>
          <w:rFonts w:cs="Times New Roman"/>
          <w:szCs w:val="24"/>
        </w:rPr>
      </w:pPr>
      <w:r w:rsidRPr="00A2305B">
        <w:rPr>
          <w:rFonts w:cs="Times New Roman"/>
          <w:position w:val="-30"/>
          <w:szCs w:val="24"/>
        </w:rPr>
        <w:object w:dxaOrig="7220" w:dyaOrig="720">
          <v:shape id="_x0000_i1144" type="#_x0000_t75" style="width:360.75pt;height:36pt" o:ole="" o:preferrelative="f">
            <v:imagedata r:id="rId224" o:title=""/>
            <o:lock v:ext="edit" aspectratio="f"/>
          </v:shape>
          <o:OLEObject Type="Embed" ProgID="Equation.DSMT4" ShapeID="_x0000_i1144" DrawAspect="Content" ObjectID="_1612165146" r:id="rId225"/>
        </w:object>
      </w:r>
      <w:r w:rsidRPr="00A2305B">
        <w:rPr>
          <w:rFonts w:cs="Times New Roman"/>
          <w:szCs w:val="24"/>
        </w:rPr>
        <w:t xml:space="preserve">                                   (10)</w:t>
      </w:r>
    </w:p>
    <w:p w:rsidR="00751138" w:rsidRPr="00A2305B" w:rsidRDefault="00751138" w:rsidP="00A2305B">
      <w:pPr>
        <w:adjustRightInd w:val="0"/>
        <w:snapToGrid w:val="0"/>
        <w:jc w:val="both"/>
        <w:rPr>
          <w:rFonts w:cs="Times New Roman"/>
          <w:szCs w:val="24"/>
        </w:rPr>
      </w:pPr>
      <w:proofErr w:type="gramStart"/>
      <w:r w:rsidRPr="00A2305B">
        <w:rPr>
          <w:rFonts w:cs="Times New Roman"/>
          <w:szCs w:val="24"/>
        </w:rPr>
        <w:t>where</w:t>
      </w:r>
      <w:proofErr w:type="gramEnd"/>
      <w:r w:rsidRPr="00A2305B">
        <w:rPr>
          <w:rFonts w:cs="Times New Roman"/>
          <w:szCs w:val="24"/>
        </w:rPr>
        <w:t xml:space="preserve"> </w:t>
      </w:r>
      <w:r w:rsidRPr="00A2305B">
        <w:rPr>
          <w:rFonts w:cs="Times New Roman"/>
          <w:i/>
          <w:szCs w:val="24"/>
        </w:rPr>
        <w:t>g</w:t>
      </w:r>
      <w:r w:rsidRPr="00A2305B">
        <w:rPr>
          <w:rFonts w:cs="Times New Roman"/>
          <w:szCs w:val="24"/>
        </w:rPr>
        <w:t xml:space="preserve"> could be “no active travel”, “some active travel”, or “all active travel”.</w:t>
      </w:r>
    </w:p>
    <w:p w:rsidR="00751138" w:rsidRPr="00A2305B" w:rsidRDefault="00751138" w:rsidP="00A2305B">
      <w:pPr>
        <w:adjustRightInd w:val="0"/>
        <w:snapToGrid w:val="0"/>
        <w:ind w:firstLine="720"/>
        <w:jc w:val="both"/>
        <w:rPr>
          <w:rFonts w:cs="Times New Roman"/>
          <w:szCs w:val="24"/>
        </w:rPr>
      </w:pPr>
      <w:r w:rsidRPr="00A2305B">
        <w:rPr>
          <w:rFonts w:cs="Times New Roman"/>
          <w:szCs w:val="24"/>
        </w:rPr>
        <w:t xml:space="preserve">The ATE measures above can be computed for all the pairwise combinations of residential density categories. Here, we focus on the case when a household in the lowest density </w:t>
      </w:r>
      <w:r w:rsidR="00646BDA" w:rsidRPr="00A2305B">
        <w:rPr>
          <w:rFonts w:cs="Times New Roman"/>
          <w:szCs w:val="24"/>
        </w:rPr>
        <w:t>neighbourhood</w:t>
      </w:r>
      <w:r w:rsidRPr="00A2305B">
        <w:rPr>
          <w:rFonts w:cs="Times New Roman"/>
          <w:szCs w:val="24"/>
        </w:rPr>
        <w:t xml:space="preserve"> is transplanted to the highest density </w:t>
      </w:r>
      <w:r w:rsidR="00646BDA" w:rsidRPr="00A2305B">
        <w:rPr>
          <w:rFonts w:cs="Times New Roman"/>
          <w:szCs w:val="24"/>
        </w:rPr>
        <w:t>neighbourhood</w:t>
      </w:r>
      <w:r w:rsidRPr="00A2305B">
        <w:rPr>
          <w:rFonts w:cs="Times New Roman"/>
          <w:szCs w:val="24"/>
        </w:rPr>
        <w:t xml:space="preserve">. Table 6 presents the estimated ATE values (and standard errors) for both the ECAP and ACT variables. The first four numeric rows of the table provide the ATE values with respect to each of the extra-curricular activity purposes. For example, the ATE point estimate for the joint model corresponding to academic activities indicates that the probability of participating in academic activities reduces, on average, by 0.018 (standard error of 0.002) if a child belonging to a random household is transplanted from the low residential density category location to the high residential density category. In other words, if 1000 random children are relocated from the low density </w:t>
      </w:r>
      <w:r w:rsidR="00646BDA" w:rsidRPr="00A2305B">
        <w:rPr>
          <w:rFonts w:cs="Times New Roman"/>
          <w:szCs w:val="24"/>
        </w:rPr>
        <w:t>neighbourhood</w:t>
      </w:r>
      <w:r w:rsidRPr="00A2305B">
        <w:rPr>
          <w:rFonts w:cs="Times New Roman"/>
          <w:szCs w:val="24"/>
        </w:rPr>
        <w:t xml:space="preserve"> to the high density </w:t>
      </w:r>
      <w:r w:rsidR="00646BDA" w:rsidRPr="00A2305B">
        <w:rPr>
          <w:rFonts w:cs="Times New Roman"/>
          <w:szCs w:val="24"/>
        </w:rPr>
        <w:t>neighbourhood</w:t>
      </w:r>
      <w:r w:rsidRPr="00A2305B">
        <w:rPr>
          <w:rFonts w:cs="Times New Roman"/>
          <w:szCs w:val="24"/>
        </w:rPr>
        <w:t xml:space="preserve">, the point estimate indicates a reduction in academic activities by 18 participations during the course of the week. On the other hand, the corresponding ATE point prediction for the independent model is –0.022 (standard error of 0.001). Other ATE estimates may be similarly interpreted. As expected based on the results from Section 3.2.2, transplanting a child from a low density to a high density </w:t>
      </w:r>
      <w:r w:rsidR="00646BDA" w:rsidRPr="00A2305B">
        <w:rPr>
          <w:rFonts w:cs="Times New Roman"/>
          <w:szCs w:val="24"/>
        </w:rPr>
        <w:t>neighbourhood</w:t>
      </w:r>
      <w:r w:rsidRPr="00A2305B">
        <w:rPr>
          <w:rFonts w:cs="Times New Roman"/>
          <w:szCs w:val="24"/>
        </w:rPr>
        <w:t xml:space="preserve"> also increases the probability of participation in sports and arts, and reduces participation in hobbies. For all the four ECAP activity types, the magnitude of the ATE from the independent model is always higher than </w:t>
      </w:r>
      <w:r w:rsidRPr="00A2305B">
        <w:rPr>
          <w:rFonts w:cs="Times New Roman"/>
          <w:szCs w:val="24"/>
        </w:rPr>
        <w:lastRenderedPageBreak/>
        <w:t>from the joint model.</w:t>
      </w:r>
      <w:r w:rsidRPr="00A2305B">
        <w:rPr>
          <w:rStyle w:val="FootnoteReference"/>
          <w:rFonts w:cs="Times New Roman"/>
          <w:szCs w:val="24"/>
          <w:vertAlign w:val="superscript"/>
        </w:rPr>
        <w:footnoteReference w:id="5"/>
      </w:r>
      <w:r w:rsidRPr="00A2305B">
        <w:rPr>
          <w:rFonts w:cs="Times New Roman"/>
          <w:szCs w:val="24"/>
        </w:rPr>
        <w:t xml:space="preserve"> The fundamental reason is the presence of common unobserved factors that influence children’s ECAP participation and residential location choice (as discussed in Section 3.4). For instance, children of families who live in high residential density </w:t>
      </w:r>
      <w:r w:rsidR="00646BDA" w:rsidRPr="00A2305B">
        <w:rPr>
          <w:rFonts w:cs="Times New Roman"/>
          <w:szCs w:val="24"/>
        </w:rPr>
        <w:t>neighbourhoods</w:t>
      </w:r>
      <w:r w:rsidRPr="00A2305B">
        <w:rPr>
          <w:rFonts w:cs="Times New Roman"/>
          <w:szCs w:val="24"/>
        </w:rPr>
        <w:t xml:space="preserve"> are pre-disposed to higher sports participation than their peers living in lower residential density areas. That is, children of families who would like their children to participate in sports tend to locate themselves in high residential density areas. The independent model, because it ignores this tendency, attributes more of the difference in sports activity participation between children in low density and high density </w:t>
      </w:r>
      <w:r w:rsidR="00646BDA" w:rsidRPr="00A2305B">
        <w:rPr>
          <w:rFonts w:cs="Times New Roman"/>
          <w:szCs w:val="24"/>
        </w:rPr>
        <w:t>neighbourhoods</w:t>
      </w:r>
      <w:r w:rsidRPr="00A2305B">
        <w:rPr>
          <w:rFonts w:cs="Times New Roman"/>
          <w:szCs w:val="24"/>
        </w:rPr>
        <w:t xml:space="preserve"> to the density change, while the joint model controls for the unobserved residential self-selection effect to provide the “true” causal effect of residential density change on sports activity participation. Of course, the effects on any given activity purpose will depend on effects on other activity purposes, and so the unobserved covariance effects in Section 3.4 translate to differences in the ATE estimates for all activity purposes between the joint and independent models. </w:t>
      </w:r>
    </w:p>
    <w:p w:rsidR="00751138" w:rsidRPr="00A2305B" w:rsidRDefault="00751138" w:rsidP="00A2305B">
      <w:pPr>
        <w:adjustRightInd w:val="0"/>
        <w:snapToGrid w:val="0"/>
        <w:ind w:firstLine="720"/>
        <w:jc w:val="both"/>
        <w:rPr>
          <w:rFonts w:cs="Times New Roman"/>
          <w:szCs w:val="24"/>
        </w:rPr>
      </w:pPr>
      <w:r w:rsidRPr="00A2305B">
        <w:rPr>
          <w:rFonts w:cs="Times New Roman"/>
          <w:szCs w:val="24"/>
        </w:rPr>
        <w:t>The bottom two rows of Table 6 provide the ATE effects for the “some active travel” and “all active travel” categories (note that we do not show the effects for the “no active travel” category, because the ATE effects for all three categories should sum to zero). Under the joint model, if a child belonging to a random household is shifted from the low residential density category location to the high one, the probability of “some active travel” increases by an average of 0.087 (standard error is 0.005) and the probability of “all active travel” increases by an average of 0.106 (standard error of 0.006).</w:t>
      </w:r>
      <w:r w:rsidRPr="00A2305B">
        <w:rPr>
          <w:rStyle w:val="FootnoteReference"/>
          <w:rFonts w:cs="Times New Roman"/>
          <w:szCs w:val="24"/>
          <w:vertAlign w:val="superscript"/>
        </w:rPr>
        <w:footnoteReference w:id="6"/>
      </w:r>
      <w:r w:rsidRPr="00A2305B">
        <w:rPr>
          <w:rFonts w:cs="Times New Roman"/>
          <w:szCs w:val="24"/>
          <w:vertAlign w:val="superscript"/>
        </w:rPr>
        <w:t xml:space="preserve"> </w:t>
      </w:r>
      <w:r w:rsidRPr="00A2305B">
        <w:rPr>
          <w:rFonts w:cs="Times New Roman"/>
          <w:szCs w:val="24"/>
        </w:rPr>
        <w:t xml:space="preserve">Specifically, if 1000 random children are relocated from the low density </w:t>
      </w:r>
      <w:r w:rsidR="00646BDA" w:rsidRPr="00A2305B">
        <w:rPr>
          <w:rFonts w:cs="Times New Roman"/>
          <w:szCs w:val="24"/>
        </w:rPr>
        <w:t>neighbourhood</w:t>
      </w:r>
      <w:r w:rsidRPr="00A2305B">
        <w:rPr>
          <w:rFonts w:cs="Times New Roman"/>
          <w:szCs w:val="24"/>
        </w:rPr>
        <w:t xml:space="preserve"> to the high density </w:t>
      </w:r>
      <w:r w:rsidR="00646BDA" w:rsidRPr="00A2305B">
        <w:rPr>
          <w:rFonts w:cs="Times New Roman"/>
          <w:szCs w:val="24"/>
        </w:rPr>
        <w:t>neighbourhood</w:t>
      </w:r>
      <w:r w:rsidRPr="00A2305B">
        <w:rPr>
          <w:rFonts w:cs="Times New Roman"/>
          <w:szCs w:val="24"/>
        </w:rPr>
        <w:t xml:space="preserve">, the point estimate indicates that 87 more children will use active travel for some (but not all) of their extra-curricular activities, and 106 children will use active travel to access all of their extra-curricular activities. Again, the independent model exaggerates this residential density change effect by predicting, for the same scenario, that 103 more children will start using active travel for some (but not all) of their extra-curricular activities and 122 children will use active travel to access all of their extra-curricular activities. The exaggeration by the independent model is because of the residential self-selection effect with respect to active travel. As discussed earlier in Section 3.4, households with a green lifestyle propensity may both locate in high density </w:t>
      </w:r>
      <w:r w:rsidR="00646BDA" w:rsidRPr="00A2305B">
        <w:rPr>
          <w:rFonts w:cs="Times New Roman"/>
          <w:szCs w:val="24"/>
        </w:rPr>
        <w:t>neighbourhoods</w:t>
      </w:r>
      <w:r w:rsidRPr="00A2305B">
        <w:rPr>
          <w:rFonts w:cs="Times New Roman"/>
          <w:szCs w:val="24"/>
        </w:rPr>
        <w:t xml:space="preserve"> (looking for compact </w:t>
      </w:r>
      <w:r w:rsidR="00646BDA" w:rsidRPr="00A2305B">
        <w:rPr>
          <w:rFonts w:cs="Times New Roman"/>
          <w:szCs w:val="24"/>
        </w:rPr>
        <w:t>neighbourhoods</w:t>
      </w:r>
      <w:r w:rsidRPr="00A2305B">
        <w:rPr>
          <w:rFonts w:cs="Times New Roman"/>
          <w:szCs w:val="24"/>
        </w:rPr>
        <w:t xml:space="preserve"> with easy access to public transportation, bike lanes, </w:t>
      </w:r>
      <w:r w:rsidRPr="00A2305B">
        <w:rPr>
          <w:rFonts w:cs="Times New Roman"/>
          <w:i/>
          <w:szCs w:val="24"/>
        </w:rPr>
        <w:t>etc</w:t>
      </w:r>
      <w:r w:rsidRPr="00A2305B">
        <w:rPr>
          <w:rFonts w:cs="Times New Roman"/>
          <w:szCs w:val="24"/>
        </w:rPr>
        <w:t xml:space="preserve">.) as well as participate more in active travel (using an alternative mode of transportation such as bike and walk). The independent model cannot disentangle this self-selection association between residential location and active travel from the “true” effect of residential location on active travel. To be precise, the independent model combines these two effects, resulting in the exaggerated ATE for “all active travel”. The ATE also is exaggerated for the “some active travel”, even though there is no covariance between “some active travel” and “high density location”. This is simply because of coefficient effect changes (between the joint and independent models) resulting from the introduction of covariance terms in the joint model. </w:t>
      </w:r>
    </w:p>
    <w:p w:rsidR="00751138" w:rsidRPr="00A2305B" w:rsidRDefault="00751138" w:rsidP="00A2305B">
      <w:pPr>
        <w:autoSpaceDE w:val="0"/>
        <w:autoSpaceDN w:val="0"/>
        <w:adjustRightInd w:val="0"/>
        <w:ind w:firstLine="720"/>
        <w:jc w:val="both"/>
        <w:rPr>
          <w:rFonts w:eastAsia="SimSun" w:cs="Times New Roman"/>
          <w:szCs w:val="24"/>
        </w:rPr>
      </w:pPr>
      <w:r w:rsidRPr="00A2305B">
        <w:rPr>
          <w:rFonts w:cs="Times New Roman"/>
          <w:szCs w:val="24"/>
        </w:rPr>
        <w:t xml:space="preserve">One can also quantify the magnitude of the spurious residential self-selection effect and the “true” residential effect. As just discussed, the independent model comingles both of these </w:t>
      </w:r>
      <w:r w:rsidRPr="00A2305B">
        <w:rPr>
          <w:rFonts w:cs="Times New Roman"/>
          <w:szCs w:val="24"/>
        </w:rPr>
        <w:lastRenderedPageBreak/>
        <w:t xml:space="preserve">effects, while the joint model estimates the “true” residential effect. Because the independent model consistently exaggerates the ATE, the “true” effect may be computed as a percentage of the joint model ATE relative to the independent model ATE, while the self-selection effect may be computed as the difference of the ATE of the two models as a percentage of the independent ATE. The last two columns of Table 6 indicate that unobserved self-selection effects are estimated, based on the point estimates, to constitute about 10-20% of the difference in the ECAP and ACT variables between low density and high density households, while “true” built environment effects constitute the remaining 80-90% of the difference. </w:t>
      </w:r>
      <w:r w:rsidRPr="00A2305B">
        <w:rPr>
          <w:rFonts w:eastAsia="SimSun" w:cs="Times New Roman"/>
          <w:szCs w:val="24"/>
        </w:rPr>
        <w:t xml:space="preserve">To summarize, the results do show that residential living density has important “true” effects on children’s activity-travel </w:t>
      </w:r>
      <w:r w:rsidR="009A15D7" w:rsidRPr="00A2305B">
        <w:rPr>
          <w:rFonts w:eastAsia="SimSun" w:cs="Times New Roman"/>
          <w:szCs w:val="24"/>
        </w:rPr>
        <w:t>behaviour</w:t>
      </w:r>
      <w:r w:rsidRPr="00A2305B">
        <w:rPr>
          <w:rFonts w:eastAsia="SimSun" w:cs="Times New Roman"/>
          <w:szCs w:val="24"/>
        </w:rPr>
        <w:t xml:space="preserve">, but that these effects are exaggerated when residential self-selection is ignored. </w:t>
      </w:r>
    </w:p>
    <w:p w:rsidR="00751138" w:rsidRPr="00A2305B" w:rsidRDefault="00751138" w:rsidP="00A2305B">
      <w:pPr>
        <w:adjustRightInd w:val="0"/>
        <w:snapToGrid w:val="0"/>
        <w:jc w:val="both"/>
        <w:rPr>
          <w:rFonts w:cs="Times New Roman"/>
          <w:szCs w:val="24"/>
        </w:rPr>
      </w:pPr>
    </w:p>
    <w:p w:rsidR="00751138" w:rsidRPr="00A2305B" w:rsidRDefault="00751138" w:rsidP="00A2305B">
      <w:pPr>
        <w:adjustRightInd w:val="0"/>
        <w:snapToGrid w:val="0"/>
        <w:jc w:val="both"/>
        <w:rPr>
          <w:rFonts w:cs="Times New Roman"/>
          <w:b/>
          <w:szCs w:val="24"/>
        </w:rPr>
      </w:pPr>
      <w:r w:rsidRPr="00A2305B">
        <w:rPr>
          <w:rFonts w:cs="Times New Roman"/>
          <w:b/>
          <w:szCs w:val="24"/>
        </w:rPr>
        <w:t>5. CONCLUSIONS</w:t>
      </w:r>
    </w:p>
    <w:p w:rsidR="00751138" w:rsidRPr="00A2305B" w:rsidRDefault="00751138" w:rsidP="00A2305B">
      <w:pPr>
        <w:adjustRightInd w:val="0"/>
        <w:snapToGrid w:val="0"/>
        <w:jc w:val="both"/>
        <w:rPr>
          <w:rFonts w:cs="Times New Roman"/>
          <w:szCs w:val="24"/>
        </w:rPr>
      </w:pPr>
      <w:r w:rsidRPr="00A2305B">
        <w:rPr>
          <w:rFonts w:cs="Times New Roman"/>
          <w:szCs w:val="24"/>
        </w:rPr>
        <w:t xml:space="preserve">Although there is a recognition that children’s activity schedules are closely interwoven with those of their parents, and determine overall household activity-travel rhythms, much of the earlier literature on children’s activity-travel </w:t>
      </w:r>
      <w:r w:rsidR="009A15D7" w:rsidRPr="00A2305B">
        <w:rPr>
          <w:rFonts w:cs="Times New Roman"/>
          <w:szCs w:val="24"/>
        </w:rPr>
        <w:t>behaviour</w:t>
      </w:r>
      <w:r w:rsidRPr="00A2305B">
        <w:rPr>
          <w:rFonts w:cs="Times New Roman"/>
          <w:szCs w:val="24"/>
        </w:rPr>
        <w:t xml:space="preserve"> has been confined (from a topical standpoint) to school travel and (from a geographical standpoint) to the Western Hemisphere. In this paper, the substantive focus is on children’s extra-curricular activities, and the geographic focus is on a high density urban environment in East Asia, specifically Hong Kong. A better understanding of children’s extra-curricular activity and travel in such high density, walkable environments can provide key insights into the downstream </w:t>
      </w:r>
      <w:r w:rsidR="00646BDA" w:rsidRPr="00A2305B">
        <w:rPr>
          <w:rFonts w:cs="Times New Roman"/>
          <w:szCs w:val="24"/>
        </w:rPr>
        <w:t>modelling</w:t>
      </w:r>
      <w:r w:rsidRPr="00A2305B">
        <w:rPr>
          <w:rFonts w:cs="Times New Roman"/>
          <w:szCs w:val="24"/>
        </w:rPr>
        <w:t xml:space="preserve"> of travel demand patterns of both children and adults. Further, by focusing on extra-curricular activities as well as active transport of children, there is an opportunity to significantly reduce negative transport externalities, help promote active lifestyles during childhood, and shape a child’s future </w:t>
      </w:r>
      <w:r w:rsidR="009A15D7" w:rsidRPr="00A2305B">
        <w:rPr>
          <w:rFonts w:cs="Times New Roman"/>
          <w:szCs w:val="24"/>
        </w:rPr>
        <w:t>behaviour</w:t>
      </w:r>
      <w:r w:rsidRPr="00A2305B">
        <w:rPr>
          <w:rFonts w:cs="Times New Roman"/>
          <w:szCs w:val="24"/>
        </w:rPr>
        <w:t xml:space="preserve"> as a </w:t>
      </w:r>
      <w:r w:rsidR="00646BDA" w:rsidRPr="00A2305B">
        <w:rPr>
          <w:rFonts w:cs="Times New Roman"/>
          <w:szCs w:val="24"/>
        </w:rPr>
        <w:t>traveller</w:t>
      </w:r>
      <w:r w:rsidRPr="00A2305B">
        <w:rPr>
          <w:rFonts w:cs="Times New Roman"/>
          <w:szCs w:val="24"/>
        </w:rPr>
        <w:t xml:space="preserve"> (and as a citizen in general). In addition, our study here also contributes more broadly to child development considerations within a more holistic framework of children’s overall life-satisfaction and wellbeing. </w:t>
      </w:r>
    </w:p>
    <w:p w:rsidR="00751138" w:rsidRPr="00A2305B" w:rsidRDefault="00751138" w:rsidP="00A2305B">
      <w:pPr>
        <w:adjustRightInd w:val="0"/>
        <w:snapToGrid w:val="0"/>
        <w:ind w:firstLine="720"/>
        <w:jc w:val="both"/>
        <w:rPr>
          <w:rFonts w:cs="Times New Roman"/>
          <w:szCs w:val="24"/>
        </w:rPr>
      </w:pPr>
      <w:r w:rsidRPr="00A2305B">
        <w:rPr>
          <w:rFonts w:cs="Times New Roman"/>
          <w:szCs w:val="24"/>
        </w:rPr>
        <w:t xml:space="preserve">This paper has offered a framework to understand children’s extra-curricular activities time allocation and active travel participation in Hong Kong. Three variables of interest are considered: weekly time spent in four different types of out-of-home after-school activities (academic, sports, arts, and other), level of active travel, and residential location choice (based on residential density). The proposed model takes into account common observed and unobserved effects that can be affecting the three outcomes simultaneously. </w:t>
      </w:r>
    </w:p>
    <w:p w:rsidR="00751138" w:rsidRPr="00A2305B" w:rsidRDefault="00751138" w:rsidP="00A2305B">
      <w:pPr>
        <w:adjustRightInd w:val="0"/>
        <w:snapToGrid w:val="0"/>
        <w:ind w:firstLine="720"/>
        <w:jc w:val="both"/>
        <w:rPr>
          <w:rFonts w:cs="Times New Roman"/>
          <w:szCs w:val="24"/>
        </w:rPr>
      </w:pPr>
      <w:r w:rsidRPr="00A2305B">
        <w:rPr>
          <w:rFonts w:cs="Times New Roman"/>
          <w:szCs w:val="24"/>
        </w:rPr>
        <w:t xml:space="preserve">The results indicate important demographic effects of the child on the child’s extra-curricular activity participation and travel. Older children are more likely to partake in extra-curricular activities as well as active travel to these activities. Similar to many studies in the Western world, girls appear to be more likely than boys to participate in arts activities and less likely to walk/bicycle to activities. However, we did not find a statistically significant variation between boys and girls in sports participation, unlike multiple studies in the US and other Western nations that suggest higher a sports participation rate among boys. In addition to child demographics, family demographics also plays a role in children’s activity-travel </w:t>
      </w:r>
      <w:r w:rsidR="009A15D7" w:rsidRPr="00A2305B">
        <w:rPr>
          <w:rFonts w:cs="Times New Roman"/>
          <w:szCs w:val="24"/>
        </w:rPr>
        <w:t>behaviour</w:t>
      </w:r>
      <w:r w:rsidRPr="00A2305B">
        <w:rPr>
          <w:rFonts w:cs="Times New Roman"/>
          <w:szCs w:val="24"/>
        </w:rPr>
        <w:t xml:space="preserve">. Children in households with highly educated adults tend to participate more in academics and “high culture” arts activity opportunities, while those in lower income households tend to participate less in extra-curricular activities in general (except for academic pursuits). A high motorized vehicle ownership in a household promotes children’s participation in sports, but also reduces active travel. The former effect may be attributable to the relatively long distances to travel to sports activities relative to other activities. Other results include the higher likelihood of children </w:t>
      </w:r>
      <w:r w:rsidRPr="00A2305B">
        <w:rPr>
          <w:rFonts w:cs="Times New Roman"/>
          <w:szCs w:val="24"/>
        </w:rPr>
        <w:lastRenderedPageBreak/>
        <w:t xml:space="preserve">with siblings to participate in sports and academic activities, and a lower tendency of active travel among children with both parents working. </w:t>
      </w:r>
    </w:p>
    <w:p w:rsidR="00751138" w:rsidRPr="00A2305B" w:rsidRDefault="00751138" w:rsidP="00A2305B">
      <w:pPr>
        <w:ind w:firstLine="720"/>
        <w:jc w:val="both"/>
        <w:rPr>
          <w:rFonts w:cs="Times New Roman"/>
          <w:szCs w:val="24"/>
        </w:rPr>
      </w:pPr>
      <w:r w:rsidRPr="00A2305B">
        <w:rPr>
          <w:rFonts w:cs="Times New Roman"/>
          <w:szCs w:val="24"/>
        </w:rPr>
        <w:t xml:space="preserve">Overall, the findings show that children’s activity and travel </w:t>
      </w:r>
      <w:r w:rsidR="009A15D7" w:rsidRPr="00A2305B">
        <w:rPr>
          <w:rFonts w:cs="Times New Roman"/>
          <w:szCs w:val="24"/>
        </w:rPr>
        <w:t>behaviour</w:t>
      </w:r>
      <w:r w:rsidRPr="00A2305B">
        <w:rPr>
          <w:rFonts w:cs="Times New Roman"/>
          <w:szCs w:val="24"/>
        </w:rPr>
        <w:t xml:space="preserve"> within the same city can differ quite substantially based on </w:t>
      </w:r>
      <w:r w:rsidR="00646BDA" w:rsidRPr="00A2305B">
        <w:rPr>
          <w:rFonts w:cs="Times New Roman"/>
          <w:szCs w:val="24"/>
        </w:rPr>
        <w:t>neighbourhood</w:t>
      </w:r>
      <w:r w:rsidRPr="00A2305B">
        <w:rPr>
          <w:rFonts w:cs="Times New Roman"/>
          <w:szCs w:val="24"/>
        </w:rPr>
        <w:t xml:space="preserve"> environment (notably residential density) and family socio-demographic background. The empirical findings and analysis provide insights for policy development. </w:t>
      </w:r>
      <w:r w:rsidRPr="00A2305B">
        <w:rPr>
          <w:rFonts w:cs="Times New Roman"/>
          <w:szCs w:val="24"/>
          <w:u w:val="single"/>
        </w:rPr>
        <w:t>First</w:t>
      </w:r>
      <w:r w:rsidRPr="00A2305B">
        <w:rPr>
          <w:rFonts w:cs="Times New Roman"/>
          <w:szCs w:val="24"/>
        </w:rPr>
        <w:t xml:space="preserve">, children with parents of lower socioeconomic status (SES, as determined by education and income earnings) and children with no siblings participate less in extra-curricular activities in general, and policies that particularly target these segments of children for promoting extra-curricular activities appear to be warranted. </w:t>
      </w:r>
      <w:r w:rsidRPr="00A2305B">
        <w:rPr>
          <w:rFonts w:cs="Times New Roman"/>
          <w:szCs w:val="24"/>
          <w:lang w:eastAsia="zh-CN"/>
        </w:rPr>
        <w:t xml:space="preserve">Since 2002, non-government entities in Hong Kong have made available, to children of lower SES, some financial assistance to facilitate participation in extra-curricular activities deemed beneficial to the child’s “whole-person development” (EDB, 2018). The continuation and expansion of such a policy with higher funding amounts and a wider set of eligible extra-curricular activity purposes needs careful consideration. This is particularly so because </w:t>
      </w:r>
      <w:r w:rsidRPr="00A2305B">
        <w:rPr>
          <w:rFonts w:cs="Times New Roman"/>
          <w:szCs w:val="24"/>
        </w:rPr>
        <w:t>a higher rate of participation in extra-curricular activities has been shown to be even more beneficial for children of lower SES status than their more privileged counterparts (</w:t>
      </w:r>
      <w:proofErr w:type="spellStart"/>
      <w:r w:rsidRPr="00A2305B">
        <w:rPr>
          <w:rFonts w:cs="Times New Roman"/>
          <w:szCs w:val="24"/>
        </w:rPr>
        <w:t>Dumais</w:t>
      </w:r>
      <w:proofErr w:type="spellEnd"/>
      <w:r w:rsidRPr="00A2305B">
        <w:rPr>
          <w:rFonts w:cs="Times New Roman"/>
          <w:szCs w:val="24"/>
        </w:rPr>
        <w:t>, 2006; Kawashima-Ginsberg, 2014), and may provide key opportunities to meet new friends, learn to work as a team, develop social skills and fairness concepts, and develop positive character traits (</w:t>
      </w:r>
      <w:proofErr w:type="spellStart"/>
      <w:r w:rsidRPr="00A2305B">
        <w:rPr>
          <w:rFonts w:cs="Times New Roman"/>
          <w:szCs w:val="24"/>
        </w:rPr>
        <w:t>Snellman</w:t>
      </w:r>
      <w:proofErr w:type="spellEnd"/>
      <w:r w:rsidRPr="00A2305B">
        <w:rPr>
          <w:rFonts w:cs="Times New Roman"/>
          <w:szCs w:val="24"/>
        </w:rPr>
        <w:t xml:space="preserve"> et al., 2015). </w:t>
      </w:r>
      <w:r w:rsidRPr="00A2305B">
        <w:rPr>
          <w:rFonts w:cs="Times New Roman"/>
          <w:szCs w:val="24"/>
          <w:u w:val="single"/>
          <w:lang w:eastAsia="zh-CN"/>
        </w:rPr>
        <w:t>Second</w:t>
      </w:r>
      <w:r w:rsidRPr="00A2305B">
        <w:rPr>
          <w:rFonts w:cs="Times New Roman"/>
          <w:szCs w:val="24"/>
          <w:lang w:eastAsia="zh-CN"/>
        </w:rPr>
        <w:t xml:space="preserve">, </w:t>
      </w:r>
      <w:r w:rsidRPr="00A2305B">
        <w:rPr>
          <w:rFonts w:cs="Times New Roman"/>
          <w:szCs w:val="24"/>
        </w:rPr>
        <w:t xml:space="preserve">the result regarding the lower active travel among children of dual-working parents suggest that time poverty effects are at play here; that is, time constraints make it difficult for parents to partake in activities with their children that provide relaxation, stress alleviation, and physical exercise, all of which contribute to both physical and mental well-being. At the same time, the share of dual-earner households in Hong Kong has risen in the past few decades, at least in part due to financial pressures of living in a high-cost city (HKCSS, 2013). The implication is that individuals in dual-earner households face a work-family conflict situation that permeates into their children’s physical activity lifestyle, suggesting the need to rigorously evaluate and consider the implementation of work-friendly policies such as proportional wages for part-time work, flexible work scheduling, tele-working, and related government policies (see, for example, </w:t>
      </w:r>
      <w:proofErr w:type="spellStart"/>
      <w:r w:rsidRPr="00A2305B">
        <w:rPr>
          <w:rFonts w:cs="Times New Roman"/>
          <w:szCs w:val="24"/>
        </w:rPr>
        <w:t>Goodin</w:t>
      </w:r>
      <w:proofErr w:type="spellEnd"/>
      <w:r w:rsidRPr="00A2305B">
        <w:rPr>
          <w:rFonts w:cs="Times New Roman"/>
          <w:szCs w:val="24"/>
        </w:rPr>
        <w:t xml:space="preserve">, 2010). Doing so may also be advantageous to employers because of a potential increase in job satisfaction and improved work productivity (see, for example, Choi, 2009 and Wong and </w:t>
      </w:r>
      <w:proofErr w:type="spellStart"/>
      <w:proofErr w:type="gramStart"/>
      <w:r w:rsidRPr="00A2305B">
        <w:rPr>
          <w:rFonts w:cs="Times New Roman"/>
          <w:szCs w:val="24"/>
        </w:rPr>
        <w:t>Ko</w:t>
      </w:r>
      <w:proofErr w:type="spellEnd"/>
      <w:proofErr w:type="gramEnd"/>
      <w:r w:rsidRPr="00A2305B">
        <w:rPr>
          <w:rFonts w:cs="Times New Roman"/>
          <w:szCs w:val="24"/>
        </w:rPr>
        <w:t xml:space="preserve">, 2009). To summarize, company policies designed to provide a sense of empowerment to employees to take care of personal and family situations can help </w:t>
      </w:r>
      <w:r w:rsidR="00646BDA" w:rsidRPr="00A2305B">
        <w:rPr>
          <w:rFonts w:cs="Times New Roman"/>
          <w:szCs w:val="24"/>
        </w:rPr>
        <w:t>instil</w:t>
      </w:r>
      <w:r w:rsidRPr="00A2305B">
        <w:rPr>
          <w:rFonts w:cs="Times New Roman"/>
          <w:szCs w:val="24"/>
        </w:rPr>
        <w:t xml:space="preserve"> a stronger sense of work-family balance that benefits the next generation of adults and society as a whole. </w:t>
      </w:r>
      <w:r w:rsidRPr="00A2305B">
        <w:rPr>
          <w:rFonts w:cs="Times New Roman"/>
          <w:szCs w:val="24"/>
          <w:u w:val="single"/>
        </w:rPr>
        <w:t>Third</w:t>
      </w:r>
      <w:r w:rsidRPr="00A2305B">
        <w:rPr>
          <w:rFonts w:cs="Times New Roman"/>
          <w:szCs w:val="24"/>
        </w:rPr>
        <w:t xml:space="preserve">, the effect of motorized vehicle ownership on children’s activity-travel patterns, when combined with the effect of residential density, suggests that policies that encourage </w:t>
      </w:r>
      <w:bookmarkStart w:id="8" w:name="_Hlk517277579"/>
      <w:r w:rsidRPr="00A2305B">
        <w:rPr>
          <w:rFonts w:cs="Times New Roman"/>
          <w:szCs w:val="24"/>
        </w:rPr>
        <w:t xml:space="preserve">mixed-land use planning and compact development </w:t>
      </w:r>
      <w:bookmarkEnd w:id="8"/>
      <w:r w:rsidRPr="00A2305B">
        <w:rPr>
          <w:rFonts w:cs="Times New Roman"/>
          <w:szCs w:val="24"/>
        </w:rPr>
        <w:t xml:space="preserve">reinforce each other in increasing physical activity participation of children, both in the form of sports activity participation and utilitarian active travel to activity </w:t>
      </w:r>
      <w:r w:rsidR="00646BDA" w:rsidRPr="00A2305B">
        <w:rPr>
          <w:rFonts w:cs="Times New Roman"/>
          <w:szCs w:val="24"/>
        </w:rPr>
        <w:t>centres</w:t>
      </w:r>
      <w:r w:rsidRPr="00A2305B">
        <w:rPr>
          <w:rFonts w:cs="Times New Roman"/>
          <w:szCs w:val="24"/>
        </w:rPr>
        <w:t>. Thus, mixed and compact development not only seems to be an instrument to reduce traffic congestion, energy dependence, and air pollution, but also an effective tool to promote an active lifestyle among children, with far-reaching public health benefits.</w:t>
      </w:r>
      <w:r w:rsidRPr="00A2305B">
        <w:rPr>
          <w:rFonts w:cs="Times New Roman"/>
          <w:szCs w:val="24"/>
          <w:lang w:eastAsia="zh-CN"/>
        </w:rPr>
        <w:t xml:space="preserve"> Relatedly, our results also recommend that </w:t>
      </w:r>
      <w:r w:rsidRPr="00A2305B">
        <w:rPr>
          <w:rFonts w:cs="Times New Roman"/>
          <w:szCs w:val="24"/>
        </w:rPr>
        <w:t>government-led and non-government-led initiatives, such as walking school buses and Safe Routes to School programs (see Walking School Bus, 2018, and Safe Routes to School, 2018), be continued to increase active travel between home, school, and after-school activities, especially in the higher density suburban and urban areas.</w:t>
      </w:r>
    </w:p>
    <w:p w:rsidR="00751138" w:rsidRPr="00A2305B" w:rsidRDefault="00751138" w:rsidP="00A2305B">
      <w:pPr>
        <w:ind w:firstLine="720"/>
        <w:jc w:val="both"/>
        <w:rPr>
          <w:rFonts w:cs="Times New Roman"/>
          <w:szCs w:val="24"/>
        </w:rPr>
      </w:pPr>
      <w:r w:rsidRPr="00A2305B">
        <w:rPr>
          <w:rFonts w:cs="Times New Roman"/>
          <w:szCs w:val="24"/>
        </w:rPr>
        <w:t xml:space="preserve">From a travel demand </w:t>
      </w:r>
      <w:r w:rsidR="00646BDA" w:rsidRPr="00A2305B">
        <w:rPr>
          <w:rFonts w:cs="Times New Roman"/>
          <w:szCs w:val="24"/>
        </w:rPr>
        <w:t>modelling</w:t>
      </w:r>
      <w:r w:rsidRPr="00A2305B">
        <w:rPr>
          <w:rFonts w:cs="Times New Roman"/>
          <w:szCs w:val="24"/>
        </w:rPr>
        <w:t xml:space="preserve"> standpoint, one of the limitations of current activity-based travel demand model systems is the inadequate attention and </w:t>
      </w:r>
      <w:r w:rsidR="00646BDA" w:rsidRPr="00A2305B">
        <w:rPr>
          <w:rFonts w:cs="Times New Roman"/>
          <w:szCs w:val="24"/>
        </w:rPr>
        <w:t>modelling</w:t>
      </w:r>
      <w:r w:rsidRPr="00A2305B">
        <w:rPr>
          <w:rFonts w:cs="Times New Roman"/>
          <w:szCs w:val="24"/>
        </w:rPr>
        <w:t xml:space="preserve"> of the activity patterns of children.  Not only does this result in the absence of much needed policy information for promoting </w:t>
      </w:r>
      <w:r w:rsidRPr="00A2305B">
        <w:rPr>
          <w:rFonts w:cs="Times New Roman"/>
          <w:szCs w:val="24"/>
        </w:rPr>
        <w:lastRenderedPageBreak/>
        <w:t xml:space="preserve">participation in extra-curricular activities and active lifestyle, as just discussed earlier, but it can also result in relatively inaccurate predictions of the activity-travel patterns of adults. In particular, the ability to model children’s activity engagement (and the interactions between these engagements and those of adults) within larger activity-based travel model systems would offer a strong basis for forecasting travel in response to shifts in population demographics over time, or land-use and transportation policies. In this context, the model presented in this paper offers a framework for representing and </w:t>
      </w:r>
      <w:r w:rsidR="00646BDA" w:rsidRPr="00A2305B">
        <w:rPr>
          <w:rFonts w:cs="Times New Roman"/>
          <w:szCs w:val="24"/>
        </w:rPr>
        <w:t>analysing</w:t>
      </w:r>
      <w:r w:rsidRPr="00A2305B">
        <w:rPr>
          <w:rFonts w:cs="Times New Roman"/>
          <w:szCs w:val="24"/>
        </w:rPr>
        <w:t xml:space="preserve"> the activity-travel patterns of children within larger travel demand model systems.  </w:t>
      </w:r>
    </w:p>
    <w:p w:rsidR="00751138" w:rsidRPr="00A2305B" w:rsidRDefault="00751138" w:rsidP="00A2305B">
      <w:pPr>
        <w:ind w:firstLine="720"/>
        <w:jc w:val="both"/>
        <w:rPr>
          <w:rFonts w:cs="Times New Roman"/>
          <w:szCs w:val="24"/>
        </w:rPr>
      </w:pPr>
      <w:r w:rsidRPr="00A2305B">
        <w:rPr>
          <w:rFonts w:cs="Times New Roman"/>
          <w:szCs w:val="24"/>
        </w:rPr>
        <w:t xml:space="preserve">In closing, this study represents a formulation and application of a joint econometric framework to examine household residential location choice, children’s activity participation and time-use, and children’s active lifestyle levels. Future research should further explore intra-household interactions as a priority area for undertaking time-use research, as part of a family-based activity-travel generation and scheduling process. </w:t>
      </w:r>
    </w:p>
    <w:p w:rsidR="00751138" w:rsidRPr="00A2305B" w:rsidRDefault="00751138" w:rsidP="00A2305B">
      <w:pPr>
        <w:jc w:val="both"/>
        <w:rPr>
          <w:rFonts w:cs="Times New Roman"/>
          <w:szCs w:val="24"/>
        </w:rPr>
      </w:pPr>
    </w:p>
    <w:p w:rsidR="00A2305B" w:rsidRPr="00A2305B" w:rsidRDefault="00A2305B" w:rsidP="00A2305B">
      <w:pPr>
        <w:rPr>
          <w:rFonts w:cs="Times New Roman"/>
          <w:b/>
          <w:lang w:val="en-US"/>
        </w:rPr>
      </w:pPr>
      <w:r w:rsidRPr="00A2305B">
        <w:rPr>
          <w:rFonts w:cs="Times New Roman"/>
          <w:b/>
        </w:rPr>
        <w:t>ACKNOWLEDGMENTS</w:t>
      </w:r>
    </w:p>
    <w:p w:rsidR="00A2305B" w:rsidRPr="00A2305B" w:rsidRDefault="00A2305B" w:rsidP="00A2305B">
      <w:pPr>
        <w:autoSpaceDE w:val="0"/>
        <w:autoSpaceDN w:val="0"/>
        <w:adjustRightInd w:val="0"/>
        <w:jc w:val="both"/>
        <w:rPr>
          <w:rFonts w:eastAsia="CharisSIL" w:cs="Times New Roman"/>
          <w:szCs w:val="24"/>
          <w:lang w:val="en-US" w:eastAsia="zh-CN"/>
        </w:rPr>
      </w:pPr>
      <w:r w:rsidRPr="00A2305B">
        <w:rPr>
          <w:rFonts w:eastAsia="CharisSIL" w:cs="Times New Roman"/>
          <w:szCs w:val="24"/>
          <w:lang w:val="en-US" w:eastAsia="zh-CN"/>
        </w:rPr>
        <w:t>This research was partially support</w:t>
      </w:r>
      <w:r>
        <w:rPr>
          <w:rFonts w:eastAsia="CharisSIL" w:cs="Times New Roman"/>
          <w:szCs w:val="24"/>
          <w:lang w:val="en-US" w:eastAsia="zh-CN"/>
        </w:rPr>
        <w:t xml:space="preserve">ed by the General Research Fund </w:t>
      </w:r>
      <w:r w:rsidRPr="00A2305B">
        <w:rPr>
          <w:rFonts w:eastAsia="CharisSIL" w:cs="Times New Roman"/>
          <w:szCs w:val="24"/>
          <w:lang w:val="en-US" w:eastAsia="zh-CN"/>
        </w:rPr>
        <w:t>of the Hong Kong University G</w:t>
      </w:r>
      <w:r>
        <w:rPr>
          <w:rFonts w:eastAsia="CharisSIL" w:cs="Times New Roman"/>
          <w:szCs w:val="24"/>
          <w:lang w:val="en-US" w:eastAsia="zh-CN"/>
        </w:rPr>
        <w:t xml:space="preserve">rants Committee Research Grants </w:t>
      </w:r>
      <w:r w:rsidRPr="00A2305B">
        <w:rPr>
          <w:rFonts w:eastAsia="CharisSIL" w:cs="Times New Roman"/>
          <w:szCs w:val="24"/>
          <w:lang w:val="en-US" w:eastAsia="zh-CN"/>
        </w:rPr>
        <w:t>Council on “Understanding Children's Independ</w:t>
      </w:r>
      <w:r>
        <w:rPr>
          <w:rFonts w:eastAsia="CharisSIL" w:cs="Times New Roman"/>
          <w:szCs w:val="24"/>
          <w:lang w:val="en-US" w:eastAsia="zh-CN"/>
        </w:rPr>
        <w:t xml:space="preserve">ent Mobility and Their </w:t>
      </w:r>
      <w:r w:rsidRPr="00A2305B">
        <w:rPr>
          <w:rFonts w:eastAsia="CharisSIL" w:cs="Times New Roman"/>
          <w:szCs w:val="24"/>
          <w:lang w:val="en-US" w:eastAsia="zh-CN"/>
        </w:rPr>
        <w:t>Road-crossing Ability: Challenges and Opportunities in Hong Kong”</w:t>
      </w:r>
      <w:r>
        <w:rPr>
          <w:rFonts w:eastAsia="CharisSIL" w:cs="Times New Roman"/>
          <w:szCs w:val="24"/>
          <w:lang w:val="en-US" w:eastAsia="zh-CN"/>
        </w:rPr>
        <w:t xml:space="preserve"> </w:t>
      </w:r>
      <w:r w:rsidRPr="00A2305B">
        <w:rPr>
          <w:rFonts w:eastAsia="CharisSIL" w:cs="Times New Roman"/>
          <w:szCs w:val="24"/>
          <w:lang w:val="en-US" w:eastAsia="zh-CN"/>
        </w:rPr>
        <w:t>(HKU 17406314), the U.S. Departmen</w:t>
      </w:r>
      <w:r>
        <w:rPr>
          <w:rFonts w:eastAsia="CharisSIL" w:cs="Times New Roman"/>
          <w:szCs w:val="24"/>
          <w:lang w:val="en-US" w:eastAsia="zh-CN"/>
        </w:rPr>
        <w:t xml:space="preserve">t of Transportation through the Data-Supported </w:t>
      </w:r>
      <w:r w:rsidRPr="00A2305B">
        <w:rPr>
          <w:rFonts w:eastAsia="CharisSIL" w:cs="Times New Roman"/>
          <w:szCs w:val="24"/>
          <w:lang w:val="en-US" w:eastAsia="zh-CN"/>
        </w:rPr>
        <w:t>Transportation Operat</w:t>
      </w:r>
      <w:r>
        <w:rPr>
          <w:rFonts w:eastAsia="CharisSIL" w:cs="Times New Roman"/>
          <w:szCs w:val="24"/>
          <w:lang w:val="en-US" w:eastAsia="zh-CN"/>
        </w:rPr>
        <w:t xml:space="preserve">ions and Planning (D-STOP) Tier </w:t>
      </w:r>
      <w:r w:rsidRPr="00A2305B">
        <w:rPr>
          <w:rFonts w:eastAsia="CharisSIL" w:cs="Times New Roman"/>
          <w:szCs w:val="24"/>
          <w:lang w:val="en-US" w:eastAsia="zh-CN"/>
        </w:rPr>
        <w:t>1 U</w:t>
      </w:r>
      <w:r>
        <w:rPr>
          <w:rFonts w:eastAsia="CharisSIL" w:cs="Times New Roman"/>
          <w:szCs w:val="24"/>
          <w:lang w:val="en-US" w:eastAsia="zh-CN"/>
        </w:rPr>
        <w:t xml:space="preserve">niversity Transportation Center (grant no. DTRT13GUTC58), and </w:t>
      </w:r>
      <w:r w:rsidRPr="00A2305B">
        <w:rPr>
          <w:rFonts w:eastAsia="CharisSIL" w:cs="Times New Roman"/>
          <w:szCs w:val="24"/>
          <w:lang w:val="en-US" w:eastAsia="zh-CN"/>
        </w:rPr>
        <w:t>the Complex Engineering Systems I</w:t>
      </w:r>
      <w:r>
        <w:rPr>
          <w:rFonts w:eastAsia="CharisSIL" w:cs="Times New Roman"/>
          <w:szCs w:val="24"/>
          <w:lang w:val="en-US" w:eastAsia="zh-CN"/>
        </w:rPr>
        <w:t xml:space="preserve">nstitute (CONICYT: FB0816). The </w:t>
      </w:r>
      <w:r w:rsidRPr="00A2305B">
        <w:rPr>
          <w:rFonts w:eastAsia="CharisSIL" w:cs="Times New Roman"/>
          <w:szCs w:val="24"/>
          <w:lang w:val="en-US" w:eastAsia="zh-CN"/>
        </w:rPr>
        <w:t xml:space="preserve">authors are grateful to Lisa Macias </w:t>
      </w:r>
      <w:r>
        <w:rPr>
          <w:rFonts w:eastAsia="CharisSIL" w:cs="Times New Roman"/>
          <w:szCs w:val="24"/>
          <w:lang w:val="en-US" w:eastAsia="zh-CN"/>
        </w:rPr>
        <w:t xml:space="preserve">for her help in formatting this </w:t>
      </w:r>
      <w:r w:rsidRPr="00A2305B">
        <w:rPr>
          <w:rFonts w:eastAsia="CharisSIL" w:cs="Times New Roman"/>
          <w:szCs w:val="24"/>
          <w:lang w:val="en-US" w:eastAsia="zh-CN"/>
        </w:rPr>
        <w:t>document.</w:t>
      </w:r>
    </w:p>
    <w:p w:rsidR="008C0CB6" w:rsidRPr="00A2305B" w:rsidRDefault="008C0CB6" w:rsidP="00A2305B">
      <w:pPr>
        <w:rPr>
          <w:rFonts w:cs="Times New Roman"/>
          <w:b/>
          <w:szCs w:val="24"/>
        </w:rPr>
      </w:pPr>
      <w:r w:rsidRPr="00A2305B">
        <w:rPr>
          <w:rFonts w:cs="Times New Roman"/>
          <w:b/>
          <w:szCs w:val="24"/>
        </w:rPr>
        <w:br w:type="page"/>
      </w:r>
    </w:p>
    <w:p w:rsidR="00751138" w:rsidRPr="00A2305B" w:rsidRDefault="00751138" w:rsidP="00A2305B">
      <w:pPr>
        <w:adjustRightInd w:val="0"/>
        <w:snapToGrid w:val="0"/>
        <w:spacing w:after="120"/>
        <w:jc w:val="both"/>
        <w:rPr>
          <w:rFonts w:cs="Times New Roman"/>
          <w:b/>
          <w:szCs w:val="24"/>
        </w:rPr>
      </w:pPr>
      <w:r w:rsidRPr="00A2305B">
        <w:rPr>
          <w:rFonts w:cs="Times New Roman"/>
          <w:b/>
          <w:szCs w:val="24"/>
        </w:rPr>
        <w:lastRenderedPageBreak/>
        <w:t>REFERENCES</w:t>
      </w:r>
    </w:p>
    <w:p w:rsidR="008C0CB6" w:rsidRPr="00A2305B" w:rsidRDefault="009C6AA1" w:rsidP="00A2305B">
      <w:pPr>
        <w:spacing w:after="60"/>
        <w:ind w:left="450" w:hanging="450"/>
        <w:jc w:val="both"/>
        <w:rPr>
          <w:rFonts w:cs="Times New Roman"/>
          <w:szCs w:val="24"/>
        </w:rPr>
      </w:pPr>
      <w:proofErr w:type="spellStart"/>
      <w:r w:rsidRPr="00A2305B">
        <w:rPr>
          <w:rFonts w:cs="Times New Roman"/>
          <w:szCs w:val="24"/>
        </w:rPr>
        <w:t>Allbaugh</w:t>
      </w:r>
      <w:proofErr w:type="spellEnd"/>
      <w:r w:rsidRPr="00A2305B">
        <w:rPr>
          <w:rFonts w:cs="Times New Roman"/>
          <w:szCs w:val="24"/>
        </w:rPr>
        <w:t xml:space="preserve">, C.N., Bolter, N.D., and Shimon, J.M. (2016). Influence on Physical Activity and Sport Participation: Considerations for Coaches, Strategies. </w:t>
      </w:r>
      <w:r w:rsidRPr="00A2305B">
        <w:rPr>
          <w:rFonts w:cs="Times New Roman"/>
          <w:i/>
          <w:szCs w:val="24"/>
        </w:rPr>
        <w:t>Strategies</w:t>
      </w:r>
      <w:r w:rsidRPr="00A2305B">
        <w:rPr>
          <w:rFonts w:cs="Times New Roman"/>
          <w:szCs w:val="24"/>
        </w:rPr>
        <w:t xml:space="preserve"> 29(4), 24-28.</w:t>
      </w:r>
    </w:p>
    <w:p w:rsidR="00751138" w:rsidRPr="00A2305B" w:rsidRDefault="00751138" w:rsidP="00A2305B">
      <w:pPr>
        <w:spacing w:after="60"/>
        <w:ind w:left="450" w:hanging="450"/>
        <w:jc w:val="both"/>
        <w:rPr>
          <w:rFonts w:cs="Times New Roman"/>
          <w:szCs w:val="24"/>
        </w:rPr>
      </w:pPr>
      <w:proofErr w:type="spellStart"/>
      <w:r w:rsidRPr="00A2305B">
        <w:rPr>
          <w:rFonts w:cs="Times New Roman"/>
          <w:szCs w:val="24"/>
        </w:rPr>
        <w:t>Andersson</w:t>
      </w:r>
      <w:proofErr w:type="spellEnd"/>
      <w:r w:rsidRPr="00A2305B">
        <w:rPr>
          <w:rFonts w:cs="Times New Roman"/>
          <w:szCs w:val="24"/>
        </w:rPr>
        <w:t xml:space="preserve">, E., </w:t>
      </w:r>
      <w:proofErr w:type="spellStart"/>
      <w:r w:rsidRPr="00A2305B">
        <w:rPr>
          <w:rFonts w:cs="Times New Roman"/>
          <w:szCs w:val="24"/>
        </w:rPr>
        <w:t>Malmberg</w:t>
      </w:r>
      <w:proofErr w:type="spellEnd"/>
      <w:r w:rsidRPr="00A2305B">
        <w:rPr>
          <w:rFonts w:cs="Times New Roman"/>
          <w:szCs w:val="24"/>
        </w:rPr>
        <w:t xml:space="preserve">, B., and </w:t>
      </w:r>
      <w:proofErr w:type="spellStart"/>
      <w:r w:rsidRPr="00A2305B">
        <w:rPr>
          <w:rFonts w:cs="Times New Roman"/>
          <w:szCs w:val="24"/>
        </w:rPr>
        <w:t>Östh</w:t>
      </w:r>
      <w:proofErr w:type="spellEnd"/>
      <w:r w:rsidRPr="00A2305B">
        <w:rPr>
          <w:rFonts w:cs="Times New Roman"/>
          <w:szCs w:val="24"/>
        </w:rPr>
        <w:t xml:space="preserve">, J. (2012). Travel-to-school distances in Sweden 2000–2006: Changing school geography with equality implications. </w:t>
      </w:r>
      <w:r w:rsidRPr="00A2305B">
        <w:rPr>
          <w:rFonts w:cs="Times New Roman"/>
          <w:i/>
          <w:szCs w:val="24"/>
        </w:rPr>
        <w:t>Journal of Transport Geography</w:t>
      </w:r>
      <w:r w:rsidRPr="00A2305B">
        <w:rPr>
          <w:rFonts w:cs="Times New Roman"/>
          <w:szCs w:val="24"/>
        </w:rPr>
        <w:t xml:space="preserve"> 23, 35-43. </w:t>
      </w:r>
    </w:p>
    <w:p w:rsidR="00751138" w:rsidRPr="00A2305B" w:rsidRDefault="00751138" w:rsidP="00A2305B">
      <w:pPr>
        <w:spacing w:after="60"/>
        <w:ind w:left="450" w:hanging="450"/>
        <w:jc w:val="both"/>
        <w:rPr>
          <w:rFonts w:cs="Times New Roman"/>
          <w:szCs w:val="24"/>
        </w:rPr>
      </w:pPr>
      <w:proofErr w:type="spellStart"/>
      <w:r w:rsidRPr="00A2305B">
        <w:rPr>
          <w:rFonts w:cs="Times New Roman"/>
          <w:szCs w:val="24"/>
        </w:rPr>
        <w:t>Astroza</w:t>
      </w:r>
      <w:proofErr w:type="spellEnd"/>
      <w:r w:rsidRPr="00A2305B">
        <w:rPr>
          <w:rFonts w:cs="Times New Roman"/>
          <w:szCs w:val="24"/>
        </w:rPr>
        <w:t xml:space="preserve">, S., Bhat, P.C., Bhat, C.R., </w:t>
      </w:r>
      <w:proofErr w:type="spellStart"/>
      <w:r w:rsidRPr="00A2305B">
        <w:rPr>
          <w:rFonts w:cs="Times New Roman"/>
          <w:szCs w:val="24"/>
        </w:rPr>
        <w:t>Pendyala</w:t>
      </w:r>
      <w:proofErr w:type="spellEnd"/>
      <w:r w:rsidRPr="00A2305B">
        <w:rPr>
          <w:rFonts w:cs="Times New Roman"/>
          <w:szCs w:val="24"/>
        </w:rPr>
        <w:t xml:space="preserve">, R.M., and </w:t>
      </w:r>
      <w:proofErr w:type="spellStart"/>
      <w:r w:rsidRPr="00A2305B">
        <w:rPr>
          <w:rFonts w:cs="Times New Roman"/>
          <w:szCs w:val="24"/>
        </w:rPr>
        <w:t>Garikapati</w:t>
      </w:r>
      <w:proofErr w:type="spellEnd"/>
      <w:r w:rsidRPr="00A2305B">
        <w:rPr>
          <w:rFonts w:cs="Times New Roman"/>
          <w:szCs w:val="24"/>
        </w:rPr>
        <w:t xml:space="preserve">, V.M. (2018). Understanding activity engagement across weekdays and weekend days: A multivariate multiple discrete-continuous </w:t>
      </w:r>
      <w:proofErr w:type="spellStart"/>
      <w:r w:rsidRPr="00A2305B">
        <w:rPr>
          <w:rFonts w:cs="Times New Roman"/>
          <w:szCs w:val="24"/>
        </w:rPr>
        <w:t>modeling</w:t>
      </w:r>
      <w:proofErr w:type="spellEnd"/>
      <w:r w:rsidRPr="00A2305B">
        <w:rPr>
          <w:rFonts w:cs="Times New Roman"/>
          <w:szCs w:val="24"/>
        </w:rPr>
        <w:t xml:space="preserve"> approach. </w:t>
      </w:r>
      <w:r w:rsidRPr="00A2305B">
        <w:rPr>
          <w:rFonts w:cs="Times New Roman"/>
          <w:i/>
          <w:szCs w:val="24"/>
        </w:rPr>
        <w:t>Journal of Choice Modelling</w:t>
      </w:r>
      <w:r w:rsidRPr="00A2305B">
        <w:rPr>
          <w:rFonts w:cs="Times New Roman"/>
          <w:szCs w:val="24"/>
        </w:rPr>
        <w:t>, forthcoming.</w:t>
      </w:r>
    </w:p>
    <w:p w:rsidR="00751138" w:rsidRPr="00A2305B" w:rsidRDefault="00751138" w:rsidP="00A2305B">
      <w:pPr>
        <w:spacing w:after="60"/>
        <w:ind w:left="450" w:hanging="450"/>
        <w:jc w:val="both"/>
        <w:rPr>
          <w:rFonts w:cs="Times New Roman"/>
          <w:szCs w:val="24"/>
        </w:rPr>
      </w:pPr>
      <w:proofErr w:type="spellStart"/>
      <w:r w:rsidRPr="00A2305B">
        <w:rPr>
          <w:rFonts w:cs="Times New Roman"/>
          <w:szCs w:val="24"/>
        </w:rPr>
        <w:t>Autant</w:t>
      </w:r>
      <w:proofErr w:type="spellEnd"/>
      <w:r w:rsidRPr="00A2305B">
        <w:rPr>
          <w:rFonts w:cs="Times New Roman"/>
          <w:szCs w:val="24"/>
        </w:rPr>
        <w:t xml:space="preserve">-Bernard, C., and </w:t>
      </w:r>
      <w:proofErr w:type="spellStart"/>
      <w:r w:rsidRPr="00A2305B">
        <w:rPr>
          <w:rFonts w:cs="Times New Roman"/>
          <w:szCs w:val="24"/>
        </w:rPr>
        <w:t>LeSage</w:t>
      </w:r>
      <w:proofErr w:type="spellEnd"/>
      <w:r w:rsidRPr="00A2305B">
        <w:rPr>
          <w:rFonts w:cs="Times New Roman"/>
          <w:szCs w:val="24"/>
        </w:rPr>
        <w:t xml:space="preserve">, J. (2011). Quantifying knowledge </w:t>
      </w:r>
      <w:proofErr w:type="spellStart"/>
      <w:r w:rsidRPr="00A2305B">
        <w:rPr>
          <w:rFonts w:cs="Times New Roman"/>
          <w:szCs w:val="24"/>
        </w:rPr>
        <w:t>spillovers</w:t>
      </w:r>
      <w:proofErr w:type="spellEnd"/>
      <w:r w:rsidRPr="00A2305B">
        <w:rPr>
          <w:rFonts w:cs="Times New Roman"/>
          <w:szCs w:val="24"/>
        </w:rPr>
        <w:t xml:space="preserve"> using spatial econometric models. </w:t>
      </w:r>
      <w:r w:rsidRPr="00A2305B">
        <w:rPr>
          <w:rFonts w:cs="Times New Roman"/>
          <w:i/>
          <w:szCs w:val="24"/>
        </w:rPr>
        <w:t>Journal of Regional Science</w:t>
      </w:r>
      <w:r w:rsidRPr="00A2305B">
        <w:rPr>
          <w:rFonts w:cs="Times New Roman"/>
          <w:szCs w:val="24"/>
        </w:rPr>
        <w:t xml:space="preserve"> 51(3), 471-496.</w:t>
      </w:r>
    </w:p>
    <w:p w:rsidR="00751138" w:rsidRPr="00A2305B" w:rsidRDefault="00751138" w:rsidP="00A2305B">
      <w:pPr>
        <w:spacing w:after="60"/>
        <w:ind w:left="450" w:hanging="450"/>
        <w:jc w:val="both"/>
        <w:rPr>
          <w:rFonts w:cs="Times New Roman"/>
          <w:szCs w:val="24"/>
        </w:rPr>
      </w:pPr>
      <w:proofErr w:type="spellStart"/>
      <w:r w:rsidRPr="00A2305B">
        <w:rPr>
          <w:rFonts w:cs="Times New Roman"/>
          <w:szCs w:val="24"/>
        </w:rPr>
        <w:t>Badoe</w:t>
      </w:r>
      <w:proofErr w:type="spellEnd"/>
      <w:r w:rsidRPr="00A2305B">
        <w:rPr>
          <w:rFonts w:cs="Times New Roman"/>
          <w:szCs w:val="24"/>
        </w:rPr>
        <w:t xml:space="preserve">, D.A. and Miller, E.J. (2000). Transportation–land-use interaction: empirical findings in North America, and their implications for </w:t>
      </w:r>
      <w:proofErr w:type="spellStart"/>
      <w:r w:rsidRPr="00A2305B">
        <w:rPr>
          <w:rFonts w:cs="Times New Roman"/>
          <w:szCs w:val="24"/>
        </w:rPr>
        <w:t>modeling</w:t>
      </w:r>
      <w:proofErr w:type="spellEnd"/>
      <w:r w:rsidRPr="00A2305B">
        <w:rPr>
          <w:rFonts w:cs="Times New Roman"/>
          <w:szCs w:val="24"/>
        </w:rPr>
        <w:t xml:space="preserve">. </w:t>
      </w:r>
      <w:r w:rsidRPr="00A2305B">
        <w:rPr>
          <w:rFonts w:cs="Times New Roman"/>
          <w:i/>
          <w:szCs w:val="24"/>
        </w:rPr>
        <w:t>Transportation Research Part D</w:t>
      </w:r>
      <w:r w:rsidRPr="00A2305B">
        <w:rPr>
          <w:rFonts w:cs="Times New Roman"/>
          <w:szCs w:val="24"/>
        </w:rPr>
        <w:t xml:space="preserve"> 5(4), 235-263.</w:t>
      </w:r>
    </w:p>
    <w:p w:rsidR="00751138" w:rsidRPr="00A2305B" w:rsidRDefault="00751138" w:rsidP="00A2305B">
      <w:pPr>
        <w:adjustRightInd w:val="0"/>
        <w:snapToGrid w:val="0"/>
        <w:spacing w:after="60"/>
        <w:ind w:left="450" w:hanging="450"/>
        <w:jc w:val="both"/>
        <w:rPr>
          <w:rFonts w:cs="Times New Roman"/>
          <w:szCs w:val="24"/>
        </w:rPr>
      </w:pPr>
      <w:r w:rsidRPr="00A2305B">
        <w:rPr>
          <w:rFonts w:cs="Times New Roman"/>
          <w:szCs w:val="24"/>
        </w:rPr>
        <w:t xml:space="preserve">Bhat, C.R. (2005). A multiple discrete-continuous extreme value model: Formulation and application to discretionary time-use decisions. </w:t>
      </w:r>
      <w:r w:rsidRPr="00A2305B">
        <w:rPr>
          <w:rFonts w:cs="Times New Roman"/>
          <w:i/>
          <w:szCs w:val="24"/>
        </w:rPr>
        <w:t>Transportation Research Part B</w:t>
      </w:r>
      <w:r w:rsidRPr="00A2305B">
        <w:rPr>
          <w:rFonts w:cs="Times New Roman"/>
          <w:szCs w:val="24"/>
        </w:rPr>
        <w:t xml:space="preserve"> 39(8), 679-707.  </w:t>
      </w:r>
    </w:p>
    <w:p w:rsidR="00751138" w:rsidRPr="00A2305B" w:rsidRDefault="00751138" w:rsidP="00A2305B">
      <w:pPr>
        <w:adjustRightInd w:val="0"/>
        <w:snapToGrid w:val="0"/>
        <w:spacing w:after="60"/>
        <w:ind w:left="450" w:hanging="450"/>
        <w:jc w:val="both"/>
        <w:rPr>
          <w:rFonts w:cs="Times New Roman"/>
          <w:szCs w:val="24"/>
        </w:rPr>
      </w:pPr>
      <w:r w:rsidRPr="00A2305B">
        <w:rPr>
          <w:rFonts w:cs="Times New Roman"/>
          <w:szCs w:val="24"/>
        </w:rPr>
        <w:t xml:space="preserve">Bhat, C.R. (2008). The multiple discrete-continuous extreme value (MDCEV) model: Role of utility function parameters, identification considerations, and model extensions. </w:t>
      </w:r>
      <w:r w:rsidRPr="00A2305B">
        <w:rPr>
          <w:rFonts w:cs="Times New Roman"/>
          <w:i/>
          <w:szCs w:val="24"/>
        </w:rPr>
        <w:t>Transportation Research Part B</w:t>
      </w:r>
      <w:r w:rsidRPr="00A2305B">
        <w:rPr>
          <w:rFonts w:cs="Times New Roman"/>
          <w:szCs w:val="24"/>
        </w:rPr>
        <w:t xml:space="preserve"> 42(3), 274-303.</w:t>
      </w:r>
    </w:p>
    <w:p w:rsidR="00751138" w:rsidRPr="00A2305B" w:rsidRDefault="00751138" w:rsidP="00A2305B">
      <w:pPr>
        <w:adjustRightInd w:val="0"/>
        <w:snapToGrid w:val="0"/>
        <w:spacing w:after="60"/>
        <w:ind w:left="450" w:hanging="450"/>
        <w:jc w:val="both"/>
        <w:rPr>
          <w:rFonts w:cs="Times New Roman"/>
          <w:szCs w:val="24"/>
        </w:rPr>
      </w:pPr>
      <w:r w:rsidRPr="00A2305B">
        <w:rPr>
          <w:rFonts w:cs="Times New Roman"/>
          <w:szCs w:val="24"/>
        </w:rPr>
        <w:t xml:space="preserve">Bhat, C.R. (2011). The maximum approximate composite marginal likelihood (MACML) estimation of multinomial </w:t>
      </w:r>
      <w:proofErr w:type="spellStart"/>
      <w:r w:rsidRPr="00A2305B">
        <w:rPr>
          <w:rFonts w:cs="Times New Roman"/>
          <w:szCs w:val="24"/>
        </w:rPr>
        <w:t>probit</w:t>
      </w:r>
      <w:proofErr w:type="spellEnd"/>
      <w:r w:rsidRPr="00A2305B">
        <w:rPr>
          <w:rFonts w:cs="Times New Roman"/>
          <w:szCs w:val="24"/>
        </w:rPr>
        <w:t xml:space="preserve">-based unordered response choice models. </w:t>
      </w:r>
      <w:r w:rsidRPr="00A2305B">
        <w:rPr>
          <w:rFonts w:cs="Times New Roman"/>
          <w:i/>
          <w:szCs w:val="24"/>
        </w:rPr>
        <w:t>Transportation Research Part</w:t>
      </w:r>
      <w:r w:rsidRPr="00A2305B">
        <w:rPr>
          <w:rFonts w:cs="Times New Roman"/>
          <w:szCs w:val="24"/>
        </w:rPr>
        <w:t xml:space="preserve"> </w:t>
      </w:r>
      <w:r w:rsidRPr="00A2305B">
        <w:rPr>
          <w:rFonts w:cs="Times New Roman"/>
          <w:i/>
          <w:szCs w:val="24"/>
        </w:rPr>
        <w:t>B</w:t>
      </w:r>
      <w:r w:rsidRPr="00A2305B">
        <w:rPr>
          <w:rFonts w:cs="Times New Roman"/>
          <w:szCs w:val="24"/>
        </w:rPr>
        <w:t xml:space="preserve"> 45(7), 923-939.</w:t>
      </w:r>
    </w:p>
    <w:p w:rsidR="00751138" w:rsidRPr="00A2305B" w:rsidRDefault="00751138" w:rsidP="00A2305B">
      <w:pPr>
        <w:adjustRightInd w:val="0"/>
        <w:snapToGrid w:val="0"/>
        <w:spacing w:after="60"/>
        <w:ind w:left="450" w:hanging="450"/>
        <w:jc w:val="both"/>
        <w:rPr>
          <w:rFonts w:cs="Times New Roman"/>
          <w:szCs w:val="24"/>
        </w:rPr>
      </w:pPr>
      <w:r w:rsidRPr="00A2305B">
        <w:rPr>
          <w:rFonts w:cs="Times New Roman"/>
          <w:szCs w:val="24"/>
        </w:rPr>
        <w:t xml:space="preserve">Bhat, C.R. (2015). A new generalized heterogeneous data model (GHDM) to jointly model mixed types of dependent variables. </w:t>
      </w:r>
      <w:r w:rsidRPr="00A2305B">
        <w:rPr>
          <w:rFonts w:cs="Times New Roman"/>
          <w:i/>
          <w:szCs w:val="24"/>
        </w:rPr>
        <w:t>Transportation Research Part B</w:t>
      </w:r>
      <w:r w:rsidRPr="00A2305B">
        <w:rPr>
          <w:rFonts w:cs="Times New Roman"/>
          <w:szCs w:val="24"/>
        </w:rPr>
        <w:t xml:space="preserve"> 79, 50-77.</w:t>
      </w:r>
    </w:p>
    <w:p w:rsidR="00751138" w:rsidRPr="00A2305B" w:rsidRDefault="00751138" w:rsidP="00A2305B">
      <w:pPr>
        <w:adjustRightInd w:val="0"/>
        <w:snapToGrid w:val="0"/>
        <w:spacing w:after="60"/>
        <w:ind w:left="450" w:hanging="450"/>
        <w:jc w:val="both"/>
        <w:rPr>
          <w:rFonts w:cs="Times New Roman"/>
          <w:szCs w:val="24"/>
        </w:rPr>
      </w:pPr>
      <w:r w:rsidRPr="00A2305B">
        <w:rPr>
          <w:rFonts w:cs="Times New Roman"/>
          <w:szCs w:val="24"/>
        </w:rPr>
        <w:t xml:space="preserve">Bhat, C.R. (2018). A new flexible multiple discrete-continuous extreme value (MDCEV) choice model. </w:t>
      </w:r>
      <w:r w:rsidRPr="00A2305B">
        <w:rPr>
          <w:rFonts w:cs="Times New Roman"/>
          <w:i/>
          <w:szCs w:val="24"/>
        </w:rPr>
        <w:t>Transportation Research Part B</w:t>
      </w:r>
      <w:r w:rsidRPr="00A2305B">
        <w:rPr>
          <w:rFonts w:cs="Times New Roman"/>
          <w:szCs w:val="24"/>
        </w:rPr>
        <w:t xml:space="preserve"> 110, 261-279.</w:t>
      </w:r>
    </w:p>
    <w:p w:rsidR="00751138" w:rsidRPr="00A2305B" w:rsidRDefault="00751138" w:rsidP="00A2305B">
      <w:pPr>
        <w:adjustRightInd w:val="0"/>
        <w:snapToGrid w:val="0"/>
        <w:spacing w:after="60"/>
        <w:ind w:left="360" w:hanging="360"/>
        <w:jc w:val="both"/>
        <w:rPr>
          <w:rFonts w:eastAsia="Calibri" w:cs="Times New Roman"/>
          <w:szCs w:val="24"/>
        </w:rPr>
      </w:pPr>
      <w:r w:rsidRPr="00A2305B">
        <w:rPr>
          <w:rFonts w:eastAsia="Calibri" w:cs="Times New Roman"/>
          <w:szCs w:val="24"/>
        </w:rPr>
        <w:t xml:space="preserve">Bhat, C.R., </w:t>
      </w:r>
      <w:proofErr w:type="spellStart"/>
      <w:r w:rsidRPr="00A2305B">
        <w:rPr>
          <w:rFonts w:eastAsia="Calibri" w:cs="Times New Roman"/>
          <w:szCs w:val="24"/>
        </w:rPr>
        <w:t>Astroza</w:t>
      </w:r>
      <w:proofErr w:type="spellEnd"/>
      <w:r w:rsidRPr="00A2305B">
        <w:rPr>
          <w:rFonts w:eastAsia="Calibri" w:cs="Times New Roman"/>
          <w:szCs w:val="24"/>
        </w:rPr>
        <w:t xml:space="preserve">, S., Bhat, A.C., and Nagel, K. (2016). Incorporating a multiple discrete-continuous outcome in the generalized heterogeneous data model: Application to residential self-selection effects analysis in an activity time-use </w:t>
      </w:r>
      <w:proofErr w:type="spellStart"/>
      <w:r w:rsidRPr="00A2305B">
        <w:rPr>
          <w:rFonts w:eastAsia="Calibri" w:cs="Times New Roman"/>
          <w:szCs w:val="24"/>
        </w:rPr>
        <w:t>behavior</w:t>
      </w:r>
      <w:proofErr w:type="spellEnd"/>
      <w:r w:rsidRPr="00A2305B">
        <w:rPr>
          <w:rFonts w:eastAsia="Calibri" w:cs="Times New Roman"/>
          <w:szCs w:val="24"/>
        </w:rPr>
        <w:t xml:space="preserve"> model. </w:t>
      </w:r>
      <w:r w:rsidRPr="00A2305B">
        <w:rPr>
          <w:rFonts w:eastAsia="Calibri" w:cs="Times New Roman"/>
          <w:i/>
          <w:szCs w:val="24"/>
        </w:rPr>
        <w:t>Transportation Research Part B</w:t>
      </w:r>
      <w:r w:rsidRPr="00A2305B">
        <w:rPr>
          <w:rFonts w:eastAsia="Calibri" w:cs="Times New Roman"/>
          <w:szCs w:val="24"/>
        </w:rPr>
        <w:t xml:space="preserve"> 91, 52-76.</w:t>
      </w:r>
    </w:p>
    <w:p w:rsidR="00751138" w:rsidRPr="00A2305B" w:rsidRDefault="00751138" w:rsidP="00A2305B">
      <w:pPr>
        <w:adjustRightInd w:val="0"/>
        <w:snapToGrid w:val="0"/>
        <w:spacing w:after="60"/>
        <w:ind w:left="360" w:hanging="360"/>
        <w:jc w:val="both"/>
        <w:rPr>
          <w:rFonts w:eastAsia="Calibri" w:cs="Times New Roman"/>
          <w:szCs w:val="24"/>
        </w:rPr>
      </w:pPr>
      <w:r w:rsidRPr="00A2305B">
        <w:rPr>
          <w:rFonts w:eastAsia="Calibri" w:cs="Times New Roman"/>
          <w:szCs w:val="24"/>
        </w:rPr>
        <w:t xml:space="preserve">Bhat, C.R., Dubey, S.K., and Nagel, K. (2015). Introducing non-normality of latent psychological constructs in choice </w:t>
      </w:r>
      <w:proofErr w:type="spellStart"/>
      <w:r w:rsidRPr="00A2305B">
        <w:rPr>
          <w:rFonts w:eastAsia="Calibri" w:cs="Times New Roman"/>
          <w:szCs w:val="24"/>
        </w:rPr>
        <w:t>modeling</w:t>
      </w:r>
      <w:proofErr w:type="spellEnd"/>
      <w:r w:rsidRPr="00A2305B">
        <w:rPr>
          <w:rFonts w:eastAsia="Calibri" w:cs="Times New Roman"/>
          <w:szCs w:val="24"/>
        </w:rPr>
        <w:t xml:space="preserve"> with an application to bicyclist route choice. </w:t>
      </w:r>
      <w:r w:rsidRPr="00A2305B">
        <w:rPr>
          <w:rFonts w:eastAsia="Calibri" w:cs="Times New Roman"/>
          <w:i/>
          <w:szCs w:val="24"/>
        </w:rPr>
        <w:t>Transportation Research Part B</w:t>
      </w:r>
      <w:r w:rsidRPr="00A2305B">
        <w:rPr>
          <w:rFonts w:eastAsia="Calibri" w:cs="Times New Roman"/>
          <w:szCs w:val="24"/>
        </w:rPr>
        <w:t xml:space="preserve"> 78, 341-363.</w:t>
      </w:r>
    </w:p>
    <w:p w:rsidR="00751138" w:rsidRPr="00A2305B" w:rsidRDefault="00751138" w:rsidP="00A2305B">
      <w:pPr>
        <w:adjustRightInd w:val="0"/>
        <w:snapToGrid w:val="0"/>
        <w:spacing w:after="60"/>
        <w:ind w:left="450" w:hanging="450"/>
        <w:jc w:val="both"/>
        <w:rPr>
          <w:rFonts w:cs="Times New Roman"/>
          <w:szCs w:val="24"/>
        </w:rPr>
      </w:pPr>
      <w:r w:rsidRPr="00A2305B">
        <w:rPr>
          <w:rFonts w:cs="Times New Roman"/>
          <w:szCs w:val="24"/>
        </w:rPr>
        <w:t xml:space="preserve">Bhat, C., </w:t>
      </w:r>
      <w:proofErr w:type="spellStart"/>
      <w:r w:rsidRPr="00A2305B">
        <w:rPr>
          <w:rFonts w:cs="Times New Roman"/>
          <w:szCs w:val="24"/>
        </w:rPr>
        <w:t>Guo</w:t>
      </w:r>
      <w:proofErr w:type="spellEnd"/>
      <w:r w:rsidRPr="00A2305B">
        <w:rPr>
          <w:rFonts w:cs="Times New Roman"/>
          <w:szCs w:val="24"/>
        </w:rPr>
        <w:t xml:space="preserve">, J., Srinivasan, S., and </w:t>
      </w:r>
      <w:proofErr w:type="spellStart"/>
      <w:r w:rsidRPr="00A2305B">
        <w:rPr>
          <w:rFonts w:cs="Times New Roman"/>
          <w:szCs w:val="24"/>
        </w:rPr>
        <w:t>Sivakumar</w:t>
      </w:r>
      <w:proofErr w:type="spellEnd"/>
      <w:r w:rsidRPr="00A2305B">
        <w:rPr>
          <w:rFonts w:cs="Times New Roman"/>
          <w:szCs w:val="24"/>
        </w:rPr>
        <w:t xml:space="preserve">, A. (2004). Comprehensive econometric </w:t>
      </w:r>
      <w:proofErr w:type="spellStart"/>
      <w:r w:rsidRPr="00A2305B">
        <w:rPr>
          <w:rFonts w:cs="Times New Roman"/>
          <w:szCs w:val="24"/>
        </w:rPr>
        <w:t>microsimulator</w:t>
      </w:r>
      <w:proofErr w:type="spellEnd"/>
      <w:r w:rsidRPr="00A2305B">
        <w:rPr>
          <w:rFonts w:cs="Times New Roman"/>
          <w:szCs w:val="24"/>
        </w:rPr>
        <w:t xml:space="preserve"> for daily activity-travel patterns. </w:t>
      </w:r>
      <w:r w:rsidRPr="00A2305B">
        <w:rPr>
          <w:rFonts w:cs="Times New Roman"/>
          <w:i/>
          <w:szCs w:val="24"/>
        </w:rPr>
        <w:t>Transportation Research Record</w:t>
      </w:r>
      <w:r w:rsidRPr="00A2305B">
        <w:rPr>
          <w:rFonts w:cs="Times New Roman"/>
          <w:szCs w:val="24"/>
        </w:rPr>
        <w:t xml:space="preserve"> 1894, 57-66.</w:t>
      </w:r>
    </w:p>
    <w:p w:rsidR="00751138" w:rsidRPr="00A2305B" w:rsidRDefault="00751138" w:rsidP="00A2305B">
      <w:pPr>
        <w:adjustRightInd w:val="0"/>
        <w:snapToGrid w:val="0"/>
        <w:spacing w:after="60"/>
        <w:ind w:left="450" w:hanging="450"/>
        <w:jc w:val="both"/>
        <w:rPr>
          <w:rFonts w:cs="Times New Roman"/>
          <w:szCs w:val="24"/>
        </w:rPr>
      </w:pPr>
      <w:r w:rsidRPr="00A2305B">
        <w:rPr>
          <w:rFonts w:cs="Times New Roman"/>
          <w:szCs w:val="24"/>
        </w:rPr>
        <w:t>Bhat, C.R., </w:t>
      </w:r>
      <w:proofErr w:type="spellStart"/>
      <w:r w:rsidRPr="00A2305B">
        <w:rPr>
          <w:rFonts w:cs="Times New Roman"/>
          <w:szCs w:val="24"/>
        </w:rPr>
        <w:t>Goulias</w:t>
      </w:r>
      <w:proofErr w:type="spellEnd"/>
      <w:r w:rsidRPr="00A2305B">
        <w:rPr>
          <w:rFonts w:cs="Times New Roman"/>
          <w:szCs w:val="24"/>
        </w:rPr>
        <w:t xml:space="preserve">, K.G., </w:t>
      </w:r>
      <w:proofErr w:type="spellStart"/>
      <w:r w:rsidRPr="00A2305B">
        <w:rPr>
          <w:rFonts w:cs="Times New Roman"/>
          <w:szCs w:val="24"/>
        </w:rPr>
        <w:t>Pendyala</w:t>
      </w:r>
      <w:proofErr w:type="spellEnd"/>
      <w:r w:rsidRPr="00A2305B">
        <w:rPr>
          <w:rFonts w:cs="Times New Roman"/>
          <w:szCs w:val="24"/>
        </w:rPr>
        <w:t xml:space="preserve">, R.M., </w:t>
      </w:r>
      <w:proofErr w:type="spellStart"/>
      <w:r w:rsidRPr="00A2305B">
        <w:rPr>
          <w:rFonts w:cs="Times New Roman"/>
          <w:szCs w:val="24"/>
        </w:rPr>
        <w:t>Paleti</w:t>
      </w:r>
      <w:proofErr w:type="spellEnd"/>
      <w:r w:rsidRPr="00A2305B">
        <w:rPr>
          <w:rFonts w:cs="Times New Roman"/>
          <w:szCs w:val="24"/>
        </w:rPr>
        <w:t xml:space="preserve">, R., </w:t>
      </w:r>
      <w:proofErr w:type="spellStart"/>
      <w:r w:rsidRPr="00A2305B">
        <w:rPr>
          <w:rFonts w:cs="Times New Roman"/>
          <w:szCs w:val="24"/>
        </w:rPr>
        <w:t>Sidharthan</w:t>
      </w:r>
      <w:proofErr w:type="spellEnd"/>
      <w:r w:rsidRPr="00A2305B">
        <w:rPr>
          <w:rFonts w:cs="Times New Roman"/>
          <w:szCs w:val="24"/>
        </w:rPr>
        <w:t xml:space="preserve">, R., Schmitt, L., and Hu, H-H. (2013). </w:t>
      </w:r>
      <w:r w:rsidRPr="00A2305B">
        <w:rPr>
          <w:rFonts w:cs="Times New Roman"/>
          <w:bCs/>
          <w:szCs w:val="24"/>
        </w:rPr>
        <w:t>A household-level activity pattern generation model with an application for Southern California</w:t>
      </w:r>
      <w:r w:rsidRPr="00A2305B">
        <w:rPr>
          <w:rFonts w:cs="Times New Roman"/>
          <w:szCs w:val="24"/>
        </w:rPr>
        <w:t xml:space="preserve">. </w:t>
      </w:r>
      <w:r w:rsidRPr="00A2305B">
        <w:rPr>
          <w:rFonts w:cs="Times New Roman"/>
          <w:i/>
          <w:iCs/>
          <w:szCs w:val="24"/>
        </w:rPr>
        <w:t>Transportation</w:t>
      </w:r>
      <w:r w:rsidRPr="00A2305B">
        <w:rPr>
          <w:rFonts w:cs="Times New Roman"/>
          <w:szCs w:val="24"/>
        </w:rPr>
        <w:t xml:space="preserve"> 40(5), 1063-1086.</w:t>
      </w:r>
    </w:p>
    <w:p w:rsidR="00D31383" w:rsidRPr="00A2305B" w:rsidRDefault="00751138" w:rsidP="00A2305B">
      <w:pPr>
        <w:adjustRightInd w:val="0"/>
        <w:snapToGrid w:val="0"/>
        <w:spacing w:after="60"/>
        <w:ind w:left="360" w:hanging="360"/>
        <w:jc w:val="both"/>
        <w:rPr>
          <w:rFonts w:eastAsia="Calibri" w:cs="Times New Roman"/>
          <w:szCs w:val="24"/>
        </w:rPr>
      </w:pPr>
      <w:r w:rsidRPr="00A2305B">
        <w:rPr>
          <w:rFonts w:eastAsia="Calibri" w:cs="Times New Roman"/>
          <w:szCs w:val="24"/>
        </w:rPr>
        <w:t xml:space="preserve">Born, K., Yasmin, S., You, D., </w:t>
      </w:r>
      <w:proofErr w:type="spellStart"/>
      <w:r w:rsidRPr="00A2305B">
        <w:rPr>
          <w:rFonts w:eastAsia="Calibri" w:cs="Times New Roman"/>
          <w:szCs w:val="24"/>
        </w:rPr>
        <w:t>Eluru</w:t>
      </w:r>
      <w:proofErr w:type="spellEnd"/>
      <w:r w:rsidRPr="00A2305B">
        <w:rPr>
          <w:rFonts w:eastAsia="Calibri" w:cs="Times New Roman"/>
          <w:szCs w:val="24"/>
        </w:rPr>
        <w:t xml:space="preserve">, N., Bhat, C.R., and </w:t>
      </w:r>
      <w:proofErr w:type="spellStart"/>
      <w:r w:rsidRPr="00A2305B">
        <w:rPr>
          <w:rFonts w:eastAsia="Calibri" w:cs="Times New Roman"/>
          <w:szCs w:val="24"/>
        </w:rPr>
        <w:t>Pendyala</w:t>
      </w:r>
      <w:proofErr w:type="spellEnd"/>
      <w:r w:rsidRPr="00A2305B">
        <w:rPr>
          <w:rFonts w:eastAsia="Calibri" w:cs="Times New Roman"/>
          <w:szCs w:val="24"/>
        </w:rPr>
        <w:t xml:space="preserve">, R.M. (2014). Joint model of weekend discretionary activity participation and episode duration. </w:t>
      </w:r>
      <w:r w:rsidRPr="00A2305B">
        <w:rPr>
          <w:rFonts w:eastAsia="Calibri" w:cs="Times New Roman"/>
          <w:i/>
          <w:szCs w:val="24"/>
        </w:rPr>
        <w:t>Transportation Research Record</w:t>
      </w:r>
      <w:r w:rsidRPr="00A2305B">
        <w:rPr>
          <w:rFonts w:eastAsia="Calibri" w:cs="Times New Roman"/>
          <w:szCs w:val="24"/>
        </w:rPr>
        <w:t xml:space="preserve"> 2413, 34-44.</w:t>
      </w:r>
    </w:p>
    <w:p w:rsidR="00D31383" w:rsidRPr="00A2305B" w:rsidRDefault="00D31383" w:rsidP="00A2305B">
      <w:pPr>
        <w:adjustRightInd w:val="0"/>
        <w:snapToGrid w:val="0"/>
        <w:spacing w:after="60"/>
        <w:ind w:left="360" w:hanging="360"/>
        <w:jc w:val="both"/>
        <w:rPr>
          <w:rFonts w:eastAsia="Calibri" w:cs="Times New Roman"/>
          <w:szCs w:val="24"/>
        </w:rPr>
      </w:pPr>
      <w:r w:rsidRPr="00A2305B">
        <w:rPr>
          <w:rFonts w:eastAsia="Calibri" w:cs="Times New Roman"/>
          <w:szCs w:val="24"/>
        </w:rPr>
        <w:lastRenderedPageBreak/>
        <w:t xml:space="preserve">Bray, M., and Kwok, P. (2003). </w:t>
      </w:r>
      <w:r w:rsidR="001077ED" w:rsidRPr="00A2305B">
        <w:rPr>
          <w:rFonts w:eastAsia="Calibri" w:cs="Times New Roman"/>
          <w:szCs w:val="24"/>
        </w:rPr>
        <w:t xml:space="preserve">Demand for private supplementary tutoring: conceptual considerations, and socio-economic patterns in Hong Kong. </w:t>
      </w:r>
      <w:r w:rsidRPr="00A2305B">
        <w:rPr>
          <w:rFonts w:eastAsia="Calibri" w:cs="Times New Roman"/>
          <w:i/>
          <w:szCs w:val="24"/>
        </w:rPr>
        <w:t>Economics of Education Review</w:t>
      </w:r>
      <w:r w:rsidRPr="00A2305B">
        <w:rPr>
          <w:rFonts w:eastAsia="Calibri" w:cs="Times New Roman"/>
          <w:szCs w:val="24"/>
        </w:rPr>
        <w:t xml:space="preserve"> 22</w:t>
      </w:r>
      <w:r w:rsidR="001077ED" w:rsidRPr="00A2305B">
        <w:rPr>
          <w:rFonts w:eastAsia="Calibri" w:cs="Times New Roman"/>
          <w:szCs w:val="24"/>
        </w:rPr>
        <w:t>, 611-</w:t>
      </w:r>
      <w:r w:rsidRPr="00A2305B">
        <w:rPr>
          <w:rFonts w:eastAsia="Calibri" w:cs="Times New Roman"/>
          <w:szCs w:val="24"/>
        </w:rPr>
        <w:t>620</w:t>
      </w:r>
      <w:r w:rsidR="001077ED" w:rsidRPr="00A2305B">
        <w:rPr>
          <w:rFonts w:eastAsia="Calibri" w:cs="Times New Roman"/>
          <w:szCs w:val="24"/>
        </w:rPr>
        <w:t>.</w:t>
      </w:r>
    </w:p>
    <w:p w:rsidR="00751138" w:rsidRPr="00A2305B" w:rsidRDefault="00751138" w:rsidP="00A2305B">
      <w:pPr>
        <w:adjustRightInd w:val="0"/>
        <w:snapToGrid w:val="0"/>
        <w:spacing w:after="60"/>
        <w:ind w:left="360" w:hanging="360"/>
        <w:jc w:val="both"/>
        <w:rPr>
          <w:rFonts w:eastAsia="Calibri" w:cs="Times New Roman"/>
          <w:szCs w:val="24"/>
        </w:rPr>
      </w:pPr>
      <w:r w:rsidRPr="00A2305B">
        <w:rPr>
          <w:rFonts w:eastAsia="Calibri" w:cs="Times New Roman"/>
          <w:szCs w:val="24"/>
        </w:rPr>
        <w:t xml:space="preserve">Brownstone, D., and Fang, H.A. (2014). A vehicle ownership and utilization choice model with endogenous residential density. </w:t>
      </w:r>
      <w:r w:rsidRPr="00A2305B">
        <w:rPr>
          <w:rFonts w:eastAsia="Calibri" w:cs="Times New Roman"/>
          <w:i/>
          <w:szCs w:val="24"/>
        </w:rPr>
        <w:t>The Journal of Transport and Land Use</w:t>
      </w:r>
      <w:r w:rsidRPr="00A2305B">
        <w:rPr>
          <w:rFonts w:eastAsia="Calibri" w:cs="Times New Roman"/>
          <w:szCs w:val="24"/>
        </w:rPr>
        <w:t xml:space="preserve"> 7(2), 135-151.</w:t>
      </w:r>
    </w:p>
    <w:p w:rsidR="00BC58C0" w:rsidRPr="00A2305B" w:rsidRDefault="00BC58C0" w:rsidP="00A2305B">
      <w:pPr>
        <w:adjustRightInd w:val="0"/>
        <w:snapToGrid w:val="0"/>
        <w:spacing w:after="60"/>
        <w:ind w:left="360" w:hanging="360"/>
        <w:jc w:val="both"/>
        <w:rPr>
          <w:rFonts w:eastAsia="Calibri" w:cs="Times New Roman"/>
          <w:szCs w:val="24"/>
        </w:rPr>
      </w:pPr>
      <w:proofErr w:type="spellStart"/>
      <w:r w:rsidRPr="00A2305B">
        <w:rPr>
          <w:rFonts w:eastAsia="Calibri" w:cs="Times New Roman"/>
          <w:szCs w:val="24"/>
        </w:rPr>
        <w:t>Bulanda</w:t>
      </w:r>
      <w:proofErr w:type="spellEnd"/>
      <w:r w:rsidRPr="00A2305B">
        <w:rPr>
          <w:rFonts w:eastAsia="Calibri" w:cs="Times New Roman"/>
          <w:szCs w:val="24"/>
        </w:rPr>
        <w:t xml:space="preserve">, R.E., and </w:t>
      </w:r>
      <w:proofErr w:type="spellStart"/>
      <w:r w:rsidRPr="00A2305B">
        <w:rPr>
          <w:rFonts w:eastAsia="Calibri" w:cs="Times New Roman"/>
          <w:szCs w:val="24"/>
        </w:rPr>
        <w:t>Majumdar</w:t>
      </w:r>
      <w:proofErr w:type="spellEnd"/>
      <w:r w:rsidRPr="00A2305B">
        <w:rPr>
          <w:rFonts w:eastAsia="Calibri" w:cs="Times New Roman"/>
          <w:szCs w:val="24"/>
        </w:rPr>
        <w:t xml:space="preserve">, D. (2009). Perceived Parent–Child Relations and Adolescent Self-Esteem. </w:t>
      </w:r>
      <w:r w:rsidRPr="00A2305B">
        <w:rPr>
          <w:rFonts w:eastAsia="Calibri" w:cs="Times New Roman"/>
          <w:i/>
          <w:szCs w:val="24"/>
        </w:rPr>
        <w:t xml:space="preserve">Journal of Child and Family Studies </w:t>
      </w:r>
      <w:r w:rsidRPr="00A2305B">
        <w:rPr>
          <w:rFonts w:eastAsia="Calibri" w:cs="Times New Roman"/>
          <w:szCs w:val="24"/>
        </w:rPr>
        <w:t>18(2), 203-212.</w:t>
      </w:r>
    </w:p>
    <w:p w:rsidR="00751138" w:rsidRPr="00A2305B" w:rsidRDefault="00751138" w:rsidP="00A2305B">
      <w:pPr>
        <w:autoSpaceDE w:val="0"/>
        <w:autoSpaceDN w:val="0"/>
        <w:adjustRightInd w:val="0"/>
        <w:snapToGrid w:val="0"/>
        <w:spacing w:after="60"/>
        <w:ind w:left="360" w:hanging="360"/>
        <w:jc w:val="both"/>
        <w:rPr>
          <w:rFonts w:eastAsia="Times New Roman" w:cs="Times New Roman"/>
          <w:szCs w:val="24"/>
        </w:rPr>
      </w:pPr>
      <w:r w:rsidRPr="00A2305B">
        <w:rPr>
          <w:rFonts w:eastAsia="Times New Roman" w:cs="Times New Roman"/>
          <w:szCs w:val="24"/>
        </w:rPr>
        <w:t xml:space="preserve">Cao, X., and Fan, Y. (2012). Exploring the influences of density on travel </w:t>
      </w:r>
      <w:proofErr w:type="spellStart"/>
      <w:r w:rsidRPr="00A2305B">
        <w:rPr>
          <w:rFonts w:eastAsia="Times New Roman" w:cs="Times New Roman"/>
          <w:szCs w:val="24"/>
        </w:rPr>
        <w:t>behavior</w:t>
      </w:r>
      <w:proofErr w:type="spellEnd"/>
      <w:r w:rsidRPr="00A2305B">
        <w:rPr>
          <w:rFonts w:eastAsia="Times New Roman" w:cs="Times New Roman"/>
          <w:szCs w:val="24"/>
        </w:rPr>
        <w:t xml:space="preserve"> using propensity score matching. </w:t>
      </w:r>
      <w:r w:rsidRPr="00A2305B">
        <w:rPr>
          <w:rFonts w:eastAsia="Times New Roman" w:cs="Times New Roman"/>
          <w:i/>
          <w:szCs w:val="24"/>
        </w:rPr>
        <w:t>Environment and Planning B</w:t>
      </w:r>
      <w:r w:rsidRPr="00A2305B">
        <w:rPr>
          <w:rFonts w:eastAsia="Times New Roman" w:cs="Times New Roman"/>
          <w:szCs w:val="24"/>
        </w:rPr>
        <w:t xml:space="preserve"> 39(3), 459-470.</w:t>
      </w:r>
    </w:p>
    <w:p w:rsidR="00BC58C0" w:rsidRPr="00A2305B" w:rsidRDefault="00BC58C0" w:rsidP="00A2305B">
      <w:pPr>
        <w:autoSpaceDE w:val="0"/>
        <w:autoSpaceDN w:val="0"/>
        <w:adjustRightInd w:val="0"/>
        <w:snapToGrid w:val="0"/>
        <w:spacing w:after="60"/>
        <w:ind w:left="360" w:hanging="360"/>
        <w:jc w:val="both"/>
        <w:rPr>
          <w:rFonts w:eastAsia="Times New Roman" w:cs="Times New Roman"/>
          <w:szCs w:val="24"/>
        </w:rPr>
      </w:pPr>
      <w:r w:rsidRPr="00A2305B">
        <w:rPr>
          <w:rFonts w:eastAsia="Times New Roman" w:cs="Times New Roman"/>
          <w:szCs w:val="24"/>
        </w:rPr>
        <w:t xml:space="preserve">Castillo, J., Welch, G., and Sarver, C. (2011). Fathering: The Relationship </w:t>
      </w:r>
      <w:proofErr w:type="gramStart"/>
      <w:r w:rsidRPr="00A2305B">
        <w:rPr>
          <w:rFonts w:eastAsia="Times New Roman" w:cs="Times New Roman"/>
          <w:szCs w:val="24"/>
        </w:rPr>
        <w:t>Between</w:t>
      </w:r>
      <w:proofErr w:type="gramEnd"/>
      <w:r w:rsidRPr="00A2305B">
        <w:rPr>
          <w:rFonts w:eastAsia="Times New Roman" w:cs="Times New Roman"/>
          <w:szCs w:val="24"/>
        </w:rPr>
        <w:t xml:space="preserve"> Fathers’ Residence, Fathers’ Sociodemographic Characteristics, and Father Involvement. </w:t>
      </w:r>
      <w:r w:rsidRPr="00A2305B">
        <w:rPr>
          <w:rFonts w:eastAsia="Times New Roman" w:cs="Times New Roman"/>
          <w:i/>
          <w:szCs w:val="24"/>
        </w:rPr>
        <w:t xml:space="preserve">Maternal and Child Health Journal </w:t>
      </w:r>
      <w:r w:rsidRPr="00A2305B">
        <w:rPr>
          <w:rFonts w:eastAsia="Times New Roman" w:cs="Times New Roman"/>
          <w:szCs w:val="24"/>
        </w:rPr>
        <w:t>15(8), 1342-1349.</w:t>
      </w:r>
    </w:p>
    <w:p w:rsidR="00751138" w:rsidRPr="00A2305B" w:rsidRDefault="00751138" w:rsidP="00A2305B">
      <w:pPr>
        <w:autoSpaceDE w:val="0"/>
        <w:autoSpaceDN w:val="0"/>
        <w:adjustRightInd w:val="0"/>
        <w:snapToGrid w:val="0"/>
        <w:spacing w:after="60"/>
        <w:ind w:left="360" w:hanging="360"/>
        <w:jc w:val="both"/>
        <w:rPr>
          <w:rFonts w:eastAsia="Times New Roman" w:cs="Times New Roman"/>
          <w:szCs w:val="24"/>
        </w:rPr>
      </w:pPr>
      <w:r w:rsidRPr="00A2305B">
        <w:rPr>
          <w:rFonts w:eastAsia="Times New Roman" w:cs="Times New Roman"/>
          <w:szCs w:val="24"/>
        </w:rPr>
        <w:t xml:space="preserve">Chiu, R.L.H. (2007). Planning, land and affordable housing in Hong Kong. </w:t>
      </w:r>
      <w:r w:rsidRPr="00A2305B">
        <w:rPr>
          <w:rFonts w:eastAsia="Times New Roman" w:cs="Times New Roman"/>
          <w:i/>
          <w:szCs w:val="24"/>
        </w:rPr>
        <w:t>Housing Studies</w:t>
      </w:r>
      <w:r w:rsidRPr="00A2305B">
        <w:rPr>
          <w:rFonts w:eastAsia="Times New Roman" w:cs="Times New Roman"/>
          <w:szCs w:val="24"/>
        </w:rPr>
        <w:t xml:space="preserve"> 22(1), 63-81.</w:t>
      </w:r>
    </w:p>
    <w:p w:rsidR="00751138" w:rsidRPr="00A2305B" w:rsidRDefault="00751138" w:rsidP="00A2305B">
      <w:pPr>
        <w:autoSpaceDE w:val="0"/>
        <w:autoSpaceDN w:val="0"/>
        <w:adjustRightInd w:val="0"/>
        <w:snapToGrid w:val="0"/>
        <w:spacing w:after="60"/>
        <w:ind w:left="360" w:hanging="360"/>
        <w:jc w:val="both"/>
        <w:rPr>
          <w:rFonts w:eastAsia="Times New Roman" w:cs="Times New Roman"/>
          <w:szCs w:val="24"/>
        </w:rPr>
      </w:pPr>
      <w:r w:rsidRPr="00A2305B">
        <w:rPr>
          <w:rFonts w:eastAsia="Times New Roman" w:cs="Times New Roman"/>
          <w:szCs w:val="24"/>
        </w:rPr>
        <w:t xml:space="preserve">Choi, S. (2009). Diversity in the US federal government: Diversity management and employee turnover in federal agencies. </w:t>
      </w:r>
      <w:r w:rsidRPr="00A2305B">
        <w:rPr>
          <w:rFonts w:eastAsia="Times New Roman" w:cs="Times New Roman"/>
          <w:i/>
          <w:szCs w:val="24"/>
        </w:rPr>
        <w:t>Journal of Public Administration Research and Theory</w:t>
      </w:r>
      <w:r w:rsidRPr="00A2305B">
        <w:rPr>
          <w:rFonts w:eastAsiaTheme="minorEastAsia" w:cs="Times New Roman"/>
          <w:szCs w:val="24"/>
          <w:lang w:val="en-HK" w:eastAsia="zh-TW"/>
        </w:rPr>
        <w:t xml:space="preserve"> 19(3),</w:t>
      </w:r>
      <w:r w:rsidRPr="00A2305B">
        <w:rPr>
          <w:rFonts w:eastAsia="Times New Roman" w:cs="Times New Roman"/>
          <w:szCs w:val="24"/>
        </w:rPr>
        <w:t xml:space="preserve"> 603-630.</w:t>
      </w:r>
    </w:p>
    <w:p w:rsidR="00751138" w:rsidRPr="00A2305B" w:rsidRDefault="00751138" w:rsidP="00A2305B">
      <w:pPr>
        <w:spacing w:after="60"/>
        <w:ind w:left="450" w:hanging="450"/>
        <w:jc w:val="both"/>
        <w:rPr>
          <w:rFonts w:cs="Times New Roman"/>
          <w:szCs w:val="24"/>
          <w:lang w:eastAsia="zh-CN"/>
        </w:rPr>
      </w:pPr>
      <w:r w:rsidRPr="00A2305B">
        <w:rPr>
          <w:rFonts w:cs="Times New Roman"/>
          <w:szCs w:val="24"/>
          <w:lang w:eastAsia="zh-CN"/>
        </w:rPr>
        <w:t xml:space="preserve">Christie, N., Kimberlee, R., Towner, E., Rodgers, S., Ward, H., </w:t>
      </w:r>
      <w:proofErr w:type="spellStart"/>
      <w:r w:rsidRPr="00A2305B">
        <w:rPr>
          <w:rFonts w:cs="Times New Roman"/>
          <w:szCs w:val="24"/>
          <w:lang w:eastAsia="zh-CN"/>
        </w:rPr>
        <w:t>Sleney</w:t>
      </w:r>
      <w:proofErr w:type="spellEnd"/>
      <w:r w:rsidRPr="00A2305B">
        <w:rPr>
          <w:rFonts w:cs="Times New Roman"/>
          <w:szCs w:val="24"/>
          <w:lang w:eastAsia="zh-CN"/>
        </w:rPr>
        <w:t xml:space="preserve">, J., and Lyons, R. (2011). Children aged 9–14 living in disadvantaged areas in England: Opportunities and barriers for cycling. </w:t>
      </w:r>
      <w:r w:rsidRPr="00A2305B">
        <w:rPr>
          <w:rFonts w:cs="Times New Roman"/>
          <w:i/>
          <w:szCs w:val="24"/>
          <w:lang w:eastAsia="zh-CN"/>
        </w:rPr>
        <w:t xml:space="preserve">Journal of Transport Geography </w:t>
      </w:r>
      <w:r w:rsidRPr="00A2305B">
        <w:rPr>
          <w:rFonts w:cs="Times New Roman"/>
          <w:szCs w:val="24"/>
          <w:lang w:eastAsia="zh-CN"/>
        </w:rPr>
        <w:t>19(4), 943-949.</w:t>
      </w:r>
    </w:p>
    <w:p w:rsidR="00751138" w:rsidRPr="00A2305B" w:rsidRDefault="00751138" w:rsidP="00A2305B">
      <w:pPr>
        <w:autoSpaceDE w:val="0"/>
        <w:autoSpaceDN w:val="0"/>
        <w:adjustRightInd w:val="0"/>
        <w:snapToGrid w:val="0"/>
        <w:spacing w:after="60"/>
        <w:ind w:left="360" w:hanging="360"/>
        <w:jc w:val="both"/>
        <w:rPr>
          <w:rFonts w:eastAsia="Times New Roman" w:cs="Times New Roman"/>
          <w:szCs w:val="24"/>
        </w:rPr>
      </w:pPr>
      <w:proofErr w:type="spellStart"/>
      <w:r w:rsidRPr="00A2305B">
        <w:rPr>
          <w:rFonts w:eastAsia="Times New Roman" w:cs="Times New Roman"/>
          <w:szCs w:val="24"/>
        </w:rPr>
        <w:t>Copperman</w:t>
      </w:r>
      <w:proofErr w:type="spellEnd"/>
      <w:r w:rsidRPr="00A2305B">
        <w:rPr>
          <w:rFonts w:eastAsia="Times New Roman" w:cs="Times New Roman"/>
          <w:szCs w:val="24"/>
        </w:rPr>
        <w:t xml:space="preserve">, R., and Bhat, C.R. (2007). An exploratory analysis of children’s daily time-use and activity patterns using the child development supplement (CDS) to the US panel study of income dynamics (PSID). </w:t>
      </w:r>
      <w:r w:rsidRPr="00A2305B">
        <w:rPr>
          <w:rFonts w:eastAsia="Times New Roman" w:cs="Times New Roman"/>
          <w:i/>
          <w:szCs w:val="24"/>
        </w:rPr>
        <w:t>Transportation Research Record</w:t>
      </w:r>
      <w:r w:rsidRPr="00A2305B">
        <w:rPr>
          <w:rFonts w:eastAsia="Times New Roman" w:cs="Times New Roman"/>
          <w:szCs w:val="24"/>
        </w:rPr>
        <w:t xml:space="preserve"> 2021, 36-44.</w:t>
      </w:r>
    </w:p>
    <w:p w:rsidR="00751138" w:rsidRPr="00A2305B" w:rsidRDefault="00751138" w:rsidP="00A2305B">
      <w:pPr>
        <w:autoSpaceDE w:val="0"/>
        <w:autoSpaceDN w:val="0"/>
        <w:adjustRightInd w:val="0"/>
        <w:snapToGrid w:val="0"/>
        <w:spacing w:after="60"/>
        <w:ind w:left="360" w:hanging="360"/>
        <w:jc w:val="both"/>
        <w:rPr>
          <w:rFonts w:eastAsia="Times New Roman" w:cs="Times New Roman"/>
          <w:szCs w:val="24"/>
        </w:rPr>
      </w:pPr>
      <w:r w:rsidRPr="00A2305B">
        <w:rPr>
          <w:rFonts w:eastAsia="Times New Roman" w:cs="Times New Roman"/>
          <w:szCs w:val="24"/>
        </w:rPr>
        <w:t xml:space="preserve">Covay, E., and </w:t>
      </w:r>
      <w:proofErr w:type="spellStart"/>
      <w:r w:rsidRPr="00A2305B">
        <w:rPr>
          <w:rFonts w:eastAsia="Times New Roman" w:cs="Times New Roman"/>
          <w:szCs w:val="24"/>
        </w:rPr>
        <w:t>Carbonaro</w:t>
      </w:r>
      <w:proofErr w:type="spellEnd"/>
      <w:r w:rsidRPr="00A2305B">
        <w:rPr>
          <w:rFonts w:eastAsia="Times New Roman" w:cs="Times New Roman"/>
          <w:szCs w:val="24"/>
        </w:rPr>
        <w:t xml:space="preserve">, W. (2010). After the bell: Participation in extracurricular activities, classroom </w:t>
      </w:r>
      <w:proofErr w:type="spellStart"/>
      <w:r w:rsidRPr="00A2305B">
        <w:rPr>
          <w:rFonts w:eastAsia="Times New Roman" w:cs="Times New Roman"/>
          <w:szCs w:val="24"/>
        </w:rPr>
        <w:t>behavior</w:t>
      </w:r>
      <w:proofErr w:type="spellEnd"/>
      <w:r w:rsidRPr="00A2305B">
        <w:rPr>
          <w:rFonts w:eastAsia="Times New Roman" w:cs="Times New Roman"/>
          <w:szCs w:val="24"/>
        </w:rPr>
        <w:t xml:space="preserve">, and academic achievement. </w:t>
      </w:r>
      <w:r w:rsidRPr="00A2305B">
        <w:rPr>
          <w:rFonts w:eastAsia="Times New Roman" w:cs="Times New Roman"/>
          <w:i/>
          <w:szCs w:val="24"/>
        </w:rPr>
        <w:t>Sociology of Education</w:t>
      </w:r>
      <w:r w:rsidRPr="00A2305B">
        <w:rPr>
          <w:rFonts w:eastAsia="Times New Roman" w:cs="Times New Roman"/>
          <w:szCs w:val="24"/>
        </w:rPr>
        <w:t xml:space="preserve"> 83(1), 20-45.</w:t>
      </w:r>
    </w:p>
    <w:p w:rsidR="00751138" w:rsidRPr="00A2305B" w:rsidRDefault="00751138" w:rsidP="00A2305B">
      <w:pPr>
        <w:autoSpaceDE w:val="0"/>
        <w:autoSpaceDN w:val="0"/>
        <w:adjustRightInd w:val="0"/>
        <w:snapToGrid w:val="0"/>
        <w:spacing w:after="60"/>
        <w:ind w:left="360" w:hanging="360"/>
        <w:jc w:val="both"/>
        <w:rPr>
          <w:rFonts w:eastAsia="Times New Roman" w:cs="Times New Roman"/>
          <w:szCs w:val="24"/>
        </w:rPr>
      </w:pPr>
      <w:r w:rsidRPr="00A2305B">
        <w:rPr>
          <w:rFonts w:eastAsia="Times New Roman" w:cs="Times New Roman"/>
          <w:szCs w:val="24"/>
        </w:rPr>
        <w:t xml:space="preserve">Craigie, A.M., Lake, A.A., Kelly, S.A., Adamson, A.J., and Mathers, J.C. (2011). Tracking of obesity-related behaviours from childhood to adulthood: A systematic review. </w:t>
      </w:r>
      <w:proofErr w:type="spellStart"/>
      <w:r w:rsidRPr="00A2305B">
        <w:rPr>
          <w:rFonts w:eastAsia="Times New Roman" w:cs="Times New Roman"/>
          <w:i/>
          <w:szCs w:val="24"/>
        </w:rPr>
        <w:t>Maturitas</w:t>
      </w:r>
      <w:proofErr w:type="spellEnd"/>
      <w:r w:rsidRPr="00A2305B">
        <w:rPr>
          <w:rFonts w:eastAsia="Times New Roman" w:cs="Times New Roman"/>
          <w:i/>
          <w:szCs w:val="24"/>
        </w:rPr>
        <w:t xml:space="preserve"> </w:t>
      </w:r>
      <w:r w:rsidRPr="00A2305B">
        <w:rPr>
          <w:rFonts w:eastAsia="Times New Roman" w:cs="Times New Roman"/>
          <w:szCs w:val="24"/>
        </w:rPr>
        <w:t>70(3), 266-284.</w:t>
      </w:r>
    </w:p>
    <w:p w:rsidR="00751138" w:rsidRPr="00A2305B" w:rsidRDefault="00751138" w:rsidP="00A2305B">
      <w:pPr>
        <w:autoSpaceDE w:val="0"/>
        <w:autoSpaceDN w:val="0"/>
        <w:adjustRightInd w:val="0"/>
        <w:snapToGrid w:val="0"/>
        <w:spacing w:after="60"/>
        <w:ind w:left="360" w:hanging="360"/>
        <w:jc w:val="both"/>
        <w:rPr>
          <w:rFonts w:eastAsia="Times New Roman" w:cs="Times New Roman"/>
          <w:szCs w:val="24"/>
        </w:rPr>
      </w:pPr>
      <w:r w:rsidRPr="00A2305B">
        <w:rPr>
          <w:rFonts w:eastAsia="Times New Roman" w:cs="Times New Roman"/>
          <w:szCs w:val="24"/>
        </w:rPr>
        <w:t xml:space="preserve">CSD (2018). 2016 Population By-census. </w:t>
      </w:r>
      <w:r w:rsidRPr="00A2305B">
        <w:rPr>
          <w:rFonts w:eastAsia="Times New Roman" w:cs="Times New Roman"/>
          <w:i/>
          <w:szCs w:val="24"/>
        </w:rPr>
        <w:t>Hong Kong SAR Government Census and Statistics Department</w:t>
      </w:r>
      <w:r w:rsidRPr="00A2305B">
        <w:rPr>
          <w:rFonts w:eastAsia="Times New Roman" w:cs="Times New Roman"/>
          <w:szCs w:val="24"/>
        </w:rPr>
        <w:t xml:space="preserve">. Available at: </w:t>
      </w:r>
      <w:hyperlink r:id="rId226" w:history="1">
        <w:r w:rsidRPr="00A2305B">
          <w:rPr>
            <w:rStyle w:val="Hyperlink"/>
            <w:rFonts w:eastAsia="Times New Roman" w:cs="Times New Roman"/>
            <w:szCs w:val="24"/>
          </w:rPr>
          <w:t>https://www.bycensus2016.gov.hk/en/index.html</w:t>
        </w:r>
      </w:hyperlink>
      <w:r w:rsidRPr="00A2305B">
        <w:rPr>
          <w:rFonts w:eastAsia="Times New Roman" w:cs="Times New Roman"/>
          <w:szCs w:val="24"/>
        </w:rPr>
        <w:t xml:space="preserve">. Retrieved Feb 27 2018. </w:t>
      </w:r>
    </w:p>
    <w:p w:rsidR="00751138" w:rsidRPr="00A2305B" w:rsidRDefault="00751138" w:rsidP="00A2305B">
      <w:pPr>
        <w:autoSpaceDE w:val="0"/>
        <w:autoSpaceDN w:val="0"/>
        <w:adjustRightInd w:val="0"/>
        <w:snapToGrid w:val="0"/>
        <w:spacing w:after="60"/>
        <w:ind w:left="360" w:hanging="360"/>
        <w:jc w:val="both"/>
        <w:rPr>
          <w:rFonts w:eastAsia="Times New Roman" w:cs="Times New Roman"/>
          <w:szCs w:val="24"/>
        </w:rPr>
      </w:pPr>
      <w:r w:rsidRPr="00A2305B">
        <w:rPr>
          <w:rFonts w:eastAsia="Times New Roman" w:cs="Times New Roman"/>
          <w:szCs w:val="24"/>
        </w:rPr>
        <w:t xml:space="preserve">De Abreu e Silva, J., Martinez, L., and </w:t>
      </w:r>
      <w:proofErr w:type="spellStart"/>
      <w:r w:rsidRPr="00A2305B">
        <w:rPr>
          <w:rFonts w:eastAsia="Times New Roman" w:cs="Times New Roman"/>
          <w:szCs w:val="24"/>
        </w:rPr>
        <w:t>Goulias</w:t>
      </w:r>
      <w:proofErr w:type="spellEnd"/>
      <w:r w:rsidRPr="00A2305B">
        <w:rPr>
          <w:rFonts w:eastAsia="Times New Roman" w:cs="Times New Roman"/>
          <w:szCs w:val="24"/>
        </w:rPr>
        <w:t xml:space="preserve">, K. (2012). Using a multi equation model to unravel the influence of land use patterns on travel </w:t>
      </w:r>
      <w:proofErr w:type="spellStart"/>
      <w:r w:rsidRPr="00A2305B">
        <w:rPr>
          <w:rFonts w:eastAsia="Times New Roman" w:cs="Times New Roman"/>
          <w:szCs w:val="24"/>
        </w:rPr>
        <w:t>behavior</w:t>
      </w:r>
      <w:proofErr w:type="spellEnd"/>
      <w:r w:rsidRPr="00A2305B">
        <w:rPr>
          <w:rFonts w:eastAsia="Times New Roman" w:cs="Times New Roman"/>
          <w:szCs w:val="24"/>
        </w:rPr>
        <w:t xml:space="preserve"> of workers in Lisbon. </w:t>
      </w:r>
      <w:r w:rsidRPr="00A2305B">
        <w:rPr>
          <w:rFonts w:eastAsia="Times New Roman" w:cs="Times New Roman"/>
          <w:i/>
          <w:szCs w:val="24"/>
        </w:rPr>
        <w:t>Transportation Letters</w:t>
      </w:r>
      <w:r w:rsidRPr="00A2305B">
        <w:rPr>
          <w:rFonts w:eastAsia="Times New Roman" w:cs="Times New Roman"/>
          <w:szCs w:val="24"/>
        </w:rPr>
        <w:t xml:space="preserve"> 4(4), 193–209.</w:t>
      </w:r>
    </w:p>
    <w:p w:rsidR="00AF71B3" w:rsidRPr="00A2305B" w:rsidRDefault="00AF71B3" w:rsidP="00A2305B">
      <w:pPr>
        <w:autoSpaceDE w:val="0"/>
        <w:autoSpaceDN w:val="0"/>
        <w:adjustRightInd w:val="0"/>
        <w:snapToGrid w:val="0"/>
        <w:spacing w:after="60"/>
        <w:ind w:left="360" w:hanging="360"/>
        <w:jc w:val="both"/>
        <w:rPr>
          <w:rFonts w:eastAsia="Times New Roman" w:cs="Times New Roman"/>
          <w:szCs w:val="24"/>
        </w:rPr>
      </w:pPr>
      <w:r w:rsidRPr="00A2305B">
        <w:rPr>
          <w:rFonts w:eastAsia="Times New Roman" w:cs="Times New Roman"/>
          <w:szCs w:val="24"/>
        </w:rPr>
        <w:t xml:space="preserve">De Castro, B.V., and de Guzman, A.B. (2014). From Scratch to Notch: Understanding Private Tutoring Metamorphosis in the Philippines From the Perspectives of Cram School and Formal School Administrators. </w:t>
      </w:r>
      <w:r w:rsidRPr="00A2305B">
        <w:rPr>
          <w:rFonts w:eastAsia="Times New Roman" w:cs="Times New Roman"/>
          <w:i/>
          <w:szCs w:val="24"/>
        </w:rPr>
        <w:t xml:space="preserve">Education and Urban Society </w:t>
      </w:r>
      <w:r w:rsidRPr="00A2305B">
        <w:rPr>
          <w:rFonts w:eastAsia="Times New Roman" w:cs="Times New Roman"/>
          <w:szCs w:val="24"/>
        </w:rPr>
        <w:t>46(3), 287-311.</w:t>
      </w:r>
    </w:p>
    <w:p w:rsidR="00751138" w:rsidRPr="00A2305B" w:rsidRDefault="00751138" w:rsidP="00A2305B">
      <w:pPr>
        <w:autoSpaceDE w:val="0"/>
        <w:autoSpaceDN w:val="0"/>
        <w:adjustRightInd w:val="0"/>
        <w:snapToGrid w:val="0"/>
        <w:spacing w:after="60"/>
        <w:ind w:left="360" w:hanging="360"/>
        <w:jc w:val="both"/>
        <w:rPr>
          <w:rFonts w:eastAsia="Times New Roman" w:cs="Times New Roman"/>
          <w:szCs w:val="24"/>
        </w:rPr>
      </w:pPr>
      <w:r w:rsidRPr="00A2305B">
        <w:rPr>
          <w:rFonts w:eastAsia="Times New Roman" w:cs="Times New Roman"/>
          <w:szCs w:val="24"/>
        </w:rPr>
        <w:t xml:space="preserve">De </w:t>
      </w:r>
      <w:proofErr w:type="spellStart"/>
      <w:r w:rsidRPr="00A2305B">
        <w:rPr>
          <w:rFonts w:eastAsia="Times New Roman" w:cs="Times New Roman"/>
          <w:szCs w:val="24"/>
        </w:rPr>
        <w:t>Meester</w:t>
      </w:r>
      <w:proofErr w:type="spellEnd"/>
      <w:r w:rsidRPr="00A2305B">
        <w:rPr>
          <w:rFonts w:eastAsia="Times New Roman" w:cs="Times New Roman"/>
          <w:szCs w:val="24"/>
        </w:rPr>
        <w:t xml:space="preserve">, A., </w:t>
      </w:r>
      <w:proofErr w:type="spellStart"/>
      <w:r w:rsidRPr="00A2305B">
        <w:rPr>
          <w:rFonts w:eastAsia="Times New Roman" w:cs="Times New Roman"/>
          <w:szCs w:val="24"/>
        </w:rPr>
        <w:t>Cardon</w:t>
      </w:r>
      <w:proofErr w:type="spellEnd"/>
      <w:r w:rsidRPr="00A2305B">
        <w:rPr>
          <w:rFonts w:eastAsia="Times New Roman" w:cs="Times New Roman"/>
          <w:szCs w:val="24"/>
        </w:rPr>
        <w:t xml:space="preserve">, G., De </w:t>
      </w:r>
      <w:proofErr w:type="spellStart"/>
      <w:r w:rsidRPr="00A2305B">
        <w:rPr>
          <w:rFonts w:eastAsia="Times New Roman" w:cs="Times New Roman"/>
          <w:szCs w:val="24"/>
        </w:rPr>
        <w:t>Bourdeaudhuij</w:t>
      </w:r>
      <w:proofErr w:type="spellEnd"/>
      <w:r w:rsidRPr="00A2305B">
        <w:rPr>
          <w:rFonts w:eastAsia="Times New Roman" w:cs="Times New Roman"/>
          <w:szCs w:val="24"/>
        </w:rPr>
        <w:t xml:space="preserve">, I., and </w:t>
      </w:r>
      <w:proofErr w:type="spellStart"/>
      <w:r w:rsidRPr="00A2305B">
        <w:rPr>
          <w:rFonts w:eastAsia="Times New Roman" w:cs="Times New Roman"/>
          <w:szCs w:val="24"/>
        </w:rPr>
        <w:t>Haerens</w:t>
      </w:r>
      <w:proofErr w:type="spellEnd"/>
      <w:r w:rsidRPr="00A2305B">
        <w:rPr>
          <w:rFonts w:eastAsia="Times New Roman" w:cs="Times New Roman"/>
          <w:szCs w:val="24"/>
        </w:rPr>
        <w:t xml:space="preserve">, L. (2017). Extracurricular school-based sports as a stepping stone toward an active lifestyle? Differences in physical activity and sports-motivation between extracurricular school-based sports participants and non-participants. </w:t>
      </w:r>
      <w:r w:rsidRPr="00A2305B">
        <w:rPr>
          <w:rFonts w:eastAsia="Times New Roman" w:cs="Times New Roman"/>
          <w:i/>
          <w:szCs w:val="24"/>
        </w:rPr>
        <w:t>Journal of Teaching in Physical Education</w:t>
      </w:r>
      <w:r w:rsidRPr="00A2305B">
        <w:rPr>
          <w:rFonts w:eastAsia="Times New Roman" w:cs="Times New Roman"/>
          <w:szCs w:val="24"/>
        </w:rPr>
        <w:t xml:space="preserve"> 36(4), 485-497.</w:t>
      </w:r>
    </w:p>
    <w:p w:rsidR="00751138" w:rsidRPr="00A2305B" w:rsidRDefault="00751138" w:rsidP="00A2305B">
      <w:pPr>
        <w:spacing w:after="60"/>
        <w:ind w:left="450" w:hanging="450"/>
        <w:jc w:val="both"/>
        <w:rPr>
          <w:rFonts w:cs="Times New Roman"/>
          <w:szCs w:val="24"/>
          <w:lang w:eastAsia="zh-CN"/>
        </w:rPr>
      </w:pPr>
      <w:proofErr w:type="spellStart"/>
      <w:r w:rsidRPr="00A2305B">
        <w:rPr>
          <w:rFonts w:cs="Times New Roman"/>
          <w:szCs w:val="24"/>
          <w:lang w:eastAsia="zh-CN"/>
        </w:rPr>
        <w:t>Deka</w:t>
      </w:r>
      <w:proofErr w:type="spellEnd"/>
      <w:r w:rsidRPr="00A2305B">
        <w:rPr>
          <w:rFonts w:cs="Times New Roman"/>
          <w:szCs w:val="24"/>
          <w:lang w:eastAsia="zh-CN"/>
        </w:rPr>
        <w:t xml:space="preserve">, D. (2013). An explanation of the relationship between adults’ work trip mode and children’s school trip mode through the Heckman approach. </w:t>
      </w:r>
      <w:r w:rsidRPr="00A2305B">
        <w:rPr>
          <w:rFonts w:cs="Times New Roman"/>
          <w:i/>
          <w:szCs w:val="24"/>
          <w:lang w:eastAsia="zh-CN"/>
        </w:rPr>
        <w:t>Journal of Transport Geography</w:t>
      </w:r>
      <w:r w:rsidRPr="00A2305B">
        <w:rPr>
          <w:rFonts w:cs="Times New Roman"/>
          <w:szCs w:val="24"/>
          <w:lang w:eastAsia="zh-CN"/>
        </w:rPr>
        <w:t xml:space="preserve"> 31, 54-63.</w:t>
      </w:r>
    </w:p>
    <w:p w:rsidR="00751138" w:rsidRPr="00A2305B" w:rsidRDefault="00751138" w:rsidP="00A2305B">
      <w:pPr>
        <w:spacing w:after="60"/>
        <w:ind w:left="450" w:hanging="450"/>
        <w:jc w:val="both"/>
        <w:rPr>
          <w:rFonts w:cs="Times New Roman"/>
          <w:szCs w:val="24"/>
          <w:lang w:eastAsia="zh-CN"/>
        </w:rPr>
      </w:pPr>
      <w:proofErr w:type="spellStart"/>
      <w:r w:rsidRPr="00A2305B">
        <w:rPr>
          <w:rFonts w:cs="Times New Roman"/>
          <w:szCs w:val="24"/>
          <w:lang w:eastAsia="zh-CN"/>
        </w:rPr>
        <w:lastRenderedPageBreak/>
        <w:t>Deka</w:t>
      </w:r>
      <w:proofErr w:type="spellEnd"/>
      <w:r w:rsidRPr="00A2305B">
        <w:rPr>
          <w:rFonts w:cs="Times New Roman"/>
          <w:szCs w:val="24"/>
          <w:lang w:eastAsia="zh-CN"/>
        </w:rPr>
        <w:t xml:space="preserve">, D. (2017). Impacts of standardizing school start time on children and household workers – An examination with NHTS data. </w:t>
      </w:r>
      <w:r w:rsidRPr="00A2305B">
        <w:rPr>
          <w:rFonts w:cs="Times New Roman"/>
          <w:i/>
          <w:szCs w:val="24"/>
          <w:lang w:eastAsia="zh-CN"/>
        </w:rPr>
        <w:t>Journal of Transport Geography</w:t>
      </w:r>
      <w:r w:rsidRPr="00A2305B">
        <w:rPr>
          <w:rFonts w:cs="Times New Roman"/>
          <w:szCs w:val="24"/>
          <w:lang w:eastAsia="zh-CN"/>
        </w:rPr>
        <w:t xml:space="preserve"> 59, 40-48.</w:t>
      </w:r>
    </w:p>
    <w:p w:rsidR="00751138" w:rsidRPr="00A2305B" w:rsidRDefault="00751138" w:rsidP="00A2305B">
      <w:pPr>
        <w:keepLines/>
        <w:adjustRightInd w:val="0"/>
        <w:snapToGrid w:val="0"/>
        <w:spacing w:after="60"/>
        <w:ind w:left="446" w:hanging="446"/>
        <w:jc w:val="both"/>
        <w:rPr>
          <w:rFonts w:cs="Times New Roman"/>
          <w:szCs w:val="24"/>
        </w:rPr>
      </w:pPr>
      <w:r w:rsidRPr="00A2305B">
        <w:rPr>
          <w:rFonts w:cs="Times New Roman"/>
          <w:szCs w:val="24"/>
        </w:rPr>
        <w:t xml:space="preserve">Ding, D., Adams, M.A., </w:t>
      </w:r>
      <w:proofErr w:type="spellStart"/>
      <w:r w:rsidRPr="00A2305B">
        <w:rPr>
          <w:rFonts w:cs="Times New Roman"/>
          <w:szCs w:val="24"/>
        </w:rPr>
        <w:t>Sallis</w:t>
      </w:r>
      <w:proofErr w:type="spellEnd"/>
      <w:r w:rsidRPr="00A2305B">
        <w:rPr>
          <w:rFonts w:cs="Times New Roman"/>
          <w:szCs w:val="24"/>
        </w:rPr>
        <w:t xml:space="preserve">, J.F., Norman, G.J., </w:t>
      </w:r>
      <w:proofErr w:type="spellStart"/>
      <w:r w:rsidRPr="00A2305B">
        <w:rPr>
          <w:rFonts w:cs="Times New Roman"/>
          <w:szCs w:val="24"/>
        </w:rPr>
        <w:t>Hovell</w:t>
      </w:r>
      <w:proofErr w:type="spellEnd"/>
      <w:r w:rsidRPr="00A2305B">
        <w:rPr>
          <w:rFonts w:cs="Times New Roman"/>
          <w:szCs w:val="24"/>
        </w:rPr>
        <w:t>, M.F., Chambers, C.D</w:t>
      </w:r>
      <w:proofErr w:type="gramStart"/>
      <w:r w:rsidRPr="00A2305B">
        <w:rPr>
          <w:rFonts w:cs="Times New Roman"/>
          <w:szCs w:val="24"/>
        </w:rPr>
        <w:t>., …</w:t>
      </w:r>
      <w:proofErr w:type="gramEnd"/>
      <w:r w:rsidRPr="00A2305B">
        <w:rPr>
          <w:rFonts w:cs="Times New Roman"/>
          <w:szCs w:val="24"/>
        </w:rPr>
        <w:t xml:space="preserve"> and Bauman, A.E. (2013). Perceived </w:t>
      </w:r>
      <w:proofErr w:type="spellStart"/>
      <w:r w:rsidRPr="00A2305B">
        <w:rPr>
          <w:rFonts w:cs="Times New Roman"/>
          <w:szCs w:val="24"/>
        </w:rPr>
        <w:t>neighborhood</w:t>
      </w:r>
      <w:proofErr w:type="spellEnd"/>
      <w:r w:rsidRPr="00A2305B">
        <w:rPr>
          <w:rFonts w:cs="Times New Roman"/>
          <w:szCs w:val="24"/>
        </w:rPr>
        <w:t xml:space="preserve"> environment and physical activity in 11 countries: Do associations differ by country? </w:t>
      </w:r>
      <w:r w:rsidRPr="00A2305B">
        <w:rPr>
          <w:rFonts w:cs="Times New Roman"/>
          <w:i/>
          <w:szCs w:val="24"/>
        </w:rPr>
        <w:t xml:space="preserve">International Journal of </w:t>
      </w:r>
      <w:proofErr w:type="spellStart"/>
      <w:r w:rsidRPr="00A2305B">
        <w:rPr>
          <w:rFonts w:cs="Times New Roman"/>
          <w:i/>
          <w:szCs w:val="24"/>
        </w:rPr>
        <w:t>Behavioral</w:t>
      </w:r>
      <w:proofErr w:type="spellEnd"/>
      <w:r w:rsidRPr="00A2305B">
        <w:rPr>
          <w:rFonts w:cs="Times New Roman"/>
          <w:i/>
          <w:szCs w:val="24"/>
        </w:rPr>
        <w:t xml:space="preserve"> Nutrition and Physical Activity</w:t>
      </w:r>
      <w:r w:rsidRPr="00A2305B">
        <w:rPr>
          <w:rFonts w:cs="Times New Roman"/>
          <w:szCs w:val="24"/>
        </w:rPr>
        <w:t xml:space="preserve"> 10, 57</w:t>
      </w:r>
    </w:p>
    <w:p w:rsidR="00751138" w:rsidRPr="00A2305B" w:rsidRDefault="00751138" w:rsidP="00A2305B">
      <w:pPr>
        <w:adjustRightInd w:val="0"/>
        <w:snapToGrid w:val="0"/>
        <w:spacing w:after="60"/>
        <w:ind w:left="450" w:hanging="450"/>
        <w:jc w:val="both"/>
        <w:rPr>
          <w:rFonts w:cs="Times New Roman"/>
          <w:szCs w:val="24"/>
        </w:rPr>
      </w:pPr>
      <w:proofErr w:type="spellStart"/>
      <w:r w:rsidRPr="00A2305B">
        <w:rPr>
          <w:rFonts w:cs="Times New Roman"/>
          <w:szCs w:val="24"/>
        </w:rPr>
        <w:t>Dumais</w:t>
      </w:r>
      <w:proofErr w:type="spellEnd"/>
      <w:r w:rsidRPr="00A2305B">
        <w:rPr>
          <w:rFonts w:cs="Times New Roman"/>
          <w:szCs w:val="24"/>
        </w:rPr>
        <w:t xml:space="preserve">, S.A. (2006). Elementary school students’ extracurricular activities: The effects of participation on achievement and teachers’ evaluations. </w:t>
      </w:r>
      <w:r w:rsidRPr="00A2305B">
        <w:rPr>
          <w:rFonts w:cs="Times New Roman"/>
          <w:i/>
          <w:szCs w:val="24"/>
        </w:rPr>
        <w:t>Sociological Spectrum</w:t>
      </w:r>
      <w:r w:rsidRPr="00A2305B">
        <w:rPr>
          <w:rFonts w:cs="Times New Roman"/>
          <w:szCs w:val="24"/>
        </w:rPr>
        <w:t xml:space="preserve"> 26, 117-147.</w:t>
      </w:r>
    </w:p>
    <w:p w:rsidR="00751138" w:rsidRPr="00A2305B" w:rsidRDefault="00751138" w:rsidP="00A2305B">
      <w:pPr>
        <w:adjustRightInd w:val="0"/>
        <w:snapToGrid w:val="0"/>
        <w:spacing w:after="60"/>
        <w:ind w:left="450" w:hanging="450"/>
        <w:jc w:val="both"/>
        <w:rPr>
          <w:rFonts w:cs="Times New Roman"/>
          <w:szCs w:val="24"/>
        </w:rPr>
      </w:pPr>
      <w:r w:rsidRPr="00A2305B">
        <w:rPr>
          <w:rFonts w:eastAsia="Calibri" w:cs="Times New Roman"/>
          <w:szCs w:val="24"/>
        </w:rPr>
        <w:t xml:space="preserve">EDB (2018). The Hong Kong Jockey Club Life-wide Learning Fund. </w:t>
      </w:r>
      <w:r w:rsidRPr="00A2305B">
        <w:rPr>
          <w:rFonts w:cs="Times New Roman"/>
          <w:i/>
          <w:szCs w:val="24"/>
        </w:rPr>
        <w:t>Hong Kong SAR Government Education Bureau</w:t>
      </w:r>
      <w:r w:rsidRPr="00A2305B">
        <w:rPr>
          <w:rFonts w:cs="Times New Roman"/>
          <w:szCs w:val="24"/>
        </w:rPr>
        <w:t xml:space="preserve">. Available at: </w:t>
      </w:r>
      <w:hyperlink r:id="rId227" w:history="1">
        <w:r w:rsidRPr="00A2305B">
          <w:rPr>
            <w:rStyle w:val="Hyperlink"/>
            <w:rFonts w:cs="Times New Roman"/>
            <w:szCs w:val="24"/>
          </w:rPr>
          <w:t>http://www.edb.gov.hk/en/curriculum-development/major-level-of-edu/life-wide-learning/jc-fund/index.html</w:t>
        </w:r>
      </w:hyperlink>
      <w:r w:rsidRPr="00A2305B">
        <w:rPr>
          <w:rFonts w:cs="Times New Roman"/>
          <w:szCs w:val="24"/>
        </w:rPr>
        <w:t xml:space="preserve">. Retrieved </w:t>
      </w:r>
      <w:r w:rsidRPr="00A2305B">
        <w:rPr>
          <w:rFonts w:cs="Times New Roman"/>
          <w:szCs w:val="24"/>
          <w:lang w:eastAsia="zh-CN"/>
        </w:rPr>
        <w:t>Apr</w:t>
      </w:r>
      <w:r w:rsidRPr="00A2305B">
        <w:rPr>
          <w:rFonts w:cs="Times New Roman"/>
          <w:szCs w:val="24"/>
        </w:rPr>
        <w:t xml:space="preserve"> </w:t>
      </w:r>
      <w:r w:rsidRPr="00A2305B">
        <w:rPr>
          <w:rFonts w:cs="Times New Roman"/>
          <w:szCs w:val="24"/>
          <w:lang w:eastAsia="zh-CN"/>
        </w:rPr>
        <w:t>2</w:t>
      </w:r>
      <w:r w:rsidRPr="00A2305B">
        <w:rPr>
          <w:rFonts w:cs="Times New Roman"/>
          <w:szCs w:val="24"/>
        </w:rPr>
        <w:t xml:space="preserve"> 2018. </w:t>
      </w:r>
    </w:p>
    <w:p w:rsidR="007837EA" w:rsidRPr="00A2305B" w:rsidRDefault="007837EA" w:rsidP="00A2305B">
      <w:pPr>
        <w:adjustRightInd w:val="0"/>
        <w:snapToGrid w:val="0"/>
        <w:spacing w:after="60"/>
        <w:ind w:left="450" w:hanging="450"/>
        <w:jc w:val="both"/>
        <w:rPr>
          <w:rFonts w:cs="Times New Roman"/>
          <w:szCs w:val="24"/>
        </w:rPr>
      </w:pPr>
      <w:r w:rsidRPr="00A2305B">
        <w:rPr>
          <w:rFonts w:cs="Times New Roman"/>
          <w:szCs w:val="24"/>
        </w:rPr>
        <w:t xml:space="preserve">Francis, J., Martin, K., Wood, L., and Foster, S. (2017). ‘I'll be driving you to school for the rest of your life’: A qualitative study of parents' fear of stranger danger. </w:t>
      </w:r>
      <w:r w:rsidRPr="00A2305B">
        <w:rPr>
          <w:rFonts w:cs="Times New Roman"/>
          <w:i/>
          <w:szCs w:val="24"/>
        </w:rPr>
        <w:t>Journal of Environmental Psychology</w:t>
      </w:r>
      <w:r w:rsidRPr="00A2305B">
        <w:rPr>
          <w:rFonts w:cs="Times New Roman"/>
          <w:szCs w:val="24"/>
        </w:rPr>
        <w:t xml:space="preserve"> 53, 112-120.</w:t>
      </w:r>
    </w:p>
    <w:p w:rsidR="00751138" w:rsidRPr="00A2305B" w:rsidRDefault="00751138" w:rsidP="00A2305B">
      <w:pPr>
        <w:adjustRightInd w:val="0"/>
        <w:snapToGrid w:val="0"/>
        <w:spacing w:after="60"/>
        <w:ind w:left="450" w:hanging="450"/>
        <w:jc w:val="both"/>
        <w:rPr>
          <w:rFonts w:cs="Times New Roman"/>
          <w:szCs w:val="24"/>
        </w:rPr>
      </w:pPr>
      <w:proofErr w:type="spellStart"/>
      <w:r w:rsidRPr="00A2305B">
        <w:rPr>
          <w:rFonts w:cs="Times New Roman"/>
          <w:szCs w:val="24"/>
        </w:rPr>
        <w:t>Franzen</w:t>
      </w:r>
      <w:proofErr w:type="spellEnd"/>
      <w:r w:rsidRPr="00A2305B">
        <w:rPr>
          <w:rFonts w:cs="Times New Roman"/>
          <w:szCs w:val="24"/>
        </w:rPr>
        <w:t xml:space="preserve">, A., and </w:t>
      </w:r>
      <w:proofErr w:type="spellStart"/>
      <w:r w:rsidRPr="00A2305B">
        <w:rPr>
          <w:rFonts w:cs="Times New Roman"/>
          <w:szCs w:val="24"/>
        </w:rPr>
        <w:t>Vogl</w:t>
      </w:r>
      <w:proofErr w:type="spellEnd"/>
      <w:r w:rsidRPr="00A2305B">
        <w:rPr>
          <w:rFonts w:cs="Times New Roman"/>
          <w:szCs w:val="24"/>
        </w:rPr>
        <w:t xml:space="preserve">, D. (2013). Two decades of measuring environmental attitudes: A comparative analysis of 33 countries. </w:t>
      </w:r>
      <w:r w:rsidRPr="00A2305B">
        <w:rPr>
          <w:rFonts w:cs="Times New Roman"/>
          <w:i/>
          <w:szCs w:val="24"/>
        </w:rPr>
        <w:t xml:space="preserve">Global Environmental Change </w:t>
      </w:r>
      <w:r w:rsidRPr="00A2305B">
        <w:rPr>
          <w:rFonts w:cs="Times New Roman"/>
          <w:szCs w:val="24"/>
        </w:rPr>
        <w:t>23(5), 1001-1008.</w:t>
      </w:r>
    </w:p>
    <w:p w:rsidR="00751138" w:rsidRPr="00A2305B" w:rsidRDefault="00751138" w:rsidP="00A2305B">
      <w:pPr>
        <w:spacing w:after="60"/>
        <w:ind w:left="450" w:hanging="450"/>
        <w:jc w:val="both"/>
        <w:rPr>
          <w:rFonts w:cs="Times New Roman"/>
          <w:szCs w:val="24"/>
          <w:lang w:eastAsia="zh-CN"/>
        </w:rPr>
      </w:pPr>
      <w:r w:rsidRPr="00A2305B">
        <w:rPr>
          <w:rFonts w:cs="Times New Roman"/>
          <w:szCs w:val="24"/>
          <w:lang w:eastAsia="zh-CN"/>
        </w:rPr>
        <w:t xml:space="preserve">Fusco, C., </w:t>
      </w:r>
      <w:proofErr w:type="spellStart"/>
      <w:r w:rsidRPr="00A2305B">
        <w:rPr>
          <w:rFonts w:cs="Times New Roman"/>
          <w:szCs w:val="24"/>
          <w:lang w:eastAsia="zh-CN"/>
        </w:rPr>
        <w:t>Moola</w:t>
      </w:r>
      <w:proofErr w:type="spellEnd"/>
      <w:r w:rsidRPr="00A2305B">
        <w:rPr>
          <w:rFonts w:cs="Times New Roman"/>
          <w:szCs w:val="24"/>
          <w:lang w:eastAsia="zh-CN"/>
        </w:rPr>
        <w:t xml:space="preserve">, F., Faulkner, G., </w:t>
      </w:r>
      <w:proofErr w:type="spellStart"/>
      <w:r w:rsidRPr="00A2305B">
        <w:rPr>
          <w:rFonts w:cs="Times New Roman"/>
          <w:szCs w:val="24"/>
          <w:lang w:eastAsia="zh-CN"/>
        </w:rPr>
        <w:t>Buliung</w:t>
      </w:r>
      <w:proofErr w:type="spellEnd"/>
      <w:r w:rsidRPr="00A2305B">
        <w:rPr>
          <w:rFonts w:cs="Times New Roman"/>
          <w:szCs w:val="24"/>
          <w:lang w:eastAsia="zh-CN"/>
        </w:rPr>
        <w:t xml:space="preserve">, R., and </w:t>
      </w:r>
      <w:proofErr w:type="spellStart"/>
      <w:r w:rsidRPr="00A2305B">
        <w:rPr>
          <w:rFonts w:cs="Times New Roman"/>
          <w:szCs w:val="24"/>
          <w:lang w:eastAsia="zh-CN"/>
        </w:rPr>
        <w:t>Richichi</w:t>
      </w:r>
      <w:proofErr w:type="spellEnd"/>
      <w:r w:rsidRPr="00A2305B">
        <w:rPr>
          <w:rFonts w:cs="Times New Roman"/>
          <w:szCs w:val="24"/>
          <w:lang w:eastAsia="zh-CN"/>
        </w:rPr>
        <w:t>, V. (2012). Toward an understanding of children’s perceptions of their transport geographies: (Non</w:t>
      </w:r>
      <w:proofErr w:type="gramStart"/>
      <w:r w:rsidRPr="00A2305B">
        <w:rPr>
          <w:rFonts w:cs="Times New Roman"/>
          <w:szCs w:val="24"/>
          <w:lang w:eastAsia="zh-CN"/>
        </w:rPr>
        <w:t>)active</w:t>
      </w:r>
      <w:proofErr w:type="gramEnd"/>
      <w:r w:rsidRPr="00A2305B">
        <w:rPr>
          <w:rFonts w:cs="Times New Roman"/>
          <w:szCs w:val="24"/>
          <w:lang w:eastAsia="zh-CN"/>
        </w:rPr>
        <w:t xml:space="preserve"> school travel and visual representations of the built environment. </w:t>
      </w:r>
      <w:r w:rsidRPr="00A2305B">
        <w:rPr>
          <w:rFonts w:cs="Times New Roman"/>
          <w:i/>
          <w:szCs w:val="24"/>
          <w:lang w:eastAsia="zh-CN"/>
        </w:rPr>
        <w:t>Journal of Transport Geography</w:t>
      </w:r>
      <w:r w:rsidRPr="00A2305B">
        <w:rPr>
          <w:rFonts w:cs="Times New Roman"/>
          <w:szCs w:val="24"/>
          <w:lang w:eastAsia="zh-CN"/>
        </w:rPr>
        <w:t xml:space="preserve"> 20(1), 62-70.</w:t>
      </w:r>
    </w:p>
    <w:p w:rsidR="00751138" w:rsidRPr="00A2305B" w:rsidRDefault="00751138" w:rsidP="00A2305B">
      <w:pPr>
        <w:spacing w:after="60"/>
        <w:ind w:left="450" w:hanging="450"/>
        <w:jc w:val="both"/>
        <w:rPr>
          <w:rFonts w:cs="Times New Roman"/>
          <w:szCs w:val="24"/>
          <w:lang w:eastAsia="zh-CN"/>
        </w:rPr>
      </w:pPr>
      <w:proofErr w:type="spellStart"/>
      <w:r w:rsidRPr="00A2305B">
        <w:rPr>
          <w:rFonts w:cs="Times New Roman"/>
          <w:szCs w:val="24"/>
          <w:lang w:eastAsia="zh-CN"/>
        </w:rPr>
        <w:t>Fyhri</w:t>
      </w:r>
      <w:proofErr w:type="spellEnd"/>
      <w:r w:rsidRPr="00A2305B">
        <w:rPr>
          <w:rFonts w:cs="Times New Roman"/>
          <w:szCs w:val="24"/>
          <w:lang w:eastAsia="zh-CN"/>
        </w:rPr>
        <w:t xml:space="preserve">, A., and </w:t>
      </w:r>
      <w:proofErr w:type="spellStart"/>
      <w:r w:rsidRPr="00A2305B">
        <w:rPr>
          <w:rFonts w:cs="Times New Roman"/>
          <w:szCs w:val="24"/>
          <w:lang w:eastAsia="zh-CN"/>
        </w:rPr>
        <w:t>Hjorthol</w:t>
      </w:r>
      <w:proofErr w:type="spellEnd"/>
      <w:r w:rsidRPr="00A2305B">
        <w:rPr>
          <w:rFonts w:cs="Times New Roman"/>
          <w:szCs w:val="24"/>
          <w:lang w:eastAsia="zh-CN"/>
        </w:rPr>
        <w:t>, R. (2009).</w:t>
      </w:r>
      <w:r w:rsidRPr="00A2305B">
        <w:rPr>
          <w:rFonts w:cs="Times New Roman"/>
          <w:szCs w:val="24"/>
        </w:rPr>
        <w:t xml:space="preserve"> </w:t>
      </w:r>
      <w:r w:rsidRPr="00A2305B">
        <w:rPr>
          <w:rFonts w:cs="Times New Roman"/>
          <w:szCs w:val="24"/>
          <w:lang w:eastAsia="zh-CN"/>
        </w:rPr>
        <w:t xml:space="preserve">Children’s independent mobility to school, friends and leisure activities. </w:t>
      </w:r>
      <w:r w:rsidRPr="00A2305B">
        <w:rPr>
          <w:rFonts w:cs="Times New Roman"/>
          <w:i/>
          <w:szCs w:val="24"/>
          <w:lang w:eastAsia="zh-CN"/>
        </w:rPr>
        <w:t>Journal of Transport Geography</w:t>
      </w:r>
      <w:r w:rsidRPr="00A2305B">
        <w:rPr>
          <w:rFonts w:cs="Times New Roman"/>
          <w:szCs w:val="24"/>
          <w:lang w:eastAsia="zh-CN"/>
        </w:rPr>
        <w:t xml:space="preserve"> 17(5), 377-384.</w:t>
      </w:r>
    </w:p>
    <w:p w:rsidR="00751138" w:rsidRPr="00A2305B" w:rsidRDefault="00751138" w:rsidP="00A2305B">
      <w:pPr>
        <w:spacing w:after="60"/>
        <w:ind w:left="450" w:hanging="450"/>
        <w:jc w:val="both"/>
        <w:rPr>
          <w:rFonts w:cs="Times New Roman"/>
          <w:szCs w:val="24"/>
        </w:rPr>
      </w:pPr>
      <w:proofErr w:type="spellStart"/>
      <w:r w:rsidRPr="00A2305B">
        <w:rPr>
          <w:rFonts w:cs="Times New Roman"/>
          <w:szCs w:val="24"/>
        </w:rPr>
        <w:t>Ghekiere</w:t>
      </w:r>
      <w:proofErr w:type="spellEnd"/>
      <w:r w:rsidRPr="00A2305B">
        <w:rPr>
          <w:rFonts w:cs="Times New Roman"/>
          <w:szCs w:val="24"/>
        </w:rPr>
        <w:t xml:space="preserve">, A., </w:t>
      </w:r>
      <w:proofErr w:type="spellStart"/>
      <w:r w:rsidRPr="00A2305B">
        <w:rPr>
          <w:rFonts w:cs="Times New Roman"/>
          <w:szCs w:val="24"/>
        </w:rPr>
        <w:t>Deforche</w:t>
      </w:r>
      <w:proofErr w:type="spellEnd"/>
      <w:r w:rsidRPr="00A2305B">
        <w:rPr>
          <w:rFonts w:cs="Times New Roman"/>
          <w:szCs w:val="24"/>
        </w:rPr>
        <w:t xml:space="preserve">, B., De </w:t>
      </w:r>
      <w:proofErr w:type="spellStart"/>
      <w:r w:rsidRPr="00A2305B">
        <w:rPr>
          <w:rFonts w:cs="Times New Roman"/>
          <w:szCs w:val="24"/>
        </w:rPr>
        <w:t>Bourdeaudhuij</w:t>
      </w:r>
      <w:proofErr w:type="spellEnd"/>
      <w:r w:rsidRPr="00A2305B">
        <w:rPr>
          <w:rFonts w:cs="Times New Roman"/>
          <w:szCs w:val="24"/>
        </w:rPr>
        <w:t xml:space="preserve">, I., </w:t>
      </w:r>
      <w:proofErr w:type="spellStart"/>
      <w:r w:rsidRPr="00A2305B">
        <w:rPr>
          <w:rFonts w:cs="Times New Roman"/>
          <w:szCs w:val="24"/>
        </w:rPr>
        <w:t>Clarys</w:t>
      </w:r>
      <w:proofErr w:type="spellEnd"/>
      <w:r w:rsidRPr="00A2305B">
        <w:rPr>
          <w:rFonts w:cs="Times New Roman"/>
          <w:szCs w:val="24"/>
        </w:rPr>
        <w:t xml:space="preserve">, P., </w:t>
      </w:r>
      <w:proofErr w:type="spellStart"/>
      <w:r w:rsidRPr="00A2305B">
        <w:rPr>
          <w:rFonts w:cs="Times New Roman"/>
          <w:szCs w:val="24"/>
        </w:rPr>
        <w:t>Mertens</w:t>
      </w:r>
      <w:proofErr w:type="spellEnd"/>
      <w:r w:rsidRPr="00A2305B">
        <w:rPr>
          <w:rFonts w:cs="Times New Roman"/>
          <w:szCs w:val="24"/>
        </w:rPr>
        <w:t xml:space="preserve">, L., </w:t>
      </w:r>
      <w:proofErr w:type="spellStart"/>
      <w:r w:rsidRPr="00A2305B">
        <w:rPr>
          <w:rFonts w:cs="Times New Roman"/>
          <w:szCs w:val="24"/>
        </w:rPr>
        <w:t>Cardon</w:t>
      </w:r>
      <w:proofErr w:type="spellEnd"/>
      <w:r w:rsidRPr="00A2305B">
        <w:rPr>
          <w:rFonts w:cs="Times New Roman"/>
          <w:szCs w:val="24"/>
        </w:rPr>
        <w:t>, G</w:t>
      </w:r>
      <w:proofErr w:type="gramStart"/>
      <w:r w:rsidRPr="00A2305B">
        <w:rPr>
          <w:rFonts w:cs="Times New Roman"/>
          <w:szCs w:val="24"/>
        </w:rPr>
        <w:t>., …</w:t>
      </w:r>
      <w:proofErr w:type="gramEnd"/>
      <w:r w:rsidRPr="00A2305B">
        <w:rPr>
          <w:rFonts w:cs="Times New Roman"/>
          <w:szCs w:val="24"/>
        </w:rPr>
        <w:t xml:space="preserve"> and Van </w:t>
      </w:r>
      <w:proofErr w:type="spellStart"/>
      <w:r w:rsidRPr="00A2305B">
        <w:rPr>
          <w:rFonts w:cs="Times New Roman"/>
          <w:szCs w:val="24"/>
        </w:rPr>
        <w:t>Cauwenberg</w:t>
      </w:r>
      <w:proofErr w:type="spellEnd"/>
      <w:r w:rsidRPr="00A2305B">
        <w:rPr>
          <w:rFonts w:cs="Times New Roman"/>
          <w:szCs w:val="24"/>
        </w:rPr>
        <w:t xml:space="preserve">, J. (2018). An experimental study using manipulated photographs to examine interactions between micro-scale environmental factors for children's cycling for transport. </w:t>
      </w:r>
      <w:r w:rsidRPr="00A2305B">
        <w:rPr>
          <w:rFonts w:cs="Times New Roman"/>
          <w:i/>
          <w:szCs w:val="24"/>
        </w:rPr>
        <w:t>Journal of Transport Geography</w:t>
      </w:r>
      <w:r w:rsidRPr="00A2305B">
        <w:rPr>
          <w:rFonts w:cs="Times New Roman"/>
          <w:szCs w:val="24"/>
        </w:rPr>
        <w:t xml:space="preserve"> 66, 30-34.</w:t>
      </w:r>
    </w:p>
    <w:p w:rsidR="00393504" w:rsidRPr="00A2305B" w:rsidRDefault="00393504" w:rsidP="00A2305B">
      <w:pPr>
        <w:spacing w:after="60"/>
        <w:ind w:left="450" w:hanging="450"/>
        <w:jc w:val="both"/>
        <w:rPr>
          <w:rFonts w:cs="Times New Roman"/>
          <w:szCs w:val="24"/>
        </w:rPr>
      </w:pPr>
      <w:r w:rsidRPr="00A2305B">
        <w:rPr>
          <w:rFonts w:cs="Times New Roman"/>
          <w:szCs w:val="24"/>
        </w:rPr>
        <w:t>Giles-</w:t>
      </w:r>
      <w:proofErr w:type="spellStart"/>
      <w:r w:rsidRPr="00A2305B">
        <w:rPr>
          <w:rFonts w:cs="Times New Roman"/>
          <w:szCs w:val="24"/>
        </w:rPr>
        <w:t>Corti</w:t>
      </w:r>
      <w:proofErr w:type="spellEnd"/>
      <w:r w:rsidRPr="00A2305B">
        <w:rPr>
          <w:rFonts w:cs="Times New Roman"/>
          <w:szCs w:val="24"/>
        </w:rPr>
        <w:t xml:space="preserve">, B., </w:t>
      </w:r>
      <w:proofErr w:type="spellStart"/>
      <w:r w:rsidRPr="00A2305B">
        <w:rPr>
          <w:rFonts w:cs="Times New Roman"/>
          <w:szCs w:val="24"/>
        </w:rPr>
        <w:t>Kelty</w:t>
      </w:r>
      <w:proofErr w:type="spellEnd"/>
      <w:r w:rsidRPr="00A2305B">
        <w:rPr>
          <w:rFonts w:cs="Times New Roman"/>
          <w:szCs w:val="24"/>
        </w:rPr>
        <w:t xml:space="preserve">, S.F., </w:t>
      </w:r>
      <w:proofErr w:type="spellStart"/>
      <w:r w:rsidRPr="00A2305B">
        <w:rPr>
          <w:rFonts w:cs="Times New Roman"/>
          <w:szCs w:val="24"/>
        </w:rPr>
        <w:t>Zubrick</w:t>
      </w:r>
      <w:proofErr w:type="spellEnd"/>
      <w:r w:rsidRPr="00A2305B">
        <w:rPr>
          <w:rFonts w:cs="Times New Roman"/>
          <w:szCs w:val="24"/>
        </w:rPr>
        <w:t xml:space="preserve">, S.R., and Villanueva, K.P. (2009). Encouraging Walking for Transport and Physical Activity in Children and Adolescents: How Important is the Built Environment? </w:t>
      </w:r>
      <w:r w:rsidRPr="00A2305B">
        <w:rPr>
          <w:rFonts w:cs="Times New Roman"/>
          <w:i/>
          <w:szCs w:val="24"/>
        </w:rPr>
        <w:t>Sports Medicine</w:t>
      </w:r>
      <w:r w:rsidRPr="00A2305B">
        <w:rPr>
          <w:rFonts w:cs="Times New Roman"/>
          <w:szCs w:val="24"/>
        </w:rPr>
        <w:t xml:space="preserve"> 39(12), 995-1009.</w:t>
      </w:r>
    </w:p>
    <w:p w:rsidR="00BC58C0" w:rsidRPr="00A2305B" w:rsidRDefault="00BC58C0" w:rsidP="00A2305B">
      <w:pPr>
        <w:spacing w:after="60"/>
        <w:ind w:left="450" w:hanging="450"/>
        <w:jc w:val="both"/>
        <w:rPr>
          <w:rFonts w:cs="Times New Roman"/>
          <w:szCs w:val="24"/>
        </w:rPr>
      </w:pPr>
      <w:r w:rsidRPr="00A2305B">
        <w:rPr>
          <w:rFonts w:cs="Times New Roman"/>
          <w:szCs w:val="24"/>
        </w:rPr>
        <w:t xml:space="preserve">Gómez, D.O., Casas, F., </w:t>
      </w:r>
      <w:proofErr w:type="spellStart"/>
      <w:r w:rsidRPr="00A2305B">
        <w:rPr>
          <w:rFonts w:cs="Times New Roman"/>
          <w:szCs w:val="24"/>
        </w:rPr>
        <w:t>Inzunza</w:t>
      </w:r>
      <w:proofErr w:type="spellEnd"/>
      <w:r w:rsidRPr="00A2305B">
        <w:rPr>
          <w:rFonts w:cs="Times New Roman"/>
          <w:szCs w:val="24"/>
        </w:rPr>
        <w:t xml:space="preserve">, J.A., and Costa, P.A. (2017). School and </w:t>
      </w:r>
      <w:proofErr w:type="spellStart"/>
      <w:r w:rsidRPr="00A2305B">
        <w:rPr>
          <w:rFonts w:cs="Times New Roman"/>
          <w:szCs w:val="24"/>
        </w:rPr>
        <w:t>Neighborhood</w:t>
      </w:r>
      <w:proofErr w:type="spellEnd"/>
      <w:r w:rsidRPr="00A2305B">
        <w:rPr>
          <w:rFonts w:cs="Times New Roman"/>
          <w:szCs w:val="24"/>
        </w:rPr>
        <w:t xml:space="preserve">: Influences of Subjective Well-Being in Chilean Children. In: J. </w:t>
      </w:r>
      <w:proofErr w:type="spellStart"/>
      <w:r w:rsidRPr="00A2305B">
        <w:rPr>
          <w:rFonts w:cs="Times New Roman"/>
          <w:szCs w:val="24"/>
        </w:rPr>
        <w:t>Sarriera</w:t>
      </w:r>
      <w:proofErr w:type="spellEnd"/>
      <w:r w:rsidRPr="00A2305B">
        <w:rPr>
          <w:rFonts w:cs="Times New Roman"/>
          <w:szCs w:val="24"/>
        </w:rPr>
        <w:t xml:space="preserve"> and L. </w:t>
      </w:r>
      <w:proofErr w:type="spellStart"/>
      <w:r w:rsidRPr="00A2305B">
        <w:rPr>
          <w:rFonts w:cs="Times New Roman"/>
          <w:szCs w:val="24"/>
        </w:rPr>
        <w:t>Bedin</w:t>
      </w:r>
      <w:proofErr w:type="spellEnd"/>
      <w:r w:rsidRPr="00A2305B">
        <w:rPr>
          <w:rFonts w:cs="Times New Roman"/>
          <w:szCs w:val="24"/>
        </w:rPr>
        <w:t xml:space="preserve"> (Eds.), </w:t>
      </w:r>
      <w:r w:rsidRPr="00A2305B">
        <w:rPr>
          <w:rFonts w:cs="Times New Roman"/>
          <w:i/>
          <w:szCs w:val="24"/>
        </w:rPr>
        <w:t xml:space="preserve">Psychosocial Well-being of Children and Adolescents in Latin America. Children’s Well-Being: Indicators and Research </w:t>
      </w:r>
      <w:r w:rsidRPr="00A2305B">
        <w:rPr>
          <w:rFonts w:cs="Times New Roman"/>
          <w:szCs w:val="24"/>
        </w:rPr>
        <w:t>(Volume 16). Springer: Cham, Switzerland</w:t>
      </w:r>
    </w:p>
    <w:p w:rsidR="00751138" w:rsidRPr="00A2305B" w:rsidRDefault="00751138" w:rsidP="00A2305B">
      <w:pPr>
        <w:spacing w:after="60"/>
        <w:ind w:left="450" w:hanging="450"/>
        <w:jc w:val="both"/>
        <w:rPr>
          <w:rFonts w:cs="Times New Roman"/>
          <w:szCs w:val="24"/>
        </w:rPr>
      </w:pPr>
      <w:proofErr w:type="spellStart"/>
      <w:r w:rsidRPr="00A2305B">
        <w:rPr>
          <w:rFonts w:cs="Times New Roman"/>
          <w:szCs w:val="24"/>
        </w:rPr>
        <w:t>Goodin</w:t>
      </w:r>
      <w:proofErr w:type="spellEnd"/>
      <w:r w:rsidRPr="00A2305B">
        <w:rPr>
          <w:rFonts w:cs="Times New Roman"/>
          <w:szCs w:val="24"/>
        </w:rPr>
        <w:t xml:space="preserve">, E. R. (2010). Temporal justice. </w:t>
      </w:r>
      <w:r w:rsidRPr="00A2305B">
        <w:rPr>
          <w:rFonts w:cs="Times New Roman"/>
          <w:i/>
          <w:szCs w:val="24"/>
        </w:rPr>
        <w:t>Journal of Social Policy</w:t>
      </w:r>
      <w:r w:rsidRPr="00A2305B">
        <w:rPr>
          <w:rFonts w:cs="Times New Roman"/>
          <w:szCs w:val="24"/>
        </w:rPr>
        <w:t xml:space="preserve"> 39(1), 1-16.</w:t>
      </w:r>
    </w:p>
    <w:p w:rsidR="00751138" w:rsidRPr="00A2305B" w:rsidRDefault="00751138" w:rsidP="00A2305B">
      <w:pPr>
        <w:spacing w:after="60"/>
        <w:ind w:left="450" w:hanging="450"/>
        <w:jc w:val="both"/>
        <w:rPr>
          <w:rFonts w:cs="Times New Roman"/>
          <w:szCs w:val="24"/>
        </w:rPr>
      </w:pPr>
      <w:proofErr w:type="spellStart"/>
      <w:r w:rsidRPr="00A2305B">
        <w:rPr>
          <w:rFonts w:cs="Times New Roman"/>
          <w:szCs w:val="24"/>
        </w:rPr>
        <w:t>Gray</w:t>
      </w:r>
      <w:proofErr w:type="spellEnd"/>
      <w:r w:rsidRPr="00A2305B">
        <w:rPr>
          <w:rFonts w:cs="Times New Roman"/>
          <w:szCs w:val="24"/>
        </w:rPr>
        <w:t xml:space="preserve">, P. (2011). The decline of play and the rise of psychopathology in children and adolescents. </w:t>
      </w:r>
      <w:r w:rsidRPr="00A2305B">
        <w:rPr>
          <w:rFonts w:cs="Times New Roman"/>
          <w:i/>
          <w:szCs w:val="24"/>
        </w:rPr>
        <w:t>American Journal of Play</w:t>
      </w:r>
      <w:r w:rsidRPr="00A2305B">
        <w:rPr>
          <w:rFonts w:cs="Times New Roman"/>
          <w:szCs w:val="24"/>
        </w:rPr>
        <w:t xml:space="preserve"> 3(4), 443-463.</w:t>
      </w:r>
    </w:p>
    <w:p w:rsidR="00751138" w:rsidRPr="00A2305B" w:rsidRDefault="00751138" w:rsidP="00A2305B">
      <w:pPr>
        <w:spacing w:after="60"/>
        <w:ind w:left="450" w:hanging="450"/>
        <w:jc w:val="both"/>
        <w:rPr>
          <w:rFonts w:cs="Times New Roman"/>
          <w:szCs w:val="24"/>
        </w:rPr>
      </w:pPr>
      <w:proofErr w:type="spellStart"/>
      <w:r w:rsidRPr="00A2305B">
        <w:rPr>
          <w:rFonts w:cs="Times New Roman"/>
          <w:szCs w:val="24"/>
        </w:rPr>
        <w:t>Gunduz</w:t>
      </w:r>
      <w:proofErr w:type="spellEnd"/>
      <w:r w:rsidRPr="00A2305B">
        <w:rPr>
          <w:rFonts w:cs="Times New Roman"/>
          <w:szCs w:val="24"/>
        </w:rPr>
        <w:t xml:space="preserve">, N., </w:t>
      </w:r>
      <w:proofErr w:type="spellStart"/>
      <w:r w:rsidRPr="00A2305B">
        <w:rPr>
          <w:rFonts w:cs="Times New Roman"/>
          <w:szCs w:val="24"/>
        </w:rPr>
        <w:t>Keskin</w:t>
      </w:r>
      <w:proofErr w:type="spellEnd"/>
      <w:r w:rsidRPr="00A2305B">
        <w:rPr>
          <w:rFonts w:cs="Times New Roman"/>
          <w:szCs w:val="24"/>
        </w:rPr>
        <w:t xml:space="preserve">, M.T., and </w:t>
      </w:r>
      <w:proofErr w:type="spellStart"/>
      <w:r w:rsidRPr="00A2305B">
        <w:rPr>
          <w:rFonts w:cs="Times New Roman"/>
          <w:szCs w:val="24"/>
        </w:rPr>
        <w:t>Erdugan</w:t>
      </w:r>
      <w:proofErr w:type="spellEnd"/>
      <w:r w:rsidRPr="00A2305B">
        <w:rPr>
          <w:rFonts w:cs="Times New Roman"/>
          <w:szCs w:val="24"/>
        </w:rPr>
        <w:t xml:space="preserve">, A. (2017).  Investigation of participation motivations in exercises of students participating in archery in </w:t>
      </w:r>
      <w:proofErr w:type="spellStart"/>
      <w:r w:rsidRPr="00A2305B">
        <w:rPr>
          <w:rFonts w:cs="Times New Roman"/>
          <w:szCs w:val="24"/>
        </w:rPr>
        <w:t>extra curricular</w:t>
      </w:r>
      <w:proofErr w:type="spellEnd"/>
      <w:r w:rsidRPr="00A2305B">
        <w:rPr>
          <w:rFonts w:cs="Times New Roman"/>
          <w:szCs w:val="24"/>
        </w:rPr>
        <w:t xml:space="preserve"> activities. </w:t>
      </w:r>
      <w:r w:rsidRPr="00A2305B">
        <w:rPr>
          <w:rFonts w:cs="Times New Roman"/>
          <w:i/>
          <w:szCs w:val="24"/>
        </w:rPr>
        <w:t>Universal Journal of Educational Research</w:t>
      </w:r>
      <w:r w:rsidRPr="00A2305B">
        <w:rPr>
          <w:rFonts w:cs="Times New Roman"/>
          <w:szCs w:val="24"/>
        </w:rPr>
        <w:t xml:space="preserve"> 5(10), 1764-1771.</w:t>
      </w:r>
    </w:p>
    <w:p w:rsidR="00751138" w:rsidRPr="00A2305B" w:rsidRDefault="00751138" w:rsidP="00A2305B">
      <w:pPr>
        <w:adjustRightInd w:val="0"/>
        <w:snapToGrid w:val="0"/>
        <w:spacing w:after="60"/>
        <w:ind w:left="360" w:hanging="360"/>
        <w:jc w:val="both"/>
        <w:rPr>
          <w:rFonts w:eastAsia="Calibri" w:cs="Times New Roman"/>
          <w:szCs w:val="24"/>
        </w:rPr>
      </w:pPr>
      <w:r w:rsidRPr="00A2305B">
        <w:rPr>
          <w:rFonts w:eastAsia="Calibri" w:cs="Times New Roman"/>
          <w:szCs w:val="24"/>
        </w:rPr>
        <w:t xml:space="preserve">Heckman, J., Tobias, J.L., and </w:t>
      </w:r>
      <w:proofErr w:type="spellStart"/>
      <w:r w:rsidRPr="00A2305B">
        <w:rPr>
          <w:rFonts w:eastAsia="Calibri" w:cs="Times New Roman"/>
          <w:szCs w:val="24"/>
        </w:rPr>
        <w:t>Vytlacil</w:t>
      </w:r>
      <w:proofErr w:type="spellEnd"/>
      <w:r w:rsidRPr="00A2305B">
        <w:rPr>
          <w:rFonts w:eastAsia="Calibri" w:cs="Times New Roman"/>
          <w:szCs w:val="24"/>
        </w:rPr>
        <w:t xml:space="preserve">, E. (2001). Four parameters of interest in the evaluation of social programs. </w:t>
      </w:r>
      <w:r w:rsidRPr="00A2305B">
        <w:rPr>
          <w:rFonts w:eastAsia="Calibri" w:cs="Times New Roman"/>
          <w:i/>
          <w:szCs w:val="24"/>
        </w:rPr>
        <w:t xml:space="preserve">Southern Economic Journal </w:t>
      </w:r>
      <w:r w:rsidRPr="00A2305B">
        <w:rPr>
          <w:rFonts w:eastAsia="Calibri" w:cs="Times New Roman"/>
          <w:szCs w:val="24"/>
        </w:rPr>
        <w:t>68(2), 210-223.</w:t>
      </w:r>
    </w:p>
    <w:p w:rsidR="001077ED" w:rsidRPr="00A2305B" w:rsidRDefault="001077ED" w:rsidP="00A2305B">
      <w:pPr>
        <w:adjustRightInd w:val="0"/>
        <w:snapToGrid w:val="0"/>
        <w:spacing w:after="60"/>
        <w:ind w:left="360" w:hanging="360"/>
        <w:jc w:val="both"/>
        <w:rPr>
          <w:rFonts w:eastAsia="Calibri" w:cs="Times New Roman"/>
          <w:szCs w:val="24"/>
        </w:rPr>
      </w:pPr>
      <w:proofErr w:type="spellStart"/>
      <w:r w:rsidRPr="00A2305B">
        <w:rPr>
          <w:rFonts w:eastAsia="Calibri" w:cs="Times New Roman"/>
          <w:szCs w:val="24"/>
        </w:rPr>
        <w:t>Hjorthol</w:t>
      </w:r>
      <w:proofErr w:type="spellEnd"/>
      <w:r w:rsidRPr="00A2305B">
        <w:rPr>
          <w:rFonts w:eastAsia="Calibri" w:cs="Times New Roman"/>
          <w:szCs w:val="24"/>
        </w:rPr>
        <w:t xml:space="preserve">, R., and </w:t>
      </w:r>
      <w:proofErr w:type="spellStart"/>
      <w:r w:rsidRPr="00A2305B">
        <w:rPr>
          <w:rFonts w:eastAsia="Calibri" w:cs="Times New Roman"/>
          <w:szCs w:val="24"/>
        </w:rPr>
        <w:t>Fyhri</w:t>
      </w:r>
      <w:proofErr w:type="spellEnd"/>
      <w:r w:rsidRPr="00A2305B">
        <w:rPr>
          <w:rFonts w:eastAsia="Calibri" w:cs="Times New Roman"/>
          <w:szCs w:val="24"/>
        </w:rPr>
        <w:t xml:space="preserve">, A. (2009). Do organized leisure activities for children encourage car-use? </w:t>
      </w:r>
      <w:r w:rsidRPr="00A2305B">
        <w:rPr>
          <w:rFonts w:eastAsia="Calibri" w:cs="Times New Roman"/>
          <w:i/>
          <w:szCs w:val="24"/>
        </w:rPr>
        <w:t xml:space="preserve">Transportation Research Part A </w:t>
      </w:r>
      <w:r w:rsidRPr="00A2305B">
        <w:rPr>
          <w:rFonts w:eastAsia="Calibri" w:cs="Times New Roman"/>
          <w:szCs w:val="24"/>
        </w:rPr>
        <w:t>43(2), 209-218.</w:t>
      </w:r>
    </w:p>
    <w:p w:rsidR="00751138" w:rsidRPr="00A2305B" w:rsidRDefault="00751138" w:rsidP="00A2305B">
      <w:pPr>
        <w:adjustRightInd w:val="0"/>
        <w:snapToGrid w:val="0"/>
        <w:spacing w:after="60"/>
        <w:ind w:left="360" w:hanging="360"/>
        <w:jc w:val="both"/>
        <w:rPr>
          <w:rFonts w:eastAsia="Calibri" w:cs="Times New Roman"/>
          <w:szCs w:val="24"/>
          <w:lang w:eastAsia="zh-TW"/>
        </w:rPr>
      </w:pPr>
      <w:r w:rsidRPr="00A2305B">
        <w:rPr>
          <w:rFonts w:eastAsia="Calibri" w:cs="Times New Roman"/>
          <w:szCs w:val="24"/>
          <w:lang w:eastAsia="zh-TW"/>
        </w:rPr>
        <w:lastRenderedPageBreak/>
        <w:t xml:space="preserve">HKCSS (2013).  She </w:t>
      </w:r>
      <w:proofErr w:type="gramStart"/>
      <w:r w:rsidRPr="00A2305B">
        <w:rPr>
          <w:rFonts w:eastAsia="Calibri" w:cs="Times New Roman"/>
          <w:szCs w:val="24"/>
          <w:lang w:eastAsia="zh-TW"/>
        </w:rPr>
        <w:t>hui</w:t>
      </w:r>
      <w:proofErr w:type="gramEnd"/>
      <w:r w:rsidRPr="00A2305B">
        <w:rPr>
          <w:rFonts w:eastAsia="Calibri" w:cs="Times New Roman"/>
          <w:szCs w:val="24"/>
          <w:lang w:eastAsia="zh-TW"/>
        </w:rPr>
        <w:t xml:space="preserve"> fa </w:t>
      </w:r>
      <w:proofErr w:type="spellStart"/>
      <w:r w:rsidRPr="00A2305B">
        <w:rPr>
          <w:rFonts w:eastAsia="Calibri" w:cs="Times New Roman"/>
          <w:szCs w:val="24"/>
          <w:lang w:eastAsia="zh-TW"/>
        </w:rPr>
        <w:t>zhan</w:t>
      </w:r>
      <w:proofErr w:type="spellEnd"/>
      <w:r w:rsidRPr="00A2305B">
        <w:rPr>
          <w:rFonts w:eastAsia="Calibri" w:cs="Times New Roman"/>
          <w:szCs w:val="24"/>
          <w:lang w:eastAsia="zh-TW"/>
        </w:rPr>
        <w:t xml:space="preserve"> </w:t>
      </w:r>
      <w:proofErr w:type="spellStart"/>
      <w:r w:rsidRPr="00A2305B">
        <w:rPr>
          <w:rFonts w:eastAsia="Calibri" w:cs="Times New Roman"/>
          <w:szCs w:val="24"/>
          <w:lang w:eastAsia="zh-TW"/>
        </w:rPr>
        <w:t>zhuan</w:t>
      </w:r>
      <w:proofErr w:type="spellEnd"/>
      <w:r w:rsidRPr="00A2305B">
        <w:rPr>
          <w:rFonts w:eastAsia="Calibri" w:cs="Times New Roman"/>
          <w:szCs w:val="24"/>
          <w:lang w:eastAsia="zh-TW"/>
        </w:rPr>
        <w:t xml:space="preserve"> </w:t>
      </w:r>
      <w:proofErr w:type="spellStart"/>
      <w:r w:rsidRPr="00A2305B">
        <w:rPr>
          <w:rFonts w:eastAsia="Calibri" w:cs="Times New Roman"/>
          <w:szCs w:val="24"/>
          <w:lang w:eastAsia="zh-TW"/>
        </w:rPr>
        <w:t>ti</w:t>
      </w:r>
      <w:proofErr w:type="spellEnd"/>
      <w:r w:rsidRPr="00A2305B">
        <w:rPr>
          <w:rFonts w:eastAsia="Calibri" w:cs="Times New Roman"/>
          <w:szCs w:val="24"/>
          <w:lang w:eastAsia="zh-TW"/>
        </w:rPr>
        <w:t xml:space="preserve"> </w:t>
      </w:r>
      <w:proofErr w:type="spellStart"/>
      <w:r w:rsidRPr="00A2305B">
        <w:rPr>
          <w:rFonts w:eastAsia="Calibri" w:cs="Times New Roman"/>
          <w:szCs w:val="24"/>
          <w:lang w:eastAsia="zh-TW"/>
        </w:rPr>
        <w:t>zi</w:t>
      </w:r>
      <w:proofErr w:type="spellEnd"/>
      <w:r w:rsidRPr="00A2305B">
        <w:rPr>
          <w:rFonts w:eastAsia="Calibri" w:cs="Times New Roman"/>
          <w:szCs w:val="24"/>
          <w:lang w:eastAsia="zh-TW"/>
        </w:rPr>
        <w:t xml:space="preserve"> </w:t>
      </w:r>
      <w:proofErr w:type="spellStart"/>
      <w:r w:rsidRPr="00A2305B">
        <w:rPr>
          <w:rFonts w:eastAsia="Calibri" w:cs="Times New Roman"/>
          <w:szCs w:val="24"/>
          <w:lang w:eastAsia="zh-TW"/>
        </w:rPr>
        <w:t>liao</w:t>
      </w:r>
      <w:proofErr w:type="spellEnd"/>
      <w:r w:rsidRPr="00A2305B">
        <w:rPr>
          <w:rFonts w:eastAsia="Calibri" w:cs="Times New Roman"/>
          <w:szCs w:val="24"/>
          <w:lang w:eastAsia="zh-TW"/>
        </w:rPr>
        <w:t xml:space="preserve">: </w:t>
      </w:r>
      <w:proofErr w:type="spellStart"/>
      <w:r w:rsidRPr="00A2305B">
        <w:rPr>
          <w:rFonts w:eastAsia="Calibri" w:cs="Times New Roman"/>
          <w:szCs w:val="24"/>
          <w:lang w:eastAsia="zh-TW"/>
        </w:rPr>
        <w:t>xiang</w:t>
      </w:r>
      <w:proofErr w:type="spellEnd"/>
      <w:r w:rsidRPr="00A2305B">
        <w:rPr>
          <w:rFonts w:eastAsia="Calibri" w:cs="Times New Roman"/>
          <w:szCs w:val="24"/>
          <w:lang w:eastAsia="zh-TW"/>
        </w:rPr>
        <w:t xml:space="preserve"> gang </w:t>
      </w:r>
      <w:proofErr w:type="spellStart"/>
      <w:r w:rsidRPr="00A2305B">
        <w:rPr>
          <w:rFonts w:eastAsia="Calibri" w:cs="Times New Roman"/>
          <w:szCs w:val="24"/>
          <w:lang w:eastAsia="zh-TW"/>
        </w:rPr>
        <w:t>er</w:t>
      </w:r>
      <w:proofErr w:type="spellEnd"/>
      <w:r w:rsidRPr="00A2305B">
        <w:rPr>
          <w:rFonts w:eastAsia="Calibri" w:cs="Times New Roman"/>
          <w:szCs w:val="24"/>
          <w:lang w:eastAsia="zh-TW"/>
        </w:rPr>
        <w:t xml:space="preserve"> tong </w:t>
      </w:r>
      <w:proofErr w:type="spellStart"/>
      <w:r w:rsidRPr="00A2305B">
        <w:rPr>
          <w:rFonts w:eastAsia="Calibri" w:cs="Times New Roman"/>
          <w:szCs w:val="24"/>
          <w:lang w:eastAsia="zh-TW"/>
        </w:rPr>
        <w:t>gai</w:t>
      </w:r>
      <w:proofErr w:type="spellEnd"/>
      <w:r w:rsidRPr="00A2305B">
        <w:rPr>
          <w:rFonts w:eastAsia="Calibri" w:cs="Times New Roman"/>
          <w:szCs w:val="24"/>
          <w:lang w:eastAsia="zh-TW"/>
        </w:rPr>
        <w:t xml:space="preserve"> </w:t>
      </w:r>
      <w:proofErr w:type="spellStart"/>
      <w:r w:rsidRPr="00A2305B">
        <w:rPr>
          <w:rFonts w:eastAsia="Calibri" w:cs="Times New Roman"/>
          <w:szCs w:val="24"/>
          <w:lang w:eastAsia="zh-TW"/>
        </w:rPr>
        <w:t>kuang</w:t>
      </w:r>
      <w:proofErr w:type="spellEnd"/>
      <w:r w:rsidRPr="00A2305B">
        <w:rPr>
          <w:rFonts w:eastAsia="Calibri" w:cs="Times New Roman"/>
          <w:szCs w:val="24"/>
          <w:lang w:eastAsia="zh-TW"/>
        </w:rPr>
        <w:t xml:space="preserve"> [Theme of societal development: Overview of Hong Kong children]. The Hong Kong Council of Social Service. Available at: </w:t>
      </w:r>
      <w:hyperlink r:id="rId228" w:history="1">
        <w:r w:rsidRPr="00A2305B">
          <w:rPr>
            <w:rStyle w:val="Hyperlink"/>
            <w:rFonts w:eastAsia="Calibri" w:cs="Times New Roman"/>
            <w:szCs w:val="24"/>
            <w:lang w:eastAsia="zh-TW"/>
          </w:rPr>
          <w:t>http://c4e.hkcss.org.hk/user/child201307.pdf</w:t>
        </w:r>
      </w:hyperlink>
      <w:r w:rsidRPr="00A2305B">
        <w:rPr>
          <w:rFonts w:eastAsia="Calibri" w:cs="Times New Roman"/>
          <w:szCs w:val="24"/>
          <w:lang w:eastAsia="zh-TW"/>
        </w:rPr>
        <w:t>. Retrieved Jun 14, 2018.</w:t>
      </w:r>
    </w:p>
    <w:p w:rsidR="00C75665" w:rsidRPr="00A2305B" w:rsidRDefault="00C75665" w:rsidP="00A2305B">
      <w:pPr>
        <w:adjustRightInd w:val="0"/>
        <w:snapToGrid w:val="0"/>
        <w:spacing w:after="60"/>
        <w:ind w:left="360" w:hanging="360"/>
        <w:jc w:val="both"/>
        <w:rPr>
          <w:rFonts w:eastAsia="DengXian" w:cs="Times New Roman"/>
          <w:szCs w:val="24"/>
          <w:lang w:eastAsia="zh-TW"/>
        </w:rPr>
      </w:pPr>
      <w:proofErr w:type="spellStart"/>
      <w:r w:rsidRPr="00A2305B">
        <w:rPr>
          <w:rFonts w:eastAsia="DengXian" w:cs="Times New Roman"/>
          <w:szCs w:val="24"/>
          <w:lang w:eastAsia="zh-TW"/>
        </w:rPr>
        <w:t>Hoefer</w:t>
      </w:r>
      <w:proofErr w:type="spellEnd"/>
      <w:r w:rsidRPr="00A2305B">
        <w:rPr>
          <w:rFonts w:eastAsia="DengXian" w:cs="Times New Roman"/>
          <w:szCs w:val="24"/>
          <w:lang w:eastAsia="zh-TW"/>
        </w:rPr>
        <w:t xml:space="preserve">, W.R., McKenzie, T.L., </w:t>
      </w:r>
      <w:proofErr w:type="spellStart"/>
      <w:r w:rsidRPr="00A2305B">
        <w:rPr>
          <w:rFonts w:eastAsia="DengXian" w:cs="Times New Roman"/>
          <w:szCs w:val="24"/>
          <w:lang w:eastAsia="zh-TW"/>
        </w:rPr>
        <w:t>Sallis</w:t>
      </w:r>
      <w:proofErr w:type="spellEnd"/>
      <w:r w:rsidRPr="00A2305B">
        <w:rPr>
          <w:rFonts w:eastAsia="DengXian" w:cs="Times New Roman"/>
          <w:szCs w:val="24"/>
          <w:lang w:eastAsia="zh-TW"/>
        </w:rPr>
        <w:t xml:space="preserve">, J.F., Marshall, S.J., and Conway, T.L. (2001). Parental provision of transportation for adolescent physical activity. </w:t>
      </w:r>
      <w:r w:rsidRPr="00A2305B">
        <w:rPr>
          <w:rFonts w:eastAsia="DengXian" w:cs="Times New Roman"/>
          <w:i/>
          <w:szCs w:val="24"/>
          <w:lang w:eastAsia="zh-TW"/>
        </w:rPr>
        <w:t>American Journal of Preventive Medicine</w:t>
      </w:r>
      <w:r w:rsidRPr="00A2305B">
        <w:rPr>
          <w:rFonts w:eastAsia="DengXian" w:cs="Times New Roman"/>
          <w:szCs w:val="24"/>
          <w:lang w:eastAsia="zh-TW"/>
        </w:rPr>
        <w:t xml:space="preserve"> 21(1), 48-51.</w:t>
      </w:r>
    </w:p>
    <w:p w:rsidR="00751138" w:rsidRPr="00A2305B" w:rsidRDefault="00751138" w:rsidP="00A2305B">
      <w:pPr>
        <w:adjustRightInd w:val="0"/>
        <w:snapToGrid w:val="0"/>
        <w:spacing w:after="60"/>
        <w:ind w:left="360" w:hanging="360"/>
        <w:jc w:val="both"/>
        <w:rPr>
          <w:rFonts w:eastAsia="Calibri" w:cs="Times New Roman"/>
          <w:szCs w:val="24"/>
        </w:rPr>
      </w:pPr>
      <w:r w:rsidRPr="00A2305B">
        <w:rPr>
          <w:rFonts w:eastAsia="Calibri" w:cs="Times New Roman"/>
          <w:szCs w:val="24"/>
        </w:rPr>
        <w:t xml:space="preserve">Holloway, S. L., and </w:t>
      </w:r>
      <w:proofErr w:type="spellStart"/>
      <w:r w:rsidRPr="00A2305B">
        <w:rPr>
          <w:rFonts w:eastAsia="Calibri" w:cs="Times New Roman"/>
          <w:szCs w:val="24"/>
        </w:rPr>
        <w:t>Pimlott</w:t>
      </w:r>
      <w:proofErr w:type="spellEnd"/>
      <w:r w:rsidRPr="00A2305B">
        <w:rPr>
          <w:rFonts w:eastAsia="Calibri" w:cs="Times New Roman"/>
          <w:szCs w:val="24"/>
        </w:rPr>
        <w:t xml:space="preserve">-Wilson, H. (2014). Enriching children, institutionalizing childhood? Geographies of play, extracurricular activities, and parenting in England. </w:t>
      </w:r>
      <w:r w:rsidRPr="00A2305B">
        <w:rPr>
          <w:rFonts w:eastAsia="Calibri" w:cs="Times New Roman"/>
          <w:i/>
          <w:szCs w:val="24"/>
        </w:rPr>
        <w:t>Annals of the Association of American Geographers</w:t>
      </w:r>
      <w:r w:rsidRPr="00A2305B">
        <w:rPr>
          <w:rFonts w:eastAsia="Calibri" w:cs="Times New Roman"/>
          <w:szCs w:val="24"/>
        </w:rPr>
        <w:t xml:space="preserve"> 104(3), 613-627.</w:t>
      </w:r>
    </w:p>
    <w:p w:rsidR="00751138" w:rsidRPr="00A2305B" w:rsidRDefault="00751138" w:rsidP="00A2305B">
      <w:pPr>
        <w:adjustRightInd w:val="0"/>
        <w:snapToGrid w:val="0"/>
        <w:spacing w:after="60"/>
        <w:ind w:left="450" w:hanging="450"/>
        <w:rPr>
          <w:rFonts w:cs="Times New Roman"/>
          <w:szCs w:val="24"/>
        </w:rPr>
      </w:pPr>
      <w:r w:rsidRPr="00A2305B">
        <w:rPr>
          <w:rFonts w:cs="Times New Roman"/>
          <w:szCs w:val="24"/>
        </w:rPr>
        <w:t xml:space="preserve">Hui, W. T. (2015, November 12). </w:t>
      </w:r>
      <w:proofErr w:type="spellStart"/>
      <w:r w:rsidRPr="00A2305B">
        <w:rPr>
          <w:rFonts w:cs="Times New Roman"/>
          <w:szCs w:val="24"/>
        </w:rPr>
        <w:t>Xiong</w:t>
      </w:r>
      <w:proofErr w:type="spellEnd"/>
      <w:r w:rsidRPr="00A2305B">
        <w:rPr>
          <w:rFonts w:cs="Times New Roman"/>
          <w:szCs w:val="24"/>
        </w:rPr>
        <w:t xml:space="preserve"> di </w:t>
      </w:r>
      <w:proofErr w:type="spellStart"/>
      <w:r w:rsidRPr="00A2305B">
        <w:rPr>
          <w:rFonts w:cs="Times New Roman"/>
          <w:szCs w:val="24"/>
        </w:rPr>
        <w:t>jie</w:t>
      </w:r>
      <w:proofErr w:type="spellEnd"/>
      <w:r w:rsidRPr="00A2305B">
        <w:rPr>
          <w:rFonts w:cs="Times New Roman"/>
          <w:szCs w:val="24"/>
        </w:rPr>
        <w:t xml:space="preserve"> </w:t>
      </w:r>
      <w:proofErr w:type="spellStart"/>
      <w:proofErr w:type="gramStart"/>
      <w:r w:rsidRPr="00A2305B">
        <w:rPr>
          <w:rFonts w:cs="Times New Roman"/>
          <w:szCs w:val="24"/>
        </w:rPr>
        <w:t>mei</w:t>
      </w:r>
      <w:proofErr w:type="spellEnd"/>
      <w:proofErr w:type="gramEnd"/>
      <w:r w:rsidRPr="00A2305B">
        <w:rPr>
          <w:rFonts w:cs="Times New Roman"/>
          <w:szCs w:val="24"/>
        </w:rPr>
        <w:t xml:space="preserve"> tong </w:t>
      </w:r>
      <w:proofErr w:type="spellStart"/>
      <w:r w:rsidRPr="00A2305B">
        <w:rPr>
          <w:rFonts w:cs="Times New Roman"/>
          <w:szCs w:val="24"/>
        </w:rPr>
        <w:t>xiao</w:t>
      </w:r>
      <w:proofErr w:type="spellEnd"/>
      <w:r w:rsidRPr="00A2305B">
        <w:rPr>
          <w:rFonts w:cs="Times New Roman"/>
          <w:szCs w:val="24"/>
        </w:rPr>
        <w:t xml:space="preserve"> [Siblings in the same school]. </w:t>
      </w:r>
      <w:r w:rsidRPr="00A2305B">
        <w:rPr>
          <w:rFonts w:cs="Times New Roman"/>
          <w:i/>
          <w:szCs w:val="24"/>
        </w:rPr>
        <w:t xml:space="preserve">Ta Kung </w:t>
      </w:r>
      <w:proofErr w:type="spellStart"/>
      <w:r w:rsidRPr="00A2305B">
        <w:rPr>
          <w:rFonts w:cs="Times New Roman"/>
          <w:i/>
          <w:szCs w:val="24"/>
        </w:rPr>
        <w:t>Pao</w:t>
      </w:r>
      <w:proofErr w:type="spellEnd"/>
      <w:r w:rsidRPr="00A2305B">
        <w:rPr>
          <w:rFonts w:cs="Times New Roman"/>
          <w:szCs w:val="24"/>
        </w:rPr>
        <w:t xml:space="preserve">, p. B21. Available at: </w:t>
      </w:r>
      <w:hyperlink r:id="rId229" w:history="1">
        <w:r w:rsidRPr="00A2305B">
          <w:rPr>
            <w:rStyle w:val="Hyperlink"/>
            <w:rFonts w:cs="Times New Roman"/>
            <w:szCs w:val="24"/>
          </w:rPr>
          <w:t>http://paper.takungpao.com/resfile/PDF/20151112/PDF/b21_screen.pdf</w:t>
        </w:r>
      </w:hyperlink>
      <w:r w:rsidRPr="00A2305B">
        <w:rPr>
          <w:rFonts w:cs="Times New Roman"/>
          <w:szCs w:val="24"/>
        </w:rPr>
        <w:t>. Retrieved Feb 28, 2018.</w:t>
      </w:r>
    </w:p>
    <w:p w:rsidR="005A0CFB" w:rsidRPr="00A2305B" w:rsidRDefault="005A0CFB" w:rsidP="00A2305B">
      <w:pPr>
        <w:adjustRightInd w:val="0"/>
        <w:snapToGrid w:val="0"/>
        <w:spacing w:after="60"/>
        <w:ind w:left="450" w:hanging="450"/>
        <w:rPr>
          <w:rFonts w:cs="Times New Roman"/>
          <w:szCs w:val="24"/>
        </w:rPr>
      </w:pPr>
      <w:proofErr w:type="spellStart"/>
      <w:r w:rsidRPr="00A2305B">
        <w:rPr>
          <w:rFonts w:cs="Times New Roman"/>
          <w:szCs w:val="24"/>
        </w:rPr>
        <w:t>Ivaniushina</w:t>
      </w:r>
      <w:proofErr w:type="spellEnd"/>
      <w:r w:rsidRPr="00A2305B">
        <w:rPr>
          <w:rFonts w:cs="Times New Roman"/>
          <w:szCs w:val="24"/>
        </w:rPr>
        <w:t xml:space="preserve">, V.A., and </w:t>
      </w:r>
      <w:proofErr w:type="spellStart"/>
      <w:r w:rsidRPr="00A2305B">
        <w:rPr>
          <w:rFonts w:cs="Times New Roman"/>
          <w:szCs w:val="24"/>
        </w:rPr>
        <w:t>Aleksandrov</w:t>
      </w:r>
      <w:proofErr w:type="spellEnd"/>
      <w:r w:rsidRPr="00A2305B">
        <w:rPr>
          <w:rFonts w:cs="Times New Roman"/>
          <w:szCs w:val="24"/>
        </w:rPr>
        <w:t xml:space="preserve">, D.A. (2015). Socialization </w:t>
      </w:r>
      <w:proofErr w:type="gramStart"/>
      <w:r w:rsidRPr="00A2305B">
        <w:rPr>
          <w:rFonts w:cs="Times New Roman"/>
          <w:szCs w:val="24"/>
        </w:rPr>
        <w:t>Through</w:t>
      </w:r>
      <w:proofErr w:type="gramEnd"/>
      <w:r w:rsidRPr="00A2305B">
        <w:rPr>
          <w:rFonts w:cs="Times New Roman"/>
          <w:szCs w:val="24"/>
        </w:rPr>
        <w:t xml:space="preserve"> Informal Education: The Extracurricular Activities of Russian Schoolchildren. </w:t>
      </w:r>
      <w:r w:rsidRPr="00A2305B">
        <w:rPr>
          <w:rFonts w:cs="Times New Roman"/>
          <w:i/>
          <w:szCs w:val="24"/>
        </w:rPr>
        <w:t>Russian Education &amp; Society</w:t>
      </w:r>
      <w:r w:rsidR="00B97A25" w:rsidRPr="00A2305B">
        <w:rPr>
          <w:rFonts w:cs="Times New Roman"/>
          <w:i/>
          <w:szCs w:val="24"/>
        </w:rPr>
        <w:t xml:space="preserve"> </w:t>
      </w:r>
      <w:r w:rsidR="00B97A25" w:rsidRPr="00A2305B">
        <w:rPr>
          <w:rFonts w:cs="Times New Roman"/>
          <w:szCs w:val="24"/>
        </w:rPr>
        <w:t>57(4), 189-213.</w:t>
      </w:r>
    </w:p>
    <w:p w:rsidR="00751138" w:rsidRPr="00A2305B" w:rsidRDefault="00751138" w:rsidP="00A2305B">
      <w:pPr>
        <w:adjustRightInd w:val="0"/>
        <w:snapToGrid w:val="0"/>
        <w:spacing w:after="60"/>
        <w:ind w:left="450" w:hanging="450"/>
        <w:jc w:val="both"/>
        <w:rPr>
          <w:rFonts w:cs="Times New Roman"/>
          <w:szCs w:val="24"/>
        </w:rPr>
      </w:pPr>
      <w:r w:rsidRPr="00A2305B">
        <w:rPr>
          <w:rFonts w:cs="Times New Roman"/>
          <w:szCs w:val="24"/>
        </w:rPr>
        <w:t xml:space="preserve">Jarrett, J., Woodcock, J., Griffiths, U.K., Chalabi, Z., Edwards, P., Roberts, I., and </w:t>
      </w:r>
      <w:proofErr w:type="spellStart"/>
      <w:r w:rsidRPr="00A2305B">
        <w:rPr>
          <w:rFonts w:cs="Times New Roman"/>
          <w:szCs w:val="24"/>
        </w:rPr>
        <w:t>Haine</w:t>
      </w:r>
      <w:proofErr w:type="spellEnd"/>
      <w:r w:rsidRPr="00A2305B">
        <w:rPr>
          <w:rFonts w:cs="Times New Roman"/>
          <w:szCs w:val="24"/>
        </w:rPr>
        <w:t xml:space="preserve">, A. (2012). Effect of increasing active travel in urban England and Wales on costs to the National Health Service. </w:t>
      </w:r>
      <w:r w:rsidRPr="00A2305B">
        <w:rPr>
          <w:rFonts w:cs="Times New Roman"/>
          <w:i/>
          <w:szCs w:val="24"/>
        </w:rPr>
        <w:t>The Lancet</w:t>
      </w:r>
      <w:r w:rsidRPr="00A2305B">
        <w:rPr>
          <w:rFonts w:cs="Times New Roman"/>
          <w:szCs w:val="24"/>
        </w:rPr>
        <w:t xml:space="preserve"> 379(9832), 2109-2205.</w:t>
      </w:r>
    </w:p>
    <w:p w:rsidR="00751138" w:rsidRPr="00A2305B" w:rsidRDefault="00751138" w:rsidP="00A2305B">
      <w:pPr>
        <w:adjustRightInd w:val="0"/>
        <w:snapToGrid w:val="0"/>
        <w:spacing w:after="60"/>
        <w:ind w:left="360" w:hanging="360"/>
        <w:jc w:val="both"/>
        <w:rPr>
          <w:rFonts w:eastAsia="Calibri" w:cs="Times New Roman"/>
          <w:szCs w:val="24"/>
        </w:rPr>
      </w:pPr>
      <w:proofErr w:type="spellStart"/>
      <w:r w:rsidRPr="00A2305B">
        <w:rPr>
          <w:rFonts w:eastAsia="Calibri" w:cs="Times New Roman"/>
          <w:szCs w:val="24"/>
        </w:rPr>
        <w:t>Kamargianni</w:t>
      </w:r>
      <w:proofErr w:type="spellEnd"/>
      <w:r w:rsidRPr="00A2305B">
        <w:rPr>
          <w:rFonts w:eastAsia="Calibri" w:cs="Times New Roman"/>
          <w:szCs w:val="24"/>
        </w:rPr>
        <w:t xml:space="preserve">, M., Dubey, S., </w:t>
      </w:r>
      <w:proofErr w:type="spellStart"/>
      <w:r w:rsidRPr="00A2305B">
        <w:rPr>
          <w:rFonts w:eastAsia="Calibri" w:cs="Times New Roman"/>
          <w:szCs w:val="24"/>
        </w:rPr>
        <w:t>Polydoropoulou</w:t>
      </w:r>
      <w:proofErr w:type="spellEnd"/>
      <w:r w:rsidRPr="00A2305B">
        <w:rPr>
          <w:rFonts w:eastAsia="Calibri" w:cs="Times New Roman"/>
          <w:szCs w:val="24"/>
        </w:rPr>
        <w:t xml:space="preserve">, A., and Bhat, C.R. (2015). Investigating the subjective and objective factors influencing </w:t>
      </w:r>
      <w:proofErr w:type="gramStart"/>
      <w:r w:rsidRPr="00A2305B">
        <w:rPr>
          <w:rFonts w:eastAsia="Calibri" w:cs="Times New Roman"/>
          <w:szCs w:val="24"/>
        </w:rPr>
        <w:t>teenagers</w:t>
      </w:r>
      <w:proofErr w:type="gramEnd"/>
      <w:r w:rsidRPr="00A2305B">
        <w:rPr>
          <w:rFonts w:eastAsia="Calibri" w:cs="Times New Roman"/>
          <w:szCs w:val="24"/>
        </w:rPr>
        <w:t xml:space="preserve"> school travel mode choice–An integrated choice and latent variable model. </w:t>
      </w:r>
      <w:r w:rsidRPr="00A2305B">
        <w:rPr>
          <w:rFonts w:eastAsia="Calibri" w:cs="Times New Roman"/>
          <w:i/>
          <w:szCs w:val="24"/>
        </w:rPr>
        <w:t>Transportation Research Part A</w:t>
      </w:r>
      <w:r w:rsidRPr="00A2305B">
        <w:rPr>
          <w:rFonts w:eastAsia="Calibri" w:cs="Times New Roman"/>
          <w:szCs w:val="24"/>
        </w:rPr>
        <w:t xml:space="preserve"> 78, 473-488.</w:t>
      </w:r>
    </w:p>
    <w:p w:rsidR="00751138" w:rsidRPr="00A2305B" w:rsidRDefault="00751138" w:rsidP="00A2305B">
      <w:pPr>
        <w:adjustRightInd w:val="0"/>
        <w:snapToGrid w:val="0"/>
        <w:spacing w:after="60"/>
        <w:ind w:left="360" w:hanging="360"/>
        <w:jc w:val="both"/>
        <w:rPr>
          <w:rFonts w:eastAsia="Calibri" w:cs="Times New Roman"/>
          <w:szCs w:val="24"/>
        </w:rPr>
      </w:pPr>
      <w:proofErr w:type="spellStart"/>
      <w:r w:rsidRPr="00A2305B">
        <w:rPr>
          <w:rFonts w:eastAsia="Calibri" w:cs="Times New Roman"/>
          <w:szCs w:val="24"/>
        </w:rPr>
        <w:t>Karsten</w:t>
      </w:r>
      <w:proofErr w:type="spellEnd"/>
      <w:r w:rsidRPr="00A2305B">
        <w:rPr>
          <w:rFonts w:eastAsia="Calibri" w:cs="Times New Roman"/>
          <w:szCs w:val="24"/>
        </w:rPr>
        <w:t xml:space="preserve">, L. (2014). Middle-class childhood and parenting culture in high-rise Hong Kong: On scheduled lives, the school trap and a new urban idyll. </w:t>
      </w:r>
      <w:r w:rsidRPr="00A2305B">
        <w:rPr>
          <w:rFonts w:eastAsia="Calibri" w:cs="Times New Roman"/>
          <w:i/>
          <w:szCs w:val="24"/>
        </w:rPr>
        <w:t>Children’s Geographies</w:t>
      </w:r>
      <w:r w:rsidRPr="00A2305B">
        <w:rPr>
          <w:rFonts w:eastAsia="Calibri" w:cs="Times New Roman"/>
          <w:szCs w:val="24"/>
        </w:rPr>
        <w:t xml:space="preserve"> 13, 556–570.</w:t>
      </w:r>
    </w:p>
    <w:p w:rsidR="00751138" w:rsidRPr="00A2305B" w:rsidRDefault="00751138" w:rsidP="00A2305B">
      <w:pPr>
        <w:adjustRightInd w:val="0"/>
        <w:snapToGrid w:val="0"/>
        <w:spacing w:after="60"/>
        <w:ind w:left="360" w:hanging="360"/>
        <w:jc w:val="both"/>
        <w:rPr>
          <w:rFonts w:eastAsia="Calibri" w:cs="Times New Roman"/>
          <w:szCs w:val="24"/>
        </w:rPr>
      </w:pPr>
      <w:r w:rsidRPr="00A2305B">
        <w:rPr>
          <w:rFonts w:eastAsia="Calibri" w:cs="Times New Roman"/>
          <w:szCs w:val="24"/>
        </w:rPr>
        <w:t>Kawashima-Ginsberg, F. (2014). Harry, Hermione, Ron and Neville– Portraits of American teenagers’ extracurricular involvement, and implications for educational interventions.</w:t>
      </w:r>
      <w:r w:rsidRPr="00A2305B">
        <w:rPr>
          <w:rFonts w:cs="Times New Roman"/>
          <w:szCs w:val="24"/>
        </w:rPr>
        <w:t xml:space="preserve"> </w:t>
      </w:r>
      <w:r w:rsidRPr="00A2305B">
        <w:rPr>
          <w:rFonts w:eastAsia="Calibri" w:cs="Times New Roman"/>
          <w:i/>
          <w:szCs w:val="24"/>
        </w:rPr>
        <w:t>CIRCLE Working Paper #80</w:t>
      </w:r>
      <w:r w:rsidRPr="00A2305B">
        <w:rPr>
          <w:rFonts w:eastAsia="Calibri" w:cs="Times New Roman"/>
          <w:szCs w:val="24"/>
        </w:rPr>
        <w:t xml:space="preserve">. Available at: </w:t>
      </w:r>
      <w:hyperlink r:id="rId230" w:history="1">
        <w:r w:rsidRPr="00A2305B">
          <w:rPr>
            <w:rStyle w:val="Hyperlink"/>
            <w:rFonts w:eastAsia="Calibri" w:cs="Times New Roman"/>
            <w:szCs w:val="24"/>
          </w:rPr>
          <w:t>https://civicyouth.org/wp-content/uploads/2014/03/WP_80_KawashimaGinsberg.pdf</w:t>
        </w:r>
      </w:hyperlink>
      <w:r w:rsidRPr="00A2305B">
        <w:rPr>
          <w:rFonts w:eastAsia="Calibri" w:cs="Times New Roman"/>
          <w:szCs w:val="24"/>
        </w:rPr>
        <w:t>. Retrieved Jun 14, 2018.</w:t>
      </w:r>
    </w:p>
    <w:p w:rsidR="00751138" w:rsidRPr="00A2305B" w:rsidRDefault="00751138" w:rsidP="00A2305B">
      <w:pPr>
        <w:adjustRightInd w:val="0"/>
        <w:snapToGrid w:val="0"/>
        <w:spacing w:after="60"/>
        <w:ind w:left="360" w:hanging="360"/>
        <w:jc w:val="both"/>
        <w:rPr>
          <w:rFonts w:eastAsia="Calibri" w:cs="Times New Roman"/>
          <w:szCs w:val="24"/>
        </w:rPr>
      </w:pPr>
      <w:proofErr w:type="spellStart"/>
      <w:r w:rsidRPr="00A2305B">
        <w:rPr>
          <w:rFonts w:eastAsia="Calibri" w:cs="Times New Roman"/>
          <w:szCs w:val="24"/>
        </w:rPr>
        <w:t>Kemperman</w:t>
      </w:r>
      <w:proofErr w:type="spellEnd"/>
      <w:r w:rsidRPr="00A2305B">
        <w:rPr>
          <w:rFonts w:eastAsia="Calibri" w:cs="Times New Roman"/>
          <w:szCs w:val="24"/>
        </w:rPr>
        <w:t xml:space="preserve">, A., and Timmermans, H. (2014). Environmental correlates of active travel </w:t>
      </w:r>
      <w:proofErr w:type="spellStart"/>
      <w:r w:rsidRPr="00A2305B">
        <w:rPr>
          <w:rFonts w:eastAsia="Calibri" w:cs="Times New Roman"/>
          <w:szCs w:val="24"/>
        </w:rPr>
        <w:t>behavior</w:t>
      </w:r>
      <w:proofErr w:type="spellEnd"/>
      <w:r w:rsidRPr="00A2305B">
        <w:rPr>
          <w:rFonts w:eastAsia="Calibri" w:cs="Times New Roman"/>
          <w:szCs w:val="24"/>
        </w:rPr>
        <w:t xml:space="preserve"> of children. </w:t>
      </w:r>
      <w:r w:rsidRPr="00A2305B">
        <w:rPr>
          <w:rFonts w:eastAsia="Calibri" w:cs="Times New Roman"/>
          <w:i/>
          <w:szCs w:val="24"/>
        </w:rPr>
        <w:t xml:space="preserve">Environment and </w:t>
      </w:r>
      <w:proofErr w:type="spellStart"/>
      <w:r w:rsidRPr="00A2305B">
        <w:rPr>
          <w:rFonts w:eastAsia="Calibri" w:cs="Times New Roman"/>
          <w:i/>
          <w:szCs w:val="24"/>
        </w:rPr>
        <w:t>Behavior</w:t>
      </w:r>
      <w:proofErr w:type="spellEnd"/>
      <w:r w:rsidRPr="00A2305B">
        <w:rPr>
          <w:rFonts w:eastAsia="Calibri" w:cs="Times New Roman"/>
          <w:szCs w:val="24"/>
        </w:rPr>
        <w:t xml:space="preserve"> 46(5), 583-608.</w:t>
      </w:r>
    </w:p>
    <w:p w:rsidR="00751138" w:rsidRPr="00A2305B" w:rsidRDefault="00751138" w:rsidP="00A2305B">
      <w:pPr>
        <w:autoSpaceDE w:val="0"/>
        <w:autoSpaceDN w:val="0"/>
        <w:adjustRightInd w:val="0"/>
        <w:snapToGrid w:val="0"/>
        <w:spacing w:after="60"/>
        <w:ind w:left="360" w:hanging="360"/>
        <w:jc w:val="both"/>
        <w:rPr>
          <w:rFonts w:eastAsia="Times New Roman" w:cs="Times New Roman"/>
          <w:noProof/>
          <w:szCs w:val="24"/>
        </w:rPr>
      </w:pPr>
      <w:r w:rsidRPr="00A2305B">
        <w:rPr>
          <w:rFonts w:eastAsia="Times New Roman" w:cs="Times New Roman"/>
          <w:noProof/>
          <w:szCs w:val="24"/>
        </w:rPr>
        <w:t xml:space="preserve">Kim, J., and Brownstone, D. (2013). The impact of residential density on vehicle usage and fuel consumption: Evidence from national samples. </w:t>
      </w:r>
      <w:r w:rsidRPr="00A2305B">
        <w:rPr>
          <w:rFonts w:eastAsia="Times New Roman" w:cs="Times New Roman"/>
          <w:i/>
          <w:noProof/>
          <w:szCs w:val="24"/>
        </w:rPr>
        <w:t>Energy Economics</w:t>
      </w:r>
      <w:r w:rsidRPr="00A2305B">
        <w:rPr>
          <w:rFonts w:eastAsia="Times New Roman" w:cs="Times New Roman"/>
          <w:noProof/>
          <w:szCs w:val="24"/>
        </w:rPr>
        <w:t xml:space="preserve"> 40, 196-206.</w:t>
      </w:r>
    </w:p>
    <w:p w:rsidR="00751138" w:rsidRPr="00A2305B" w:rsidRDefault="00751138" w:rsidP="00A2305B">
      <w:pPr>
        <w:autoSpaceDE w:val="0"/>
        <w:autoSpaceDN w:val="0"/>
        <w:adjustRightInd w:val="0"/>
        <w:snapToGrid w:val="0"/>
        <w:spacing w:after="60"/>
        <w:ind w:left="360" w:hanging="360"/>
        <w:jc w:val="both"/>
        <w:rPr>
          <w:rFonts w:eastAsia="Times New Roman" w:cs="Times New Roman"/>
          <w:noProof/>
          <w:szCs w:val="24"/>
        </w:rPr>
      </w:pPr>
      <w:r w:rsidRPr="00A2305B">
        <w:rPr>
          <w:rFonts w:eastAsia="Times New Roman" w:cs="Times New Roman"/>
          <w:noProof/>
          <w:szCs w:val="24"/>
        </w:rPr>
        <w:t xml:space="preserve">Kim, S.-N., Choo, S., Mokhtarian, P.L. (2015). Home-based telecommuting and intra-household interactions in work and non-work travel: A seemingly unrelated censored regression approach. </w:t>
      </w:r>
      <w:r w:rsidRPr="00A2305B">
        <w:rPr>
          <w:rFonts w:eastAsia="Times New Roman" w:cs="Times New Roman"/>
          <w:i/>
          <w:noProof/>
          <w:szCs w:val="24"/>
        </w:rPr>
        <w:t>Transportation Research Part A</w:t>
      </w:r>
      <w:r w:rsidRPr="00A2305B">
        <w:rPr>
          <w:rFonts w:eastAsia="Times New Roman" w:cs="Times New Roman"/>
          <w:noProof/>
          <w:szCs w:val="24"/>
        </w:rPr>
        <w:t xml:space="preserve"> 80, 197-214.</w:t>
      </w:r>
    </w:p>
    <w:p w:rsidR="00751138" w:rsidRPr="00A2305B" w:rsidRDefault="00751138" w:rsidP="00A2305B">
      <w:pPr>
        <w:autoSpaceDE w:val="0"/>
        <w:autoSpaceDN w:val="0"/>
        <w:adjustRightInd w:val="0"/>
        <w:snapToGrid w:val="0"/>
        <w:spacing w:after="60"/>
        <w:ind w:left="360" w:hanging="360"/>
        <w:jc w:val="both"/>
        <w:rPr>
          <w:rFonts w:eastAsia="Times New Roman" w:cs="Times New Roman"/>
          <w:noProof/>
          <w:szCs w:val="24"/>
        </w:rPr>
      </w:pPr>
      <w:r w:rsidRPr="00A2305B">
        <w:rPr>
          <w:rFonts w:eastAsia="Times New Roman" w:cs="Times New Roman"/>
          <w:noProof/>
          <w:szCs w:val="24"/>
        </w:rPr>
        <w:t xml:space="preserve">Kniffin, K.M., Wansink, B., Shimizu, M. (2015). Sports at work: Anticipated and persistent correlates of participation in high school athletics. </w:t>
      </w:r>
      <w:r w:rsidRPr="00A2305B">
        <w:rPr>
          <w:rFonts w:eastAsia="Times New Roman" w:cs="Times New Roman"/>
          <w:i/>
          <w:noProof/>
          <w:szCs w:val="24"/>
        </w:rPr>
        <w:t>Journal of Leadership &amp; Organizational Studies</w:t>
      </w:r>
      <w:r w:rsidRPr="00A2305B">
        <w:rPr>
          <w:rFonts w:eastAsia="Times New Roman" w:cs="Times New Roman"/>
          <w:noProof/>
          <w:szCs w:val="24"/>
        </w:rPr>
        <w:t xml:space="preserve"> 22(2), 217-230.</w:t>
      </w:r>
    </w:p>
    <w:p w:rsidR="00751138" w:rsidRPr="00A2305B" w:rsidRDefault="00751138" w:rsidP="00A2305B">
      <w:pPr>
        <w:spacing w:after="60"/>
        <w:ind w:left="450" w:hanging="450"/>
        <w:jc w:val="both"/>
        <w:rPr>
          <w:rFonts w:cs="Times New Roman"/>
          <w:szCs w:val="24"/>
          <w:lang w:eastAsia="zh-CN"/>
        </w:rPr>
      </w:pPr>
      <w:proofErr w:type="spellStart"/>
      <w:r w:rsidRPr="00A2305B">
        <w:rPr>
          <w:rFonts w:cs="Times New Roman"/>
          <w:szCs w:val="24"/>
          <w:lang w:eastAsia="zh-CN"/>
        </w:rPr>
        <w:t>Kyttä</w:t>
      </w:r>
      <w:proofErr w:type="spellEnd"/>
      <w:r w:rsidRPr="00A2305B">
        <w:rPr>
          <w:rFonts w:cs="Times New Roman"/>
          <w:szCs w:val="24"/>
          <w:lang w:eastAsia="zh-CN"/>
        </w:rPr>
        <w:t xml:space="preserve">, M., </w:t>
      </w:r>
      <w:proofErr w:type="spellStart"/>
      <w:r w:rsidRPr="00A2305B">
        <w:rPr>
          <w:rFonts w:cs="Times New Roman"/>
          <w:szCs w:val="24"/>
          <w:lang w:eastAsia="zh-CN"/>
        </w:rPr>
        <w:t>Hirvonen</w:t>
      </w:r>
      <w:proofErr w:type="spellEnd"/>
      <w:r w:rsidRPr="00A2305B">
        <w:rPr>
          <w:rFonts w:cs="Times New Roman"/>
          <w:szCs w:val="24"/>
          <w:lang w:eastAsia="zh-CN"/>
        </w:rPr>
        <w:t xml:space="preserve">, J., Rudner, J., </w:t>
      </w:r>
      <w:proofErr w:type="spellStart"/>
      <w:r w:rsidRPr="00A2305B">
        <w:rPr>
          <w:rFonts w:cs="Times New Roman"/>
          <w:szCs w:val="24"/>
          <w:lang w:eastAsia="zh-CN"/>
        </w:rPr>
        <w:t>Pirjola</w:t>
      </w:r>
      <w:proofErr w:type="spellEnd"/>
      <w:r w:rsidRPr="00A2305B">
        <w:rPr>
          <w:rFonts w:cs="Times New Roman"/>
          <w:szCs w:val="24"/>
          <w:lang w:eastAsia="zh-CN"/>
        </w:rPr>
        <w:t xml:space="preserve">, I., </w:t>
      </w:r>
      <w:proofErr w:type="spellStart"/>
      <w:r w:rsidRPr="00A2305B">
        <w:rPr>
          <w:rFonts w:cs="Times New Roman"/>
          <w:szCs w:val="24"/>
          <w:lang w:eastAsia="zh-CN"/>
        </w:rPr>
        <w:t>Laatikainena</w:t>
      </w:r>
      <w:proofErr w:type="spellEnd"/>
      <w:r w:rsidRPr="00A2305B">
        <w:rPr>
          <w:rFonts w:cs="Times New Roman"/>
          <w:szCs w:val="24"/>
          <w:lang w:eastAsia="zh-CN"/>
        </w:rPr>
        <w:t xml:space="preserve">, T. (2015). The last free-range children? Children’s independent mobility in Finland in the 1990s and 2010s. </w:t>
      </w:r>
      <w:r w:rsidRPr="00A2305B">
        <w:rPr>
          <w:rFonts w:cs="Times New Roman"/>
          <w:i/>
          <w:szCs w:val="24"/>
          <w:lang w:eastAsia="zh-CN"/>
        </w:rPr>
        <w:t xml:space="preserve">Journal of Transport Geography </w:t>
      </w:r>
      <w:r w:rsidRPr="00A2305B">
        <w:rPr>
          <w:rFonts w:cs="Times New Roman"/>
          <w:szCs w:val="24"/>
          <w:lang w:eastAsia="zh-CN"/>
        </w:rPr>
        <w:t>47, 1-12.</w:t>
      </w:r>
    </w:p>
    <w:p w:rsidR="00751138" w:rsidRPr="00A2305B" w:rsidRDefault="00751138" w:rsidP="00A2305B">
      <w:pPr>
        <w:autoSpaceDE w:val="0"/>
        <w:autoSpaceDN w:val="0"/>
        <w:adjustRightInd w:val="0"/>
        <w:snapToGrid w:val="0"/>
        <w:spacing w:after="60"/>
        <w:ind w:left="360" w:hanging="360"/>
        <w:jc w:val="both"/>
        <w:rPr>
          <w:rFonts w:eastAsia="Times New Roman" w:cs="Times New Roman"/>
          <w:noProof/>
          <w:szCs w:val="24"/>
        </w:rPr>
      </w:pPr>
      <w:r w:rsidRPr="00A2305B">
        <w:rPr>
          <w:rFonts w:eastAsia="Times New Roman" w:cs="Times New Roman"/>
          <w:noProof/>
          <w:szCs w:val="24"/>
        </w:rPr>
        <w:lastRenderedPageBreak/>
        <w:t xml:space="preserve">Laird, S.G., McFarland-Piazza, L., and Allen, S. (2014). Young children's opportunities for unstructured environmental exploration of nature: Links to adults' experiences in childhood. </w:t>
      </w:r>
      <w:r w:rsidRPr="00A2305B">
        <w:rPr>
          <w:rFonts w:eastAsia="Times New Roman" w:cs="Times New Roman"/>
          <w:i/>
          <w:noProof/>
          <w:szCs w:val="24"/>
        </w:rPr>
        <w:t>International Journal of Early Childhood Environmental Education</w:t>
      </w:r>
      <w:r w:rsidRPr="00A2305B">
        <w:rPr>
          <w:rFonts w:eastAsia="Times New Roman" w:cs="Times New Roman"/>
          <w:noProof/>
          <w:szCs w:val="24"/>
        </w:rPr>
        <w:t xml:space="preserve"> 2(1), 58-75.</w:t>
      </w:r>
    </w:p>
    <w:p w:rsidR="00751138" w:rsidRPr="00A2305B" w:rsidRDefault="00751138" w:rsidP="00A2305B">
      <w:pPr>
        <w:autoSpaceDE w:val="0"/>
        <w:autoSpaceDN w:val="0"/>
        <w:adjustRightInd w:val="0"/>
        <w:snapToGrid w:val="0"/>
        <w:spacing w:after="60"/>
        <w:ind w:left="360" w:hanging="360"/>
        <w:jc w:val="both"/>
        <w:rPr>
          <w:rFonts w:eastAsia="Times New Roman" w:cs="Times New Roman"/>
          <w:noProof/>
          <w:szCs w:val="24"/>
        </w:rPr>
      </w:pPr>
      <w:r w:rsidRPr="00A2305B">
        <w:rPr>
          <w:rFonts w:eastAsia="Times New Roman" w:cs="Times New Roman"/>
          <w:noProof/>
          <w:szCs w:val="24"/>
        </w:rPr>
        <w:t xml:space="preserve">Lam, W.W.Y., and Loo, B.P.Y. (2014). Determinants of children’s independent mobility in Hong Kong. </w:t>
      </w:r>
      <w:r w:rsidRPr="00A2305B">
        <w:rPr>
          <w:rFonts w:eastAsia="Times New Roman" w:cs="Times New Roman"/>
          <w:i/>
          <w:noProof/>
          <w:szCs w:val="24"/>
        </w:rPr>
        <w:t xml:space="preserve">Asian Transport Studies </w:t>
      </w:r>
      <w:r w:rsidRPr="00A2305B">
        <w:rPr>
          <w:rFonts w:eastAsia="Times New Roman" w:cs="Times New Roman"/>
          <w:noProof/>
          <w:szCs w:val="24"/>
        </w:rPr>
        <w:t>3(2), 250-268.</w:t>
      </w:r>
    </w:p>
    <w:p w:rsidR="00751138" w:rsidRPr="00A2305B" w:rsidRDefault="00751138" w:rsidP="00A2305B">
      <w:pPr>
        <w:spacing w:after="60"/>
        <w:ind w:left="450" w:hanging="450"/>
        <w:jc w:val="both"/>
        <w:rPr>
          <w:rFonts w:cs="Times New Roman"/>
          <w:szCs w:val="24"/>
        </w:rPr>
      </w:pPr>
      <w:r w:rsidRPr="00A2305B">
        <w:rPr>
          <w:rFonts w:cs="Times New Roman"/>
          <w:szCs w:val="24"/>
        </w:rPr>
        <w:t xml:space="preserve">Lang, D., Collins, D., and Kearns, R. (2011). Understanding modal choice for the trip to school. </w:t>
      </w:r>
      <w:r w:rsidRPr="00A2305B">
        <w:rPr>
          <w:rFonts w:cs="Times New Roman"/>
          <w:i/>
          <w:szCs w:val="24"/>
        </w:rPr>
        <w:t xml:space="preserve">Journal of Transport Geography </w:t>
      </w:r>
      <w:r w:rsidRPr="00A2305B">
        <w:rPr>
          <w:rFonts w:cs="Times New Roman"/>
          <w:szCs w:val="24"/>
        </w:rPr>
        <w:t>19(4), 509-514.</w:t>
      </w:r>
    </w:p>
    <w:p w:rsidR="00751138" w:rsidRPr="00A2305B" w:rsidRDefault="00751138" w:rsidP="00A2305B">
      <w:pPr>
        <w:autoSpaceDE w:val="0"/>
        <w:autoSpaceDN w:val="0"/>
        <w:adjustRightInd w:val="0"/>
        <w:snapToGrid w:val="0"/>
        <w:spacing w:after="60"/>
        <w:ind w:left="360" w:hanging="360"/>
        <w:jc w:val="both"/>
        <w:rPr>
          <w:rFonts w:eastAsia="Times New Roman" w:cs="Times New Roman"/>
          <w:noProof/>
          <w:szCs w:val="24"/>
        </w:rPr>
      </w:pPr>
      <w:r w:rsidRPr="00A2305B">
        <w:rPr>
          <w:rFonts w:eastAsia="Times New Roman" w:cs="Times New Roman"/>
          <w:noProof/>
          <w:szCs w:val="24"/>
        </w:rPr>
        <w:t xml:space="preserve">Lehner-Lierz, U. (2003). The role of cycling for women. </w:t>
      </w:r>
      <w:r w:rsidRPr="00A2305B">
        <w:rPr>
          <w:rFonts w:eastAsia="Times New Roman" w:cs="Times New Roman"/>
          <w:i/>
          <w:noProof/>
          <w:szCs w:val="24"/>
        </w:rPr>
        <w:t>Sustainable Transport</w:t>
      </w:r>
      <w:r w:rsidRPr="00A2305B">
        <w:rPr>
          <w:rFonts w:eastAsia="Times New Roman" w:cs="Times New Roman"/>
          <w:noProof/>
          <w:szCs w:val="24"/>
        </w:rPr>
        <w:t>, 123-143.</w:t>
      </w:r>
    </w:p>
    <w:p w:rsidR="00751138" w:rsidRPr="00A2305B" w:rsidRDefault="00751138" w:rsidP="00A2305B">
      <w:pPr>
        <w:autoSpaceDE w:val="0"/>
        <w:autoSpaceDN w:val="0"/>
        <w:adjustRightInd w:val="0"/>
        <w:snapToGrid w:val="0"/>
        <w:spacing w:after="60"/>
        <w:ind w:left="360" w:hanging="360"/>
        <w:jc w:val="both"/>
        <w:rPr>
          <w:rFonts w:eastAsia="Times New Roman" w:cs="Times New Roman"/>
          <w:noProof/>
          <w:szCs w:val="24"/>
        </w:rPr>
      </w:pPr>
      <w:r w:rsidRPr="00A2305B">
        <w:rPr>
          <w:rFonts w:eastAsia="Times New Roman" w:cs="Times New Roman"/>
          <w:noProof/>
          <w:szCs w:val="24"/>
        </w:rPr>
        <w:t xml:space="preserve">Leung, K.Y.K., and Loo, B.P.Y. (2017). Association of children’s mobility and wellbeing: A case study in Hong Kong. </w:t>
      </w:r>
      <w:r w:rsidRPr="00A2305B">
        <w:rPr>
          <w:rFonts w:eastAsia="Times New Roman" w:cs="Times New Roman"/>
          <w:i/>
          <w:noProof/>
          <w:szCs w:val="24"/>
        </w:rPr>
        <w:t>Travel Behaviour and Society</w:t>
      </w:r>
      <w:r w:rsidRPr="00A2305B">
        <w:rPr>
          <w:rFonts w:eastAsia="Times New Roman" w:cs="Times New Roman"/>
          <w:noProof/>
          <w:szCs w:val="24"/>
        </w:rPr>
        <w:t xml:space="preserve"> 9, 95-104.</w:t>
      </w:r>
    </w:p>
    <w:p w:rsidR="0084355E" w:rsidRPr="00A2305B" w:rsidRDefault="008E6C88" w:rsidP="00A2305B">
      <w:pPr>
        <w:autoSpaceDE w:val="0"/>
        <w:autoSpaceDN w:val="0"/>
        <w:adjustRightInd w:val="0"/>
        <w:snapToGrid w:val="0"/>
        <w:spacing w:after="60"/>
        <w:ind w:left="360" w:hanging="360"/>
        <w:jc w:val="both"/>
        <w:rPr>
          <w:rFonts w:eastAsia="Times New Roman" w:cs="Times New Roman"/>
          <w:noProof/>
          <w:szCs w:val="24"/>
        </w:rPr>
      </w:pPr>
      <w:r w:rsidRPr="00A2305B">
        <w:rPr>
          <w:rFonts w:eastAsia="Times New Roman" w:cs="Times New Roman"/>
          <w:noProof/>
          <w:szCs w:val="24"/>
        </w:rPr>
        <w:t>Leung, K.-M.</w:t>
      </w:r>
      <w:r w:rsidR="0084355E" w:rsidRPr="00A2305B">
        <w:rPr>
          <w:rFonts w:eastAsia="Times New Roman" w:cs="Times New Roman"/>
          <w:noProof/>
          <w:szCs w:val="24"/>
        </w:rPr>
        <w:t>, Chung, P.</w:t>
      </w:r>
      <w:r w:rsidRPr="00A2305B">
        <w:rPr>
          <w:rFonts w:eastAsia="Times New Roman" w:cs="Times New Roman"/>
          <w:noProof/>
          <w:szCs w:val="24"/>
        </w:rPr>
        <w:t>-K.</w:t>
      </w:r>
      <w:r w:rsidR="0084355E" w:rsidRPr="00A2305B">
        <w:rPr>
          <w:rFonts w:eastAsia="Times New Roman" w:cs="Times New Roman"/>
          <w:noProof/>
          <w:szCs w:val="24"/>
        </w:rPr>
        <w:t xml:space="preserve">, and Kim, S. (2017). Parental support of children’s physical activity in Hong Kong. </w:t>
      </w:r>
      <w:r w:rsidR="0084355E" w:rsidRPr="00A2305B">
        <w:rPr>
          <w:rFonts w:eastAsia="Times New Roman" w:cs="Times New Roman"/>
          <w:i/>
          <w:noProof/>
          <w:szCs w:val="24"/>
        </w:rPr>
        <w:t>European Physical Education Review</w:t>
      </w:r>
      <w:r w:rsidR="0084355E" w:rsidRPr="00A2305B">
        <w:rPr>
          <w:rFonts w:eastAsia="Times New Roman" w:cs="Times New Roman"/>
          <w:noProof/>
          <w:szCs w:val="24"/>
        </w:rPr>
        <w:t xml:space="preserve"> 23(2), 141-156.</w:t>
      </w:r>
    </w:p>
    <w:p w:rsidR="00751138" w:rsidRPr="00A2305B" w:rsidRDefault="00751138" w:rsidP="00A2305B">
      <w:pPr>
        <w:spacing w:after="60"/>
        <w:ind w:left="450" w:hanging="450"/>
        <w:jc w:val="both"/>
        <w:rPr>
          <w:rFonts w:cs="Times New Roman"/>
          <w:szCs w:val="24"/>
          <w:lang w:eastAsia="zh-CN"/>
        </w:rPr>
      </w:pPr>
      <w:r w:rsidRPr="00A2305B">
        <w:rPr>
          <w:rFonts w:cs="Times New Roman"/>
          <w:szCs w:val="24"/>
        </w:rPr>
        <w:t>Li, S., and Zhao, P. (2015). The determinants of commuting mode choice among school children in Beijing</w:t>
      </w:r>
      <w:r w:rsidRPr="00A2305B">
        <w:rPr>
          <w:rFonts w:cs="Times New Roman"/>
          <w:szCs w:val="24"/>
          <w:lang w:eastAsia="zh-CN"/>
        </w:rPr>
        <w:t xml:space="preserve">. </w:t>
      </w:r>
      <w:r w:rsidRPr="00A2305B">
        <w:rPr>
          <w:rFonts w:cs="Times New Roman"/>
          <w:i/>
          <w:szCs w:val="24"/>
          <w:lang w:eastAsia="zh-CN"/>
        </w:rPr>
        <w:t>Journal of Transport Geography</w:t>
      </w:r>
      <w:r w:rsidRPr="00A2305B">
        <w:rPr>
          <w:rFonts w:cs="Times New Roman"/>
          <w:szCs w:val="24"/>
          <w:lang w:eastAsia="zh-CN"/>
        </w:rPr>
        <w:t xml:space="preserve"> 46, 112-121.</w:t>
      </w:r>
    </w:p>
    <w:p w:rsidR="00751138" w:rsidRPr="00A2305B" w:rsidRDefault="00751138" w:rsidP="00A2305B">
      <w:pPr>
        <w:spacing w:after="60"/>
        <w:ind w:left="450" w:hanging="450"/>
        <w:jc w:val="both"/>
        <w:rPr>
          <w:rFonts w:cs="Times New Roman"/>
          <w:szCs w:val="24"/>
          <w:lang w:eastAsia="zh-CN"/>
        </w:rPr>
      </w:pPr>
      <w:r w:rsidRPr="00A2305B">
        <w:rPr>
          <w:rFonts w:cs="Times New Roman"/>
          <w:szCs w:val="24"/>
          <w:lang w:eastAsia="zh-CN"/>
        </w:rPr>
        <w:t xml:space="preserve">Lim, K.-K. (2015). </w:t>
      </w:r>
      <w:proofErr w:type="spellStart"/>
      <w:r w:rsidRPr="00A2305B">
        <w:rPr>
          <w:rFonts w:cs="Times New Roman"/>
          <w:szCs w:val="24"/>
          <w:lang w:eastAsia="zh-CN"/>
        </w:rPr>
        <w:t>Modeling</w:t>
      </w:r>
      <w:proofErr w:type="spellEnd"/>
      <w:r w:rsidRPr="00A2305B">
        <w:rPr>
          <w:rFonts w:cs="Times New Roman"/>
          <w:szCs w:val="24"/>
          <w:lang w:eastAsia="zh-CN"/>
        </w:rPr>
        <w:t xml:space="preserve"> intra-household interactions in the generation of social-recreational tour. </w:t>
      </w:r>
      <w:r w:rsidRPr="00A2305B">
        <w:rPr>
          <w:rFonts w:cs="Times New Roman"/>
          <w:i/>
          <w:szCs w:val="24"/>
          <w:lang w:eastAsia="zh-CN"/>
        </w:rPr>
        <w:t>KSCE Journal of Civil Engineering</w:t>
      </w:r>
      <w:r w:rsidRPr="00A2305B">
        <w:rPr>
          <w:rFonts w:cs="Times New Roman"/>
          <w:szCs w:val="24"/>
          <w:lang w:eastAsia="zh-CN"/>
        </w:rPr>
        <w:t xml:space="preserve"> 19(6), 1870-1881.</w:t>
      </w:r>
    </w:p>
    <w:p w:rsidR="0076222E" w:rsidRPr="00A2305B" w:rsidRDefault="0076222E" w:rsidP="00A2305B">
      <w:pPr>
        <w:spacing w:after="60"/>
        <w:ind w:left="450" w:hanging="450"/>
        <w:jc w:val="both"/>
        <w:rPr>
          <w:rFonts w:cs="Times New Roman"/>
          <w:szCs w:val="24"/>
          <w:lang w:eastAsia="zh-CN"/>
        </w:rPr>
      </w:pPr>
      <w:proofErr w:type="spellStart"/>
      <w:r w:rsidRPr="00A2305B">
        <w:rPr>
          <w:rFonts w:cs="Times New Roman"/>
          <w:szCs w:val="24"/>
          <w:lang w:eastAsia="zh-CN"/>
        </w:rPr>
        <w:t>Liong</w:t>
      </w:r>
      <w:proofErr w:type="spellEnd"/>
      <w:r w:rsidRPr="00A2305B">
        <w:rPr>
          <w:rFonts w:cs="Times New Roman"/>
          <w:szCs w:val="24"/>
          <w:lang w:eastAsia="zh-CN"/>
        </w:rPr>
        <w:t xml:space="preserve">, M. (2017). From Control to Care: Historicizing Family and Fatherhood in Hong Kong. In: </w:t>
      </w:r>
      <w:r w:rsidRPr="00A2305B">
        <w:rPr>
          <w:rFonts w:cs="Times New Roman"/>
          <w:i/>
          <w:szCs w:val="24"/>
          <w:lang w:eastAsia="zh-CN"/>
        </w:rPr>
        <w:t>Chinese Fatherhood, Gender and Family: Father Mission</w:t>
      </w:r>
      <w:r w:rsidRPr="00A2305B">
        <w:rPr>
          <w:rFonts w:cs="Times New Roman"/>
          <w:szCs w:val="24"/>
          <w:lang w:eastAsia="zh-CN"/>
        </w:rPr>
        <w:t>. Palgrave Macmillan</w:t>
      </w:r>
      <w:r w:rsidR="00BC58C0" w:rsidRPr="00A2305B">
        <w:rPr>
          <w:rFonts w:cs="Times New Roman"/>
          <w:szCs w:val="24"/>
          <w:lang w:eastAsia="zh-CN"/>
        </w:rPr>
        <w:t>:</w:t>
      </w:r>
      <w:r w:rsidRPr="00A2305B">
        <w:rPr>
          <w:rFonts w:cs="Times New Roman"/>
          <w:szCs w:val="24"/>
          <w:lang w:eastAsia="zh-CN"/>
        </w:rPr>
        <w:t xml:space="preserve"> London</w:t>
      </w:r>
      <w:r w:rsidR="00BC58C0" w:rsidRPr="00A2305B">
        <w:rPr>
          <w:rFonts w:cs="Times New Roman"/>
          <w:szCs w:val="24"/>
          <w:lang w:eastAsia="zh-CN"/>
        </w:rPr>
        <w:t>, U.K.</w:t>
      </w:r>
    </w:p>
    <w:p w:rsidR="00751138" w:rsidRPr="00A2305B" w:rsidRDefault="00751138" w:rsidP="00A2305B">
      <w:pPr>
        <w:adjustRightInd w:val="0"/>
        <w:snapToGrid w:val="0"/>
        <w:spacing w:after="60"/>
        <w:ind w:left="450" w:hanging="450"/>
        <w:jc w:val="both"/>
        <w:rPr>
          <w:rFonts w:cs="Times New Roman"/>
          <w:szCs w:val="24"/>
        </w:rPr>
      </w:pPr>
      <w:proofErr w:type="spellStart"/>
      <w:r w:rsidRPr="00A2305B">
        <w:rPr>
          <w:rFonts w:cs="Times New Roman"/>
          <w:szCs w:val="24"/>
        </w:rPr>
        <w:t>Lobstein</w:t>
      </w:r>
      <w:proofErr w:type="spellEnd"/>
      <w:r w:rsidRPr="00A2305B">
        <w:rPr>
          <w:rFonts w:cs="Times New Roman"/>
          <w:szCs w:val="24"/>
        </w:rPr>
        <w:t xml:space="preserve">, T., Jackson-Leach, R., </w:t>
      </w:r>
      <w:proofErr w:type="spellStart"/>
      <w:r w:rsidRPr="00A2305B">
        <w:rPr>
          <w:rFonts w:cs="Times New Roman"/>
          <w:szCs w:val="24"/>
        </w:rPr>
        <w:t>Moodie</w:t>
      </w:r>
      <w:proofErr w:type="spellEnd"/>
      <w:r w:rsidRPr="00A2305B">
        <w:rPr>
          <w:rFonts w:cs="Times New Roman"/>
          <w:szCs w:val="24"/>
        </w:rPr>
        <w:t xml:space="preserve">, M. L., Hall, K. D., </w:t>
      </w:r>
      <w:proofErr w:type="spellStart"/>
      <w:r w:rsidRPr="00A2305B">
        <w:rPr>
          <w:rFonts w:cs="Times New Roman"/>
          <w:szCs w:val="24"/>
        </w:rPr>
        <w:t>Gortmaker</w:t>
      </w:r>
      <w:proofErr w:type="spellEnd"/>
      <w:r w:rsidRPr="00A2305B">
        <w:rPr>
          <w:rFonts w:cs="Times New Roman"/>
          <w:szCs w:val="24"/>
        </w:rPr>
        <w:t xml:space="preserve">, S. L., </w:t>
      </w:r>
      <w:proofErr w:type="spellStart"/>
      <w:r w:rsidRPr="00A2305B">
        <w:rPr>
          <w:rFonts w:cs="Times New Roman"/>
          <w:szCs w:val="24"/>
        </w:rPr>
        <w:t>Swinburn</w:t>
      </w:r>
      <w:proofErr w:type="spellEnd"/>
      <w:r w:rsidRPr="00A2305B">
        <w:rPr>
          <w:rFonts w:cs="Times New Roman"/>
          <w:szCs w:val="24"/>
        </w:rPr>
        <w:t xml:space="preserve">, B. A., and McPherson, K. (2015). Child and adolescent obesity: Part of a bigger picture. </w:t>
      </w:r>
      <w:r w:rsidRPr="00A2305B">
        <w:rPr>
          <w:rFonts w:cs="Times New Roman"/>
          <w:i/>
          <w:szCs w:val="24"/>
        </w:rPr>
        <w:t>The Lancet</w:t>
      </w:r>
      <w:r w:rsidRPr="00A2305B">
        <w:rPr>
          <w:rFonts w:cs="Times New Roman"/>
          <w:szCs w:val="24"/>
        </w:rPr>
        <w:t xml:space="preserve"> 385(9986), 2510-2520.</w:t>
      </w:r>
    </w:p>
    <w:p w:rsidR="00751138" w:rsidRPr="00A2305B" w:rsidRDefault="00751138" w:rsidP="00A2305B">
      <w:pPr>
        <w:adjustRightInd w:val="0"/>
        <w:snapToGrid w:val="0"/>
        <w:spacing w:after="60"/>
        <w:ind w:left="450" w:hanging="450"/>
        <w:jc w:val="both"/>
        <w:rPr>
          <w:rFonts w:cs="Times New Roman"/>
          <w:szCs w:val="24"/>
        </w:rPr>
      </w:pPr>
      <w:r w:rsidRPr="00A2305B">
        <w:rPr>
          <w:rFonts w:cs="Times New Roman"/>
          <w:szCs w:val="24"/>
        </w:rPr>
        <w:t xml:space="preserve">Loo, B.P.Y. and Banister, D. (2016) Decoupling transport from economic growth: Extending the debate to include environmental and social externalities. </w:t>
      </w:r>
      <w:r w:rsidRPr="00A2305B">
        <w:rPr>
          <w:rFonts w:cs="Times New Roman"/>
          <w:i/>
          <w:szCs w:val="24"/>
        </w:rPr>
        <w:t>Journal of Transport Geography</w:t>
      </w:r>
      <w:r w:rsidRPr="00A2305B">
        <w:rPr>
          <w:rFonts w:cs="Times New Roman"/>
          <w:szCs w:val="24"/>
        </w:rPr>
        <w:t xml:space="preserve"> 57, 134-144.  </w:t>
      </w:r>
    </w:p>
    <w:p w:rsidR="00751138" w:rsidRPr="00A2305B" w:rsidRDefault="00751138" w:rsidP="00A2305B">
      <w:pPr>
        <w:adjustRightInd w:val="0"/>
        <w:snapToGrid w:val="0"/>
        <w:spacing w:after="60"/>
        <w:ind w:left="450" w:hanging="450"/>
        <w:jc w:val="both"/>
        <w:rPr>
          <w:rFonts w:cs="Times New Roman"/>
          <w:szCs w:val="24"/>
        </w:rPr>
      </w:pPr>
      <w:r w:rsidRPr="00A2305B">
        <w:rPr>
          <w:rFonts w:cs="Times New Roman"/>
          <w:szCs w:val="24"/>
        </w:rPr>
        <w:t xml:space="preserve">Loo, B.P.Y., and Lam, W.W.Y. (2015). Does neighbourhood count in affecting children's journeys to schools? </w:t>
      </w:r>
      <w:r w:rsidRPr="00A2305B">
        <w:rPr>
          <w:rFonts w:cs="Times New Roman"/>
          <w:i/>
          <w:szCs w:val="24"/>
        </w:rPr>
        <w:t>Children’s Geographies</w:t>
      </w:r>
      <w:r w:rsidRPr="00A2305B">
        <w:rPr>
          <w:rFonts w:cs="Times New Roman"/>
          <w:szCs w:val="24"/>
        </w:rPr>
        <w:t xml:space="preserve"> 13(1), 89-113.</w:t>
      </w:r>
    </w:p>
    <w:p w:rsidR="00751138" w:rsidRPr="00A2305B" w:rsidRDefault="00751138" w:rsidP="00A2305B">
      <w:pPr>
        <w:keepLines/>
        <w:adjustRightInd w:val="0"/>
        <w:snapToGrid w:val="0"/>
        <w:spacing w:after="60"/>
        <w:ind w:left="446" w:hanging="446"/>
        <w:jc w:val="both"/>
        <w:rPr>
          <w:rFonts w:cs="Times New Roman"/>
          <w:szCs w:val="24"/>
        </w:rPr>
      </w:pPr>
      <w:r w:rsidRPr="00A2305B">
        <w:rPr>
          <w:rFonts w:cs="Times New Roman"/>
          <w:szCs w:val="24"/>
        </w:rPr>
        <w:t xml:space="preserve">Loo, B.P.Y., Lam, W.W.Y., Mahendran, R. and </w:t>
      </w:r>
      <w:proofErr w:type="spellStart"/>
      <w:r w:rsidRPr="00A2305B">
        <w:rPr>
          <w:rFonts w:cs="Times New Roman"/>
          <w:szCs w:val="24"/>
        </w:rPr>
        <w:t>Katagiri</w:t>
      </w:r>
      <w:proofErr w:type="spellEnd"/>
      <w:r w:rsidRPr="00A2305B">
        <w:rPr>
          <w:rFonts w:cs="Times New Roman"/>
          <w:szCs w:val="24"/>
        </w:rPr>
        <w:t xml:space="preserve">, K. (2017) How is the neighbourhood environment related to the health of seniors in Hong Kong, Singapore and Tokyo? Some insights for promoting ageing-in-place. </w:t>
      </w:r>
      <w:r w:rsidRPr="00A2305B">
        <w:rPr>
          <w:rFonts w:cs="Times New Roman"/>
          <w:i/>
          <w:szCs w:val="24"/>
        </w:rPr>
        <w:t>Annals of the American Association of Geographers</w:t>
      </w:r>
      <w:r w:rsidRPr="00A2305B">
        <w:rPr>
          <w:rFonts w:cs="Times New Roman"/>
          <w:szCs w:val="24"/>
        </w:rPr>
        <w:t xml:space="preserve"> 107(4), 812-828</w:t>
      </w:r>
      <w:r w:rsidR="00896391" w:rsidRPr="00A2305B">
        <w:rPr>
          <w:rFonts w:cs="Times New Roman"/>
          <w:szCs w:val="24"/>
        </w:rPr>
        <w:t>.</w:t>
      </w:r>
    </w:p>
    <w:p w:rsidR="00481771" w:rsidRPr="00A2305B" w:rsidRDefault="00481771" w:rsidP="00A2305B">
      <w:pPr>
        <w:spacing w:after="60"/>
        <w:ind w:left="450" w:hanging="450"/>
        <w:jc w:val="both"/>
        <w:rPr>
          <w:rFonts w:cs="Times New Roman"/>
          <w:szCs w:val="24"/>
          <w:lang w:eastAsia="zh-CN"/>
        </w:rPr>
      </w:pPr>
      <w:r w:rsidRPr="00A2305B">
        <w:rPr>
          <w:rFonts w:cs="Times New Roman"/>
          <w:szCs w:val="24"/>
          <w:lang w:eastAsia="zh-CN"/>
        </w:rPr>
        <w:t xml:space="preserve">Loo, B.P. Y.  </w:t>
      </w:r>
      <w:proofErr w:type="gramStart"/>
      <w:r w:rsidRPr="00A2305B">
        <w:rPr>
          <w:rFonts w:cs="Times New Roman"/>
          <w:szCs w:val="24"/>
          <w:lang w:eastAsia="zh-CN"/>
        </w:rPr>
        <w:t>and</w:t>
      </w:r>
      <w:proofErr w:type="gramEnd"/>
      <w:r w:rsidRPr="00A2305B">
        <w:rPr>
          <w:rFonts w:cs="Times New Roman"/>
          <w:szCs w:val="24"/>
          <w:lang w:eastAsia="zh-CN"/>
        </w:rPr>
        <w:t xml:space="preserve"> K.H. </w:t>
      </w:r>
      <w:proofErr w:type="spellStart"/>
      <w:r w:rsidRPr="00A2305B">
        <w:rPr>
          <w:rFonts w:cs="Times New Roman"/>
          <w:szCs w:val="24"/>
          <w:lang w:eastAsia="zh-CN"/>
        </w:rPr>
        <w:t>Tsoi</w:t>
      </w:r>
      <w:proofErr w:type="spellEnd"/>
      <w:r w:rsidRPr="00A2305B">
        <w:rPr>
          <w:rFonts w:cs="Times New Roman"/>
          <w:szCs w:val="24"/>
          <w:lang w:eastAsia="zh-CN"/>
        </w:rPr>
        <w:t xml:space="preserve"> (2018) “The Sustainable Transport Pathway: A Holistic Strategy of Five Transformations.” </w:t>
      </w:r>
      <w:r w:rsidRPr="00A2305B">
        <w:rPr>
          <w:rFonts w:cs="Times New Roman"/>
          <w:i/>
          <w:szCs w:val="24"/>
          <w:lang w:eastAsia="zh-CN"/>
        </w:rPr>
        <w:t>Journal of Transport and Land Use</w:t>
      </w:r>
      <w:r w:rsidRPr="00A2305B">
        <w:rPr>
          <w:rFonts w:cs="Times New Roman"/>
          <w:szCs w:val="24"/>
          <w:lang w:eastAsia="zh-CN"/>
        </w:rPr>
        <w:t xml:space="preserve"> 11(1): 961-980.</w:t>
      </w:r>
    </w:p>
    <w:p w:rsidR="00751138" w:rsidRPr="00A2305B" w:rsidRDefault="00751138" w:rsidP="00A2305B">
      <w:pPr>
        <w:spacing w:after="60"/>
        <w:ind w:left="450" w:hanging="450"/>
        <w:jc w:val="both"/>
        <w:rPr>
          <w:rFonts w:cs="Times New Roman"/>
          <w:szCs w:val="24"/>
          <w:lang w:eastAsia="zh-CN"/>
        </w:rPr>
      </w:pPr>
      <w:r w:rsidRPr="00A2305B">
        <w:rPr>
          <w:rFonts w:cs="Times New Roman"/>
          <w:szCs w:val="24"/>
          <w:lang w:eastAsia="zh-CN"/>
        </w:rPr>
        <w:t xml:space="preserve">Lopes, F., </w:t>
      </w:r>
      <w:proofErr w:type="spellStart"/>
      <w:r w:rsidRPr="00A2305B">
        <w:rPr>
          <w:rFonts w:cs="Times New Roman"/>
          <w:szCs w:val="24"/>
          <w:lang w:eastAsia="zh-CN"/>
        </w:rPr>
        <w:t>Cordovil</w:t>
      </w:r>
      <w:proofErr w:type="spellEnd"/>
      <w:r w:rsidRPr="00A2305B">
        <w:rPr>
          <w:rFonts w:cs="Times New Roman"/>
          <w:szCs w:val="24"/>
          <w:lang w:eastAsia="zh-CN"/>
        </w:rPr>
        <w:t xml:space="preserve">, R., and </w:t>
      </w:r>
      <w:proofErr w:type="spellStart"/>
      <w:r w:rsidRPr="00A2305B">
        <w:rPr>
          <w:rFonts w:cs="Times New Roman"/>
          <w:szCs w:val="24"/>
          <w:lang w:eastAsia="zh-CN"/>
        </w:rPr>
        <w:t>Neto</w:t>
      </w:r>
      <w:proofErr w:type="spellEnd"/>
      <w:r w:rsidRPr="00A2305B">
        <w:rPr>
          <w:rFonts w:cs="Times New Roman"/>
          <w:szCs w:val="24"/>
          <w:lang w:eastAsia="zh-CN"/>
        </w:rPr>
        <w:t xml:space="preserve">, C. (2014). Children’s independent mobility in Portugal: Effects of urbanization degree and motorized modes of travel. </w:t>
      </w:r>
      <w:r w:rsidRPr="00A2305B">
        <w:rPr>
          <w:rFonts w:cs="Times New Roman"/>
          <w:i/>
          <w:szCs w:val="24"/>
          <w:lang w:eastAsia="zh-CN"/>
        </w:rPr>
        <w:t>Journal of Transport Geography</w:t>
      </w:r>
      <w:r w:rsidRPr="00A2305B">
        <w:rPr>
          <w:rFonts w:cs="Times New Roman"/>
          <w:szCs w:val="24"/>
          <w:lang w:eastAsia="zh-CN"/>
        </w:rPr>
        <w:t xml:space="preserve"> 41, 210-219.</w:t>
      </w:r>
    </w:p>
    <w:p w:rsidR="00751138" w:rsidRPr="00A2305B" w:rsidRDefault="00751138" w:rsidP="00A2305B">
      <w:pPr>
        <w:spacing w:after="60"/>
        <w:ind w:left="450" w:hanging="450"/>
        <w:jc w:val="both"/>
        <w:rPr>
          <w:rFonts w:cs="Times New Roman"/>
          <w:szCs w:val="24"/>
          <w:lang w:eastAsia="zh-CN"/>
        </w:rPr>
      </w:pPr>
      <w:proofErr w:type="spellStart"/>
      <w:r w:rsidRPr="00A2305B">
        <w:rPr>
          <w:rFonts w:cs="Times New Roman"/>
          <w:szCs w:val="24"/>
          <w:lang w:eastAsia="zh-CN"/>
        </w:rPr>
        <w:t>Lubans</w:t>
      </w:r>
      <w:proofErr w:type="spellEnd"/>
      <w:r w:rsidRPr="00A2305B">
        <w:rPr>
          <w:rFonts w:cs="Times New Roman"/>
          <w:szCs w:val="24"/>
          <w:lang w:eastAsia="zh-CN"/>
        </w:rPr>
        <w:t xml:space="preserve">, D.R., </w:t>
      </w:r>
      <w:proofErr w:type="spellStart"/>
      <w:r w:rsidRPr="00A2305B">
        <w:rPr>
          <w:rFonts w:cs="Times New Roman"/>
          <w:szCs w:val="24"/>
          <w:lang w:eastAsia="zh-CN"/>
        </w:rPr>
        <w:t>Boreham</w:t>
      </w:r>
      <w:proofErr w:type="spellEnd"/>
      <w:r w:rsidRPr="00A2305B">
        <w:rPr>
          <w:rFonts w:cs="Times New Roman"/>
          <w:szCs w:val="24"/>
          <w:lang w:eastAsia="zh-CN"/>
        </w:rPr>
        <w:t xml:space="preserve">, C.A., Kelly, P., and Foster, C.E. (2011). The relationship between active travel to school and health-related fitness in children and adolescents: a systematic review. </w:t>
      </w:r>
      <w:r w:rsidRPr="00A2305B">
        <w:rPr>
          <w:rFonts w:cs="Times New Roman"/>
          <w:i/>
          <w:szCs w:val="24"/>
          <w:lang w:eastAsia="zh-CN"/>
        </w:rPr>
        <w:t xml:space="preserve">International Journal of </w:t>
      </w:r>
      <w:proofErr w:type="spellStart"/>
      <w:r w:rsidRPr="00A2305B">
        <w:rPr>
          <w:rFonts w:cs="Times New Roman"/>
          <w:i/>
          <w:szCs w:val="24"/>
          <w:lang w:eastAsia="zh-CN"/>
        </w:rPr>
        <w:t>Behavioral</w:t>
      </w:r>
      <w:proofErr w:type="spellEnd"/>
      <w:r w:rsidRPr="00A2305B">
        <w:rPr>
          <w:rFonts w:cs="Times New Roman"/>
          <w:i/>
          <w:szCs w:val="24"/>
          <w:lang w:eastAsia="zh-CN"/>
        </w:rPr>
        <w:t xml:space="preserve"> Nutrition and Physical Activity</w:t>
      </w:r>
      <w:r w:rsidRPr="00A2305B">
        <w:rPr>
          <w:rFonts w:cs="Times New Roman"/>
          <w:szCs w:val="24"/>
          <w:lang w:eastAsia="zh-CN"/>
        </w:rPr>
        <w:t xml:space="preserve"> 8, 5.</w:t>
      </w:r>
    </w:p>
    <w:p w:rsidR="00751138" w:rsidRPr="00A2305B" w:rsidRDefault="00751138" w:rsidP="00A2305B">
      <w:pPr>
        <w:adjustRightInd w:val="0"/>
        <w:snapToGrid w:val="0"/>
        <w:spacing w:after="60"/>
        <w:ind w:left="450" w:hanging="450"/>
        <w:jc w:val="both"/>
        <w:rPr>
          <w:rFonts w:cs="Times New Roman"/>
          <w:szCs w:val="24"/>
        </w:rPr>
      </w:pPr>
      <w:proofErr w:type="spellStart"/>
      <w:r w:rsidRPr="00A2305B">
        <w:rPr>
          <w:rFonts w:cs="Times New Roman"/>
          <w:szCs w:val="24"/>
        </w:rPr>
        <w:t>Maddala</w:t>
      </w:r>
      <w:proofErr w:type="spellEnd"/>
      <w:r w:rsidRPr="00A2305B">
        <w:rPr>
          <w:rFonts w:cs="Times New Roman"/>
          <w:szCs w:val="24"/>
        </w:rPr>
        <w:t xml:space="preserve">, G.S. (1983). </w:t>
      </w:r>
      <w:r w:rsidRPr="00A2305B">
        <w:rPr>
          <w:rFonts w:cs="Times New Roman"/>
          <w:i/>
          <w:szCs w:val="24"/>
        </w:rPr>
        <w:t>Limited-Dependent and Qualitative Variables in Economics</w:t>
      </w:r>
      <w:r w:rsidRPr="00A2305B">
        <w:rPr>
          <w:rFonts w:cs="Times New Roman"/>
          <w:szCs w:val="24"/>
        </w:rPr>
        <w:t>. New York: Cambridge University Press.</w:t>
      </w:r>
    </w:p>
    <w:p w:rsidR="00751138" w:rsidRPr="00A2305B" w:rsidRDefault="00751138" w:rsidP="00A2305B">
      <w:pPr>
        <w:adjustRightInd w:val="0"/>
        <w:snapToGrid w:val="0"/>
        <w:spacing w:after="60"/>
        <w:ind w:left="450" w:hanging="450"/>
        <w:jc w:val="both"/>
        <w:rPr>
          <w:rFonts w:cs="Times New Roman"/>
          <w:szCs w:val="24"/>
        </w:rPr>
      </w:pPr>
      <w:proofErr w:type="spellStart"/>
      <w:r w:rsidRPr="00A2305B">
        <w:rPr>
          <w:rFonts w:cs="Times New Roman"/>
          <w:szCs w:val="24"/>
        </w:rPr>
        <w:t>Mapes</w:t>
      </w:r>
      <w:proofErr w:type="spellEnd"/>
      <w:r w:rsidRPr="00A2305B">
        <w:rPr>
          <w:rFonts w:cs="Times New Roman"/>
          <w:szCs w:val="24"/>
        </w:rPr>
        <w:t xml:space="preserve">, J. (2009). </w:t>
      </w:r>
      <w:proofErr w:type="spellStart"/>
      <w:r w:rsidRPr="00A2305B">
        <w:rPr>
          <w:rFonts w:cs="Times New Roman"/>
          <w:i/>
          <w:szCs w:val="24"/>
        </w:rPr>
        <w:t>Pedaling</w:t>
      </w:r>
      <w:proofErr w:type="spellEnd"/>
      <w:r w:rsidRPr="00A2305B">
        <w:rPr>
          <w:rFonts w:cs="Times New Roman"/>
          <w:i/>
          <w:szCs w:val="24"/>
        </w:rPr>
        <w:t xml:space="preserve"> Revolution: How Cyclists are Changing American Cities</w:t>
      </w:r>
      <w:r w:rsidRPr="00A2305B">
        <w:rPr>
          <w:rFonts w:cs="Times New Roman"/>
          <w:szCs w:val="24"/>
        </w:rPr>
        <w:t xml:space="preserve">. Oregon State University Press, Oregon. </w:t>
      </w:r>
    </w:p>
    <w:p w:rsidR="00751138" w:rsidRPr="00A2305B" w:rsidRDefault="00751138" w:rsidP="00A2305B">
      <w:pPr>
        <w:adjustRightInd w:val="0"/>
        <w:snapToGrid w:val="0"/>
        <w:spacing w:after="60"/>
        <w:ind w:left="450" w:hanging="450"/>
        <w:jc w:val="both"/>
        <w:rPr>
          <w:rFonts w:cs="Times New Roman"/>
          <w:szCs w:val="24"/>
        </w:rPr>
      </w:pPr>
      <w:r w:rsidRPr="00A2305B">
        <w:rPr>
          <w:rFonts w:cs="Times New Roman"/>
          <w:szCs w:val="24"/>
        </w:rPr>
        <w:lastRenderedPageBreak/>
        <w:t xml:space="preserve">McCormack, G.R., Rock, M., Swanson, K., Burton, L., and </w:t>
      </w:r>
      <w:proofErr w:type="spellStart"/>
      <w:r w:rsidRPr="00A2305B">
        <w:rPr>
          <w:rFonts w:cs="Times New Roman"/>
          <w:szCs w:val="24"/>
        </w:rPr>
        <w:t>Massolo</w:t>
      </w:r>
      <w:proofErr w:type="spellEnd"/>
      <w:r w:rsidRPr="00A2305B">
        <w:rPr>
          <w:rFonts w:cs="Times New Roman"/>
          <w:szCs w:val="24"/>
        </w:rPr>
        <w:t xml:space="preserve">, A. (2014). Physical activity patterns in urban neighbourhood parks: Insights from a multiple case study. </w:t>
      </w:r>
      <w:r w:rsidRPr="00A2305B">
        <w:rPr>
          <w:rFonts w:cs="Times New Roman"/>
          <w:i/>
          <w:szCs w:val="24"/>
        </w:rPr>
        <w:t>BMC Public Health</w:t>
      </w:r>
      <w:r w:rsidRPr="00A2305B">
        <w:rPr>
          <w:rFonts w:cs="Times New Roman"/>
          <w:szCs w:val="24"/>
        </w:rPr>
        <w:t xml:space="preserve"> 14, 962.</w:t>
      </w:r>
    </w:p>
    <w:p w:rsidR="00751138" w:rsidRPr="00A2305B" w:rsidRDefault="00751138" w:rsidP="00A2305B">
      <w:pPr>
        <w:spacing w:after="60"/>
        <w:ind w:left="450" w:hanging="450"/>
        <w:jc w:val="both"/>
        <w:rPr>
          <w:rFonts w:cs="Times New Roman"/>
          <w:szCs w:val="24"/>
          <w:lang w:eastAsia="zh-CN"/>
        </w:rPr>
      </w:pPr>
      <w:r w:rsidRPr="00A2305B">
        <w:rPr>
          <w:rFonts w:cs="Times New Roman"/>
          <w:szCs w:val="24"/>
          <w:lang w:eastAsia="zh-CN"/>
        </w:rPr>
        <w:t xml:space="preserve">McDonald, N.C. (2008). Household interactions and children’s school travel: The effect of parental work patterns on walking and biking to school. </w:t>
      </w:r>
      <w:r w:rsidRPr="00A2305B">
        <w:rPr>
          <w:rFonts w:cs="Times New Roman"/>
          <w:i/>
          <w:szCs w:val="24"/>
          <w:lang w:eastAsia="zh-CN"/>
        </w:rPr>
        <w:t>Journal of Transport Geography</w:t>
      </w:r>
      <w:r w:rsidRPr="00A2305B">
        <w:rPr>
          <w:rFonts w:cs="Times New Roman"/>
          <w:szCs w:val="24"/>
          <w:lang w:eastAsia="zh-CN"/>
        </w:rPr>
        <w:t xml:space="preserve"> 16(5), 324-331.</w:t>
      </w:r>
    </w:p>
    <w:p w:rsidR="00751138" w:rsidRPr="00A2305B" w:rsidRDefault="00751138" w:rsidP="00A2305B">
      <w:pPr>
        <w:spacing w:after="60"/>
        <w:ind w:left="450" w:hanging="450"/>
        <w:jc w:val="both"/>
        <w:rPr>
          <w:rFonts w:cs="Times New Roman"/>
          <w:szCs w:val="24"/>
          <w:lang w:eastAsia="zh-CN"/>
        </w:rPr>
      </w:pPr>
      <w:r w:rsidRPr="00A2305B">
        <w:rPr>
          <w:rFonts w:cs="Times New Roman"/>
          <w:szCs w:val="24"/>
          <w:lang w:eastAsia="zh-CN"/>
        </w:rPr>
        <w:t xml:space="preserve">McDonald, N.C. (2012). Is there a gender gap in school travel? An examination of US children and adolescents. </w:t>
      </w:r>
      <w:r w:rsidRPr="00A2305B">
        <w:rPr>
          <w:rFonts w:cs="Times New Roman"/>
          <w:i/>
          <w:szCs w:val="24"/>
          <w:lang w:eastAsia="zh-CN"/>
        </w:rPr>
        <w:t>Journal of Transport Geography</w:t>
      </w:r>
      <w:r w:rsidRPr="00A2305B">
        <w:rPr>
          <w:rFonts w:cs="Times New Roman"/>
          <w:szCs w:val="24"/>
          <w:lang w:eastAsia="zh-CN"/>
        </w:rPr>
        <w:t xml:space="preserve"> 20(1), 80-86.</w:t>
      </w:r>
    </w:p>
    <w:p w:rsidR="00751138" w:rsidRPr="00A2305B" w:rsidRDefault="00751138" w:rsidP="00A2305B">
      <w:pPr>
        <w:spacing w:after="60"/>
        <w:ind w:left="450" w:hanging="450"/>
        <w:jc w:val="both"/>
        <w:rPr>
          <w:rFonts w:cs="Times New Roman"/>
          <w:szCs w:val="24"/>
        </w:rPr>
      </w:pPr>
      <w:r w:rsidRPr="00A2305B">
        <w:rPr>
          <w:rFonts w:cs="Times New Roman"/>
          <w:szCs w:val="24"/>
        </w:rPr>
        <w:t xml:space="preserve">Mello, Z. R., and Worrell, F. C. (2008). Gender Variation in Extracurricular Activity Participation and Perceived Life Chances in Trinidad and Tobago Adolescents. </w:t>
      </w:r>
      <w:proofErr w:type="spellStart"/>
      <w:r w:rsidRPr="00A2305B">
        <w:rPr>
          <w:rFonts w:cs="Times New Roman"/>
          <w:i/>
          <w:szCs w:val="24"/>
        </w:rPr>
        <w:t>Psykhe</w:t>
      </w:r>
      <w:proofErr w:type="spellEnd"/>
      <w:r w:rsidRPr="00A2305B">
        <w:rPr>
          <w:rFonts w:cs="Times New Roman"/>
          <w:szCs w:val="24"/>
        </w:rPr>
        <w:t xml:space="preserve"> 17(2), 91-102.</w:t>
      </w:r>
    </w:p>
    <w:p w:rsidR="00751138" w:rsidRPr="00A2305B" w:rsidRDefault="00751138" w:rsidP="00A2305B">
      <w:pPr>
        <w:adjustRightInd w:val="0"/>
        <w:snapToGrid w:val="0"/>
        <w:spacing w:after="60"/>
        <w:ind w:left="450" w:hanging="450"/>
        <w:jc w:val="both"/>
        <w:rPr>
          <w:rFonts w:cs="Times New Roman"/>
          <w:szCs w:val="24"/>
        </w:rPr>
      </w:pPr>
      <w:r w:rsidRPr="00A2305B">
        <w:rPr>
          <w:rFonts w:cs="Times New Roman"/>
          <w:szCs w:val="24"/>
        </w:rPr>
        <w:t xml:space="preserve">Mitchell, J.A., </w:t>
      </w:r>
      <w:proofErr w:type="spellStart"/>
      <w:r w:rsidRPr="00A2305B">
        <w:rPr>
          <w:rFonts w:cs="Times New Roman"/>
          <w:szCs w:val="24"/>
        </w:rPr>
        <w:t>Dowda</w:t>
      </w:r>
      <w:proofErr w:type="spellEnd"/>
      <w:r w:rsidRPr="00A2305B">
        <w:rPr>
          <w:rFonts w:cs="Times New Roman"/>
          <w:szCs w:val="24"/>
        </w:rPr>
        <w:t xml:space="preserve">, M., Pate, R.R., </w:t>
      </w:r>
      <w:proofErr w:type="spellStart"/>
      <w:r w:rsidRPr="00A2305B">
        <w:rPr>
          <w:rFonts w:cs="Times New Roman"/>
          <w:szCs w:val="24"/>
        </w:rPr>
        <w:t>Kordas</w:t>
      </w:r>
      <w:proofErr w:type="spellEnd"/>
      <w:r w:rsidRPr="00A2305B">
        <w:rPr>
          <w:rFonts w:cs="Times New Roman"/>
          <w:szCs w:val="24"/>
        </w:rPr>
        <w:t xml:space="preserve">, K., </w:t>
      </w:r>
      <w:proofErr w:type="spellStart"/>
      <w:r w:rsidRPr="00A2305B">
        <w:rPr>
          <w:rFonts w:cs="Times New Roman"/>
          <w:szCs w:val="24"/>
        </w:rPr>
        <w:t>Froberg</w:t>
      </w:r>
      <w:proofErr w:type="spellEnd"/>
      <w:r w:rsidRPr="00A2305B">
        <w:rPr>
          <w:rFonts w:cs="Times New Roman"/>
          <w:szCs w:val="24"/>
        </w:rPr>
        <w:t xml:space="preserve">, K., </w:t>
      </w:r>
      <w:proofErr w:type="spellStart"/>
      <w:r w:rsidRPr="00A2305B">
        <w:rPr>
          <w:rFonts w:cs="Times New Roman"/>
          <w:szCs w:val="24"/>
        </w:rPr>
        <w:t>Sardinha</w:t>
      </w:r>
      <w:proofErr w:type="spellEnd"/>
      <w:r w:rsidRPr="00A2305B">
        <w:rPr>
          <w:rFonts w:cs="Times New Roman"/>
          <w:szCs w:val="24"/>
        </w:rPr>
        <w:t xml:space="preserve">, L.B., and Page, A. (2017). Physical activity and </w:t>
      </w:r>
      <w:proofErr w:type="spellStart"/>
      <w:r w:rsidRPr="00A2305B">
        <w:rPr>
          <w:rFonts w:cs="Times New Roman"/>
          <w:szCs w:val="24"/>
        </w:rPr>
        <w:t>pediatric</w:t>
      </w:r>
      <w:proofErr w:type="spellEnd"/>
      <w:r w:rsidRPr="00A2305B">
        <w:rPr>
          <w:rFonts w:cs="Times New Roman"/>
          <w:szCs w:val="24"/>
        </w:rPr>
        <w:t xml:space="preserve"> obesity: A quantile regression analysis. </w:t>
      </w:r>
      <w:r w:rsidRPr="00A2305B">
        <w:rPr>
          <w:rFonts w:cs="Times New Roman"/>
          <w:i/>
          <w:szCs w:val="24"/>
        </w:rPr>
        <w:t>Medicine and science in sports and exercise</w:t>
      </w:r>
      <w:r w:rsidRPr="00A2305B">
        <w:rPr>
          <w:rFonts w:cs="Times New Roman"/>
          <w:szCs w:val="24"/>
        </w:rPr>
        <w:t xml:space="preserve"> 49(3), 466.</w:t>
      </w:r>
    </w:p>
    <w:p w:rsidR="00751138" w:rsidRPr="00A2305B" w:rsidRDefault="00751138" w:rsidP="00A2305B">
      <w:pPr>
        <w:adjustRightInd w:val="0"/>
        <w:snapToGrid w:val="0"/>
        <w:spacing w:after="60"/>
        <w:ind w:left="450" w:hanging="450"/>
        <w:jc w:val="both"/>
        <w:rPr>
          <w:rFonts w:cs="Times New Roman"/>
          <w:szCs w:val="24"/>
        </w:rPr>
      </w:pPr>
      <w:proofErr w:type="spellStart"/>
      <w:r w:rsidRPr="00A2305B">
        <w:rPr>
          <w:rFonts w:cs="Times New Roman"/>
          <w:szCs w:val="24"/>
        </w:rPr>
        <w:t>Mitra</w:t>
      </w:r>
      <w:proofErr w:type="spellEnd"/>
      <w:r w:rsidRPr="00A2305B">
        <w:rPr>
          <w:rFonts w:cs="Times New Roman"/>
          <w:szCs w:val="24"/>
        </w:rPr>
        <w:t xml:space="preserve">, R., and </w:t>
      </w:r>
      <w:proofErr w:type="spellStart"/>
      <w:r w:rsidRPr="00A2305B">
        <w:rPr>
          <w:rFonts w:cs="Times New Roman"/>
          <w:szCs w:val="24"/>
        </w:rPr>
        <w:t>Buliung</w:t>
      </w:r>
      <w:proofErr w:type="spellEnd"/>
      <w:r w:rsidRPr="00A2305B">
        <w:rPr>
          <w:rFonts w:cs="Times New Roman"/>
          <w:szCs w:val="24"/>
        </w:rPr>
        <w:t xml:space="preserve">, R.N. (2012). Built environment correlates of active school transportation: </w:t>
      </w:r>
      <w:proofErr w:type="spellStart"/>
      <w:r w:rsidRPr="00A2305B">
        <w:rPr>
          <w:rFonts w:cs="Times New Roman"/>
          <w:szCs w:val="24"/>
        </w:rPr>
        <w:t>Neighborhood</w:t>
      </w:r>
      <w:proofErr w:type="spellEnd"/>
      <w:r w:rsidRPr="00A2305B">
        <w:rPr>
          <w:rFonts w:cs="Times New Roman"/>
          <w:szCs w:val="24"/>
        </w:rPr>
        <w:t xml:space="preserve"> and the modifiable areal unit problem. </w:t>
      </w:r>
      <w:r w:rsidRPr="00A2305B">
        <w:rPr>
          <w:rFonts w:cs="Times New Roman"/>
          <w:i/>
          <w:szCs w:val="24"/>
        </w:rPr>
        <w:t>Journal of Transport Geography</w:t>
      </w:r>
      <w:r w:rsidRPr="00A2305B">
        <w:rPr>
          <w:rFonts w:cs="Times New Roman"/>
          <w:szCs w:val="24"/>
        </w:rPr>
        <w:t xml:space="preserve"> 20(1), 51-61.</w:t>
      </w:r>
    </w:p>
    <w:p w:rsidR="00751138" w:rsidRPr="00A2305B" w:rsidRDefault="00751138" w:rsidP="00A2305B">
      <w:pPr>
        <w:adjustRightInd w:val="0"/>
        <w:snapToGrid w:val="0"/>
        <w:spacing w:after="60"/>
        <w:ind w:left="450" w:hanging="450"/>
        <w:jc w:val="both"/>
        <w:rPr>
          <w:rFonts w:cs="Times New Roman"/>
          <w:szCs w:val="24"/>
        </w:rPr>
      </w:pPr>
      <w:proofErr w:type="spellStart"/>
      <w:r w:rsidRPr="00A2305B">
        <w:rPr>
          <w:rFonts w:cs="Times New Roman"/>
          <w:szCs w:val="24"/>
        </w:rPr>
        <w:t>Molinuevo</w:t>
      </w:r>
      <w:proofErr w:type="spellEnd"/>
      <w:r w:rsidRPr="00A2305B">
        <w:rPr>
          <w:rFonts w:cs="Times New Roman"/>
          <w:szCs w:val="24"/>
        </w:rPr>
        <w:t xml:space="preserve">, B., Bonillo, A., Pardo, Y., </w:t>
      </w:r>
      <w:proofErr w:type="spellStart"/>
      <w:r w:rsidRPr="00A2305B">
        <w:rPr>
          <w:rFonts w:cs="Times New Roman"/>
          <w:szCs w:val="24"/>
        </w:rPr>
        <w:t>Doval</w:t>
      </w:r>
      <w:proofErr w:type="spellEnd"/>
      <w:r w:rsidRPr="00A2305B">
        <w:rPr>
          <w:rFonts w:cs="Times New Roman"/>
          <w:szCs w:val="24"/>
        </w:rPr>
        <w:t xml:space="preserve">, E., </w:t>
      </w:r>
      <w:proofErr w:type="spellStart"/>
      <w:r w:rsidRPr="00A2305B">
        <w:rPr>
          <w:rFonts w:cs="Times New Roman"/>
          <w:szCs w:val="24"/>
        </w:rPr>
        <w:t>Torrubia</w:t>
      </w:r>
      <w:proofErr w:type="spellEnd"/>
      <w:r w:rsidRPr="00A2305B">
        <w:rPr>
          <w:rFonts w:cs="Times New Roman"/>
          <w:szCs w:val="24"/>
        </w:rPr>
        <w:t xml:space="preserve">, R. (2010). Participation in extracurricular activities and emotional and </w:t>
      </w:r>
      <w:proofErr w:type="spellStart"/>
      <w:r w:rsidRPr="00A2305B">
        <w:rPr>
          <w:rFonts w:cs="Times New Roman"/>
          <w:szCs w:val="24"/>
        </w:rPr>
        <w:t>behavioral</w:t>
      </w:r>
      <w:proofErr w:type="spellEnd"/>
      <w:r w:rsidRPr="00A2305B">
        <w:rPr>
          <w:rFonts w:cs="Times New Roman"/>
          <w:szCs w:val="24"/>
        </w:rPr>
        <w:t xml:space="preserve"> adjustment in middle childhood in Spanish boys and girls. </w:t>
      </w:r>
      <w:r w:rsidRPr="00A2305B">
        <w:rPr>
          <w:rFonts w:cs="Times New Roman"/>
          <w:i/>
          <w:szCs w:val="24"/>
        </w:rPr>
        <w:t>Journal of Community Psychology</w:t>
      </w:r>
      <w:r w:rsidRPr="00A2305B">
        <w:rPr>
          <w:rFonts w:cs="Times New Roman"/>
          <w:szCs w:val="24"/>
        </w:rPr>
        <w:t xml:space="preserve"> 38(7), 842-857.</w:t>
      </w:r>
    </w:p>
    <w:p w:rsidR="00751138" w:rsidRPr="00A2305B" w:rsidRDefault="00751138" w:rsidP="00A2305B">
      <w:pPr>
        <w:autoSpaceDE w:val="0"/>
        <w:autoSpaceDN w:val="0"/>
        <w:adjustRightInd w:val="0"/>
        <w:snapToGrid w:val="0"/>
        <w:spacing w:after="60"/>
        <w:ind w:left="450" w:hanging="450"/>
        <w:jc w:val="both"/>
        <w:rPr>
          <w:rFonts w:eastAsia="Times New Roman" w:cs="Times New Roman"/>
          <w:noProof/>
          <w:szCs w:val="24"/>
        </w:rPr>
      </w:pPr>
      <w:r w:rsidRPr="00A2305B">
        <w:rPr>
          <w:rFonts w:eastAsia="Times New Roman" w:cs="Times New Roman"/>
          <w:noProof/>
          <w:szCs w:val="24"/>
        </w:rPr>
        <w:t xml:space="preserve">Paleti, R., Bhat, C.R., and Pendyala, R.M. (2013). Integrated model of residential location, work location, vehicle ownership, and commute tour characteristics. </w:t>
      </w:r>
      <w:r w:rsidRPr="00A2305B">
        <w:rPr>
          <w:rFonts w:eastAsia="Times New Roman" w:cs="Times New Roman"/>
          <w:i/>
          <w:noProof/>
          <w:szCs w:val="24"/>
        </w:rPr>
        <w:t>Transportation Research Record</w:t>
      </w:r>
      <w:r w:rsidRPr="00A2305B">
        <w:rPr>
          <w:rFonts w:eastAsia="Times New Roman" w:cs="Times New Roman"/>
          <w:noProof/>
          <w:szCs w:val="24"/>
        </w:rPr>
        <w:t xml:space="preserve"> 2382, 162-172.</w:t>
      </w:r>
    </w:p>
    <w:p w:rsidR="00751138" w:rsidRPr="00A2305B" w:rsidRDefault="00751138" w:rsidP="00A2305B">
      <w:pPr>
        <w:adjustRightInd w:val="0"/>
        <w:snapToGrid w:val="0"/>
        <w:spacing w:after="60"/>
        <w:ind w:left="450" w:hanging="450"/>
        <w:jc w:val="both"/>
        <w:rPr>
          <w:rFonts w:eastAsia="Calibri" w:cs="Times New Roman"/>
          <w:szCs w:val="24"/>
          <w:shd w:val="clear" w:color="auto" w:fill="FFFFFF"/>
        </w:rPr>
      </w:pPr>
      <w:proofErr w:type="spellStart"/>
      <w:r w:rsidRPr="00A2305B">
        <w:rPr>
          <w:rFonts w:eastAsia="Calibri" w:cs="Times New Roman"/>
          <w:szCs w:val="24"/>
          <w:shd w:val="clear" w:color="auto" w:fill="FFFFFF"/>
        </w:rPr>
        <w:t>Paleti</w:t>
      </w:r>
      <w:proofErr w:type="spellEnd"/>
      <w:r w:rsidRPr="00A2305B">
        <w:rPr>
          <w:rFonts w:eastAsia="Calibri" w:cs="Times New Roman"/>
          <w:szCs w:val="24"/>
          <w:shd w:val="clear" w:color="auto" w:fill="FFFFFF"/>
        </w:rPr>
        <w:t xml:space="preserve">, R., </w:t>
      </w:r>
      <w:proofErr w:type="spellStart"/>
      <w:r w:rsidRPr="00A2305B">
        <w:rPr>
          <w:rFonts w:eastAsia="Calibri" w:cs="Times New Roman"/>
          <w:szCs w:val="24"/>
          <w:shd w:val="clear" w:color="auto" w:fill="FFFFFF"/>
        </w:rPr>
        <w:t>Copperman</w:t>
      </w:r>
      <w:proofErr w:type="spellEnd"/>
      <w:r w:rsidRPr="00A2305B">
        <w:rPr>
          <w:rFonts w:eastAsia="Calibri" w:cs="Times New Roman"/>
          <w:szCs w:val="24"/>
          <w:shd w:val="clear" w:color="auto" w:fill="FFFFFF"/>
        </w:rPr>
        <w:t xml:space="preserve">, R.B., and Bhat, C.R. (2011). An empirical analysis of children’s after school out-of-home activity-location engagement patterns and time allocation. </w:t>
      </w:r>
      <w:r w:rsidRPr="00A2305B">
        <w:rPr>
          <w:rFonts w:eastAsia="Calibri" w:cs="Times New Roman"/>
          <w:i/>
          <w:szCs w:val="24"/>
          <w:shd w:val="clear" w:color="auto" w:fill="FFFFFF"/>
        </w:rPr>
        <w:t>Transportation</w:t>
      </w:r>
      <w:r w:rsidRPr="00A2305B">
        <w:rPr>
          <w:rFonts w:eastAsia="Calibri" w:cs="Times New Roman"/>
          <w:szCs w:val="24"/>
          <w:shd w:val="clear" w:color="auto" w:fill="FFFFFF"/>
        </w:rPr>
        <w:t xml:space="preserve"> 38(2), 273-303.</w:t>
      </w:r>
    </w:p>
    <w:p w:rsidR="00A64C61" w:rsidRPr="00A2305B" w:rsidRDefault="00A64C61" w:rsidP="00A2305B">
      <w:pPr>
        <w:adjustRightInd w:val="0"/>
        <w:snapToGrid w:val="0"/>
        <w:spacing w:after="60"/>
        <w:ind w:left="450" w:hanging="450"/>
        <w:jc w:val="both"/>
        <w:rPr>
          <w:rFonts w:eastAsia="Calibri" w:cs="Times New Roman"/>
          <w:szCs w:val="24"/>
          <w:shd w:val="clear" w:color="auto" w:fill="FFFFFF"/>
        </w:rPr>
      </w:pPr>
      <w:proofErr w:type="spellStart"/>
      <w:r w:rsidRPr="00A2305B">
        <w:rPr>
          <w:rFonts w:eastAsia="Calibri" w:cs="Times New Roman"/>
          <w:szCs w:val="24"/>
          <w:shd w:val="clear" w:color="auto" w:fill="FFFFFF"/>
        </w:rPr>
        <w:t>Panter</w:t>
      </w:r>
      <w:proofErr w:type="spellEnd"/>
      <w:r w:rsidRPr="00A2305B">
        <w:rPr>
          <w:rFonts w:eastAsia="Calibri" w:cs="Times New Roman"/>
          <w:szCs w:val="24"/>
          <w:shd w:val="clear" w:color="auto" w:fill="FFFFFF"/>
        </w:rPr>
        <w:t xml:space="preserve">, J.R., Jones, A.P., and van </w:t>
      </w:r>
      <w:proofErr w:type="spellStart"/>
      <w:r w:rsidRPr="00A2305B">
        <w:rPr>
          <w:rFonts w:eastAsia="Calibri" w:cs="Times New Roman"/>
          <w:szCs w:val="24"/>
          <w:shd w:val="clear" w:color="auto" w:fill="FFFFFF"/>
        </w:rPr>
        <w:t>Sluijs</w:t>
      </w:r>
      <w:proofErr w:type="spellEnd"/>
      <w:r w:rsidRPr="00A2305B">
        <w:rPr>
          <w:rFonts w:eastAsia="Calibri" w:cs="Times New Roman"/>
          <w:szCs w:val="24"/>
          <w:shd w:val="clear" w:color="auto" w:fill="FFFFFF"/>
        </w:rPr>
        <w:t xml:space="preserve">, E.M.F. (2008). Environmental determinants of active travel in youth: A review and framework for future research. </w:t>
      </w:r>
      <w:r w:rsidRPr="00A2305B">
        <w:rPr>
          <w:rFonts w:eastAsia="Calibri" w:cs="Times New Roman"/>
          <w:i/>
          <w:szCs w:val="24"/>
          <w:shd w:val="clear" w:color="auto" w:fill="FFFFFF"/>
        </w:rPr>
        <w:t xml:space="preserve">International Journal of </w:t>
      </w:r>
      <w:proofErr w:type="spellStart"/>
      <w:r w:rsidRPr="00A2305B">
        <w:rPr>
          <w:rFonts w:eastAsia="Calibri" w:cs="Times New Roman"/>
          <w:i/>
          <w:szCs w:val="24"/>
          <w:shd w:val="clear" w:color="auto" w:fill="FFFFFF"/>
        </w:rPr>
        <w:t>Behavioral</w:t>
      </w:r>
      <w:proofErr w:type="spellEnd"/>
      <w:r w:rsidRPr="00A2305B">
        <w:rPr>
          <w:rFonts w:eastAsia="Calibri" w:cs="Times New Roman"/>
          <w:i/>
          <w:szCs w:val="24"/>
          <w:shd w:val="clear" w:color="auto" w:fill="FFFFFF"/>
        </w:rPr>
        <w:t xml:space="preserve"> Nutrition and Physical Activity</w:t>
      </w:r>
      <w:r w:rsidRPr="00A2305B">
        <w:rPr>
          <w:rFonts w:eastAsia="Calibri" w:cs="Times New Roman"/>
          <w:szCs w:val="24"/>
          <w:shd w:val="clear" w:color="auto" w:fill="FFFFFF"/>
        </w:rPr>
        <w:t xml:space="preserve"> 5, 34.</w:t>
      </w:r>
    </w:p>
    <w:p w:rsidR="00751138" w:rsidRPr="00A2305B" w:rsidRDefault="00751138" w:rsidP="00A2305B">
      <w:pPr>
        <w:adjustRightInd w:val="0"/>
        <w:snapToGrid w:val="0"/>
        <w:spacing w:after="60"/>
        <w:ind w:left="450" w:hanging="450"/>
        <w:jc w:val="both"/>
        <w:rPr>
          <w:rFonts w:cs="Times New Roman"/>
          <w:szCs w:val="24"/>
        </w:rPr>
      </w:pPr>
      <w:r w:rsidRPr="00A2305B">
        <w:rPr>
          <w:rFonts w:cs="Times New Roman"/>
          <w:szCs w:val="24"/>
        </w:rPr>
        <w:t xml:space="preserve">Pew Research </w:t>
      </w:r>
      <w:proofErr w:type="spellStart"/>
      <w:r w:rsidRPr="00A2305B">
        <w:rPr>
          <w:rFonts w:cs="Times New Roman"/>
          <w:szCs w:val="24"/>
        </w:rPr>
        <w:t>Center</w:t>
      </w:r>
      <w:proofErr w:type="spellEnd"/>
      <w:r w:rsidRPr="00A2305B">
        <w:rPr>
          <w:rFonts w:cs="Times New Roman"/>
          <w:szCs w:val="24"/>
        </w:rPr>
        <w:t xml:space="preserve"> (2015). Children’s extracurricular activities. </w:t>
      </w:r>
      <w:r w:rsidRPr="00A2305B">
        <w:rPr>
          <w:rFonts w:cs="Times New Roman"/>
          <w:i/>
          <w:szCs w:val="24"/>
        </w:rPr>
        <w:t>Parenting in America</w:t>
      </w:r>
      <w:r w:rsidRPr="00A2305B">
        <w:rPr>
          <w:rFonts w:cs="Times New Roman"/>
          <w:szCs w:val="24"/>
        </w:rPr>
        <w:t>. Ch. 5, pp. 65-73. Available at:</w:t>
      </w:r>
      <w:r w:rsidRPr="00A2305B">
        <w:rPr>
          <w:rFonts w:cs="Times New Roman"/>
          <w:i/>
          <w:szCs w:val="24"/>
        </w:rPr>
        <w:t xml:space="preserve"> </w:t>
      </w:r>
      <w:hyperlink r:id="rId231" w:history="1">
        <w:r w:rsidRPr="00A2305B">
          <w:rPr>
            <w:rStyle w:val="Hyperlink"/>
            <w:rFonts w:cs="Times New Roman"/>
            <w:szCs w:val="24"/>
          </w:rPr>
          <w:t>http://www.pewsocialtrends.org/2015/12/17/5-childrens-extracurricular-activities/</w:t>
        </w:r>
      </w:hyperlink>
      <w:r w:rsidRPr="00A2305B">
        <w:rPr>
          <w:rFonts w:cs="Times New Roman"/>
          <w:szCs w:val="24"/>
        </w:rPr>
        <w:t>. Retrieved Jun 14, 2018.</w:t>
      </w:r>
    </w:p>
    <w:p w:rsidR="00751138" w:rsidRPr="00A2305B" w:rsidRDefault="00751138" w:rsidP="00A2305B">
      <w:pPr>
        <w:adjustRightInd w:val="0"/>
        <w:snapToGrid w:val="0"/>
        <w:spacing w:after="60"/>
        <w:ind w:left="450" w:hanging="450"/>
        <w:jc w:val="both"/>
        <w:rPr>
          <w:rFonts w:cs="Times New Roman"/>
          <w:szCs w:val="24"/>
        </w:rPr>
      </w:pPr>
      <w:proofErr w:type="spellStart"/>
      <w:r w:rsidRPr="00A2305B">
        <w:rPr>
          <w:rFonts w:cs="Times New Roman"/>
          <w:szCs w:val="24"/>
        </w:rPr>
        <w:t>Pinjari</w:t>
      </w:r>
      <w:proofErr w:type="spellEnd"/>
      <w:r w:rsidRPr="00A2305B">
        <w:rPr>
          <w:rFonts w:cs="Times New Roman"/>
          <w:szCs w:val="24"/>
        </w:rPr>
        <w:t xml:space="preserve">, A.R., and Bhat, C.R. (2010). </w:t>
      </w:r>
      <w:r w:rsidRPr="00A2305B">
        <w:rPr>
          <w:rFonts w:cs="Times New Roman"/>
          <w:bCs/>
        </w:rPr>
        <w:t>Computationally efficient forecasting procedures for Kuhn-Tucker consumer demand model systems</w:t>
      </w:r>
      <w:r w:rsidRPr="00A2305B">
        <w:rPr>
          <w:rFonts w:cs="Times New Roman"/>
          <w:szCs w:val="24"/>
        </w:rPr>
        <w:t>: Application to residential energy consumption analysis. Technical paper, Department of Civil and Environmental Engineering, University of South Florida.</w:t>
      </w:r>
    </w:p>
    <w:p w:rsidR="00751138" w:rsidRPr="00A2305B" w:rsidRDefault="00751138" w:rsidP="00A2305B">
      <w:pPr>
        <w:adjustRightInd w:val="0"/>
        <w:snapToGrid w:val="0"/>
        <w:spacing w:after="60"/>
        <w:ind w:left="450" w:hanging="450"/>
        <w:jc w:val="both"/>
        <w:rPr>
          <w:rFonts w:cs="Times New Roman"/>
          <w:szCs w:val="24"/>
        </w:rPr>
      </w:pPr>
      <w:proofErr w:type="spellStart"/>
      <w:r w:rsidRPr="00A2305B">
        <w:rPr>
          <w:rFonts w:cs="Times New Roman"/>
          <w:szCs w:val="24"/>
        </w:rPr>
        <w:t>Poitras</w:t>
      </w:r>
      <w:proofErr w:type="spellEnd"/>
      <w:r w:rsidRPr="00A2305B">
        <w:rPr>
          <w:rFonts w:cs="Times New Roman"/>
          <w:szCs w:val="24"/>
        </w:rPr>
        <w:t xml:space="preserve">, V.J., </w:t>
      </w:r>
      <w:proofErr w:type="spellStart"/>
      <w:r w:rsidRPr="00A2305B">
        <w:rPr>
          <w:rFonts w:cs="Times New Roman"/>
          <w:szCs w:val="24"/>
        </w:rPr>
        <w:t>Gray</w:t>
      </w:r>
      <w:proofErr w:type="spellEnd"/>
      <w:r w:rsidRPr="00A2305B">
        <w:rPr>
          <w:rFonts w:cs="Times New Roman"/>
          <w:szCs w:val="24"/>
        </w:rPr>
        <w:t xml:space="preserve">, C.E., Borghese, M.M., Carson, V., </w:t>
      </w:r>
      <w:proofErr w:type="spellStart"/>
      <w:r w:rsidRPr="00A2305B">
        <w:rPr>
          <w:rFonts w:cs="Times New Roman"/>
          <w:szCs w:val="24"/>
        </w:rPr>
        <w:t>Chaput</w:t>
      </w:r>
      <w:proofErr w:type="spellEnd"/>
      <w:r w:rsidRPr="00A2305B">
        <w:rPr>
          <w:rFonts w:cs="Times New Roman"/>
          <w:szCs w:val="24"/>
        </w:rPr>
        <w:t xml:space="preserve">, J.P., Janssen, I., and Sampson, M. (2016). Systematic review of the relationships between objectively measured physical activity and health indicators in school-aged children and youth. </w:t>
      </w:r>
      <w:r w:rsidRPr="00A2305B">
        <w:rPr>
          <w:rFonts w:cs="Times New Roman"/>
          <w:i/>
          <w:szCs w:val="24"/>
        </w:rPr>
        <w:t>Applied Physiology, Nutrition, and Metabolism</w:t>
      </w:r>
      <w:r w:rsidRPr="00A2305B">
        <w:rPr>
          <w:rFonts w:cs="Times New Roman"/>
          <w:szCs w:val="24"/>
        </w:rPr>
        <w:t xml:space="preserve"> 41(6), S197-S239.</w:t>
      </w:r>
    </w:p>
    <w:p w:rsidR="00751138" w:rsidRPr="00A2305B" w:rsidRDefault="00751138" w:rsidP="00A2305B">
      <w:pPr>
        <w:spacing w:after="60"/>
        <w:ind w:left="450" w:hanging="450"/>
        <w:jc w:val="both"/>
        <w:rPr>
          <w:rFonts w:cs="Times New Roman"/>
          <w:szCs w:val="24"/>
        </w:rPr>
      </w:pPr>
      <w:proofErr w:type="spellStart"/>
      <w:r w:rsidRPr="00A2305B">
        <w:rPr>
          <w:rFonts w:cs="Times New Roman"/>
          <w:szCs w:val="24"/>
        </w:rPr>
        <w:t>Pojani</w:t>
      </w:r>
      <w:proofErr w:type="spellEnd"/>
      <w:r w:rsidRPr="00A2305B">
        <w:rPr>
          <w:rFonts w:cs="Times New Roman"/>
          <w:szCs w:val="24"/>
        </w:rPr>
        <w:t xml:space="preserve">, D., and </w:t>
      </w:r>
      <w:proofErr w:type="spellStart"/>
      <w:r w:rsidRPr="00A2305B">
        <w:rPr>
          <w:rFonts w:cs="Times New Roman"/>
          <w:szCs w:val="24"/>
        </w:rPr>
        <w:t>Boussauw</w:t>
      </w:r>
      <w:proofErr w:type="spellEnd"/>
      <w:r w:rsidRPr="00A2305B">
        <w:rPr>
          <w:rFonts w:cs="Times New Roman"/>
          <w:szCs w:val="24"/>
        </w:rPr>
        <w:t xml:space="preserve">, K. (2014). Keep the children walking: Active school travel in Tirana, Albania. </w:t>
      </w:r>
      <w:r w:rsidRPr="00A2305B">
        <w:rPr>
          <w:rFonts w:cs="Times New Roman"/>
          <w:i/>
          <w:szCs w:val="24"/>
        </w:rPr>
        <w:t>Journal of Transport Geography</w:t>
      </w:r>
      <w:r w:rsidRPr="00A2305B">
        <w:rPr>
          <w:rFonts w:cs="Times New Roman"/>
          <w:szCs w:val="24"/>
        </w:rPr>
        <w:t xml:space="preserve"> 38, 55-65.</w:t>
      </w:r>
    </w:p>
    <w:p w:rsidR="001748DD" w:rsidRPr="00A2305B" w:rsidRDefault="001748DD" w:rsidP="00A2305B">
      <w:pPr>
        <w:spacing w:after="60"/>
        <w:ind w:left="450" w:hanging="450"/>
        <w:jc w:val="both"/>
        <w:rPr>
          <w:rFonts w:cs="Times New Roman"/>
          <w:szCs w:val="24"/>
        </w:rPr>
      </w:pPr>
      <w:r w:rsidRPr="00A2305B">
        <w:rPr>
          <w:rFonts w:cs="Times New Roman"/>
          <w:szCs w:val="24"/>
        </w:rPr>
        <w:t xml:space="preserve">Price, C.D., Simpkins, S.D., and </w:t>
      </w:r>
      <w:proofErr w:type="spellStart"/>
      <w:r w:rsidRPr="00A2305B">
        <w:rPr>
          <w:rFonts w:cs="Times New Roman"/>
          <w:szCs w:val="24"/>
        </w:rPr>
        <w:t>Menjívar</w:t>
      </w:r>
      <w:proofErr w:type="spellEnd"/>
      <w:r w:rsidRPr="00A2305B">
        <w:rPr>
          <w:rFonts w:cs="Times New Roman"/>
          <w:szCs w:val="24"/>
        </w:rPr>
        <w:t xml:space="preserve">, C. (2017). Sibling </w:t>
      </w:r>
      <w:proofErr w:type="spellStart"/>
      <w:r w:rsidRPr="00A2305B">
        <w:rPr>
          <w:rFonts w:cs="Times New Roman"/>
          <w:szCs w:val="24"/>
        </w:rPr>
        <w:t>Behaviors</w:t>
      </w:r>
      <w:proofErr w:type="spellEnd"/>
      <w:r w:rsidRPr="00A2305B">
        <w:rPr>
          <w:rFonts w:cs="Times New Roman"/>
          <w:szCs w:val="24"/>
        </w:rPr>
        <w:t xml:space="preserve"> and Mexican-Origin Adolescents’ After-School Activities. </w:t>
      </w:r>
      <w:r w:rsidRPr="00A2305B">
        <w:rPr>
          <w:rFonts w:cs="Times New Roman"/>
          <w:i/>
          <w:szCs w:val="24"/>
        </w:rPr>
        <w:t>Journal of Adolescent Research</w:t>
      </w:r>
      <w:r w:rsidRPr="00A2305B">
        <w:rPr>
          <w:rFonts w:cs="Times New Roman"/>
          <w:szCs w:val="24"/>
        </w:rPr>
        <w:t xml:space="preserve"> 32(2), 127-154.</w:t>
      </w:r>
    </w:p>
    <w:p w:rsidR="00751138" w:rsidRPr="00A2305B" w:rsidRDefault="00751138" w:rsidP="00A2305B">
      <w:pPr>
        <w:spacing w:after="60"/>
        <w:ind w:left="450" w:hanging="450"/>
        <w:jc w:val="both"/>
        <w:rPr>
          <w:rFonts w:cs="Times New Roman"/>
          <w:szCs w:val="24"/>
        </w:rPr>
      </w:pPr>
      <w:proofErr w:type="spellStart"/>
      <w:r w:rsidRPr="00A2305B">
        <w:rPr>
          <w:rFonts w:cs="Times New Roman"/>
          <w:szCs w:val="24"/>
        </w:rPr>
        <w:lastRenderedPageBreak/>
        <w:t>Prinzie</w:t>
      </w:r>
      <w:proofErr w:type="spellEnd"/>
      <w:r w:rsidRPr="00A2305B">
        <w:rPr>
          <w:rFonts w:cs="Times New Roman"/>
          <w:szCs w:val="24"/>
        </w:rPr>
        <w:t xml:space="preserve">, P., </w:t>
      </w:r>
      <w:proofErr w:type="spellStart"/>
      <w:r w:rsidRPr="00A2305B">
        <w:rPr>
          <w:rFonts w:cs="Times New Roman"/>
          <w:szCs w:val="24"/>
        </w:rPr>
        <w:t>Stams</w:t>
      </w:r>
      <w:proofErr w:type="spellEnd"/>
      <w:r w:rsidRPr="00A2305B">
        <w:rPr>
          <w:rFonts w:cs="Times New Roman"/>
          <w:szCs w:val="24"/>
        </w:rPr>
        <w:t xml:space="preserve">, G.J., </w:t>
      </w:r>
      <w:proofErr w:type="spellStart"/>
      <w:r w:rsidRPr="00A2305B">
        <w:rPr>
          <w:rFonts w:cs="Times New Roman"/>
          <w:szCs w:val="24"/>
        </w:rPr>
        <w:t>Hoeve</w:t>
      </w:r>
      <w:proofErr w:type="spellEnd"/>
      <w:r w:rsidRPr="00A2305B">
        <w:rPr>
          <w:rFonts w:cs="Times New Roman"/>
          <w:szCs w:val="24"/>
        </w:rPr>
        <w:t xml:space="preserve">, M. (2008). Family processes and parent and child personality characteristics. In N.W. Slot, M. </w:t>
      </w:r>
      <w:proofErr w:type="spellStart"/>
      <w:r w:rsidRPr="00A2305B">
        <w:rPr>
          <w:rFonts w:cs="Times New Roman"/>
          <w:szCs w:val="24"/>
        </w:rPr>
        <w:t>Hoeve</w:t>
      </w:r>
      <w:proofErr w:type="spellEnd"/>
      <w:r w:rsidRPr="00A2305B">
        <w:rPr>
          <w:rFonts w:cs="Times New Roman"/>
          <w:szCs w:val="24"/>
        </w:rPr>
        <w:t xml:space="preserve"> (Eds.), </w:t>
      </w:r>
      <w:r w:rsidRPr="00A2305B">
        <w:rPr>
          <w:rFonts w:cs="Times New Roman"/>
          <w:i/>
          <w:szCs w:val="24"/>
        </w:rPr>
        <w:t>Tomorrow's Criminals: The Development of Child Delinquency and Effective Interventions</w:t>
      </w:r>
      <w:r w:rsidRPr="00A2305B">
        <w:rPr>
          <w:rFonts w:cs="Times New Roman"/>
          <w:szCs w:val="24"/>
        </w:rPr>
        <w:t xml:space="preserve"> (pp. 91-102). New York: </w:t>
      </w:r>
      <w:proofErr w:type="spellStart"/>
      <w:r w:rsidRPr="00A2305B">
        <w:rPr>
          <w:rFonts w:cs="Times New Roman"/>
          <w:szCs w:val="24"/>
        </w:rPr>
        <w:t>Ashgate</w:t>
      </w:r>
      <w:proofErr w:type="spellEnd"/>
      <w:r w:rsidRPr="00A2305B">
        <w:rPr>
          <w:rFonts w:cs="Times New Roman"/>
          <w:szCs w:val="24"/>
        </w:rPr>
        <w:t>.</w:t>
      </w:r>
    </w:p>
    <w:p w:rsidR="00EE52C0" w:rsidRPr="00A2305B" w:rsidRDefault="00EE52C0" w:rsidP="00A2305B">
      <w:pPr>
        <w:adjustRightInd w:val="0"/>
        <w:snapToGrid w:val="0"/>
        <w:spacing w:after="60"/>
        <w:ind w:left="450" w:hanging="450"/>
        <w:jc w:val="both"/>
        <w:rPr>
          <w:rFonts w:cs="Times New Roman"/>
          <w:szCs w:val="24"/>
        </w:rPr>
      </w:pPr>
      <w:proofErr w:type="spellStart"/>
      <w:r w:rsidRPr="00A2305B">
        <w:rPr>
          <w:rFonts w:cs="Times New Roman"/>
          <w:szCs w:val="24"/>
        </w:rPr>
        <w:t>Ramanathan</w:t>
      </w:r>
      <w:proofErr w:type="spellEnd"/>
      <w:r w:rsidRPr="00A2305B">
        <w:rPr>
          <w:rFonts w:cs="Times New Roman"/>
          <w:szCs w:val="24"/>
        </w:rPr>
        <w:t xml:space="preserve">, S., O’Brien, C., Faulkner, G. &amp; Stone, M. (2014). Happiness in Motion: Emotions, Well-Being, and Active School Travel. </w:t>
      </w:r>
      <w:r w:rsidRPr="00A2305B">
        <w:rPr>
          <w:rFonts w:cs="Times New Roman"/>
          <w:i/>
          <w:szCs w:val="24"/>
        </w:rPr>
        <w:t>Journal of School Health</w:t>
      </w:r>
      <w:r w:rsidRPr="00A2305B">
        <w:rPr>
          <w:rFonts w:cs="Times New Roman"/>
          <w:szCs w:val="24"/>
        </w:rPr>
        <w:t xml:space="preserve"> 84, 516-523.</w:t>
      </w:r>
    </w:p>
    <w:p w:rsidR="00EE52C0" w:rsidRPr="00A2305B" w:rsidRDefault="00751138" w:rsidP="00A2305B">
      <w:pPr>
        <w:adjustRightInd w:val="0"/>
        <w:snapToGrid w:val="0"/>
        <w:spacing w:after="60"/>
        <w:ind w:left="450" w:hanging="450"/>
        <w:jc w:val="both"/>
        <w:rPr>
          <w:rFonts w:cs="Times New Roman"/>
          <w:szCs w:val="24"/>
        </w:rPr>
      </w:pPr>
      <w:proofErr w:type="spellStart"/>
      <w:r w:rsidRPr="00A2305B">
        <w:rPr>
          <w:rFonts w:cs="Times New Roman"/>
          <w:szCs w:val="24"/>
        </w:rPr>
        <w:t>Reisner</w:t>
      </w:r>
      <w:proofErr w:type="spellEnd"/>
      <w:r w:rsidRPr="00A2305B">
        <w:rPr>
          <w:rFonts w:cs="Times New Roman"/>
          <w:szCs w:val="24"/>
        </w:rPr>
        <w:t xml:space="preserve">, E. (2003). Understanding family travel demands as a critical component in work-family research, transportation and land use planning. In </w:t>
      </w:r>
      <w:r w:rsidRPr="00A2305B">
        <w:rPr>
          <w:rFonts w:cs="Times New Roman"/>
          <w:i/>
          <w:szCs w:val="24"/>
        </w:rPr>
        <w:t>Proceedings of the Academic Work and Family Research Conference</w:t>
      </w:r>
      <w:r w:rsidRPr="00A2305B">
        <w:rPr>
          <w:rFonts w:cs="Times New Roman"/>
          <w:szCs w:val="24"/>
        </w:rPr>
        <w:t>, Orlando FL.</w:t>
      </w:r>
    </w:p>
    <w:p w:rsidR="00EE52C0" w:rsidRPr="00A2305B" w:rsidRDefault="00EE52C0" w:rsidP="00A2305B">
      <w:pPr>
        <w:adjustRightInd w:val="0"/>
        <w:snapToGrid w:val="0"/>
        <w:spacing w:after="60"/>
        <w:ind w:left="450" w:hanging="450"/>
        <w:jc w:val="both"/>
        <w:rPr>
          <w:rFonts w:cs="Times New Roman"/>
          <w:szCs w:val="24"/>
        </w:rPr>
      </w:pPr>
      <w:r w:rsidRPr="00A2305B">
        <w:rPr>
          <w:rFonts w:cs="Times New Roman"/>
          <w:szCs w:val="24"/>
        </w:rPr>
        <w:t xml:space="preserve">Romero, V. (2015). Children's experiences: Enjoyment and fun as additional encouragement for walking to school. </w:t>
      </w:r>
      <w:r w:rsidRPr="00A2305B">
        <w:rPr>
          <w:rFonts w:cs="Times New Roman"/>
          <w:i/>
          <w:szCs w:val="24"/>
        </w:rPr>
        <w:t>Journal of Transport &amp; Health</w:t>
      </w:r>
      <w:r w:rsidRPr="00A2305B">
        <w:rPr>
          <w:rFonts w:cs="Times New Roman"/>
          <w:szCs w:val="24"/>
        </w:rPr>
        <w:t xml:space="preserve"> 2, 230-237.</w:t>
      </w:r>
    </w:p>
    <w:p w:rsidR="00751138" w:rsidRPr="00A2305B" w:rsidRDefault="00751138" w:rsidP="00A2305B">
      <w:pPr>
        <w:adjustRightInd w:val="0"/>
        <w:snapToGrid w:val="0"/>
        <w:spacing w:after="60"/>
        <w:ind w:left="450" w:hanging="450"/>
        <w:jc w:val="both"/>
        <w:rPr>
          <w:rFonts w:cs="Times New Roman"/>
          <w:szCs w:val="24"/>
        </w:rPr>
      </w:pPr>
      <w:r w:rsidRPr="00A2305B">
        <w:rPr>
          <w:rFonts w:cs="Times New Roman"/>
          <w:szCs w:val="24"/>
        </w:rPr>
        <w:t xml:space="preserve">Roth, M.A., Millett, C.J., and Mindell, J.S. (2012). The contribution of active travel (walking and cycling) in children to overall physical activity levels: A national cross sectional study. </w:t>
      </w:r>
      <w:r w:rsidRPr="00A2305B">
        <w:rPr>
          <w:rFonts w:cs="Times New Roman"/>
          <w:i/>
          <w:szCs w:val="24"/>
        </w:rPr>
        <w:t>Preventive Medicine</w:t>
      </w:r>
      <w:r w:rsidRPr="00A2305B">
        <w:rPr>
          <w:rFonts w:cs="Times New Roman"/>
          <w:szCs w:val="24"/>
        </w:rPr>
        <w:t xml:space="preserve"> 54(2), 134-139.</w:t>
      </w:r>
    </w:p>
    <w:p w:rsidR="00751138" w:rsidRPr="00A2305B" w:rsidRDefault="00751138" w:rsidP="00A2305B">
      <w:pPr>
        <w:adjustRightInd w:val="0"/>
        <w:snapToGrid w:val="0"/>
        <w:spacing w:after="60"/>
        <w:ind w:left="450" w:hanging="450"/>
        <w:jc w:val="both"/>
        <w:rPr>
          <w:rFonts w:cs="Times New Roman"/>
          <w:szCs w:val="24"/>
        </w:rPr>
      </w:pPr>
      <w:r w:rsidRPr="00A2305B">
        <w:rPr>
          <w:rFonts w:cs="Times New Roman"/>
          <w:szCs w:val="24"/>
        </w:rPr>
        <w:t xml:space="preserve">Rothman, L., Macpherson, A.K., Ross, T., and </w:t>
      </w:r>
      <w:proofErr w:type="spellStart"/>
      <w:r w:rsidRPr="00A2305B">
        <w:rPr>
          <w:rFonts w:cs="Times New Roman"/>
          <w:szCs w:val="24"/>
        </w:rPr>
        <w:t>Buliung</w:t>
      </w:r>
      <w:proofErr w:type="spellEnd"/>
      <w:r w:rsidRPr="00A2305B">
        <w:rPr>
          <w:rFonts w:cs="Times New Roman"/>
          <w:szCs w:val="24"/>
        </w:rPr>
        <w:t xml:space="preserve">, R.N. (2018). The decline in active school transportation (AST): A systematic review of the factors related to AST and changes in school transport over time in North America. </w:t>
      </w:r>
      <w:r w:rsidRPr="00A2305B">
        <w:rPr>
          <w:rFonts w:cs="Times New Roman"/>
          <w:i/>
          <w:szCs w:val="24"/>
        </w:rPr>
        <w:t>Preventive Medicine</w:t>
      </w:r>
      <w:r w:rsidRPr="00A2305B">
        <w:rPr>
          <w:rFonts w:cs="Times New Roman"/>
          <w:szCs w:val="24"/>
        </w:rPr>
        <w:t xml:space="preserve"> 111, 314-322.</w:t>
      </w:r>
    </w:p>
    <w:p w:rsidR="00751138" w:rsidRPr="00A2305B" w:rsidRDefault="00751138" w:rsidP="00A2305B">
      <w:pPr>
        <w:adjustRightInd w:val="0"/>
        <w:snapToGrid w:val="0"/>
        <w:spacing w:after="60"/>
        <w:ind w:left="450" w:hanging="450"/>
        <w:jc w:val="both"/>
        <w:rPr>
          <w:rFonts w:cs="Times New Roman"/>
          <w:szCs w:val="24"/>
          <w:lang w:eastAsia="zh-CN"/>
        </w:rPr>
      </w:pPr>
      <w:r w:rsidRPr="00A2305B">
        <w:rPr>
          <w:rFonts w:cs="Times New Roman"/>
          <w:szCs w:val="24"/>
          <w:lang w:eastAsia="zh-CN"/>
        </w:rPr>
        <w:t xml:space="preserve">Safe Routes to School (2018). Safe Routes to School 101. </w:t>
      </w:r>
      <w:r w:rsidRPr="00A2305B">
        <w:rPr>
          <w:rFonts w:cs="Times New Roman"/>
          <w:i/>
          <w:szCs w:val="24"/>
          <w:lang w:eastAsia="zh-CN"/>
        </w:rPr>
        <w:t>Safe Routes to School National Partnership</w:t>
      </w:r>
      <w:r w:rsidRPr="00A2305B">
        <w:rPr>
          <w:rFonts w:cs="Times New Roman"/>
          <w:szCs w:val="24"/>
          <w:lang w:eastAsia="zh-CN"/>
        </w:rPr>
        <w:t xml:space="preserve">. Available at: </w:t>
      </w:r>
      <w:hyperlink r:id="rId232" w:history="1">
        <w:r w:rsidRPr="00A2305B">
          <w:rPr>
            <w:rStyle w:val="Hyperlink"/>
            <w:rFonts w:cs="Times New Roman"/>
            <w:szCs w:val="24"/>
            <w:lang w:eastAsia="zh-CN"/>
          </w:rPr>
          <w:t>https://www.saferoutespartnership.org/healthy-communities/101/about</w:t>
        </w:r>
      </w:hyperlink>
      <w:r w:rsidRPr="00A2305B">
        <w:rPr>
          <w:rFonts w:cs="Times New Roman"/>
          <w:szCs w:val="24"/>
          <w:lang w:eastAsia="zh-CN"/>
        </w:rPr>
        <w:t>. Retrieved Mar 30 2018.</w:t>
      </w:r>
    </w:p>
    <w:p w:rsidR="00751138" w:rsidRPr="00A2305B" w:rsidRDefault="00751138" w:rsidP="00A2305B">
      <w:pPr>
        <w:adjustRightInd w:val="0"/>
        <w:snapToGrid w:val="0"/>
        <w:spacing w:after="60"/>
        <w:ind w:left="450" w:hanging="450"/>
        <w:jc w:val="both"/>
        <w:rPr>
          <w:rFonts w:cs="Times New Roman"/>
          <w:szCs w:val="24"/>
        </w:rPr>
      </w:pPr>
      <w:proofErr w:type="spellStart"/>
      <w:r w:rsidRPr="00A2305B">
        <w:rPr>
          <w:rFonts w:cs="Times New Roman"/>
          <w:szCs w:val="24"/>
          <w:lang w:eastAsia="zh-CN"/>
        </w:rPr>
        <w:t>Sallis</w:t>
      </w:r>
      <w:proofErr w:type="spellEnd"/>
      <w:r w:rsidRPr="00A2305B">
        <w:rPr>
          <w:rFonts w:cs="Times New Roman"/>
          <w:szCs w:val="24"/>
          <w:lang w:eastAsia="zh-CN"/>
        </w:rPr>
        <w:t xml:space="preserve">, J.F., </w:t>
      </w:r>
      <w:proofErr w:type="spellStart"/>
      <w:r w:rsidRPr="00A2305B">
        <w:rPr>
          <w:rFonts w:cs="Times New Roman"/>
          <w:szCs w:val="24"/>
          <w:lang w:eastAsia="zh-CN"/>
        </w:rPr>
        <w:t>Cerin</w:t>
      </w:r>
      <w:proofErr w:type="spellEnd"/>
      <w:r w:rsidRPr="00A2305B">
        <w:rPr>
          <w:rFonts w:cs="Times New Roman"/>
          <w:szCs w:val="24"/>
          <w:lang w:eastAsia="zh-CN"/>
        </w:rPr>
        <w:t>, E., Conway, T.L., Adams, M.A., Frank, L.D., Pratt, M</w:t>
      </w:r>
      <w:proofErr w:type="gramStart"/>
      <w:r w:rsidRPr="00A2305B">
        <w:rPr>
          <w:rFonts w:cs="Times New Roman"/>
          <w:szCs w:val="24"/>
          <w:lang w:eastAsia="zh-CN"/>
        </w:rPr>
        <w:t>., …</w:t>
      </w:r>
      <w:proofErr w:type="gramEnd"/>
      <w:r w:rsidRPr="00A2305B">
        <w:rPr>
          <w:rFonts w:cs="Times New Roman"/>
          <w:szCs w:val="24"/>
          <w:lang w:eastAsia="zh-CN"/>
        </w:rPr>
        <w:t xml:space="preserve"> &amp; Owen, N.</w:t>
      </w:r>
      <w:r w:rsidRPr="00A2305B">
        <w:rPr>
          <w:rFonts w:cs="Times New Roman"/>
          <w:szCs w:val="24"/>
        </w:rPr>
        <w:t xml:space="preserve"> (2016). Physical activity in relation to urban environments in 14 cities worldwide: A cross-sectional study. </w:t>
      </w:r>
      <w:r w:rsidRPr="00A2305B">
        <w:rPr>
          <w:rFonts w:cs="Times New Roman"/>
          <w:i/>
          <w:szCs w:val="24"/>
        </w:rPr>
        <w:t>Lancet</w:t>
      </w:r>
      <w:r w:rsidRPr="00A2305B">
        <w:rPr>
          <w:rFonts w:cs="Times New Roman"/>
          <w:szCs w:val="24"/>
        </w:rPr>
        <w:t xml:space="preserve"> 387, 2207-2217.</w:t>
      </w:r>
    </w:p>
    <w:p w:rsidR="00751138" w:rsidRPr="00A2305B" w:rsidRDefault="00751138" w:rsidP="00A2305B">
      <w:pPr>
        <w:adjustRightInd w:val="0"/>
        <w:snapToGrid w:val="0"/>
        <w:spacing w:after="60"/>
        <w:ind w:left="450" w:hanging="450"/>
        <w:jc w:val="both"/>
        <w:rPr>
          <w:rFonts w:cs="Times New Roman"/>
          <w:szCs w:val="24"/>
        </w:rPr>
      </w:pPr>
      <w:r w:rsidRPr="00A2305B">
        <w:rPr>
          <w:rFonts w:cs="Times New Roman"/>
          <w:szCs w:val="24"/>
        </w:rPr>
        <w:t xml:space="preserve">Saunders, L.E., Green, J.M., </w:t>
      </w:r>
      <w:proofErr w:type="spellStart"/>
      <w:r w:rsidRPr="00A2305B">
        <w:rPr>
          <w:rFonts w:cs="Times New Roman"/>
          <w:szCs w:val="24"/>
        </w:rPr>
        <w:t>Petticrew</w:t>
      </w:r>
      <w:proofErr w:type="spellEnd"/>
      <w:r w:rsidRPr="00A2305B">
        <w:rPr>
          <w:rFonts w:cs="Times New Roman"/>
          <w:szCs w:val="24"/>
        </w:rPr>
        <w:t xml:space="preserve">, M.P., Steinbach, R., and Roberts, H. (2013). What are the health benefits of active travel? A systematic review of trials and cohort studies. </w:t>
      </w:r>
      <w:proofErr w:type="spellStart"/>
      <w:r w:rsidRPr="00A2305B">
        <w:rPr>
          <w:rFonts w:cs="Times New Roman"/>
          <w:i/>
          <w:szCs w:val="24"/>
        </w:rPr>
        <w:t>Plos</w:t>
      </w:r>
      <w:proofErr w:type="spellEnd"/>
      <w:r w:rsidRPr="00A2305B">
        <w:rPr>
          <w:rFonts w:cs="Times New Roman"/>
          <w:i/>
          <w:szCs w:val="24"/>
        </w:rPr>
        <w:t xml:space="preserve"> ONE</w:t>
      </w:r>
      <w:r w:rsidRPr="00A2305B">
        <w:rPr>
          <w:rFonts w:cs="Times New Roman"/>
          <w:szCs w:val="24"/>
        </w:rPr>
        <w:t xml:space="preserve"> 8(8), e69912.</w:t>
      </w:r>
    </w:p>
    <w:p w:rsidR="008D16DF" w:rsidRPr="00A2305B" w:rsidRDefault="008D16DF" w:rsidP="00A2305B">
      <w:pPr>
        <w:adjustRightInd w:val="0"/>
        <w:snapToGrid w:val="0"/>
        <w:spacing w:after="60"/>
        <w:ind w:left="450" w:hanging="450"/>
        <w:jc w:val="both"/>
        <w:rPr>
          <w:rFonts w:cs="Times New Roman"/>
          <w:szCs w:val="24"/>
        </w:rPr>
      </w:pPr>
      <w:proofErr w:type="spellStart"/>
      <w:r w:rsidRPr="00A2305B">
        <w:rPr>
          <w:rFonts w:cs="Times New Roman"/>
          <w:szCs w:val="24"/>
        </w:rPr>
        <w:t>Schoeppe</w:t>
      </w:r>
      <w:proofErr w:type="spellEnd"/>
      <w:r w:rsidRPr="00A2305B">
        <w:rPr>
          <w:rFonts w:cs="Times New Roman"/>
          <w:szCs w:val="24"/>
        </w:rPr>
        <w:t xml:space="preserve">, S., Duncan, M.J., </w:t>
      </w:r>
      <w:proofErr w:type="spellStart"/>
      <w:r w:rsidRPr="00A2305B">
        <w:rPr>
          <w:rFonts w:cs="Times New Roman"/>
          <w:szCs w:val="24"/>
        </w:rPr>
        <w:t>Badland</w:t>
      </w:r>
      <w:proofErr w:type="spellEnd"/>
      <w:r w:rsidRPr="00A2305B">
        <w:rPr>
          <w:rFonts w:cs="Times New Roman"/>
          <w:szCs w:val="24"/>
        </w:rPr>
        <w:t xml:space="preserve">, H.M., Alley, S., Williams, S., Rebar, A.L., and </w:t>
      </w:r>
      <w:proofErr w:type="spellStart"/>
      <w:r w:rsidRPr="00A2305B">
        <w:rPr>
          <w:rFonts w:cs="Times New Roman"/>
          <w:szCs w:val="24"/>
        </w:rPr>
        <w:t>Vandelanotte</w:t>
      </w:r>
      <w:proofErr w:type="spellEnd"/>
      <w:r w:rsidRPr="00A2305B">
        <w:rPr>
          <w:rFonts w:cs="Times New Roman"/>
          <w:szCs w:val="24"/>
        </w:rPr>
        <w:t>, C. (2015). Socio-demographic factors and neighbourhood social cohesion influence adults’ willingness to grant children greater independent mobility: A cross-sectional study</w:t>
      </w:r>
      <w:r w:rsidR="007837EA" w:rsidRPr="00A2305B">
        <w:rPr>
          <w:rFonts w:cs="Times New Roman"/>
          <w:szCs w:val="24"/>
        </w:rPr>
        <w:t xml:space="preserve">. </w:t>
      </w:r>
      <w:r w:rsidRPr="00A2305B">
        <w:rPr>
          <w:rFonts w:cs="Times New Roman"/>
          <w:i/>
          <w:szCs w:val="24"/>
        </w:rPr>
        <w:t>BMC Public Health</w:t>
      </w:r>
      <w:r w:rsidR="007837EA" w:rsidRPr="00A2305B">
        <w:rPr>
          <w:rFonts w:cs="Times New Roman"/>
          <w:szCs w:val="24"/>
        </w:rPr>
        <w:t xml:space="preserve"> 15, </w:t>
      </w:r>
      <w:r w:rsidRPr="00A2305B">
        <w:rPr>
          <w:rFonts w:cs="Times New Roman"/>
          <w:szCs w:val="24"/>
        </w:rPr>
        <w:t>690</w:t>
      </w:r>
    </w:p>
    <w:p w:rsidR="00751138" w:rsidRPr="00A2305B" w:rsidRDefault="00751138" w:rsidP="00A2305B">
      <w:pPr>
        <w:adjustRightInd w:val="0"/>
        <w:snapToGrid w:val="0"/>
        <w:spacing w:after="60"/>
        <w:ind w:left="450" w:hanging="450"/>
        <w:jc w:val="both"/>
        <w:rPr>
          <w:rFonts w:cs="Times New Roman"/>
          <w:szCs w:val="24"/>
        </w:rPr>
      </w:pPr>
      <w:proofErr w:type="spellStart"/>
      <w:r w:rsidRPr="00A2305B">
        <w:rPr>
          <w:rFonts w:cs="Times New Roman"/>
          <w:szCs w:val="24"/>
        </w:rPr>
        <w:t>Schuepbach</w:t>
      </w:r>
      <w:proofErr w:type="spellEnd"/>
      <w:r w:rsidRPr="00A2305B">
        <w:rPr>
          <w:rFonts w:cs="Times New Roman"/>
          <w:szCs w:val="24"/>
        </w:rPr>
        <w:t xml:space="preserve">, M. (2015). Effects of extracurricular activities and their quality on primary school-age students’ achievement in mathematics in Switzerland. </w:t>
      </w:r>
      <w:r w:rsidRPr="00A2305B">
        <w:rPr>
          <w:rFonts w:cs="Times New Roman"/>
          <w:i/>
          <w:szCs w:val="24"/>
        </w:rPr>
        <w:t>School Effectiveness and School Improvement</w:t>
      </w:r>
      <w:r w:rsidRPr="00A2305B">
        <w:rPr>
          <w:rFonts w:cs="Times New Roman"/>
          <w:szCs w:val="24"/>
        </w:rPr>
        <w:t xml:space="preserve"> 26(2), 279-295.</w:t>
      </w:r>
    </w:p>
    <w:p w:rsidR="00751138" w:rsidRPr="00A2305B" w:rsidRDefault="00751138" w:rsidP="00A2305B">
      <w:pPr>
        <w:adjustRightInd w:val="0"/>
        <w:snapToGrid w:val="0"/>
        <w:spacing w:after="60"/>
        <w:ind w:left="450" w:hanging="450"/>
        <w:jc w:val="both"/>
        <w:rPr>
          <w:rFonts w:cs="Times New Roman"/>
          <w:szCs w:val="24"/>
        </w:rPr>
      </w:pPr>
      <w:proofErr w:type="spellStart"/>
      <w:r w:rsidRPr="00A2305B">
        <w:rPr>
          <w:rFonts w:cs="Times New Roman"/>
          <w:szCs w:val="24"/>
        </w:rPr>
        <w:t>Sener</w:t>
      </w:r>
      <w:proofErr w:type="spellEnd"/>
      <w:r w:rsidRPr="00A2305B">
        <w:rPr>
          <w:rFonts w:cs="Times New Roman"/>
          <w:szCs w:val="24"/>
        </w:rPr>
        <w:t xml:space="preserve">, I.N., and Bhat, C.R. (2007). An analysis of the social context of children's weekend discretionary activity participation. </w:t>
      </w:r>
      <w:r w:rsidRPr="00A2305B">
        <w:rPr>
          <w:rFonts w:cs="Times New Roman"/>
          <w:i/>
          <w:szCs w:val="24"/>
        </w:rPr>
        <w:t>Transportation</w:t>
      </w:r>
      <w:r w:rsidRPr="00A2305B">
        <w:rPr>
          <w:rFonts w:cs="Times New Roman"/>
          <w:szCs w:val="24"/>
        </w:rPr>
        <w:t xml:space="preserve"> 34(6), 697-721.</w:t>
      </w:r>
    </w:p>
    <w:p w:rsidR="00751138" w:rsidRPr="00A2305B" w:rsidRDefault="00751138" w:rsidP="00A2305B">
      <w:pPr>
        <w:adjustRightInd w:val="0"/>
        <w:snapToGrid w:val="0"/>
        <w:spacing w:after="60"/>
        <w:ind w:left="450" w:hanging="450"/>
        <w:jc w:val="both"/>
        <w:rPr>
          <w:rFonts w:cs="Times New Roman"/>
          <w:szCs w:val="24"/>
        </w:rPr>
      </w:pPr>
      <w:proofErr w:type="spellStart"/>
      <w:r w:rsidRPr="00A2305B">
        <w:rPr>
          <w:rFonts w:cs="Times New Roman"/>
          <w:szCs w:val="24"/>
        </w:rPr>
        <w:t>Sener</w:t>
      </w:r>
      <w:proofErr w:type="spellEnd"/>
      <w:r w:rsidRPr="00A2305B">
        <w:rPr>
          <w:rFonts w:cs="Times New Roman"/>
          <w:szCs w:val="24"/>
        </w:rPr>
        <w:t xml:space="preserve">, I.N., </w:t>
      </w:r>
      <w:proofErr w:type="spellStart"/>
      <w:r w:rsidRPr="00A2305B">
        <w:rPr>
          <w:rFonts w:cs="Times New Roman"/>
          <w:szCs w:val="24"/>
        </w:rPr>
        <w:t>Copperman</w:t>
      </w:r>
      <w:proofErr w:type="spellEnd"/>
      <w:r w:rsidRPr="00A2305B">
        <w:rPr>
          <w:rFonts w:cs="Times New Roman"/>
          <w:szCs w:val="24"/>
        </w:rPr>
        <w:t xml:space="preserve">, R.B., </w:t>
      </w:r>
      <w:proofErr w:type="spellStart"/>
      <w:r w:rsidRPr="00A2305B">
        <w:rPr>
          <w:rFonts w:cs="Times New Roman"/>
          <w:szCs w:val="24"/>
        </w:rPr>
        <w:t>Pendyala</w:t>
      </w:r>
      <w:proofErr w:type="spellEnd"/>
      <w:r w:rsidRPr="00A2305B">
        <w:rPr>
          <w:rFonts w:cs="Times New Roman"/>
          <w:szCs w:val="24"/>
        </w:rPr>
        <w:t xml:space="preserve">, R.B. and Bhat, C.R. (2008). An analysis of children's leisure activity engagement: Examining the day of week, location, physical activity level, and fixity dimensions. </w:t>
      </w:r>
      <w:r w:rsidRPr="00A2305B">
        <w:rPr>
          <w:rFonts w:cs="Times New Roman"/>
          <w:i/>
          <w:szCs w:val="24"/>
        </w:rPr>
        <w:t>Transportation</w:t>
      </w:r>
      <w:r w:rsidRPr="00A2305B">
        <w:rPr>
          <w:rFonts w:cs="Times New Roman"/>
          <w:szCs w:val="24"/>
        </w:rPr>
        <w:t xml:space="preserve"> 35(5), 673-696.</w:t>
      </w:r>
    </w:p>
    <w:p w:rsidR="00751138" w:rsidRPr="00A2305B" w:rsidRDefault="00751138" w:rsidP="00A2305B">
      <w:pPr>
        <w:spacing w:after="60"/>
        <w:ind w:left="450" w:hanging="450"/>
        <w:jc w:val="both"/>
        <w:rPr>
          <w:rFonts w:cs="Times New Roman"/>
          <w:szCs w:val="24"/>
          <w:lang w:eastAsia="zh-CN"/>
        </w:rPr>
      </w:pPr>
      <w:proofErr w:type="spellStart"/>
      <w:r w:rsidRPr="00A2305B">
        <w:rPr>
          <w:rFonts w:cs="Times New Roman"/>
          <w:szCs w:val="24"/>
          <w:lang w:eastAsia="zh-CN"/>
        </w:rPr>
        <w:t>Sharmin</w:t>
      </w:r>
      <w:proofErr w:type="spellEnd"/>
      <w:r w:rsidRPr="00A2305B">
        <w:rPr>
          <w:rFonts w:cs="Times New Roman"/>
          <w:szCs w:val="24"/>
          <w:lang w:eastAsia="zh-CN"/>
        </w:rPr>
        <w:t xml:space="preserve">, S., and </w:t>
      </w:r>
      <w:proofErr w:type="spellStart"/>
      <w:r w:rsidRPr="00A2305B">
        <w:rPr>
          <w:rFonts w:cs="Times New Roman"/>
          <w:szCs w:val="24"/>
          <w:lang w:eastAsia="zh-CN"/>
        </w:rPr>
        <w:t>Kamruzzaman</w:t>
      </w:r>
      <w:proofErr w:type="spellEnd"/>
      <w:r w:rsidRPr="00A2305B">
        <w:rPr>
          <w:rFonts w:cs="Times New Roman"/>
          <w:szCs w:val="24"/>
          <w:lang w:eastAsia="zh-CN"/>
        </w:rPr>
        <w:t xml:space="preserve">, M. (2017). Association between the built environment and children's independent mobility: A meta-analytic review. </w:t>
      </w:r>
      <w:r w:rsidRPr="00A2305B">
        <w:rPr>
          <w:rFonts w:cs="Times New Roman"/>
          <w:i/>
          <w:szCs w:val="24"/>
          <w:lang w:eastAsia="zh-CN"/>
        </w:rPr>
        <w:t>Journal of Transport Geography</w:t>
      </w:r>
      <w:r w:rsidRPr="00A2305B">
        <w:rPr>
          <w:rFonts w:cs="Times New Roman"/>
          <w:szCs w:val="24"/>
          <w:lang w:eastAsia="zh-CN"/>
        </w:rPr>
        <w:t xml:space="preserve"> 61, 104-117.</w:t>
      </w:r>
    </w:p>
    <w:p w:rsidR="005A0CFB" w:rsidRPr="00A2305B" w:rsidRDefault="005A0CFB" w:rsidP="00A2305B">
      <w:pPr>
        <w:keepLines/>
        <w:spacing w:after="60"/>
        <w:ind w:left="446" w:hanging="446"/>
        <w:jc w:val="both"/>
        <w:rPr>
          <w:rFonts w:cs="Times New Roman"/>
          <w:szCs w:val="24"/>
          <w:lang w:eastAsia="zh-CN"/>
        </w:rPr>
      </w:pPr>
      <w:r w:rsidRPr="00A2305B">
        <w:rPr>
          <w:rFonts w:cs="Times New Roman"/>
          <w:szCs w:val="24"/>
          <w:lang w:eastAsia="zh-CN"/>
        </w:rPr>
        <w:lastRenderedPageBreak/>
        <w:t xml:space="preserve">Simpkins, S.D., Delgado, M.Y., Price, C.D., Quach, A., and Starbuck, E. (2013). Socioeconomic status, ethnicity, culture, and immigration: examining the potential mechanisms underlying Mexican-origin adolescents' organized activity participation. </w:t>
      </w:r>
      <w:r w:rsidRPr="00A2305B">
        <w:rPr>
          <w:rFonts w:cs="Times New Roman"/>
          <w:i/>
          <w:szCs w:val="24"/>
          <w:lang w:eastAsia="zh-CN"/>
        </w:rPr>
        <w:t xml:space="preserve">Developmental Psychology </w:t>
      </w:r>
      <w:r w:rsidRPr="00A2305B">
        <w:rPr>
          <w:rFonts w:cs="Times New Roman"/>
          <w:szCs w:val="24"/>
          <w:lang w:eastAsia="zh-CN"/>
        </w:rPr>
        <w:t xml:space="preserve">49(4), 706-721. </w:t>
      </w:r>
    </w:p>
    <w:p w:rsidR="000B45AB" w:rsidRPr="00A2305B" w:rsidRDefault="000B45AB" w:rsidP="00A2305B">
      <w:pPr>
        <w:spacing w:after="60"/>
        <w:ind w:left="450" w:hanging="450"/>
        <w:jc w:val="both"/>
        <w:rPr>
          <w:rFonts w:cs="Times New Roman"/>
          <w:szCs w:val="24"/>
          <w:lang w:eastAsia="zh-CN"/>
        </w:rPr>
      </w:pPr>
      <w:r w:rsidRPr="00A2305B">
        <w:rPr>
          <w:rFonts w:cs="Times New Roman"/>
          <w:szCs w:val="24"/>
          <w:lang w:eastAsia="zh-CN"/>
        </w:rPr>
        <w:t xml:space="preserve">Simpkins, S.D., Vest, A.E., and </w:t>
      </w:r>
      <w:proofErr w:type="spellStart"/>
      <w:r w:rsidRPr="00A2305B">
        <w:rPr>
          <w:rFonts w:cs="Times New Roman"/>
          <w:szCs w:val="24"/>
          <w:lang w:eastAsia="zh-CN"/>
        </w:rPr>
        <w:t>Becnel</w:t>
      </w:r>
      <w:proofErr w:type="spellEnd"/>
      <w:r w:rsidRPr="00A2305B">
        <w:rPr>
          <w:rFonts w:cs="Times New Roman"/>
          <w:szCs w:val="24"/>
          <w:lang w:eastAsia="zh-CN"/>
        </w:rPr>
        <w:t>, J.N. (2010).</w:t>
      </w:r>
      <w:r w:rsidR="008A3CFB" w:rsidRPr="00A2305B">
        <w:rPr>
          <w:rFonts w:cs="Times New Roman"/>
          <w:szCs w:val="24"/>
          <w:lang w:eastAsia="zh-CN"/>
        </w:rPr>
        <w:t xml:space="preserve"> Participating in Sport and Music Activities in Adolescence: The Role of Activity Participation and Motivational Beliefs </w:t>
      </w:r>
      <w:proofErr w:type="gramStart"/>
      <w:r w:rsidR="008A3CFB" w:rsidRPr="00A2305B">
        <w:rPr>
          <w:rFonts w:cs="Times New Roman"/>
          <w:szCs w:val="24"/>
          <w:lang w:eastAsia="zh-CN"/>
        </w:rPr>
        <w:t>During</w:t>
      </w:r>
      <w:proofErr w:type="gramEnd"/>
      <w:r w:rsidR="008A3CFB" w:rsidRPr="00A2305B">
        <w:rPr>
          <w:rFonts w:cs="Times New Roman"/>
          <w:szCs w:val="24"/>
          <w:lang w:eastAsia="zh-CN"/>
        </w:rPr>
        <w:t xml:space="preserve"> Elementary School. </w:t>
      </w:r>
      <w:r w:rsidR="008A3CFB" w:rsidRPr="00A2305B">
        <w:rPr>
          <w:rFonts w:cs="Times New Roman"/>
          <w:i/>
          <w:szCs w:val="24"/>
          <w:lang w:eastAsia="zh-CN"/>
        </w:rPr>
        <w:t>Journal of Youth and Adolescence</w:t>
      </w:r>
      <w:r w:rsidR="008A3CFB" w:rsidRPr="00A2305B">
        <w:rPr>
          <w:rFonts w:cs="Times New Roman"/>
          <w:szCs w:val="24"/>
          <w:lang w:eastAsia="zh-CN"/>
        </w:rPr>
        <w:t xml:space="preserve"> 39(11), </w:t>
      </w:r>
      <w:r w:rsidRPr="00A2305B">
        <w:rPr>
          <w:rFonts w:cs="Times New Roman"/>
          <w:szCs w:val="24"/>
          <w:lang w:eastAsia="zh-CN"/>
        </w:rPr>
        <w:t>1368</w:t>
      </w:r>
      <w:r w:rsidR="008A3CFB" w:rsidRPr="00A2305B">
        <w:rPr>
          <w:rFonts w:cs="Times New Roman"/>
          <w:szCs w:val="24"/>
          <w:lang w:eastAsia="zh-CN"/>
        </w:rPr>
        <w:t>-1386</w:t>
      </w:r>
      <w:r w:rsidRPr="00A2305B">
        <w:rPr>
          <w:rFonts w:cs="Times New Roman"/>
          <w:szCs w:val="24"/>
          <w:lang w:eastAsia="zh-CN"/>
        </w:rPr>
        <w:t>.</w:t>
      </w:r>
    </w:p>
    <w:p w:rsidR="00751138" w:rsidRPr="00A2305B" w:rsidRDefault="00751138" w:rsidP="00A2305B">
      <w:pPr>
        <w:adjustRightInd w:val="0"/>
        <w:snapToGrid w:val="0"/>
        <w:spacing w:after="60"/>
        <w:ind w:left="450" w:hanging="450"/>
        <w:jc w:val="both"/>
        <w:rPr>
          <w:rFonts w:cs="Times New Roman"/>
          <w:szCs w:val="24"/>
        </w:rPr>
      </w:pPr>
      <w:proofErr w:type="spellStart"/>
      <w:r w:rsidRPr="00A2305B">
        <w:rPr>
          <w:rFonts w:cs="Times New Roman"/>
          <w:szCs w:val="24"/>
        </w:rPr>
        <w:t>Snellman</w:t>
      </w:r>
      <w:proofErr w:type="spellEnd"/>
      <w:r w:rsidRPr="00A2305B">
        <w:rPr>
          <w:rFonts w:cs="Times New Roman"/>
          <w:szCs w:val="24"/>
        </w:rPr>
        <w:t xml:space="preserve">, K., Silva, J.M., Frederick, C.B., and Putnam, R.D. (2015). The engagement gap: Social mobility and extracurricular participation among American youth. </w:t>
      </w:r>
      <w:r w:rsidRPr="00A2305B">
        <w:rPr>
          <w:rFonts w:cs="Times New Roman"/>
          <w:i/>
          <w:szCs w:val="24"/>
        </w:rPr>
        <w:t>The Annals of the American Academy of Political and Social Science</w:t>
      </w:r>
      <w:r w:rsidRPr="00A2305B">
        <w:rPr>
          <w:rFonts w:cs="Times New Roman"/>
          <w:szCs w:val="24"/>
        </w:rPr>
        <w:t xml:space="preserve"> 657(1), 194-207.</w:t>
      </w:r>
    </w:p>
    <w:p w:rsidR="00751138" w:rsidRPr="00A2305B" w:rsidRDefault="00751138" w:rsidP="00A2305B">
      <w:pPr>
        <w:adjustRightInd w:val="0"/>
        <w:snapToGrid w:val="0"/>
        <w:spacing w:after="60"/>
        <w:ind w:left="450" w:hanging="450"/>
        <w:jc w:val="both"/>
        <w:rPr>
          <w:rFonts w:cs="Times New Roman"/>
          <w:szCs w:val="24"/>
        </w:rPr>
      </w:pPr>
      <w:proofErr w:type="spellStart"/>
      <w:r w:rsidRPr="00A2305B">
        <w:rPr>
          <w:rFonts w:cs="Times New Roman"/>
          <w:szCs w:val="24"/>
        </w:rPr>
        <w:t>Spissu</w:t>
      </w:r>
      <w:proofErr w:type="spellEnd"/>
      <w:r w:rsidRPr="00A2305B">
        <w:rPr>
          <w:rFonts w:cs="Times New Roman"/>
          <w:szCs w:val="24"/>
        </w:rPr>
        <w:t xml:space="preserve">, E., </w:t>
      </w:r>
      <w:proofErr w:type="spellStart"/>
      <w:r w:rsidRPr="00A2305B">
        <w:rPr>
          <w:rFonts w:cs="Times New Roman"/>
          <w:szCs w:val="24"/>
        </w:rPr>
        <w:t>Pinjari</w:t>
      </w:r>
      <w:proofErr w:type="spellEnd"/>
      <w:r w:rsidRPr="00A2305B">
        <w:rPr>
          <w:rFonts w:cs="Times New Roman"/>
          <w:szCs w:val="24"/>
        </w:rPr>
        <w:t xml:space="preserve">, A.R., Bhat, C.R., </w:t>
      </w:r>
      <w:proofErr w:type="spellStart"/>
      <w:r w:rsidRPr="00A2305B">
        <w:rPr>
          <w:rFonts w:cs="Times New Roman"/>
          <w:szCs w:val="24"/>
        </w:rPr>
        <w:t>Pendyala</w:t>
      </w:r>
      <w:proofErr w:type="spellEnd"/>
      <w:r w:rsidRPr="00A2305B">
        <w:rPr>
          <w:rFonts w:cs="Times New Roman"/>
          <w:szCs w:val="24"/>
        </w:rPr>
        <w:t xml:space="preserve">, R.M., and </w:t>
      </w:r>
      <w:proofErr w:type="spellStart"/>
      <w:r w:rsidRPr="00A2305B">
        <w:rPr>
          <w:rFonts w:cs="Times New Roman"/>
          <w:szCs w:val="24"/>
        </w:rPr>
        <w:t>Axhausen</w:t>
      </w:r>
      <w:proofErr w:type="spellEnd"/>
      <w:r w:rsidRPr="00A2305B">
        <w:rPr>
          <w:rFonts w:cs="Times New Roman"/>
          <w:szCs w:val="24"/>
        </w:rPr>
        <w:t xml:space="preserve">, K.W. (2009). An analysis of weekly out-of-home discretionary activity participation and time-use </w:t>
      </w:r>
      <w:proofErr w:type="spellStart"/>
      <w:r w:rsidRPr="00A2305B">
        <w:rPr>
          <w:rFonts w:cs="Times New Roman"/>
          <w:szCs w:val="24"/>
        </w:rPr>
        <w:t>behavior</w:t>
      </w:r>
      <w:proofErr w:type="spellEnd"/>
      <w:r w:rsidRPr="00A2305B">
        <w:rPr>
          <w:rFonts w:cs="Times New Roman"/>
          <w:szCs w:val="24"/>
        </w:rPr>
        <w:t xml:space="preserve">. </w:t>
      </w:r>
      <w:r w:rsidRPr="00A2305B">
        <w:rPr>
          <w:rFonts w:cs="Times New Roman"/>
          <w:i/>
          <w:szCs w:val="24"/>
        </w:rPr>
        <w:t xml:space="preserve">Transportation </w:t>
      </w:r>
      <w:r w:rsidRPr="00A2305B">
        <w:rPr>
          <w:rFonts w:cs="Times New Roman"/>
          <w:szCs w:val="24"/>
        </w:rPr>
        <w:t>36(5), 483-510.</w:t>
      </w:r>
    </w:p>
    <w:p w:rsidR="00751138" w:rsidRPr="00A2305B" w:rsidRDefault="00751138" w:rsidP="00A2305B">
      <w:pPr>
        <w:spacing w:after="60"/>
        <w:ind w:left="450" w:hanging="450"/>
        <w:jc w:val="both"/>
        <w:rPr>
          <w:rFonts w:cs="Times New Roman"/>
          <w:szCs w:val="24"/>
          <w:lang w:eastAsia="zh-CN"/>
        </w:rPr>
      </w:pPr>
      <w:r w:rsidRPr="00A2305B">
        <w:rPr>
          <w:rFonts w:cs="Times New Roman"/>
          <w:szCs w:val="24"/>
          <w:lang w:eastAsia="zh-CN"/>
        </w:rPr>
        <w:t xml:space="preserve">Stark, J., Beyer </w:t>
      </w:r>
      <w:proofErr w:type="spellStart"/>
      <w:r w:rsidRPr="00A2305B">
        <w:rPr>
          <w:rFonts w:cs="Times New Roman"/>
          <w:szCs w:val="24"/>
          <w:lang w:eastAsia="zh-CN"/>
        </w:rPr>
        <w:t>Bartana</w:t>
      </w:r>
      <w:proofErr w:type="spellEnd"/>
      <w:r w:rsidRPr="00A2305B">
        <w:rPr>
          <w:rFonts w:cs="Times New Roman"/>
          <w:szCs w:val="24"/>
          <w:lang w:eastAsia="zh-CN"/>
        </w:rPr>
        <w:t xml:space="preserve">, I., Fritz, A., </w:t>
      </w:r>
      <w:proofErr w:type="spellStart"/>
      <w:r w:rsidRPr="00A2305B">
        <w:rPr>
          <w:rFonts w:cs="Times New Roman"/>
          <w:szCs w:val="24"/>
          <w:lang w:eastAsia="zh-CN"/>
        </w:rPr>
        <w:t>Unbehaun</w:t>
      </w:r>
      <w:proofErr w:type="spellEnd"/>
      <w:r w:rsidRPr="00A2305B">
        <w:rPr>
          <w:rFonts w:cs="Times New Roman"/>
          <w:szCs w:val="24"/>
          <w:lang w:eastAsia="zh-CN"/>
        </w:rPr>
        <w:t xml:space="preserve">, W., and </w:t>
      </w:r>
      <w:proofErr w:type="spellStart"/>
      <w:r w:rsidRPr="00A2305B">
        <w:rPr>
          <w:rFonts w:cs="Times New Roman"/>
          <w:szCs w:val="24"/>
          <w:lang w:eastAsia="zh-CN"/>
        </w:rPr>
        <w:t>Hössinger</w:t>
      </w:r>
      <w:proofErr w:type="spellEnd"/>
      <w:r w:rsidRPr="00A2305B">
        <w:rPr>
          <w:rFonts w:cs="Times New Roman"/>
          <w:szCs w:val="24"/>
          <w:lang w:eastAsia="zh-CN"/>
        </w:rPr>
        <w:t>, R. (2018a).</w:t>
      </w:r>
      <w:r w:rsidRPr="00A2305B">
        <w:rPr>
          <w:rFonts w:cs="Times New Roman"/>
          <w:szCs w:val="24"/>
        </w:rPr>
        <w:t xml:space="preserve"> </w:t>
      </w:r>
      <w:r w:rsidRPr="00A2305B">
        <w:rPr>
          <w:rFonts w:cs="Times New Roman"/>
          <w:szCs w:val="24"/>
          <w:lang w:eastAsia="zh-CN"/>
        </w:rPr>
        <w:t xml:space="preserve">The influence of external factors on children's travel mode: A comparison of school trips and non-school trips. </w:t>
      </w:r>
      <w:r w:rsidRPr="00A2305B">
        <w:rPr>
          <w:rFonts w:cs="Times New Roman"/>
          <w:i/>
          <w:szCs w:val="24"/>
          <w:lang w:eastAsia="zh-CN"/>
        </w:rPr>
        <w:t>Journal of Transport Geography</w:t>
      </w:r>
      <w:r w:rsidRPr="00A2305B">
        <w:rPr>
          <w:rFonts w:cs="Times New Roman"/>
          <w:szCs w:val="24"/>
          <w:lang w:eastAsia="zh-CN"/>
        </w:rPr>
        <w:t xml:space="preserve"> 68, 55-66.</w:t>
      </w:r>
    </w:p>
    <w:p w:rsidR="00751138" w:rsidRPr="00A2305B" w:rsidRDefault="00751138" w:rsidP="00A2305B">
      <w:pPr>
        <w:spacing w:after="60"/>
        <w:ind w:left="450" w:hanging="450"/>
        <w:jc w:val="both"/>
        <w:rPr>
          <w:rFonts w:cs="Times New Roman"/>
          <w:szCs w:val="24"/>
          <w:lang w:eastAsia="zh-CN"/>
        </w:rPr>
      </w:pPr>
      <w:r w:rsidRPr="00A2305B">
        <w:rPr>
          <w:rFonts w:cs="Times New Roman"/>
          <w:szCs w:val="24"/>
          <w:lang w:eastAsia="zh-CN"/>
        </w:rPr>
        <w:t xml:space="preserve">Stark, J., </w:t>
      </w:r>
      <w:proofErr w:type="spellStart"/>
      <w:r w:rsidRPr="00A2305B">
        <w:rPr>
          <w:rFonts w:cs="Times New Roman"/>
          <w:szCs w:val="24"/>
          <w:lang w:eastAsia="zh-CN"/>
        </w:rPr>
        <w:t>Frühwirth</w:t>
      </w:r>
      <w:proofErr w:type="spellEnd"/>
      <w:r w:rsidRPr="00A2305B">
        <w:rPr>
          <w:rFonts w:cs="Times New Roman"/>
          <w:szCs w:val="24"/>
          <w:lang w:eastAsia="zh-CN"/>
        </w:rPr>
        <w:t xml:space="preserve">, J., and </w:t>
      </w:r>
      <w:proofErr w:type="spellStart"/>
      <w:r w:rsidRPr="00A2305B">
        <w:rPr>
          <w:rFonts w:cs="Times New Roman"/>
          <w:szCs w:val="24"/>
          <w:lang w:eastAsia="zh-CN"/>
        </w:rPr>
        <w:t>Aschauer</w:t>
      </w:r>
      <w:proofErr w:type="spellEnd"/>
      <w:r w:rsidRPr="00A2305B">
        <w:rPr>
          <w:rFonts w:cs="Times New Roman"/>
          <w:szCs w:val="24"/>
          <w:lang w:eastAsia="zh-CN"/>
        </w:rPr>
        <w:t xml:space="preserve">, F. (2018b). Exploring independent and active mobility in primary school children in Vienna. </w:t>
      </w:r>
      <w:r w:rsidRPr="00A2305B">
        <w:rPr>
          <w:rFonts w:cs="Times New Roman"/>
          <w:i/>
          <w:szCs w:val="24"/>
          <w:lang w:eastAsia="zh-CN"/>
        </w:rPr>
        <w:t>Journal of Transport Geography</w:t>
      </w:r>
      <w:r w:rsidRPr="00A2305B">
        <w:rPr>
          <w:rFonts w:cs="Times New Roman"/>
          <w:szCs w:val="24"/>
          <w:lang w:eastAsia="zh-CN"/>
        </w:rPr>
        <w:t xml:space="preserve"> 68, 31-41.</w:t>
      </w:r>
    </w:p>
    <w:p w:rsidR="00751138" w:rsidRPr="00A2305B" w:rsidRDefault="00751138" w:rsidP="00A2305B">
      <w:pPr>
        <w:adjustRightInd w:val="0"/>
        <w:snapToGrid w:val="0"/>
        <w:spacing w:after="60"/>
        <w:ind w:left="450" w:hanging="450"/>
        <w:jc w:val="both"/>
        <w:rPr>
          <w:rFonts w:cs="Times New Roman"/>
          <w:szCs w:val="24"/>
        </w:rPr>
      </w:pPr>
      <w:r w:rsidRPr="00A2305B">
        <w:rPr>
          <w:rFonts w:cs="Times New Roman"/>
          <w:szCs w:val="24"/>
        </w:rPr>
        <w:t xml:space="preserve">Stewart, T., Duncan, S., and </w:t>
      </w:r>
      <w:proofErr w:type="spellStart"/>
      <w:r w:rsidRPr="00A2305B">
        <w:rPr>
          <w:rFonts w:cs="Times New Roman"/>
          <w:szCs w:val="24"/>
        </w:rPr>
        <w:t>Schipperijn</w:t>
      </w:r>
      <w:proofErr w:type="spellEnd"/>
      <w:r w:rsidRPr="00A2305B">
        <w:rPr>
          <w:rFonts w:cs="Times New Roman"/>
          <w:szCs w:val="24"/>
        </w:rPr>
        <w:t xml:space="preserve">, J. (2017). Adolescents who engage in active school transport are also more active in other contexts: A space-time investigation. </w:t>
      </w:r>
      <w:r w:rsidRPr="00A2305B">
        <w:rPr>
          <w:rFonts w:cs="Times New Roman"/>
          <w:i/>
          <w:szCs w:val="24"/>
        </w:rPr>
        <w:t>Health &amp; Place</w:t>
      </w:r>
      <w:r w:rsidRPr="00A2305B">
        <w:rPr>
          <w:rFonts w:cs="Times New Roman"/>
          <w:szCs w:val="24"/>
        </w:rPr>
        <w:t xml:space="preserve"> 43, 25-32.</w:t>
      </w:r>
    </w:p>
    <w:p w:rsidR="00751138" w:rsidRPr="00A2305B" w:rsidRDefault="00751138" w:rsidP="00A2305B">
      <w:pPr>
        <w:spacing w:after="60"/>
        <w:ind w:left="450" w:hanging="450"/>
        <w:jc w:val="both"/>
        <w:rPr>
          <w:rFonts w:cs="Times New Roman"/>
          <w:szCs w:val="24"/>
          <w:lang w:eastAsia="zh-CN"/>
        </w:rPr>
      </w:pPr>
      <w:proofErr w:type="spellStart"/>
      <w:r w:rsidRPr="00A2305B">
        <w:rPr>
          <w:rFonts w:cs="Times New Roman"/>
          <w:szCs w:val="24"/>
          <w:lang w:eastAsia="zh-CN"/>
        </w:rPr>
        <w:t>Susilo</w:t>
      </w:r>
      <w:proofErr w:type="spellEnd"/>
      <w:r w:rsidRPr="00A2305B">
        <w:rPr>
          <w:rFonts w:cs="Times New Roman"/>
          <w:szCs w:val="24"/>
          <w:lang w:eastAsia="zh-CN"/>
        </w:rPr>
        <w:t xml:space="preserve">, Y. O., and </w:t>
      </w:r>
      <w:proofErr w:type="spellStart"/>
      <w:r w:rsidRPr="00A2305B">
        <w:rPr>
          <w:rFonts w:cs="Times New Roman"/>
          <w:szCs w:val="24"/>
          <w:lang w:eastAsia="zh-CN"/>
        </w:rPr>
        <w:t>Waygood</w:t>
      </w:r>
      <w:proofErr w:type="spellEnd"/>
      <w:r w:rsidRPr="00A2305B">
        <w:rPr>
          <w:rFonts w:cs="Times New Roman"/>
          <w:szCs w:val="24"/>
          <w:lang w:eastAsia="zh-CN"/>
        </w:rPr>
        <w:t xml:space="preserve">, E. O. D. (2012). A long term analysis of the mechanisms underlying children’s activity-travel engagements in the Osaka metropolitan area. </w:t>
      </w:r>
      <w:r w:rsidRPr="00A2305B">
        <w:rPr>
          <w:rFonts w:cs="Times New Roman"/>
          <w:i/>
          <w:szCs w:val="24"/>
          <w:lang w:eastAsia="zh-CN"/>
        </w:rPr>
        <w:t xml:space="preserve">Journal of Transport Geography </w:t>
      </w:r>
      <w:r w:rsidRPr="00A2305B">
        <w:rPr>
          <w:rFonts w:cs="Times New Roman"/>
          <w:szCs w:val="24"/>
          <w:lang w:eastAsia="zh-CN"/>
        </w:rPr>
        <w:t>20(1), 41-50.</w:t>
      </w:r>
    </w:p>
    <w:p w:rsidR="00751138" w:rsidRPr="00A2305B" w:rsidRDefault="00751138" w:rsidP="00A2305B">
      <w:pPr>
        <w:spacing w:after="60"/>
        <w:ind w:left="450" w:hanging="450"/>
        <w:jc w:val="both"/>
        <w:rPr>
          <w:rFonts w:cs="Times New Roman"/>
          <w:szCs w:val="24"/>
          <w:lang w:eastAsia="zh-CN"/>
        </w:rPr>
      </w:pPr>
      <w:r w:rsidRPr="00A2305B">
        <w:rPr>
          <w:rFonts w:cs="Times New Roman"/>
          <w:szCs w:val="24"/>
        </w:rPr>
        <w:t xml:space="preserve">Sweeting, H., and West, P. (2003). </w:t>
      </w:r>
      <w:r w:rsidRPr="00A2305B">
        <w:rPr>
          <w:rFonts w:cs="Times New Roman"/>
          <w:szCs w:val="24"/>
          <w:lang w:eastAsia="zh-CN"/>
        </w:rPr>
        <w:t xml:space="preserve">Young People's Leisure and Risk-Taking Behaviours: Changes in Gender Patterning in the West of Scotland during the 1990s. </w:t>
      </w:r>
      <w:r w:rsidRPr="00A2305B">
        <w:rPr>
          <w:rFonts w:cs="Times New Roman"/>
          <w:i/>
          <w:szCs w:val="24"/>
          <w:lang w:eastAsia="zh-CN"/>
        </w:rPr>
        <w:t>Journal of Youth Studies</w:t>
      </w:r>
      <w:r w:rsidRPr="00A2305B">
        <w:rPr>
          <w:rFonts w:cs="Times New Roman"/>
          <w:szCs w:val="24"/>
          <w:lang w:eastAsia="zh-CN"/>
        </w:rPr>
        <w:t xml:space="preserve"> 6(4), 391-412.</w:t>
      </w:r>
    </w:p>
    <w:p w:rsidR="00751138" w:rsidRPr="00A2305B" w:rsidRDefault="00751138" w:rsidP="00A2305B">
      <w:pPr>
        <w:spacing w:after="60"/>
        <w:ind w:left="450" w:hanging="450"/>
        <w:jc w:val="both"/>
        <w:rPr>
          <w:rFonts w:cs="Times New Roman"/>
          <w:szCs w:val="24"/>
          <w:lang w:eastAsia="zh-CN"/>
        </w:rPr>
      </w:pPr>
      <w:r w:rsidRPr="00A2305B">
        <w:rPr>
          <w:rFonts w:cs="Times New Roman"/>
          <w:szCs w:val="24"/>
          <w:lang w:eastAsia="zh-CN"/>
        </w:rPr>
        <w:t xml:space="preserve">Tackett, J.L., </w:t>
      </w:r>
      <w:proofErr w:type="spellStart"/>
      <w:r w:rsidRPr="00A2305B">
        <w:rPr>
          <w:rFonts w:cs="Times New Roman"/>
          <w:szCs w:val="24"/>
          <w:lang w:eastAsia="zh-CN"/>
        </w:rPr>
        <w:t>Slobodskaya</w:t>
      </w:r>
      <w:proofErr w:type="spellEnd"/>
      <w:r w:rsidRPr="00A2305B">
        <w:rPr>
          <w:rFonts w:cs="Times New Roman"/>
          <w:szCs w:val="24"/>
          <w:lang w:eastAsia="zh-CN"/>
        </w:rPr>
        <w:t xml:space="preserve">, H.R., Mar, R.A., Deal, J., Halverson Jr., C.F., Baker, S.R., </w:t>
      </w:r>
      <w:proofErr w:type="spellStart"/>
      <w:r w:rsidRPr="00A2305B">
        <w:rPr>
          <w:rFonts w:cs="Times New Roman"/>
          <w:szCs w:val="24"/>
          <w:lang w:eastAsia="zh-CN"/>
        </w:rPr>
        <w:t>Pavlopoulos</w:t>
      </w:r>
      <w:proofErr w:type="spellEnd"/>
      <w:r w:rsidRPr="00A2305B">
        <w:rPr>
          <w:rFonts w:cs="Times New Roman"/>
          <w:szCs w:val="24"/>
          <w:lang w:eastAsia="zh-CN"/>
        </w:rPr>
        <w:t xml:space="preserve">, V., </w:t>
      </w:r>
      <w:proofErr w:type="spellStart"/>
      <w:r w:rsidRPr="00A2305B">
        <w:rPr>
          <w:rFonts w:cs="Times New Roman"/>
          <w:szCs w:val="24"/>
          <w:lang w:eastAsia="zh-CN"/>
        </w:rPr>
        <w:t>Besevegis</w:t>
      </w:r>
      <w:proofErr w:type="spellEnd"/>
      <w:r w:rsidRPr="00A2305B">
        <w:rPr>
          <w:rFonts w:cs="Times New Roman"/>
          <w:szCs w:val="24"/>
          <w:lang w:eastAsia="zh-CN"/>
        </w:rPr>
        <w:t xml:space="preserve">, E. (2012). The hierarchical structure of childhood personality in five countries: Continuity from early childhood to early adolescence. </w:t>
      </w:r>
      <w:r w:rsidRPr="00A2305B">
        <w:rPr>
          <w:rFonts w:cs="Times New Roman"/>
          <w:i/>
          <w:szCs w:val="24"/>
          <w:lang w:eastAsia="zh-CN"/>
        </w:rPr>
        <w:t>Journal of Personality</w:t>
      </w:r>
      <w:r w:rsidRPr="00A2305B">
        <w:rPr>
          <w:rFonts w:cs="Times New Roman"/>
          <w:szCs w:val="24"/>
          <w:lang w:eastAsia="zh-CN"/>
        </w:rPr>
        <w:t xml:space="preserve"> 80(4), 847-879.</w:t>
      </w:r>
    </w:p>
    <w:p w:rsidR="00751138" w:rsidRPr="00A2305B" w:rsidRDefault="00751138" w:rsidP="00A2305B">
      <w:pPr>
        <w:adjustRightInd w:val="0"/>
        <w:snapToGrid w:val="0"/>
        <w:spacing w:after="60"/>
        <w:ind w:left="450" w:hanging="450"/>
        <w:jc w:val="both"/>
        <w:rPr>
          <w:rFonts w:cs="Times New Roman"/>
          <w:szCs w:val="24"/>
        </w:rPr>
      </w:pPr>
      <w:proofErr w:type="spellStart"/>
      <w:r w:rsidRPr="00A2305B">
        <w:rPr>
          <w:rFonts w:cs="Times New Roman"/>
          <w:szCs w:val="24"/>
          <w:lang w:val="es-CL"/>
        </w:rPr>
        <w:t>Tomasello</w:t>
      </w:r>
      <w:proofErr w:type="spellEnd"/>
      <w:r w:rsidRPr="00A2305B">
        <w:rPr>
          <w:rFonts w:cs="Times New Roman"/>
          <w:szCs w:val="24"/>
          <w:lang w:val="es-CL"/>
        </w:rPr>
        <w:t xml:space="preserve">, M. (2014). </w:t>
      </w:r>
      <w:proofErr w:type="spellStart"/>
      <w:r w:rsidRPr="00A2305B">
        <w:rPr>
          <w:rFonts w:cs="Times New Roman"/>
          <w:szCs w:val="24"/>
          <w:lang w:val="es-CL"/>
        </w:rPr>
        <w:t>The</w:t>
      </w:r>
      <w:proofErr w:type="spellEnd"/>
      <w:r w:rsidRPr="00A2305B">
        <w:rPr>
          <w:rFonts w:cs="Times New Roman"/>
          <w:szCs w:val="24"/>
          <w:lang w:val="es-CL"/>
        </w:rPr>
        <w:t xml:space="preserve"> ultra</w:t>
      </w:r>
      <w:r w:rsidRPr="00A2305B">
        <w:rPr>
          <w:rFonts w:ascii="Cambria Math" w:hAnsi="Cambria Math" w:cs="Cambria Math"/>
          <w:szCs w:val="24"/>
          <w:lang w:val="es-CL"/>
        </w:rPr>
        <w:t>‐</w:t>
      </w:r>
      <w:r w:rsidRPr="00A2305B">
        <w:rPr>
          <w:rFonts w:cs="Times New Roman"/>
          <w:szCs w:val="24"/>
          <w:lang w:val="es-CL"/>
        </w:rPr>
        <w:t xml:space="preserve">social animal. </w:t>
      </w:r>
      <w:r w:rsidRPr="00A2305B">
        <w:rPr>
          <w:rFonts w:cs="Times New Roman"/>
          <w:i/>
          <w:szCs w:val="24"/>
        </w:rPr>
        <w:t>European Journal of Social Psychology</w:t>
      </w:r>
      <w:r w:rsidRPr="00A2305B">
        <w:rPr>
          <w:rFonts w:cs="Times New Roman"/>
          <w:szCs w:val="24"/>
        </w:rPr>
        <w:t xml:space="preserve"> 44(3), 187-194.</w:t>
      </w:r>
    </w:p>
    <w:p w:rsidR="00751138" w:rsidRPr="00A2305B" w:rsidRDefault="00751138" w:rsidP="00A2305B">
      <w:pPr>
        <w:spacing w:after="60"/>
        <w:ind w:left="450" w:hanging="450"/>
        <w:jc w:val="both"/>
        <w:rPr>
          <w:rFonts w:cs="Times New Roman"/>
          <w:szCs w:val="24"/>
        </w:rPr>
      </w:pPr>
      <w:r w:rsidRPr="00A2305B">
        <w:rPr>
          <w:rFonts w:cs="Times New Roman"/>
          <w:szCs w:val="24"/>
        </w:rPr>
        <w:t xml:space="preserve">Tranter, P., and Sharpe, S. (2012). Disney-Pixar to the rescue: Harnessing positive affect for enhancing children’s active mobility. </w:t>
      </w:r>
      <w:r w:rsidRPr="00A2305B">
        <w:rPr>
          <w:rFonts w:cs="Times New Roman"/>
          <w:i/>
          <w:szCs w:val="24"/>
        </w:rPr>
        <w:t>Journal of Transport Geography</w:t>
      </w:r>
      <w:r w:rsidRPr="00A2305B">
        <w:rPr>
          <w:rFonts w:cs="Times New Roman"/>
          <w:szCs w:val="24"/>
        </w:rPr>
        <w:t xml:space="preserve"> 20(1), 34-40.</w:t>
      </w:r>
    </w:p>
    <w:p w:rsidR="00751138" w:rsidRPr="00A2305B" w:rsidRDefault="00751138" w:rsidP="00A2305B">
      <w:pPr>
        <w:adjustRightInd w:val="0"/>
        <w:snapToGrid w:val="0"/>
        <w:spacing w:after="60"/>
        <w:ind w:left="450" w:hanging="450"/>
        <w:jc w:val="both"/>
        <w:rPr>
          <w:rFonts w:cs="Times New Roman"/>
          <w:szCs w:val="24"/>
        </w:rPr>
      </w:pPr>
      <w:r w:rsidRPr="00A2305B">
        <w:rPr>
          <w:rFonts w:cs="Times New Roman"/>
          <w:szCs w:val="24"/>
        </w:rPr>
        <w:t xml:space="preserve">Walking School Bus (2018). Walking School Bus. </w:t>
      </w:r>
      <w:r w:rsidRPr="00A2305B">
        <w:rPr>
          <w:rFonts w:cs="Times New Roman"/>
          <w:i/>
          <w:szCs w:val="24"/>
        </w:rPr>
        <w:t xml:space="preserve">National </w:t>
      </w:r>
      <w:proofErr w:type="spellStart"/>
      <w:r w:rsidRPr="00A2305B">
        <w:rPr>
          <w:rFonts w:cs="Times New Roman"/>
          <w:i/>
          <w:szCs w:val="24"/>
        </w:rPr>
        <w:t>Center</w:t>
      </w:r>
      <w:proofErr w:type="spellEnd"/>
      <w:r w:rsidRPr="00A2305B">
        <w:rPr>
          <w:rFonts w:cs="Times New Roman"/>
          <w:i/>
          <w:szCs w:val="24"/>
        </w:rPr>
        <w:t xml:space="preserve"> for Safe Routes to School</w:t>
      </w:r>
      <w:r w:rsidRPr="00A2305B">
        <w:rPr>
          <w:rFonts w:cs="Times New Roman"/>
          <w:szCs w:val="24"/>
        </w:rPr>
        <w:t xml:space="preserve">. Available at: </w:t>
      </w:r>
      <w:hyperlink r:id="rId233" w:history="1">
        <w:r w:rsidRPr="00A2305B">
          <w:rPr>
            <w:rStyle w:val="Hyperlink"/>
            <w:rFonts w:cs="Times New Roman"/>
            <w:szCs w:val="24"/>
          </w:rPr>
          <w:t>http://www.walkingschoolbus.org/</w:t>
        </w:r>
      </w:hyperlink>
      <w:r w:rsidRPr="00A2305B">
        <w:rPr>
          <w:rFonts w:cs="Times New Roman"/>
          <w:szCs w:val="24"/>
        </w:rPr>
        <w:t>. Retrieved Mar 30 2018.</w:t>
      </w:r>
    </w:p>
    <w:p w:rsidR="00751138" w:rsidRPr="00A2305B" w:rsidRDefault="00751138" w:rsidP="00A2305B">
      <w:pPr>
        <w:spacing w:after="60"/>
        <w:ind w:left="450" w:hanging="450"/>
        <w:jc w:val="both"/>
        <w:rPr>
          <w:rFonts w:cs="Times New Roman"/>
          <w:szCs w:val="24"/>
          <w:lang w:eastAsia="zh-CN"/>
        </w:rPr>
      </w:pPr>
      <w:proofErr w:type="spellStart"/>
      <w:r w:rsidRPr="00A2305B">
        <w:rPr>
          <w:rFonts w:cs="Times New Roman"/>
          <w:szCs w:val="24"/>
          <w:lang w:eastAsia="zh-CN"/>
        </w:rPr>
        <w:t>Waygood</w:t>
      </w:r>
      <w:proofErr w:type="spellEnd"/>
      <w:r w:rsidRPr="00A2305B">
        <w:rPr>
          <w:rFonts w:cs="Times New Roman"/>
          <w:szCs w:val="24"/>
          <w:lang w:eastAsia="zh-CN"/>
        </w:rPr>
        <w:t xml:space="preserve">, E.O.D., </w:t>
      </w:r>
      <w:proofErr w:type="spellStart"/>
      <w:r w:rsidRPr="00A2305B">
        <w:rPr>
          <w:rFonts w:cs="Times New Roman"/>
          <w:szCs w:val="24"/>
          <w:lang w:eastAsia="zh-CN"/>
        </w:rPr>
        <w:t>Friman</w:t>
      </w:r>
      <w:proofErr w:type="spellEnd"/>
      <w:r w:rsidRPr="00A2305B">
        <w:rPr>
          <w:rFonts w:cs="Times New Roman"/>
          <w:szCs w:val="24"/>
          <w:lang w:eastAsia="zh-CN"/>
        </w:rPr>
        <w:t xml:space="preserve">, M., Olsson, L.E., and Taniguchi, A. (2017). Children's incidental social interaction during travel international case studies from Canada, Japan, and Sweden. </w:t>
      </w:r>
      <w:r w:rsidRPr="00A2305B">
        <w:rPr>
          <w:rFonts w:cs="Times New Roman"/>
          <w:i/>
          <w:szCs w:val="24"/>
          <w:lang w:eastAsia="zh-CN"/>
        </w:rPr>
        <w:t>Journal of Transport Geography</w:t>
      </w:r>
      <w:r w:rsidRPr="00A2305B">
        <w:rPr>
          <w:rFonts w:cs="Times New Roman"/>
          <w:szCs w:val="24"/>
          <w:lang w:eastAsia="zh-CN"/>
        </w:rPr>
        <w:t xml:space="preserve"> 63, 22-29.</w:t>
      </w:r>
    </w:p>
    <w:p w:rsidR="00751138" w:rsidRPr="00A2305B" w:rsidRDefault="00751138" w:rsidP="00A2305B">
      <w:pPr>
        <w:spacing w:after="60"/>
        <w:ind w:left="450" w:hanging="450"/>
        <w:jc w:val="both"/>
        <w:rPr>
          <w:rFonts w:cs="Times New Roman"/>
          <w:szCs w:val="24"/>
        </w:rPr>
      </w:pPr>
      <w:proofErr w:type="spellStart"/>
      <w:r w:rsidRPr="00A2305B">
        <w:rPr>
          <w:rFonts w:cs="Times New Roman"/>
          <w:szCs w:val="24"/>
        </w:rPr>
        <w:t>Westman</w:t>
      </w:r>
      <w:proofErr w:type="spellEnd"/>
      <w:r w:rsidRPr="00A2305B">
        <w:rPr>
          <w:rFonts w:cs="Times New Roman"/>
          <w:szCs w:val="24"/>
        </w:rPr>
        <w:t xml:space="preserve">, J., Johansson, M., Olsson, L. E., </w:t>
      </w:r>
      <w:proofErr w:type="spellStart"/>
      <w:r w:rsidRPr="00A2305B">
        <w:rPr>
          <w:rFonts w:cs="Times New Roman"/>
          <w:szCs w:val="24"/>
        </w:rPr>
        <w:t>Mårtensson</w:t>
      </w:r>
      <w:proofErr w:type="spellEnd"/>
      <w:r w:rsidRPr="00A2305B">
        <w:rPr>
          <w:rFonts w:cs="Times New Roman"/>
          <w:szCs w:val="24"/>
        </w:rPr>
        <w:t xml:space="preserve">, F., and </w:t>
      </w:r>
      <w:proofErr w:type="spellStart"/>
      <w:r w:rsidRPr="00A2305B">
        <w:rPr>
          <w:rFonts w:cs="Times New Roman"/>
          <w:szCs w:val="24"/>
        </w:rPr>
        <w:t>Friman</w:t>
      </w:r>
      <w:proofErr w:type="spellEnd"/>
      <w:r w:rsidRPr="00A2305B">
        <w:rPr>
          <w:rFonts w:cs="Times New Roman"/>
          <w:szCs w:val="24"/>
        </w:rPr>
        <w:t xml:space="preserve">, M. (2013). </w:t>
      </w:r>
      <w:r w:rsidRPr="00A2305B">
        <w:rPr>
          <w:rFonts w:cs="Times New Roman"/>
          <w:szCs w:val="24"/>
          <w:lang w:eastAsia="zh-CN"/>
        </w:rPr>
        <w:t>Children’s</w:t>
      </w:r>
      <w:r w:rsidRPr="00A2305B">
        <w:rPr>
          <w:rFonts w:cs="Times New Roman"/>
          <w:szCs w:val="24"/>
        </w:rPr>
        <w:t xml:space="preserve"> affective experience of every-day travel. </w:t>
      </w:r>
      <w:r w:rsidRPr="00A2305B">
        <w:rPr>
          <w:rFonts w:cs="Times New Roman"/>
          <w:i/>
          <w:szCs w:val="24"/>
        </w:rPr>
        <w:t>Journal of Transport Geography</w:t>
      </w:r>
      <w:r w:rsidRPr="00A2305B">
        <w:rPr>
          <w:rFonts w:cs="Times New Roman"/>
          <w:szCs w:val="24"/>
        </w:rPr>
        <w:t xml:space="preserve"> 29, 95-102.</w:t>
      </w:r>
    </w:p>
    <w:p w:rsidR="00CE6A86" w:rsidRPr="00A2305B" w:rsidRDefault="00CE6A86" w:rsidP="00A2305B">
      <w:pPr>
        <w:spacing w:after="60"/>
        <w:ind w:left="450" w:hanging="450"/>
        <w:jc w:val="both"/>
        <w:rPr>
          <w:rFonts w:cs="Times New Roman"/>
          <w:szCs w:val="24"/>
        </w:rPr>
      </w:pPr>
      <w:r w:rsidRPr="00A2305B">
        <w:rPr>
          <w:rFonts w:cs="Times New Roman"/>
          <w:szCs w:val="24"/>
        </w:rPr>
        <w:lastRenderedPageBreak/>
        <w:t xml:space="preserve">Wheeler, S., and Green, K. (2018). ‘The helping, the fixtures, the kits, the gear, the gum shields, the food, the snacks, the waiting, the rain, the car rides … </w:t>
      </w:r>
      <w:proofErr w:type="gramStart"/>
      <w:r w:rsidRPr="00A2305B">
        <w:rPr>
          <w:rFonts w:cs="Times New Roman"/>
          <w:szCs w:val="24"/>
        </w:rPr>
        <w:t>’:</w:t>
      </w:r>
      <w:proofErr w:type="gramEnd"/>
      <w:r w:rsidRPr="00A2305B">
        <w:rPr>
          <w:rFonts w:cs="Times New Roman"/>
          <w:szCs w:val="24"/>
        </w:rPr>
        <w:t xml:space="preserve"> social class, parenting and children's organised activities. </w:t>
      </w:r>
      <w:r w:rsidRPr="00A2305B">
        <w:rPr>
          <w:rFonts w:cs="Times New Roman"/>
          <w:i/>
          <w:szCs w:val="24"/>
        </w:rPr>
        <w:t>Sport, Education and Society</w:t>
      </w:r>
      <w:r w:rsidRPr="00A2305B">
        <w:rPr>
          <w:rFonts w:cs="Times New Roman"/>
          <w:szCs w:val="24"/>
        </w:rPr>
        <w:t>, advance online publication.</w:t>
      </w:r>
    </w:p>
    <w:p w:rsidR="00751138" w:rsidRPr="00A2305B" w:rsidRDefault="00751138" w:rsidP="00A2305B">
      <w:pPr>
        <w:spacing w:after="60"/>
        <w:ind w:left="450" w:hanging="450"/>
        <w:jc w:val="both"/>
        <w:rPr>
          <w:rFonts w:cs="Times New Roman"/>
          <w:szCs w:val="24"/>
        </w:rPr>
      </w:pPr>
      <w:r w:rsidRPr="00A2305B">
        <w:rPr>
          <w:rFonts w:cs="Times New Roman"/>
          <w:szCs w:val="24"/>
        </w:rPr>
        <w:t xml:space="preserve">Wong, S.C., and </w:t>
      </w:r>
      <w:proofErr w:type="spellStart"/>
      <w:proofErr w:type="gramStart"/>
      <w:r w:rsidRPr="00A2305B">
        <w:rPr>
          <w:rFonts w:cs="Times New Roman"/>
          <w:szCs w:val="24"/>
        </w:rPr>
        <w:t>Ko</w:t>
      </w:r>
      <w:proofErr w:type="spellEnd"/>
      <w:proofErr w:type="gramEnd"/>
      <w:r w:rsidRPr="00A2305B">
        <w:rPr>
          <w:rFonts w:cs="Times New Roman"/>
          <w:szCs w:val="24"/>
        </w:rPr>
        <w:t xml:space="preserve">, A. (2009). Exploratory study of understanding hotel employees’ perception on work–life balance issues. </w:t>
      </w:r>
      <w:r w:rsidRPr="00A2305B">
        <w:rPr>
          <w:rFonts w:cs="Times New Roman"/>
          <w:i/>
          <w:szCs w:val="24"/>
        </w:rPr>
        <w:t>International Journal of Hospitality Management</w:t>
      </w:r>
      <w:r w:rsidRPr="00A2305B">
        <w:rPr>
          <w:rFonts w:cs="Times New Roman"/>
          <w:szCs w:val="24"/>
        </w:rPr>
        <w:t xml:space="preserve"> 28, 195–203.</w:t>
      </w:r>
    </w:p>
    <w:p w:rsidR="00751138" w:rsidRPr="00A2305B" w:rsidRDefault="00751138" w:rsidP="00A2305B">
      <w:pPr>
        <w:spacing w:after="60"/>
        <w:ind w:left="450" w:hanging="450"/>
        <w:jc w:val="both"/>
        <w:rPr>
          <w:rFonts w:cs="Times New Roman"/>
          <w:szCs w:val="24"/>
        </w:rPr>
      </w:pPr>
      <w:r w:rsidRPr="00A2305B">
        <w:rPr>
          <w:rFonts w:cs="Times New Roman"/>
          <w:szCs w:val="24"/>
        </w:rPr>
        <w:t xml:space="preserve">Yang, X., </w:t>
      </w:r>
      <w:proofErr w:type="spellStart"/>
      <w:r w:rsidRPr="00A2305B">
        <w:rPr>
          <w:rFonts w:cs="Times New Roman"/>
          <w:szCs w:val="24"/>
        </w:rPr>
        <w:t>Telama</w:t>
      </w:r>
      <w:proofErr w:type="spellEnd"/>
      <w:r w:rsidRPr="00A2305B">
        <w:rPr>
          <w:rFonts w:cs="Times New Roman"/>
          <w:szCs w:val="24"/>
        </w:rPr>
        <w:t xml:space="preserve">, R., </w:t>
      </w:r>
      <w:proofErr w:type="spellStart"/>
      <w:r w:rsidRPr="00A2305B">
        <w:rPr>
          <w:rFonts w:cs="Times New Roman"/>
          <w:szCs w:val="24"/>
        </w:rPr>
        <w:t>Hirvensalo</w:t>
      </w:r>
      <w:proofErr w:type="spellEnd"/>
      <w:r w:rsidRPr="00A2305B">
        <w:rPr>
          <w:rFonts w:cs="Times New Roman"/>
          <w:szCs w:val="24"/>
        </w:rPr>
        <w:t xml:space="preserve">, M., </w:t>
      </w:r>
      <w:proofErr w:type="spellStart"/>
      <w:r w:rsidRPr="00A2305B">
        <w:rPr>
          <w:rFonts w:cs="Times New Roman"/>
          <w:szCs w:val="24"/>
        </w:rPr>
        <w:t>Tammelin</w:t>
      </w:r>
      <w:proofErr w:type="spellEnd"/>
      <w:r w:rsidRPr="00A2305B">
        <w:rPr>
          <w:rFonts w:cs="Times New Roman"/>
          <w:szCs w:val="24"/>
        </w:rPr>
        <w:t xml:space="preserve">, T., </w:t>
      </w:r>
      <w:proofErr w:type="spellStart"/>
      <w:r w:rsidRPr="00A2305B">
        <w:rPr>
          <w:rFonts w:cs="Times New Roman"/>
          <w:szCs w:val="24"/>
        </w:rPr>
        <w:t>Viikaric</w:t>
      </w:r>
      <w:proofErr w:type="spellEnd"/>
      <w:r w:rsidRPr="00A2305B">
        <w:rPr>
          <w:rFonts w:cs="Times New Roman"/>
          <w:szCs w:val="24"/>
        </w:rPr>
        <w:t xml:space="preserve">, J.S.A., and </w:t>
      </w:r>
      <w:proofErr w:type="spellStart"/>
      <w:r w:rsidRPr="00A2305B">
        <w:rPr>
          <w:rFonts w:cs="Times New Roman"/>
          <w:szCs w:val="24"/>
        </w:rPr>
        <w:t>Raitakari</w:t>
      </w:r>
      <w:proofErr w:type="spellEnd"/>
      <w:r w:rsidRPr="00A2305B">
        <w:rPr>
          <w:rFonts w:cs="Times New Roman"/>
          <w:szCs w:val="24"/>
        </w:rPr>
        <w:t xml:space="preserve">, O.T. (2014). Active commuting from youth to adulthood and as a predictor of physical activity in early midlife: The Young Finns Study. </w:t>
      </w:r>
      <w:r w:rsidRPr="00A2305B">
        <w:rPr>
          <w:rFonts w:cs="Times New Roman"/>
          <w:i/>
          <w:szCs w:val="24"/>
        </w:rPr>
        <w:t>Preventive Medicine</w:t>
      </w:r>
      <w:r w:rsidRPr="00A2305B">
        <w:rPr>
          <w:rFonts w:cs="Times New Roman"/>
          <w:szCs w:val="24"/>
        </w:rPr>
        <w:t xml:space="preserve"> 59, 5-11.</w:t>
      </w:r>
    </w:p>
    <w:p w:rsidR="00751138" w:rsidRPr="00A2305B" w:rsidRDefault="00751138" w:rsidP="00A2305B">
      <w:pPr>
        <w:adjustRightInd w:val="0"/>
        <w:snapToGrid w:val="0"/>
        <w:spacing w:after="60"/>
        <w:ind w:left="450" w:hanging="450"/>
        <w:jc w:val="both"/>
        <w:rPr>
          <w:rFonts w:cs="Times New Roman"/>
          <w:szCs w:val="24"/>
        </w:rPr>
      </w:pPr>
      <w:r w:rsidRPr="00A2305B">
        <w:rPr>
          <w:rFonts w:cs="Times New Roman"/>
          <w:szCs w:val="24"/>
        </w:rPr>
        <w:t xml:space="preserve">Yung, K.W.-H., and Bray, M. (2016). Shadow education: Features, expansion and implications. In T.K.-C. </w:t>
      </w:r>
      <w:proofErr w:type="spellStart"/>
      <w:r w:rsidRPr="00A2305B">
        <w:rPr>
          <w:rFonts w:cs="Times New Roman"/>
          <w:szCs w:val="24"/>
        </w:rPr>
        <w:t>Tse</w:t>
      </w:r>
      <w:proofErr w:type="spellEnd"/>
      <w:r w:rsidRPr="00A2305B">
        <w:rPr>
          <w:rFonts w:cs="Times New Roman"/>
          <w:szCs w:val="24"/>
        </w:rPr>
        <w:t xml:space="preserve">, M.H. Lee (Eds.), </w:t>
      </w:r>
      <w:r w:rsidRPr="00A2305B">
        <w:rPr>
          <w:rFonts w:cs="Times New Roman"/>
          <w:i/>
          <w:szCs w:val="24"/>
        </w:rPr>
        <w:t>Making Sense of Education in Post-Handover Hong Kong: Achievements and Challenges</w:t>
      </w:r>
      <w:r w:rsidRPr="00A2305B">
        <w:rPr>
          <w:rFonts w:cs="Times New Roman"/>
          <w:szCs w:val="24"/>
        </w:rPr>
        <w:t xml:space="preserve"> (pp. 95-111). Abingdon: Routledge. </w:t>
      </w:r>
    </w:p>
    <w:p w:rsidR="00751138" w:rsidRPr="00A2305B" w:rsidRDefault="00751138" w:rsidP="00A2305B">
      <w:pPr>
        <w:spacing w:after="60"/>
        <w:ind w:left="450" w:hanging="450"/>
        <w:jc w:val="both"/>
        <w:rPr>
          <w:rFonts w:cs="Times New Roman"/>
          <w:szCs w:val="24"/>
        </w:rPr>
      </w:pPr>
      <w:r w:rsidRPr="00A2305B">
        <w:rPr>
          <w:rFonts w:cs="Times New Roman"/>
          <w:szCs w:val="24"/>
        </w:rPr>
        <w:t xml:space="preserve">Zhang, J., and Fujiwara, A. (2009). </w:t>
      </w:r>
      <w:proofErr w:type="spellStart"/>
      <w:r w:rsidRPr="00A2305B">
        <w:rPr>
          <w:rFonts w:cs="Times New Roman"/>
          <w:szCs w:val="24"/>
        </w:rPr>
        <w:t>Intrahousehold</w:t>
      </w:r>
      <w:proofErr w:type="spellEnd"/>
      <w:r w:rsidRPr="00A2305B">
        <w:rPr>
          <w:rFonts w:cs="Times New Roman"/>
          <w:szCs w:val="24"/>
        </w:rPr>
        <w:t xml:space="preserve"> interaction in transit-oriented residential choice </w:t>
      </w:r>
      <w:proofErr w:type="spellStart"/>
      <w:r w:rsidRPr="00A2305B">
        <w:rPr>
          <w:rFonts w:cs="Times New Roman"/>
          <w:szCs w:val="24"/>
        </w:rPr>
        <w:t>behavior</w:t>
      </w:r>
      <w:proofErr w:type="spellEnd"/>
      <w:r w:rsidRPr="00A2305B">
        <w:rPr>
          <w:rFonts w:cs="Times New Roman"/>
          <w:szCs w:val="24"/>
        </w:rPr>
        <w:t xml:space="preserve"> represented in stated preference approach. </w:t>
      </w:r>
      <w:r w:rsidRPr="00A2305B">
        <w:rPr>
          <w:rFonts w:cs="Times New Roman"/>
          <w:i/>
          <w:szCs w:val="24"/>
        </w:rPr>
        <w:t>Transportation Research Record</w:t>
      </w:r>
      <w:r w:rsidRPr="00A2305B">
        <w:rPr>
          <w:rFonts w:cs="Times New Roman"/>
          <w:szCs w:val="24"/>
        </w:rPr>
        <w:t xml:space="preserve"> 2134, 73-81.</w:t>
      </w:r>
    </w:p>
    <w:p w:rsidR="00751138" w:rsidRPr="00A2305B" w:rsidRDefault="00751138" w:rsidP="00A2305B">
      <w:pPr>
        <w:spacing w:after="60"/>
        <w:ind w:left="450" w:hanging="450"/>
        <w:jc w:val="both"/>
        <w:rPr>
          <w:rFonts w:cs="Times New Roman"/>
          <w:szCs w:val="24"/>
        </w:rPr>
      </w:pPr>
      <w:r w:rsidRPr="00A2305B">
        <w:rPr>
          <w:rFonts w:cs="Times New Roman"/>
          <w:szCs w:val="24"/>
        </w:rPr>
        <w:t xml:space="preserve">Zhang, R., Yao, E., and Liu, Z. (2017). School travel mode choice in Beijing, China. </w:t>
      </w:r>
      <w:r w:rsidRPr="00A2305B">
        <w:rPr>
          <w:rFonts w:cs="Times New Roman"/>
          <w:i/>
          <w:szCs w:val="24"/>
        </w:rPr>
        <w:t>Journal of Transport Geography</w:t>
      </w:r>
      <w:r w:rsidRPr="00A2305B">
        <w:rPr>
          <w:rFonts w:cs="Times New Roman"/>
          <w:szCs w:val="24"/>
        </w:rPr>
        <w:t xml:space="preserve"> 62, 98-110.</w:t>
      </w:r>
    </w:p>
    <w:p w:rsidR="00751138" w:rsidRPr="00A2305B" w:rsidRDefault="00751138" w:rsidP="00A2305B">
      <w:pPr>
        <w:spacing w:after="60"/>
        <w:ind w:left="450" w:hanging="450"/>
        <w:jc w:val="both"/>
        <w:rPr>
          <w:rFonts w:cs="Times New Roman"/>
          <w:szCs w:val="24"/>
        </w:rPr>
      </w:pPr>
      <w:proofErr w:type="spellStart"/>
      <w:r w:rsidRPr="00A2305B">
        <w:rPr>
          <w:rFonts w:cs="Times New Roman"/>
          <w:szCs w:val="24"/>
        </w:rPr>
        <w:t>Zwerts</w:t>
      </w:r>
      <w:proofErr w:type="spellEnd"/>
      <w:r w:rsidRPr="00A2305B">
        <w:rPr>
          <w:rFonts w:cs="Times New Roman"/>
          <w:szCs w:val="24"/>
        </w:rPr>
        <w:t xml:space="preserve">, E., </w:t>
      </w:r>
      <w:proofErr w:type="spellStart"/>
      <w:r w:rsidRPr="00A2305B">
        <w:rPr>
          <w:rFonts w:cs="Times New Roman"/>
          <w:szCs w:val="24"/>
        </w:rPr>
        <w:t>Allaert</w:t>
      </w:r>
      <w:proofErr w:type="spellEnd"/>
      <w:r w:rsidRPr="00A2305B">
        <w:rPr>
          <w:rFonts w:cs="Times New Roman"/>
          <w:szCs w:val="24"/>
        </w:rPr>
        <w:t xml:space="preserve">, G., </w:t>
      </w:r>
      <w:proofErr w:type="spellStart"/>
      <w:r w:rsidRPr="00A2305B">
        <w:rPr>
          <w:rFonts w:cs="Times New Roman"/>
          <w:szCs w:val="24"/>
        </w:rPr>
        <w:t>Janssens</w:t>
      </w:r>
      <w:proofErr w:type="spellEnd"/>
      <w:r w:rsidRPr="00A2305B">
        <w:rPr>
          <w:rFonts w:cs="Times New Roman"/>
          <w:szCs w:val="24"/>
        </w:rPr>
        <w:t xml:space="preserve">, D., Wets, G., and </w:t>
      </w:r>
      <w:proofErr w:type="spellStart"/>
      <w:r w:rsidRPr="00A2305B">
        <w:rPr>
          <w:rFonts w:cs="Times New Roman"/>
          <w:szCs w:val="24"/>
        </w:rPr>
        <w:t>Witlox</w:t>
      </w:r>
      <w:proofErr w:type="spellEnd"/>
      <w:r w:rsidRPr="00A2305B">
        <w:rPr>
          <w:rFonts w:cs="Times New Roman"/>
          <w:szCs w:val="24"/>
        </w:rPr>
        <w:t xml:space="preserve">, F. (2010). How children view their travel behaviour: A case study from Flanders (Belgium). </w:t>
      </w:r>
      <w:r w:rsidRPr="00A2305B">
        <w:rPr>
          <w:rFonts w:cs="Times New Roman"/>
          <w:i/>
          <w:szCs w:val="24"/>
        </w:rPr>
        <w:t>Journal of Transport Geography</w:t>
      </w:r>
      <w:r w:rsidRPr="00A2305B">
        <w:rPr>
          <w:rFonts w:cs="Times New Roman"/>
          <w:szCs w:val="24"/>
        </w:rPr>
        <w:t xml:space="preserve"> 18(6), 702-710.</w:t>
      </w:r>
    </w:p>
    <w:p w:rsidR="00610DDA" w:rsidRPr="00A2305B" w:rsidRDefault="00610DDA" w:rsidP="00A2305B">
      <w:pPr>
        <w:rPr>
          <w:rFonts w:cs="Times New Roman"/>
        </w:rPr>
      </w:pPr>
    </w:p>
    <w:p w:rsidR="00610DDA" w:rsidRPr="00A2305B" w:rsidRDefault="00610DDA" w:rsidP="00A2305B">
      <w:pPr>
        <w:rPr>
          <w:rFonts w:cs="Times New Roman"/>
        </w:rPr>
      </w:pPr>
    </w:p>
    <w:p w:rsidR="00610DDA" w:rsidRPr="00A2305B" w:rsidRDefault="00610DDA" w:rsidP="00A2305B">
      <w:pPr>
        <w:rPr>
          <w:rFonts w:cs="Times New Roman"/>
        </w:rPr>
      </w:pPr>
    </w:p>
    <w:p w:rsidR="00610DDA" w:rsidRPr="00A2305B" w:rsidRDefault="00610DDA" w:rsidP="00A2305B">
      <w:pPr>
        <w:rPr>
          <w:rFonts w:cs="Times New Roman"/>
        </w:rPr>
      </w:pPr>
    </w:p>
    <w:p w:rsidR="00610DDA" w:rsidRPr="00A2305B" w:rsidRDefault="00610DDA" w:rsidP="00A2305B">
      <w:pPr>
        <w:rPr>
          <w:rFonts w:cs="Times New Roman"/>
        </w:rPr>
      </w:pPr>
    </w:p>
    <w:p w:rsidR="00610DDA" w:rsidRDefault="00610DDA">
      <w:pPr>
        <w:rPr>
          <w:rFonts w:ascii="Cambria Math" w:hAnsi="Cambria Math"/>
        </w:rPr>
      </w:pPr>
    </w:p>
    <w:p w:rsidR="008C0CB6" w:rsidRDefault="008C0CB6">
      <w:pPr>
        <w:spacing w:after="160" w:line="259" w:lineRule="auto"/>
        <w:rPr>
          <w:rFonts w:cs="Times New Roman"/>
          <w:b/>
          <w:szCs w:val="24"/>
        </w:rPr>
      </w:pPr>
      <w:r>
        <w:rPr>
          <w:rFonts w:cs="Times New Roman"/>
          <w:b/>
          <w:szCs w:val="24"/>
        </w:rPr>
        <w:br w:type="page"/>
      </w:r>
    </w:p>
    <w:p w:rsidR="00610DDA" w:rsidRDefault="00610DDA" w:rsidP="00610DDA">
      <w:pPr>
        <w:adjustRightInd w:val="0"/>
        <w:snapToGrid w:val="0"/>
        <w:spacing w:line="360" w:lineRule="auto"/>
        <w:rPr>
          <w:rFonts w:cs="Times New Roman"/>
          <w:b/>
          <w:szCs w:val="24"/>
        </w:rPr>
      </w:pPr>
      <w:r>
        <w:rPr>
          <w:rFonts w:cs="Times New Roman"/>
          <w:b/>
          <w:szCs w:val="24"/>
        </w:rPr>
        <w:lastRenderedPageBreak/>
        <w:t>Table 1. Sample descriptions (sample size = 552 children)</w:t>
      </w:r>
    </w:p>
    <w:tbl>
      <w:tblPr>
        <w:tblStyle w:val="TableGrid"/>
        <w:tblW w:w="9345" w:type="dxa"/>
        <w:jc w:val="center"/>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767"/>
        <w:gridCol w:w="3608"/>
        <w:gridCol w:w="724"/>
        <w:gridCol w:w="778"/>
        <w:gridCol w:w="1468"/>
      </w:tblGrid>
      <w:tr w:rsidR="00610DDA" w:rsidTr="00FF26AA">
        <w:trPr>
          <w:trHeight w:val="432"/>
          <w:jc w:val="center"/>
        </w:trPr>
        <w:tc>
          <w:tcPr>
            <w:tcW w:w="2767" w:type="dxa"/>
            <w:vMerge w:val="restart"/>
            <w:tcBorders>
              <w:top w:val="double" w:sz="4" w:space="0" w:color="auto"/>
              <w:left w:val="double" w:sz="4" w:space="0" w:color="auto"/>
              <w:bottom w:val="double" w:sz="4" w:space="0" w:color="auto"/>
              <w:right w:val="single" w:sz="4" w:space="0" w:color="auto"/>
            </w:tcBorders>
            <w:shd w:val="clear" w:color="auto" w:fill="D9D9D9" w:themeFill="background1" w:themeFillShade="D9"/>
            <w:vAlign w:val="center"/>
            <w:hideMark/>
          </w:tcPr>
          <w:p w:rsidR="00610DDA" w:rsidRDefault="00610DDA">
            <w:pPr>
              <w:adjustRightInd w:val="0"/>
              <w:snapToGrid w:val="0"/>
              <w:rPr>
                <w:rFonts w:cs="Times New Roman"/>
                <w:b/>
                <w:sz w:val="22"/>
              </w:rPr>
            </w:pPr>
            <w:r>
              <w:rPr>
                <w:rFonts w:cs="Times New Roman"/>
                <w:b/>
                <w:sz w:val="22"/>
              </w:rPr>
              <w:t>Variable</w:t>
            </w:r>
          </w:p>
        </w:tc>
        <w:tc>
          <w:tcPr>
            <w:tcW w:w="3608" w:type="dxa"/>
            <w:vMerge w:val="restart"/>
            <w:tcBorders>
              <w:top w:val="doub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rsidR="00610DDA" w:rsidRDefault="00610DDA">
            <w:pPr>
              <w:adjustRightInd w:val="0"/>
              <w:snapToGrid w:val="0"/>
              <w:rPr>
                <w:rFonts w:cs="Times New Roman"/>
                <w:b/>
                <w:sz w:val="22"/>
              </w:rPr>
            </w:pPr>
            <w:r>
              <w:rPr>
                <w:rFonts w:cs="Times New Roman"/>
                <w:b/>
                <w:sz w:val="22"/>
              </w:rPr>
              <w:t>Category</w:t>
            </w:r>
          </w:p>
        </w:tc>
        <w:tc>
          <w:tcPr>
            <w:tcW w:w="1502" w:type="dxa"/>
            <w:gridSpan w:val="2"/>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610DDA" w:rsidRDefault="00610DDA">
            <w:pPr>
              <w:adjustRightInd w:val="0"/>
              <w:snapToGrid w:val="0"/>
              <w:jc w:val="center"/>
              <w:rPr>
                <w:rFonts w:cs="Times New Roman"/>
                <w:b/>
                <w:sz w:val="22"/>
              </w:rPr>
            </w:pPr>
            <w:r>
              <w:rPr>
                <w:rFonts w:cs="Times New Roman"/>
                <w:b/>
                <w:sz w:val="22"/>
              </w:rPr>
              <w:t>Estimation sample</w:t>
            </w:r>
          </w:p>
        </w:tc>
        <w:tc>
          <w:tcPr>
            <w:tcW w:w="1468" w:type="dxa"/>
            <w:vMerge w:val="restart"/>
            <w:tcBorders>
              <w:top w:val="double" w:sz="4" w:space="0" w:color="auto"/>
              <w:left w:val="single" w:sz="4" w:space="0" w:color="auto"/>
              <w:bottom w:val="double" w:sz="4" w:space="0" w:color="auto"/>
              <w:right w:val="double" w:sz="4" w:space="0" w:color="auto"/>
            </w:tcBorders>
            <w:shd w:val="clear" w:color="auto" w:fill="D9D9D9" w:themeFill="background1" w:themeFillShade="D9"/>
            <w:hideMark/>
          </w:tcPr>
          <w:p w:rsidR="00610DDA" w:rsidRDefault="00610DDA">
            <w:pPr>
              <w:adjustRightInd w:val="0"/>
              <w:snapToGrid w:val="0"/>
              <w:jc w:val="center"/>
              <w:rPr>
                <w:rFonts w:cs="Times New Roman"/>
                <w:b/>
                <w:sz w:val="22"/>
              </w:rPr>
            </w:pPr>
            <w:r>
              <w:rPr>
                <w:rFonts w:cs="Times New Roman"/>
                <w:b/>
                <w:sz w:val="22"/>
              </w:rPr>
              <w:t>2016 Hong Kong Census Data</w:t>
            </w:r>
            <w:r>
              <w:rPr>
                <w:rStyle w:val="FootnoteReference"/>
                <w:sz w:val="22"/>
                <w:vertAlign w:val="superscript"/>
              </w:rPr>
              <w:footnoteReference w:id="7"/>
            </w:r>
          </w:p>
        </w:tc>
      </w:tr>
      <w:tr w:rsidR="00610DDA" w:rsidTr="00610DDA">
        <w:trPr>
          <w:trHeight w:val="346"/>
          <w:jc w:val="center"/>
        </w:trPr>
        <w:tc>
          <w:tcPr>
            <w:tcW w:w="0" w:type="auto"/>
            <w:vMerge/>
            <w:tcBorders>
              <w:top w:val="double" w:sz="4" w:space="0" w:color="auto"/>
              <w:left w:val="double" w:sz="4" w:space="0" w:color="auto"/>
              <w:bottom w:val="double" w:sz="4" w:space="0" w:color="auto"/>
              <w:right w:val="single" w:sz="4" w:space="0" w:color="auto"/>
            </w:tcBorders>
            <w:vAlign w:val="center"/>
            <w:hideMark/>
          </w:tcPr>
          <w:p w:rsidR="00610DDA" w:rsidRDefault="00610DDA">
            <w:pPr>
              <w:rPr>
                <w:rFonts w:cs="Times New Roman"/>
                <w:b/>
                <w:sz w:val="22"/>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rsidR="00610DDA" w:rsidRDefault="00610DDA">
            <w:pPr>
              <w:rPr>
                <w:rFonts w:cs="Times New Roman"/>
                <w:b/>
                <w:sz w:val="22"/>
              </w:rPr>
            </w:pPr>
          </w:p>
        </w:tc>
        <w:tc>
          <w:tcPr>
            <w:tcW w:w="724"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rsidR="00610DDA" w:rsidRDefault="00610DDA">
            <w:pPr>
              <w:adjustRightInd w:val="0"/>
              <w:snapToGrid w:val="0"/>
              <w:jc w:val="center"/>
              <w:rPr>
                <w:rFonts w:cs="Times New Roman"/>
                <w:b/>
                <w:sz w:val="22"/>
              </w:rPr>
            </w:pPr>
            <w:r>
              <w:rPr>
                <w:rFonts w:cs="Times New Roman"/>
                <w:b/>
                <w:sz w:val="22"/>
              </w:rPr>
              <w:t>Freq.</w:t>
            </w:r>
          </w:p>
        </w:tc>
        <w:tc>
          <w:tcPr>
            <w:tcW w:w="778"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rsidR="00610DDA" w:rsidRDefault="00610DDA">
            <w:pPr>
              <w:adjustRightInd w:val="0"/>
              <w:snapToGrid w:val="0"/>
              <w:jc w:val="center"/>
              <w:rPr>
                <w:rFonts w:cs="Times New Roman"/>
                <w:b/>
                <w:sz w:val="22"/>
              </w:rPr>
            </w:pPr>
            <w:r>
              <w:rPr>
                <w:rFonts w:cs="Times New Roman"/>
                <w:b/>
                <w:sz w:val="22"/>
              </w:rPr>
              <w:t xml:space="preserve">% </w:t>
            </w:r>
          </w:p>
        </w:tc>
        <w:tc>
          <w:tcPr>
            <w:tcW w:w="0" w:type="auto"/>
            <w:vMerge/>
            <w:tcBorders>
              <w:top w:val="double" w:sz="4" w:space="0" w:color="auto"/>
              <w:left w:val="single" w:sz="4" w:space="0" w:color="auto"/>
              <w:bottom w:val="double" w:sz="4" w:space="0" w:color="auto"/>
              <w:right w:val="double" w:sz="4" w:space="0" w:color="auto"/>
            </w:tcBorders>
            <w:vAlign w:val="center"/>
            <w:hideMark/>
          </w:tcPr>
          <w:p w:rsidR="00610DDA" w:rsidRDefault="00610DDA">
            <w:pPr>
              <w:rPr>
                <w:rFonts w:cs="Times New Roman"/>
                <w:b/>
                <w:sz w:val="22"/>
              </w:rPr>
            </w:pPr>
          </w:p>
        </w:tc>
      </w:tr>
      <w:tr w:rsidR="00610DDA" w:rsidTr="00FF26AA">
        <w:trPr>
          <w:trHeight w:val="317"/>
          <w:jc w:val="center"/>
        </w:trPr>
        <w:tc>
          <w:tcPr>
            <w:tcW w:w="2767" w:type="dxa"/>
            <w:tcBorders>
              <w:top w:val="single" w:sz="4" w:space="0" w:color="auto"/>
              <w:left w:val="double" w:sz="4" w:space="0" w:color="auto"/>
              <w:bottom w:val="nil"/>
              <w:right w:val="single" w:sz="4" w:space="0" w:color="auto"/>
            </w:tcBorders>
            <w:hideMark/>
          </w:tcPr>
          <w:p w:rsidR="00610DDA" w:rsidRDefault="00610DDA">
            <w:pPr>
              <w:adjustRightInd w:val="0"/>
              <w:snapToGrid w:val="0"/>
              <w:rPr>
                <w:rFonts w:cs="Times New Roman"/>
                <w:b/>
                <w:i/>
                <w:sz w:val="22"/>
              </w:rPr>
            </w:pPr>
            <w:r>
              <w:rPr>
                <w:rFonts w:cs="Times New Roman"/>
                <w:b/>
                <w:i/>
                <w:sz w:val="22"/>
              </w:rPr>
              <w:t>Age</w:t>
            </w:r>
          </w:p>
        </w:tc>
        <w:tc>
          <w:tcPr>
            <w:tcW w:w="3608" w:type="dxa"/>
            <w:tcBorders>
              <w:top w:val="single" w:sz="4" w:space="0" w:color="auto"/>
              <w:left w:val="single" w:sz="4" w:space="0" w:color="auto"/>
              <w:bottom w:val="nil"/>
              <w:right w:val="single" w:sz="4" w:space="0" w:color="auto"/>
            </w:tcBorders>
            <w:hideMark/>
          </w:tcPr>
          <w:p w:rsidR="00610DDA" w:rsidRDefault="00610DDA">
            <w:pPr>
              <w:adjustRightInd w:val="0"/>
              <w:snapToGrid w:val="0"/>
              <w:rPr>
                <w:rFonts w:cs="Times New Roman"/>
                <w:sz w:val="22"/>
              </w:rPr>
            </w:pPr>
            <w:r>
              <w:rPr>
                <w:rFonts w:cs="Times New Roman"/>
                <w:sz w:val="22"/>
              </w:rPr>
              <w:t>5</w:t>
            </w:r>
          </w:p>
        </w:tc>
        <w:tc>
          <w:tcPr>
            <w:tcW w:w="724" w:type="dxa"/>
            <w:tcBorders>
              <w:top w:val="single" w:sz="4" w:space="0" w:color="auto"/>
              <w:left w:val="single" w:sz="4" w:space="0" w:color="auto"/>
              <w:bottom w:val="nil"/>
              <w:right w:val="single" w:sz="4" w:space="0" w:color="auto"/>
            </w:tcBorders>
            <w:hideMark/>
          </w:tcPr>
          <w:p w:rsidR="00610DDA" w:rsidRDefault="00610DDA">
            <w:pPr>
              <w:adjustRightInd w:val="0"/>
              <w:snapToGrid w:val="0"/>
              <w:jc w:val="center"/>
              <w:rPr>
                <w:rFonts w:cs="Times New Roman"/>
                <w:sz w:val="22"/>
              </w:rPr>
            </w:pPr>
            <w:r>
              <w:rPr>
                <w:rFonts w:cs="Times New Roman"/>
                <w:sz w:val="22"/>
              </w:rPr>
              <w:t xml:space="preserve"> 9</w:t>
            </w:r>
          </w:p>
        </w:tc>
        <w:tc>
          <w:tcPr>
            <w:tcW w:w="778" w:type="dxa"/>
            <w:tcBorders>
              <w:top w:val="single" w:sz="4" w:space="0" w:color="auto"/>
              <w:left w:val="single" w:sz="4" w:space="0" w:color="auto"/>
              <w:bottom w:val="nil"/>
              <w:right w:val="single" w:sz="4" w:space="0" w:color="auto"/>
            </w:tcBorders>
            <w:hideMark/>
          </w:tcPr>
          <w:p w:rsidR="00610DDA" w:rsidRDefault="00610DDA">
            <w:pPr>
              <w:adjustRightInd w:val="0"/>
              <w:snapToGrid w:val="0"/>
              <w:jc w:val="center"/>
              <w:rPr>
                <w:rFonts w:cs="Times New Roman"/>
                <w:sz w:val="22"/>
              </w:rPr>
            </w:pPr>
            <w:r>
              <w:rPr>
                <w:rFonts w:cs="Times New Roman"/>
                <w:sz w:val="22"/>
              </w:rPr>
              <w:t xml:space="preserve">  1.6</w:t>
            </w:r>
          </w:p>
        </w:tc>
        <w:tc>
          <w:tcPr>
            <w:tcW w:w="1468" w:type="dxa"/>
            <w:tcBorders>
              <w:top w:val="single" w:sz="4" w:space="0" w:color="auto"/>
              <w:left w:val="single" w:sz="4" w:space="0" w:color="auto"/>
              <w:bottom w:val="nil"/>
              <w:right w:val="double" w:sz="4" w:space="0" w:color="auto"/>
            </w:tcBorders>
          </w:tcPr>
          <w:p w:rsidR="00610DDA" w:rsidRDefault="00610DDA">
            <w:pPr>
              <w:adjustRightInd w:val="0"/>
              <w:snapToGrid w:val="0"/>
              <w:jc w:val="center"/>
              <w:rPr>
                <w:rFonts w:cs="Times New Roman"/>
                <w:sz w:val="22"/>
              </w:rPr>
            </w:pPr>
          </w:p>
        </w:tc>
      </w:tr>
      <w:tr w:rsidR="00610DDA" w:rsidTr="00FF26AA">
        <w:trPr>
          <w:trHeight w:val="317"/>
          <w:jc w:val="center"/>
        </w:trPr>
        <w:tc>
          <w:tcPr>
            <w:tcW w:w="2767" w:type="dxa"/>
            <w:tcBorders>
              <w:top w:val="nil"/>
              <w:left w:val="double" w:sz="4" w:space="0" w:color="auto"/>
              <w:bottom w:val="nil"/>
              <w:right w:val="single" w:sz="4" w:space="0" w:color="auto"/>
            </w:tcBorders>
          </w:tcPr>
          <w:p w:rsidR="00610DDA" w:rsidRDefault="00610DDA">
            <w:pPr>
              <w:adjustRightInd w:val="0"/>
              <w:snapToGrid w:val="0"/>
              <w:rPr>
                <w:rFonts w:cs="Times New Roman"/>
                <w:b/>
                <w:i/>
                <w:sz w:val="22"/>
              </w:rPr>
            </w:pPr>
          </w:p>
        </w:tc>
        <w:tc>
          <w:tcPr>
            <w:tcW w:w="3608" w:type="dxa"/>
            <w:tcBorders>
              <w:top w:val="nil"/>
              <w:left w:val="single" w:sz="4" w:space="0" w:color="auto"/>
              <w:bottom w:val="nil"/>
              <w:right w:val="single" w:sz="4" w:space="0" w:color="auto"/>
            </w:tcBorders>
            <w:hideMark/>
          </w:tcPr>
          <w:p w:rsidR="00610DDA" w:rsidRDefault="00610DDA">
            <w:pPr>
              <w:adjustRightInd w:val="0"/>
              <w:snapToGrid w:val="0"/>
              <w:rPr>
                <w:rFonts w:cs="Times New Roman"/>
                <w:sz w:val="22"/>
              </w:rPr>
            </w:pPr>
            <w:r>
              <w:rPr>
                <w:rFonts w:cs="Times New Roman"/>
                <w:sz w:val="22"/>
              </w:rPr>
              <w:t>6</w:t>
            </w:r>
          </w:p>
        </w:tc>
        <w:tc>
          <w:tcPr>
            <w:tcW w:w="724" w:type="dxa"/>
            <w:tcBorders>
              <w:top w:val="nil"/>
              <w:left w:val="single" w:sz="4" w:space="0" w:color="auto"/>
              <w:bottom w:val="nil"/>
              <w:right w:val="single" w:sz="4" w:space="0" w:color="auto"/>
            </w:tcBorders>
            <w:hideMark/>
          </w:tcPr>
          <w:p w:rsidR="00610DDA" w:rsidRDefault="00610DDA">
            <w:pPr>
              <w:adjustRightInd w:val="0"/>
              <w:snapToGrid w:val="0"/>
              <w:jc w:val="center"/>
              <w:rPr>
                <w:rFonts w:cs="Times New Roman"/>
                <w:sz w:val="22"/>
              </w:rPr>
            </w:pPr>
            <w:r>
              <w:rPr>
                <w:rFonts w:cs="Times New Roman"/>
                <w:sz w:val="22"/>
              </w:rPr>
              <w:t>54</w:t>
            </w:r>
          </w:p>
        </w:tc>
        <w:tc>
          <w:tcPr>
            <w:tcW w:w="778" w:type="dxa"/>
            <w:tcBorders>
              <w:top w:val="nil"/>
              <w:left w:val="single" w:sz="4" w:space="0" w:color="auto"/>
              <w:bottom w:val="nil"/>
              <w:right w:val="single" w:sz="4" w:space="0" w:color="auto"/>
            </w:tcBorders>
            <w:hideMark/>
          </w:tcPr>
          <w:p w:rsidR="00610DDA" w:rsidRDefault="00610DDA">
            <w:pPr>
              <w:adjustRightInd w:val="0"/>
              <w:snapToGrid w:val="0"/>
              <w:jc w:val="center"/>
              <w:rPr>
                <w:rFonts w:cs="Times New Roman"/>
                <w:sz w:val="22"/>
              </w:rPr>
            </w:pPr>
            <w:r>
              <w:rPr>
                <w:rFonts w:cs="Times New Roman"/>
                <w:sz w:val="22"/>
              </w:rPr>
              <w:t xml:space="preserve">  9.8</w:t>
            </w:r>
          </w:p>
        </w:tc>
        <w:tc>
          <w:tcPr>
            <w:tcW w:w="1468" w:type="dxa"/>
            <w:tcBorders>
              <w:top w:val="nil"/>
              <w:left w:val="single" w:sz="4" w:space="0" w:color="auto"/>
              <w:bottom w:val="nil"/>
              <w:right w:val="double" w:sz="4" w:space="0" w:color="auto"/>
            </w:tcBorders>
          </w:tcPr>
          <w:p w:rsidR="00610DDA" w:rsidRDefault="00610DDA">
            <w:pPr>
              <w:adjustRightInd w:val="0"/>
              <w:snapToGrid w:val="0"/>
              <w:jc w:val="center"/>
              <w:rPr>
                <w:rFonts w:cs="Times New Roman"/>
                <w:sz w:val="22"/>
              </w:rPr>
            </w:pPr>
          </w:p>
        </w:tc>
      </w:tr>
      <w:tr w:rsidR="00610DDA" w:rsidTr="00FF26AA">
        <w:trPr>
          <w:trHeight w:val="317"/>
          <w:jc w:val="center"/>
        </w:trPr>
        <w:tc>
          <w:tcPr>
            <w:tcW w:w="2767" w:type="dxa"/>
            <w:tcBorders>
              <w:top w:val="nil"/>
              <w:left w:val="double" w:sz="4" w:space="0" w:color="auto"/>
              <w:bottom w:val="nil"/>
              <w:right w:val="single" w:sz="4" w:space="0" w:color="auto"/>
            </w:tcBorders>
          </w:tcPr>
          <w:p w:rsidR="00610DDA" w:rsidRDefault="00610DDA">
            <w:pPr>
              <w:adjustRightInd w:val="0"/>
              <w:snapToGrid w:val="0"/>
              <w:rPr>
                <w:rFonts w:cs="Times New Roman"/>
                <w:b/>
                <w:i/>
                <w:sz w:val="22"/>
              </w:rPr>
            </w:pPr>
          </w:p>
        </w:tc>
        <w:tc>
          <w:tcPr>
            <w:tcW w:w="3608" w:type="dxa"/>
            <w:tcBorders>
              <w:top w:val="nil"/>
              <w:left w:val="single" w:sz="4" w:space="0" w:color="auto"/>
              <w:bottom w:val="nil"/>
              <w:right w:val="single" w:sz="4" w:space="0" w:color="auto"/>
            </w:tcBorders>
            <w:hideMark/>
          </w:tcPr>
          <w:p w:rsidR="00610DDA" w:rsidRDefault="00610DDA">
            <w:pPr>
              <w:adjustRightInd w:val="0"/>
              <w:snapToGrid w:val="0"/>
              <w:rPr>
                <w:rFonts w:cs="Times New Roman"/>
                <w:sz w:val="22"/>
              </w:rPr>
            </w:pPr>
            <w:r>
              <w:rPr>
                <w:rFonts w:cs="Times New Roman"/>
                <w:sz w:val="22"/>
              </w:rPr>
              <w:t>7</w:t>
            </w:r>
          </w:p>
        </w:tc>
        <w:tc>
          <w:tcPr>
            <w:tcW w:w="724" w:type="dxa"/>
            <w:tcBorders>
              <w:top w:val="nil"/>
              <w:left w:val="single" w:sz="4" w:space="0" w:color="auto"/>
              <w:bottom w:val="nil"/>
              <w:right w:val="single" w:sz="4" w:space="0" w:color="auto"/>
            </w:tcBorders>
            <w:hideMark/>
          </w:tcPr>
          <w:p w:rsidR="00610DDA" w:rsidRDefault="00610DDA">
            <w:pPr>
              <w:adjustRightInd w:val="0"/>
              <w:snapToGrid w:val="0"/>
              <w:jc w:val="center"/>
              <w:rPr>
                <w:rFonts w:cs="Times New Roman"/>
                <w:sz w:val="22"/>
              </w:rPr>
            </w:pPr>
            <w:r>
              <w:rPr>
                <w:rFonts w:cs="Times New Roman"/>
                <w:sz w:val="22"/>
              </w:rPr>
              <w:t>99</w:t>
            </w:r>
          </w:p>
        </w:tc>
        <w:tc>
          <w:tcPr>
            <w:tcW w:w="778" w:type="dxa"/>
            <w:tcBorders>
              <w:top w:val="nil"/>
              <w:left w:val="single" w:sz="4" w:space="0" w:color="auto"/>
              <w:bottom w:val="nil"/>
              <w:right w:val="single" w:sz="4" w:space="0" w:color="auto"/>
            </w:tcBorders>
            <w:hideMark/>
          </w:tcPr>
          <w:p w:rsidR="00610DDA" w:rsidRDefault="00610DDA">
            <w:pPr>
              <w:adjustRightInd w:val="0"/>
              <w:snapToGrid w:val="0"/>
              <w:jc w:val="center"/>
              <w:rPr>
                <w:rFonts w:cs="Times New Roman"/>
                <w:sz w:val="22"/>
              </w:rPr>
            </w:pPr>
            <w:r>
              <w:rPr>
                <w:rFonts w:cs="Times New Roman"/>
                <w:sz w:val="22"/>
              </w:rPr>
              <w:t>17.9</w:t>
            </w:r>
          </w:p>
        </w:tc>
        <w:tc>
          <w:tcPr>
            <w:tcW w:w="1468" w:type="dxa"/>
            <w:tcBorders>
              <w:top w:val="nil"/>
              <w:left w:val="single" w:sz="4" w:space="0" w:color="auto"/>
              <w:bottom w:val="nil"/>
              <w:right w:val="double" w:sz="4" w:space="0" w:color="auto"/>
            </w:tcBorders>
          </w:tcPr>
          <w:p w:rsidR="00610DDA" w:rsidRDefault="00610DDA">
            <w:pPr>
              <w:adjustRightInd w:val="0"/>
              <w:snapToGrid w:val="0"/>
              <w:jc w:val="center"/>
              <w:rPr>
                <w:rFonts w:cs="Times New Roman"/>
                <w:sz w:val="22"/>
              </w:rPr>
            </w:pPr>
          </w:p>
        </w:tc>
      </w:tr>
      <w:tr w:rsidR="00610DDA" w:rsidTr="00FF26AA">
        <w:trPr>
          <w:trHeight w:val="317"/>
          <w:jc w:val="center"/>
        </w:trPr>
        <w:tc>
          <w:tcPr>
            <w:tcW w:w="2767" w:type="dxa"/>
            <w:tcBorders>
              <w:top w:val="nil"/>
              <w:left w:val="double" w:sz="4" w:space="0" w:color="auto"/>
              <w:bottom w:val="nil"/>
              <w:right w:val="single" w:sz="4" w:space="0" w:color="auto"/>
            </w:tcBorders>
          </w:tcPr>
          <w:p w:rsidR="00610DDA" w:rsidRDefault="00610DDA">
            <w:pPr>
              <w:adjustRightInd w:val="0"/>
              <w:snapToGrid w:val="0"/>
              <w:rPr>
                <w:rFonts w:cs="Times New Roman"/>
                <w:b/>
                <w:i/>
                <w:sz w:val="22"/>
              </w:rPr>
            </w:pPr>
          </w:p>
        </w:tc>
        <w:tc>
          <w:tcPr>
            <w:tcW w:w="3608" w:type="dxa"/>
            <w:tcBorders>
              <w:top w:val="nil"/>
              <w:left w:val="single" w:sz="4" w:space="0" w:color="auto"/>
              <w:bottom w:val="nil"/>
              <w:right w:val="single" w:sz="4" w:space="0" w:color="auto"/>
            </w:tcBorders>
            <w:hideMark/>
          </w:tcPr>
          <w:p w:rsidR="00610DDA" w:rsidRDefault="00610DDA">
            <w:pPr>
              <w:adjustRightInd w:val="0"/>
              <w:snapToGrid w:val="0"/>
              <w:rPr>
                <w:rFonts w:cs="Times New Roman"/>
                <w:sz w:val="22"/>
              </w:rPr>
            </w:pPr>
            <w:r>
              <w:rPr>
                <w:rFonts w:cs="Times New Roman"/>
                <w:sz w:val="22"/>
              </w:rPr>
              <w:t>8</w:t>
            </w:r>
          </w:p>
        </w:tc>
        <w:tc>
          <w:tcPr>
            <w:tcW w:w="724" w:type="dxa"/>
            <w:tcBorders>
              <w:top w:val="nil"/>
              <w:left w:val="single" w:sz="4" w:space="0" w:color="auto"/>
              <w:bottom w:val="nil"/>
              <w:right w:val="single" w:sz="4" w:space="0" w:color="auto"/>
            </w:tcBorders>
            <w:hideMark/>
          </w:tcPr>
          <w:p w:rsidR="00610DDA" w:rsidRDefault="00610DDA">
            <w:pPr>
              <w:adjustRightInd w:val="0"/>
              <w:snapToGrid w:val="0"/>
              <w:jc w:val="center"/>
              <w:rPr>
                <w:rFonts w:cs="Times New Roman"/>
                <w:sz w:val="22"/>
              </w:rPr>
            </w:pPr>
            <w:r>
              <w:rPr>
                <w:rFonts w:cs="Times New Roman"/>
                <w:sz w:val="22"/>
              </w:rPr>
              <w:t>99</w:t>
            </w:r>
          </w:p>
        </w:tc>
        <w:tc>
          <w:tcPr>
            <w:tcW w:w="778" w:type="dxa"/>
            <w:tcBorders>
              <w:top w:val="nil"/>
              <w:left w:val="single" w:sz="4" w:space="0" w:color="auto"/>
              <w:bottom w:val="nil"/>
              <w:right w:val="single" w:sz="4" w:space="0" w:color="auto"/>
            </w:tcBorders>
            <w:hideMark/>
          </w:tcPr>
          <w:p w:rsidR="00610DDA" w:rsidRDefault="00610DDA">
            <w:pPr>
              <w:adjustRightInd w:val="0"/>
              <w:snapToGrid w:val="0"/>
              <w:jc w:val="center"/>
              <w:rPr>
                <w:rFonts w:cs="Times New Roman"/>
                <w:sz w:val="22"/>
              </w:rPr>
            </w:pPr>
            <w:r>
              <w:rPr>
                <w:rFonts w:cs="Times New Roman"/>
                <w:sz w:val="22"/>
              </w:rPr>
              <w:t>17.9</w:t>
            </w:r>
          </w:p>
        </w:tc>
        <w:tc>
          <w:tcPr>
            <w:tcW w:w="1468" w:type="dxa"/>
            <w:tcBorders>
              <w:top w:val="nil"/>
              <w:left w:val="single" w:sz="4" w:space="0" w:color="auto"/>
              <w:bottom w:val="nil"/>
              <w:right w:val="double" w:sz="4" w:space="0" w:color="auto"/>
            </w:tcBorders>
          </w:tcPr>
          <w:p w:rsidR="00610DDA" w:rsidRDefault="00610DDA">
            <w:pPr>
              <w:adjustRightInd w:val="0"/>
              <w:snapToGrid w:val="0"/>
              <w:jc w:val="center"/>
              <w:rPr>
                <w:rFonts w:cs="Times New Roman"/>
                <w:sz w:val="22"/>
              </w:rPr>
            </w:pPr>
          </w:p>
        </w:tc>
      </w:tr>
      <w:tr w:rsidR="00610DDA" w:rsidTr="00FF26AA">
        <w:trPr>
          <w:trHeight w:val="317"/>
          <w:jc w:val="center"/>
        </w:trPr>
        <w:tc>
          <w:tcPr>
            <w:tcW w:w="2767" w:type="dxa"/>
            <w:tcBorders>
              <w:top w:val="nil"/>
              <w:left w:val="double" w:sz="4" w:space="0" w:color="auto"/>
              <w:bottom w:val="nil"/>
              <w:right w:val="single" w:sz="4" w:space="0" w:color="auto"/>
            </w:tcBorders>
          </w:tcPr>
          <w:p w:rsidR="00610DDA" w:rsidRDefault="00610DDA">
            <w:pPr>
              <w:adjustRightInd w:val="0"/>
              <w:snapToGrid w:val="0"/>
              <w:rPr>
                <w:rFonts w:cs="Times New Roman"/>
                <w:b/>
                <w:i/>
                <w:sz w:val="22"/>
              </w:rPr>
            </w:pPr>
          </w:p>
        </w:tc>
        <w:tc>
          <w:tcPr>
            <w:tcW w:w="3608" w:type="dxa"/>
            <w:tcBorders>
              <w:top w:val="nil"/>
              <w:left w:val="single" w:sz="4" w:space="0" w:color="auto"/>
              <w:bottom w:val="nil"/>
              <w:right w:val="single" w:sz="4" w:space="0" w:color="auto"/>
            </w:tcBorders>
            <w:hideMark/>
          </w:tcPr>
          <w:p w:rsidR="00610DDA" w:rsidRDefault="00610DDA">
            <w:pPr>
              <w:adjustRightInd w:val="0"/>
              <w:snapToGrid w:val="0"/>
              <w:rPr>
                <w:rFonts w:cs="Times New Roman"/>
                <w:sz w:val="22"/>
              </w:rPr>
            </w:pPr>
            <w:r>
              <w:rPr>
                <w:rFonts w:cs="Times New Roman"/>
                <w:sz w:val="22"/>
              </w:rPr>
              <w:t>9</w:t>
            </w:r>
          </w:p>
        </w:tc>
        <w:tc>
          <w:tcPr>
            <w:tcW w:w="724" w:type="dxa"/>
            <w:tcBorders>
              <w:top w:val="nil"/>
              <w:left w:val="single" w:sz="4" w:space="0" w:color="auto"/>
              <w:bottom w:val="nil"/>
              <w:right w:val="single" w:sz="4" w:space="0" w:color="auto"/>
            </w:tcBorders>
            <w:hideMark/>
          </w:tcPr>
          <w:p w:rsidR="00610DDA" w:rsidRDefault="00610DDA">
            <w:pPr>
              <w:adjustRightInd w:val="0"/>
              <w:snapToGrid w:val="0"/>
              <w:jc w:val="center"/>
              <w:rPr>
                <w:rFonts w:cs="Times New Roman"/>
                <w:sz w:val="22"/>
              </w:rPr>
            </w:pPr>
            <w:r>
              <w:rPr>
                <w:rFonts w:cs="Times New Roman"/>
                <w:sz w:val="22"/>
              </w:rPr>
              <w:t>108</w:t>
            </w:r>
          </w:p>
        </w:tc>
        <w:tc>
          <w:tcPr>
            <w:tcW w:w="778" w:type="dxa"/>
            <w:tcBorders>
              <w:top w:val="nil"/>
              <w:left w:val="single" w:sz="4" w:space="0" w:color="auto"/>
              <w:bottom w:val="nil"/>
              <w:right w:val="single" w:sz="4" w:space="0" w:color="auto"/>
            </w:tcBorders>
            <w:hideMark/>
          </w:tcPr>
          <w:p w:rsidR="00610DDA" w:rsidRDefault="00610DDA">
            <w:pPr>
              <w:adjustRightInd w:val="0"/>
              <w:snapToGrid w:val="0"/>
              <w:jc w:val="center"/>
              <w:rPr>
                <w:rFonts w:cs="Times New Roman"/>
                <w:sz w:val="22"/>
              </w:rPr>
            </w:pPr>
            <w:r>
              <w:rPr>
                <w:rFonts w:cs="Times New Roman"/>
                <w:sz w:val="22"/>
              </w:rPr>
              <w:t>19.6</w:t>
            </w:r>
          </w:p>
        </w:tc>
        <w:tc>
          <w:tcPr>
            <w:tcW w:w="1468" w:type="dxa"/>
            <w:tcBorders>
              <w:top w:val="nil"/>
              <w:left w:val="single" w:sz="4" w:space="0" w:color="auto"/>
              <w:bottom w:val="nil"/>
              <w:right w:val="double" w:sz="4" w:space="0" w:color="auto"/>
            </w:tcBorders>
          </w:tcPr>
          <w:p w:rsidR="00610DDA" w:rsidRDefault="00610DDA">
            <w:pPr>
              <w:adjustRightInd w:val="0"/>
              <w:snapToGrid w:val="0"/>
              <w:jc w:val="center"/>
              <w:rPr>
                <w:rFonts w:cs="Times New Roman"/>
                <w:sz w:val="22"/>
              </w:rPr>
            </w:pPr>
          </w:p>
        </w:tc>
      </w:tr>
      <w:tr w:rsidR="00610DDA" w:rsidTr="00FF26AA">
        <w:trPr>
          <w:trHeight w:val="317"/>
          <w:jc w:val="center"/>
        </w:trPr>
        <w:tc>
          <w:tcPr>
            <w:tcW w:w="2767" w:type="dxa"/>
            <w:tcBorders>
              <w:top w:val="nil"/>
              <w:left w:val="double" w:sz="4" w:space="0" w:color="auto"/>
              <w:bottom w:val="nil"/>
              <w:right w:val="single" w:sz="4" w:space="0" w:color="auto"/>
            </w:tcBorders>
          </w:tcPr>
          <w:p w:rsidR="00610DDA" w:rsidRDefault="00610DDA">
            <w:pPr>
              <w:adjustRightInd w:val="0"/>
              <w:snapToGrid w:val="0"/>
              <w:rPr>
                <w:rFonts w:cs="Times New Roman"/>
                <w:b/>
                <w:i/>
                <w:sz w:val="22"/>
              </w:rPr>
            </w:pPr>
          </w:p>
        </w:tc>
        <w:tc>
          <w:tcPr>
            <w:tcW w:w="3608" w:type="dxa"/>
            <w:tcBorders>
              <w:top w:val="nil"/>
              <w:left w:val="single" w:sz="4" w:space="0" w:color="auto"/>
              <w:bottom w:val="nil"/>
              <w:right w:val="single" w:sz="4" w:space="0" w:color="auto"/>
            </w:tcBorders>
            <w:hideMark/>
          </w:tcPr>
          <w:p w:rsidR="00610DDA" w:rsidRDefault="00610DDA">
            <w:pPr>
              <w:adjustRightInd w:val="0"/>
              <w:snapToGrid w:val="0"/>
              <w:rPr>
                <w:rFonts w:cs="Times New Roman"/>
                <w:sz w:val="22"/>
              </w:rPr>
            </w:pPr>
            <w:r>
              <w:rPr>
                <w:rFonts w:cs="Times New Roman"/>
                <w:sz w:val="22"/>
              </w:rPr>
              <w:t>10</w:t>
            </w:r>
          </w:p>
        </w:tc>
        <w:tc>
          <w:tcPr>
            <w:tcW w:w="724" w:type="dxa"/>
            <w:tcBorders>
              <w:top w:val="nil"/>
              <w:left w:val="single" w:sz="4" w:space="0" w:color="auto"/>
              <w:bottom w:val="nil"/>
              <w:right w:val="single" w:sz="4" w:space="0" w:color="auto"/>
            </w:tcBorders>
            <w:hideMark/>
          </w:tcPr>
          <w:p w:rsidR="00610DDA" w:rsidRDefault="00610DDA">
            <w:pPr>
              <w:adjustRightInd w:val="0"/>
              <w:snapToGrid w:val="0"/>
              <w:jc w:val="center"/>
              <w:rPr>
                <w:rFonts w:cs="Times New Roman"/>
                <w:sz w:val="22"/>
              </w:rPr>
            </w:pPr>
            <w:r>
              <w:rPr>
                <w:rFonts w:cs="Times New Roman"/>
                <w:sz w:val="22"/>
              </w:rPr>
              <w:t>87</w:t>
            </w:r>
          </w:p>
        </w:tc>
        <w:tc>
          <w:tcPr>
            <w:tcW w:w="778" w:type="dxa"/>
            <w:tcBorders>
              <w:top w:val="nil"/>
              <w:left w:val="single" w:sz="4" w:space="0" w:color="auto"/>
              <w:bottom w:val="nil"/>
              <w:right w:val="single" w:sz="4" w:space="0" w:color="auto"/>
            </w:tcBorders>
            <w:hideMark/>
          </w:tcPr>
          <w:p w:rsidR="00610DDA" w:rsidRDefault="00610DDA">
            <w:pPr>
              <w:adjustRightInd w:val="0"/>
              <w:snapToGrid w:val="0"/>
              <w:jc w:val="center"/>
              <w:rPr>
                <w:rFonts w:cs="Times New Roman"/>
                <w:sz w:val="22"/>
              </w:rPr>
            </w:pPr>
            <w:r>
              <w:rPr>
                <w:rFonts w:cs="Times New Roman"/>
                <w:sz w:val="22"/>
              </w:rPr>
              <w:t>15.8</w:t>
            </w:r>
          </w:p>
        </w:tc>
        <w:tc>
          <w:tcPr>
            <w:tcW w:w="1468" w:type="dxa"/>
            <w:tcBorders>
              <w:top w:val="nil"/>
              <w:left w:val="single" w:sz="4" w:space="0" w:color="auto"/>
              <w:bottom w:val="nil"/>
              <w:right w:val="double" w:sz="4" w:space="0" w:color="auto"/>
            </w:tcBorders>
          </w:tcPr>
          <w:p w:rsidR="00610DDA" w:rsidRDefault="00610DDA">
            <w:pPr>
              <w:adjustRightInd w:val="0"/>
              <w:snapToGrid w:val="0"/>
              <w:jc w:val="center"/>
              <w:rPr>
                <w:rFonts w:cs="Times New Roman"/>
                <w:sz w:val="22"/>
              </w:rPr>
            </w:pPr>
          </w:p>
        </w:tc>
      </w:tr>
      <w:tr w:rsidR="00610DDA" w:rsidTr="00FF26AA">
        <w:trPr>
          <w:trHeight w:val="317"/>
          <w:jc w:val="center"/>
        </w:trPr>
        <w:tc>
          <w:tcPr>
            <w:tcW w:w="2767" w:type="dxa"/>
            <w:tcBorders>
              <w:top w:val="nil"/>
              <w:left w:val="double" w:sz="4" w:space="0" w:color="auto"/>
              <w:bottom w:val="nil"/>
              <w:right w:val="single" w:sz="4" w:space="0" w:color="auto"/>
            </w:tcBorders>
          </w:tcPr>
          <w:p w:rsidR="00610DDA" w:rsidRDefault="00610DDA">
            <w:pPr>
              <w:adjustRightInd w:val="0"/>
              <w:snapToGrid w:val="0"/>
              <w:rPr>
                <w:rFonts w:cs="Times New Roman"/>
                <w:b/>
                <w:i/>
                <w:sz w:val="22"/>
              </w:rPr>
            </w:pPr>
          </w:p>
        </w:tc>
        <w:tc>
          <w:tcPr>
            <w:tcW w:w="3608" w:type="dxa"/>
            <w:tcBorders>
              <w:top w:val="nil"/>
              <w:left w:val="single" w:sz="4" w:space="0" w:color="auto"/>
              <w:bottom w:val="nil"/>
              <w:right w:val="single" w:sz="4" w:space="0" w:color="auto"/>
            </w:tcBorders>
            <w:hideMark/>
          </w:tcPr>
          <w:p w:rsidR="00610DDA" w:rsidRDefault="00610DDA">
            <w:pPr>
              <w:adjustRightInd w:val="0"/>
              <w:snapToGrid w:val="0"/>
              <w:rPr>
                <w:rFonts w:cs="Times New Roman"/>
                <w:sz w:val="22"/>
              </w:rPr>
            </w:pPr>
            <w:r>
              <w:rPr>
                <w:rFonts w:cs="Times New Roman"/>
                <w:sz w:val="22"/>
              </w:rPr>
              <w:t>11</w:t>
            </w:r>
          </w:p>
        </w:tc>
        <w:tc>
          <w:tcPr>
            <w:tcW w:w="724" w:type="dxa"/>
            <w:tcBorders>
              <w:top w:val="nil"/>
              <w:left w:val="single" w:sz="4" w:space="0" w:color="auto"/>
              <w:bottom w:val="nil"/>
              <w:right w:val="single" w:sz="4" w:space="0" w:color="auto"/>
            </w:tcBorders>
            <w:hideMark/>
          </w:tcPr>
          <w:p w:rsidR="00610DDA" w:rsidRDefault="00610DDA">
            <w:pPr>
              <w:adjustRightInd w:val="0"/>
              <w:snapToGrid w:val="0"/>
              <w:jc w:val="center"/>
              <w:rPr>
                <w:rFonts w:cs="Times New Roman"/>
                <w:sz w:val="22"/>
              </w:rPr>
            </w:pPr>
            <w:r>
              <w:rPr>
                <w:rFonts w:cs="Times New Roman"/>
                <w:sz w:val="22"/>
              </w:rPr>
              <w:t>70</w:t>
            </w:r>
          </w:p>
        </w:tc>
        <w:tc>
          <w:tcPr>
            <w:tcW w:w="778" w:type="dxa"/>
            <w:tcBorders>
              <w:top w:val="nil"/>
              <w:left w:val="single" w:sz="4" w:space="0" w:color="auto"/>
              <w:bottom w:val="nil"/>
              <w:right w:val="single" w:sz="4" w:space="0" w:color="auto"/>
            </w:tcBorders>
            <w:hideMark/>
          </w:tcPr>
          <w:p w:rsidR="00610DDA" w:rsidRDefault="00610DDA">
            <w:pPr>
              <w:adjustRightInd w:val="0"/>
              <w:snapToGrid w:val="0"/>
              <w:jc w:val="center"/>
              <w:rPr>
                <w:rFonts w:cs="Times New Roman"/>
                <w:sz w:val="22"/>
              </w:rPr>
            </w:pPr>
            <w:r>
              <w:rPr>
                <w:rFonts w:cs="Times New Roman"/>
                <w:sz w:val="22"/>
              </w:rPr>
              <w:t>12.7</w:t>
            </w:r>
          </w:p>
        </w:tc>
        <w:tc>
          <w:tcPr>
            <w:tcW w:w="1468" w:type="dxa"/>
            <w:tcBorders>
              <w:top w:val="nil"/>
              <w:left w:val="single" w:sz="4" w:space="0" w:color="auto"/>
              <w:bottom w:val="nil"/>
              <w:right w:val="double" w:sz="4" w:space="0" w:color="auto"/>
            </w:tcBorders>
          </w:tcPr>
          <w:p w:rsidR="00610DDA" w:rsidRDefault="00610DDA">
            <w:pPr>
              <w:adjustRightInd w:val="0"/>
              <w:snapToGrid w:val="0"/>
              <w:jc w:val="center"/>
              <w:rPr>
                <w:rFonts w:cs="Times New Roman"/>
                <w:sz w:val="22"/>
              </w:rPr>
            </w:pPr>
          </w:p>
        </w:tc>
      </w:tr>
      <w:tr w:rsidR="00610DDA" w:rsidTr="00FF26AA">
        <w:trPr>
          <w:trHeight w:val="317"/>
          <w:jc w:val="center"/>
        </w:trPr>
        <w:tc>
          <w:tcPr>
            <w:tcW w:w="2767" w:type="dxa"/>
            <w:tcBorders>
              <w:top w:val="nil"/>
              <w:left w:val="double" w:sz="4" w:space="0" w:color="auto"/>
              <w:bottom w:val="single" w:sz="4" w:space="0" w:color="auto"/>
              <w:right w:val="single" w:sz="4" w:space="0" w:color="auto"/>
            </w:tcBorders>
          </w:tcPr>
          <w:p w:rsidR="00610DDA" w:rsidRDefault="00610DDA">
            <w:pPr>
              <w:adjustRightInd w:val="0"/>
              <w:snapToGrid w:val="0"/>
              <w:rPr>
                <w:rFonts w:cs="Times New Roman"/>
                <w:b/>
                <w:i/>
                <w:sz w:val="22"/>
              </w:rPr>
            </w:pPr>
          </w:p>
        </w:tc>
        <w:tc>
          <w:tcPr>
            <w:tcW w:w="3608" w:type="dxa"/>
            <w:tcBorders>
              <w:top w:val="nil"/>
              <w:left w:val="single" w:sz="4" w:space="0" w:color="auto"/>
              <w:bottom w:val="single" w:sz="4" w:space="0" w:color="auto"/>
              <w:right w:val="single" w:sz="4" w:space="0" w:color="auto"/>
            </w:tcBorders>
            <w:hideMark/>
          </w:tcPr>
          <w:p w:rsidR="00610DDA" w:rsidRDefault="00610DDA">
            <w:pPr>
              <w:adjustRightInd w:val="0"/>
              <w:snapToGrid w:val="0"/>
              <w:rPr>
                <w:rFonts w:cs="Times New Roman"/>
                <w:sz w:val="22"/>
              </w:rPr>
            </w:pPr>
            <w:r>
              <w:rPr>
                <w:rFonts w:cs="Times New Roman"/>
                <w:sz w:val="22"/>
              </w:rPr>
              <w:t>12</w:t>
            </w:r>
          </w:p>
        </w:tc>
        <w:tc>
          <w:tcPr>
            <w:tcW w:w="724" w:type="dxa"/>
            <w:tcBorders>
              <w:top w:val="nil"/>
              <w:left w:val="single" w:sz="4" w:space="0" w:color="auto"/>
              <w:bottom w:val="single" w:sz="4" w:space="0" w:color="auto"/>
              <w:right w:val="single" w:sz="4" w:space="0" w:color="auto"/>
            </w:tcBorders>
            <w:hideMark/>
          </w:tcPr>
          <w:p w:rsidR="00610DDA" w:rsidRDefault="00610DDA">
            <w:pPr>
              <w:adjustRightInd w:val="0"/>
              <w:snapToGrid w:val="0"/>
              <w:jc w:val="center"/>
              <w:rPr>
                <w:rFonts w:cs="Times New Roman"/>
                <w:sz w:val="22"/>
              </w:rPr>
            </w:pPr>
            <w:r>
              <w:rPr>
                <w:rFonts w:cs="Times New Roman"/>
                <w:sz w:val="22"/>
              </w:rPr>
              <w:t>26</w:t>
            </w:r>
          </w:p>
        </w:tc>
        <w:tc>
          <w:tcPr>
            <w:tcW w:w="778" w:type="dxa"/>
            <w:tcBorders>
              <w:top w:val="nil"/>
              <w:left w:val="single" w:sz="4" w:space="0" w:color="auto"/>
              <w:bottom w:val="single" w:sz="4" w:space="0" w:color="auto"/>
              <w:right w:val="single" w:sz="4" w:space="0" w:color="auto"/>
            </w:tcBorders>
            <w:hideMark/>
          </w:tcPr>
          <w:p w:rsidR="00610DDA" w:rsidRDefault="00610DDA">
            <w:pPr>
              <w:adjustRightInd w:val="0"/>
              <w:snapToGrid w:val="0"/>
              <w:jc w:val="center"/>
              <w:rPr>
                <w:rFonts w:cs="Times New Roman"/>
                <w:sz w:val="22"/>
              </w:rPr>
            </w:pPr>
            <w:r>
              <w:rPr>
                <w:rFonts w:cs="Times New Roman"/>
                <w:sz w:val="22"/>
              </w:rPr>
              <w:t xml:space="preserve">  4.7</w:t>
            </w:r>
          </w:p>
        </w:tc>
        <w:tc>
          <w:tcPr>
            <w:tcW w:w="1468" w:type="dxa"/>
            <w:tcBorders>
              <w:top w:val="nil"/>
              <w:left w:val="single" w:sz="4" w:space="0" w:color="auto"/>
              <w:bottom w:val="single" w:sz="4" w:space="0" w:color="auto"/>
              <w:right w:val="double" w:sz="4" w:space="0" w:color="auto"/>
            </w:tcBorders>
          </w:tcPr>
          <w:p w:rsidR="00610DDA" w:rsidRDefault="00610DDA">
            <w:pPr>
              <w:adjustRightInd w:val="0"/>
              <w:snapToGrid w:val="0"/>
              <w:jc w:val="center"/>
              <w:rPr>
                <w:rFonts w:cs="Times New Roman"/>
                <w:sz w:val="22"/>
              </w:rPr>
            </w:pPr>
          </w:p>
        </w:tc>
      </w:tr>
      <w:tr w:rsidR="00610DDA" w:rsidTr="00FF26AA">
        <w:trPr>
          <w:trHeight w:val="317"/>
          <w:jc w:val="center"/>
        </w:trPr>
        <w:tc>
          <w:tcPr>
            <w:tcW w:w="2767" w:type="dxa"/>
            <w:tcBorders>
              <w:top w:val="single" w:sz="4" w:space="0" w:color="auto"/>
              <w:left w:val="double" w:sz="4" w:space="0" w:color="auto"/>
              <w:bottom w:val="nil"/>
              <w:right w:val="single" w:sz="4" w:space="0" w:color="auto"/>
            </w:tcBorders>
            <w:hideMark/>
          </w:tcPr>
          <w:p w:rsidR="00610DDA" w:rsidRDefault="00610DDA">
            <w:pPr>
              <w:adjustRightInd w:val="0"/>
              <w:snapToGrid w:val="0"/>
              <w:rPr>
                <w:rFonts w:cs="Times New Roman"/>
                <w:b/>
                <w:i/>
                <w:sz w:val="22"/>
              </w:rPr>
            </w:pPr>
            <w:r>
              <w:rPr>
                <w:rFonts w:cs="Times New Roman"/>
                <w:b/>
                <w:i/>
                <w:sz w:val="22"/>
              </w:rPr>
              <w:t>Gender</w:t>
            </w:r>
          </w:p>
        </w:tc>
        <w:tc>
          <w:tcPr>
            <w:tcW w:w="3608" w:type="dxa"/>
            <w:tcBorders>
              <w:top w:val="single" w:sz="4" w:space="0" w:color="auto"/>
              <w:left w:val="single" w:sz="4" w:space="0" w:color="auto"/>
              <w:bottom w:val="nil"/>
              <w:right w:val="single" w:sz="4" w:space="0" w:color="auto"/>
            </w:tcBorders>
            <w:hideMark/>
          </w:tcPr>
          <w:p w:rsidR="00610DDA" w:rsidRDefault="00610DDA">
            <w:pPr>
              <w:adjustRightInd w:val="0"/>
              <w:snapToGrid w:val="0"/>
              <w:rPr>
                <w:rFonts w:cs="Times New Roman"/>
                <w:sz w:val="22"/>
              </w:rPr>
            </w:pPr>
            <w:r>
              <w:rPr>
                <w:rFonts w:cs="Times New Roman"/>
                <w:sz w:val="22"/>
              </w:rPr>
              <w:t>Male</w:t>
            </w:r>
          </w:p>
        </w:tc>
        <w:tc>
          <w:tcPr>
            <w:tcW w:w="724" w:type="dxa"/>
            <w:tcBorders>
              <w:top w:val="single" w:sz="4" w:space="0" w:color="auto"/>
              <w:left w:val="single" w:sz="4" w:space="0" w:color="auto"/>
              <w:bottom w:val="nil"/>
              <w:right w:val="single" w:sz="4" w:space="0" w:color="auto"/>
            </w:tcBorders>
            <w:hideMark/>
          </w:tcPr>
          <w:p w:rsidR="00610DDA" w:rsidRDefault="00610DDA">
            <w:pPr>
              <w:adjustRightInd w:val="0"/>
              <w:snapToGrid w:val="0"/>
              <w:jc w:val="center"/>
              <w:rPr>
                <w:rFonts w:cs="Times New Roman"/>
                <w:sz w:val="22"/>
              </w:rPr>
            </w:pPr>
            <w:r>
              <w:rPr>
                <w:rFonts w:cs="Times New Roman"/>
                <w:sz w:val="22"/>
              </w:rPr>
              <w:t>315</w:t>
            </w:r>
          </w:p>
        </w:tc>
        <w:tc>
          <w:tcPr>
            <w:tcW w:w="778" w:type="dxa"/>
            <w:tcBorders>
              <w:top w:val="single" w:sz="4" w:space="0" w:color="auto"/>
              <w:left w:val="single" w:sz="4" w:space="0" w:color="auto"/>
              <w:bottom w:val="nil"/>
              <w:right w:val="single" w:sz="4" w:space="0" w:color="auto"/>
            </w:tcBorders>
            <w:hideMark/>
          </w:tcPr>
          <w:p w:rsidR="00610DDA" w:rsidRDefault="00610DDA">
            <w:pPr>
              <w:adjustRightInd w:val="0"/>
              <w:snapToGrid w:val="0"/>
              <w:jc w:val="center"/>
              <w:rPr>
                <w:rFonts w:cs="Times New Roman"/>
                <w:sz w:val="22"/>
              </w:rPr>
            </w:pPr>
            <w:r>
              <w:rPr>
                <w:rFonts w:cs="Times New Roman"/>
                <w:sz w:val="22"/>
              </w:rPr>
              <w:t>57.1</w:t>
            </w:r>
          </w:p>
        </w:tc>
        <w:tc>
          <w:tcPr>
            <w:tcW w:w="1468" w:type="dxa"/>
            <w:tcBorders>
              <w:top w:val="single" w:sz="4" w:space="0" w:color="auto"/>
              <w:left w:val="single" w:sz="4" w:space="0" w:color="auto"/>
              <w:bottom w:val="nil"/>
              <w:right w:val="double" w:sz="4" w:space="0" w:color="auto"/>
            </w:tcBorders>
            <w:hideMark/>
          </w:tcPr>
          <w:p w:rsidR="00610DDA" w:rsidRDefault="00610DDA">
            <w:pPr>
              <w:adjustRightInd w:val="0"/>
              <w:snapToGrid w:val="0"/>
              <w:jc w:val="center"/>
              <w:rPr>
                <w:rFonts w:cs="Times New Roman"/>
                <w:sz w:val="22"/>
              </w:rPr>
            </w:pPr>
            <w:r>
              <w:rPr>
                <w:rFonts w:cs="Times New Roman"/>
                <w:sz w:val="22"/>
              </w:rPr>
              <w:t>51.6</w:t>
            </w:r>
          </w:p>
        </w:tc>
      </w:tr>
      <w:tr w:rsidR="00610DDA" w:rsidTr="00FF26AA">
        <w:trPr>
          <w:trHeight w:val="317"/>
          <w:jc w:val="center"/>
        </w:trPr>
        <w:tc>
          <w:tcPr>
            <w:tcW w:w="2767" w:type="dxa"/>
            <w:tcBorders>
              <w:top w:val="nil"/>
              <w:left w:val="double" w:sz="4" w:space="0" w:color="auto"/>
              <w:bottom w:val="single" w:sz="4" w:space="0" w:color="auto"/>
              <w:right w:val="single" w:sz="4" w:space="0" w:color="auto"/>
            </w:tcBorders>
          </w:tcPr>
          <w:p w:rsidR="00610DDA" w:rsidRDefault="00610DDA">
            <w:pPr>
              <w:adjustRightInd w:val="0"/>
              <w:snapToGrid w:val="0"/>
              <w:rPr>
                <w:rFonts w:cs="Times New Roman"/>
                <w:b/>
                <w:i/>
                <w:sz w:val="22"/>
              </w:rPr>
            </w:pPr>
          </w:p>
        </w:tc>
        <w:tc>
          <w:tcPr>
            <w:tcW w:w="3608" w:type="dxa"/>
            <w:tcBorders>
              <w:top w:val="nil"/>
              <w:left w:val="single" w:sz="4" w:space="0" w:color="auto"/>
              <w:bottom w:val="single" w:sz="4" w:space="0" w:color="auto"/>
              <w:right w:val="single" w:sz="4" w:space="0" w:color="auto"/>
            </w:tcBorders>
            <w:hideMark/>
          </w:tcPr>
          <w:p w:rsidR="00610DDA" w:rsidRDefault="00610DDA">
            <w:pPr>
              <w:adjustRightInd w:val="0"/>
              <w:snapToGrid w:val="0"/>
              <w:rPr>
                <w:rFonts w:cs="Times New Roman"/>
                <w:sz w:val="22"/>
              </w:rPr>
            </w:pPr>
            <w:r>
              <w:rPr>
                <w:rFonts w:cs="Times New Roman"/>
                <w:sz w:val="22"/>
              </w:rPr>
              <w:t>Female</w:t>
            </w:r>
          </w:p>
        </w:tc>
        <w:tc>
          <w:tcPr>
            <w:tcW w:w="724" w:type="dxa"/>
            <w:tcBorders>
              <w:top w:val="nil"/>
              <w:left w:val="single" w:sz="4" w:space="0" w:color="auto"/>
              <w:bottom w:val="single" w:sz="4" w:space="0" w:color="auto"/>
              <w:right w:val="single" w:sz="4" w:space="0" w:color="auto"/>
            </w:tcBorders>
            <w:hideMark/>
          </w:tcPr>
          <w:p w:rsidR="00610DDA" w:rsidRDefault="00610DDA">
            <w:pPr>
              <w:adjustRightInd w:val="0"/>
              <w:snapToGrid w:val="0"/>
              <w:jc w:val="center"/>
              <w:rPr>
                <w:rFonts w:cs="Times New Roman"/>
                <w:sz w:val="22"/>
              </w:rPr>
            </w:pPr>
            <w:r>
              <w:rPr>
                <w:rFonts w:cs="Times New Roman"/>
                <w:sz w:val="22"/>
              </w:rPr>
              <w:t>237</w:t>
            </w:r>
          </w:p>
        </w:tc>
        <w:tc>
          <w:tcPr>
            <w:tcW w:w="778" w:type="dxa"/>
            <w:tcBorders>
              <w:top w:val="nil"/>
              <w:left w:val="single" w:sz="4" w:space="0" w:color="auto"/>
              <w:bottom w:val="single" w:sz="4" w:space="0" w:color="auto"/>
              <w:right w:val="single" w:sz="4" w:space="0" w:color="auto"/>
            </w:tcBorders>
            <w:hideMark/>
          </w:tcPr>
          <w:p w:rsidR="00610DDA" w:rsidRDefault="00610DDA">
            <w:pPr>
              <w:adjustRightInd w:val="0"/>
              <w:snapToGrid w:val="0"/>
              <w:jc w:val="center"/>
              <w:rPr>
                <w:rFonts w:cs="Times New Roman"/>
                <w:sz w:val="22"/>
              </w:rPr>
            </w:pPr>
            <w:r>
              <w:rPr>
                <w:rFonts w:cs="Times New Roman"/>
                <w:sz w:val="22"/>
              </w:rPr>
              <w:t>42.9</w:t>
            </w:r>
          </w:p>
        </w:tc>
        <w:tc>
          <w:tcPr>
            <w:tcW w:w="1468" w:type="dxa"/>
            <w:tcBorders>
              <w:top w:val="nil"/>
              <w:left w:val="single" w:sz="4" w:space="0" w:color="auto"/>
              <w:bottom w:val="single" w:sz="4" w:space="0" w:color="auto"/>
              <w:right w:val="double" w:sz="4" w:space="0" w:color="auto"/>
            </w:tcBorders>
            <w:hideMark/>
          </w:tcPr>
          <w:p w:rsidR="00610DDA" w:rsidRDefault="00610DDA">
            <w:pPr>
              <w:adjustRightInd w:val="0"/>
              <w:snapToGrid w:val="0"/>
              <w:jc w:val="center"/>
              <w:rPr>
                <w:rFonts w:cs="Times New Roman"/>
                <w:sz w:val="22"/>
              </w:rPr>
            </w:pPr>
            <w:r>
              <w:rPr>
                <w:rFonts w:cs="Times New Roman"/>
                <w:sz w:val="22"/>
              </w:rPr>
              <w:t>48.4</w:t>
            </w:r>
          </w:p>
        </w:tc>
      </w:tr>
      <w:tr w:rsidR="00610DDA" w:rsidTr="00FF26AA">
        <w:trPr>
          <w:trHeight w:val="317"/>
          <w:jc w:val="center"/>
        </w:trPr>
        <w:tc>
          <w:tcPr>
            <w:tcW w:w="2767" w:type="dxa"/>
            <w:vMerge w:val="restart"/>
            <w:tcBorders>
              <w:top w:val="single" w:sz="4" w:space="0" w:color="auto"/>
              <w:left w:val="double" w:sz="4" w:space="0" w:color="auto"/>
              <w:bottom w:val="single" w:sz="4" w:space="0" w:color="auto"/>
              <w:right w:val="single" w:sz="4" w:space="0" w:color="auto"/>
            </w:tcBorders>
            <w:hideMark/>
          </w:tcPr>
          <w:p w:rsidR="00610DDA" w:rsidRDefault="00610DDA">
            <w:pPr>
              <w:adjustRightInd w:val="0"/>
              <w:snapToGrid w:val="0"/>
              <w:rPr>
                <w:rFonts w:cs="Times New Roman"/>
                <w:b/>
                <w:i/>
                <w:sz w:val="22"/>
              </w:rPr>
            </w:pPr>
            <w:r>
              <w:rPr>
                <w:rFonts w:cs="Times New Roman"/>
                <w:b/>
                <w:i/>
                <w:sz w:val="22"/>
              </w:rPr>
              <w:t>Parent’s educational attainment</w:t>
            </w:r>
          </w:p>
        </w:tc>
        <w:tc>
          <w:tcPr>
            <w:tcW w:w="3608" w:type="dxa"/>
            <w:tcBorders>
              <w:top w:val="single" w:sz="4" w:space="0" w:color="auto"/>
              <w:left w:val="single" w:sz="4" w:space="0" w:color="auto"/>
              <w:bottom w:val="nil"/>
              <w:right w:val="single" w:sz="4" w:space="0" w:color="auto"/>
            </w:tcBorders>
            <w:hideMark/>
          </w:tcPr>
          <w:p w:rsidR="00610DDA" w:rsidRDefault="00650BD8">
            <w:pPr>
              <w:adjustRightInd w:val="0"/>
              <w:snapToGrid w:val="0"/>
              <w:rPr>
                <w:rFonts w:cs="Times New Roman"/>
                <w:sz w:val="22"/>
              </w:rPr>
            </w:pPr>
            <w:r>
              <w:rPr>
                <w:rFonts w:cs="Times New Roman"/>
                <w:sz w:val="22"/>
              </w:rPr>
              <w:t xml:space="preserve">Primary </w:t>
            </w:r>
            <w:r w:rsidR="00610DDA">
              <w:rPr>
                <w:rFonts w:cs="Times New Roman"/>
                <w:sz w:val="22"/>
              </w:rPr>
              <w:t xml:space="preserve">school and below </w:t>
            </w:r>
          </w:p>
        </w:tc>
        <w:tc>
          <w:tcPr>
            <w:tcW w:w="724" w:type="dxa"/>
            <w:tcBorders>
              <w:top w:val="single" w:sz="4" w:space="0" w:color="auto"/>
              <w:left w:val="single" w:sz="4" w:space="0" w:color="auto"/>
              <w:bottom w:val="nil"/>
              <w:right w:val="single" w:sz="4" w:space="0" w:color="auto"/>
            </w:tcBorders>
            <w:hideMark/>
          </w:tcPr>
          <w:p w:rsidR="00610DDA" w:rsidRDefault="00610DDA">
            <w:pPr>
              <w:adjustRightInd w:val="0"/>
              <w:snapToGrid w:val="0"/>
              <w:jc w:val="center"/>
              <w:rPr>
                <w:rFonts w:cs="Times New Roman"/>
                <w:sz w:val="22"/>
              </w:rPr>
            </w:pPr>
            <w:r>
              <w:rPr>
                <w:rFonts w:cs="Times New Roman"/>
                <w:sz w:val="22"/>
              </w:rPr>
              <w:t xml:space="preserve">  16</w:t>
            </w:r>
          </w:p>
        </w:tc>
        <w:tc>
          <w:tcPr>
            <w:tcW w:w="778" w:type="dxa"/>
            <w:tcBorders>
              <w:top w:val="single" w:sz="4" w:space="0" w:color="auto"/>
              <w:left w:val="single" w:sz="4" w:space="0" w:color="auto"/>
              <w:bottom w:val="nil"/>
              <w:right w:val="single" w:sz="4" w:space="0" w:color="auto"/>
            </w:tcBorders>
            <w:hideMark/>
          </w:tcPr>
          <w:p w:rsidR="00610DDA" w:rsidRDefault="00610DDA">
            <w:pPr>
              <w:adjustRightInd w:val="0"/>
              <w:snapToGrid w:val="0"/>
              <w:jc w:val="center"/>
              <w:rPr>
                <w:rFonts w:cs="Times New Roman"/>
                <w:sz w:val="22"/>
              </w:rPr>
            </w:pPr>
            <w:r>
              <w:rPr>
                <w:rFonts w:cs="Times New Roman"/>
                <w:sz w:val="22"/>
              </w:rPr>
              <w:t xml:space="preserve">  2.9</w:t>
            </w:r>
          </w:p>
        </w:tc>
        <w:tc>
          <w:tcPr>
            <w:tcW w:w="1468" w:type="dxa"/>
            <w:tcBorders>
              <w:top w:val="single" w:sz="4" w:space="0" w:color="auto"/>
              <w:left w:val="single" w:sz="4" w:space="0" w:color="auto"/>
              <w:bottom w:val="nil"/>
              <w:right w:val="double" w:sz="4" w:space="0" w:color="auto"/>
            </w:tcBorders>
          </w:tcPr>
          <w:p w:rsidR="00610DDA" w:rsidRDefault="00610DDA">
            <w:pPr>
              <w:adjustRightInd w:val="0"/>
              <w:snapToGrid w:val="0"/>
              <w:jc w:val="center"/>
              <w:rPr>
                <w:rFonts w:cs="Times New Roman"/>
                <w:sz w:val="22"/>
              </w:rPr>
            </w:pPr>
          </w:p>
        </w:tc>
      </w:tr>
      <w:tr w:rsidR="00610DDA" w:rsidTr="00FF26AA">
        <w:trPr>
          <w:trHeight w:val="317"/>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610DDA" w:rsidRDefault="00610DDA">
            <w:pPr>
              <w:rPr>
                <w:rFonts w:cs="Times New Roman"/>
                <w:b/>
                <w:i/>
                <w:sz w:val="22"/>
              </w:rPr>
            </w:pPr>
          </w:p>
        </w:tc>
        <w:tc>
          <w:tcPr>
            <w:tcW w:w="3608" w:type="dxa"/>
            <w:tcBorders>
              <w:top w:val="nil"/>
              <w:left w:val="single" w:sz="4" w:space="0" w:color="auto"/>
              <w:bottom w:val="nil"/>
              <w:right w:val="single" w:sz="4" w:space="0" w:color="auto"/>
            </w:tcBorders>
            <w:hideMark/>
          </w:tcPr>
          <w:p w:rsidR="00610DDA" w:rsidRDefault="00610DDA">
            <w:pPr>
              <w:adjustRightInd w:val="0"/>
              <w:snapToGrid w:val="0"/>
              <w:rPr>
                <w:rFonts w:cs="Times New Roman"/>
                <w:sz w:val="22"/>
              </w:rPr>
            </w:pPr>
            <w:r>
              <w:rPr>
                <w:rFonts w:cs="Times New Roman"/>
                <w:sz w:val="22"/>
              </w:rPr>
              <w:t>High school</w:t>
            </w:r>
          </w:p>
        </w:tc>
        <w:tc>
          <w:tcPr>
            <w:tcW w:w="724" w:type="dxa"/>
            <w:tcBorders>
              <w:top w:val="nil"/>
              <w:left w:val="single" w:sz="4" w:space="0" w:color="auto"/>
              <w:bottom w:val="nil"/>
              <w:right w:val="single" w:sz="4" w:space="0" w:color="auto"/>
            </w:tcBorders>
            <w:hideMark/>
          </w:tcPr>
          <w:p w:rsidR="00610DDA" w:rsidRDefault="00610DDA">
            <w:pPr>
              <w:adjustRightInd w:val="0"/>
              <w:snapToGrid w:val="0"/>
              <w:jc w:val="center"/>
              <w:rPr>
                <w:rFonts w:cs="Times New Roman"/>
                <w:sz w:val="22"/>
              </w:rPr>
            </w:pPr>
            <w:r>
              <w:rPr>
                <w:rFonts w:cs="Times New Roman"/>
                <w:sz w:val="22"/>
              </w:rPr>
              <w:t>242</w:t>
            </w:r>
          </w:p>
        </w:tc>
        <w:tc>
          <w:tcPr>
            <w:tcW w:w="778" w:type="dxa"/>
            <w:tcBorders>
              <w:top w:val="nil"/>
              <w:left w:val="single" w:sz="4" w:space="0" w:color="auto"/>
              <w:bottom w:val="nil"/>
              <w:right w:val="single" w:sz="4" w:space="0" w:color="auto"/>
            </w:tcBorders>
            <w:hideMark/>
          </w:tcPr>
          <w:p w:rsidR="00610DDA" w:rsidRDefault="00610DDA">
            <w:pPr>
              <w:adjustRightInd w:val="0"/>
              <w:snapToGrid w:val="0"/>
              <w:jc w:val="center"/>
              <w:rPr>
                <w:rFonts w:cs="Times New Roman"/>
                <w:sz w:val="22"/>
              </w:rPr>
            </w:pPr>
            <w:r>
              <w:rPr>
                <w:rFonts w:cs="Times New Roman"/>
                <w:sz w:val="22"/>
              </w:rPr>
              <w:t>43.8</w:t>
            </w:r>
          </w:p>
        </w:tc>
        <w:tc>
          <w:tcPr>
            <w:tcW w:w="1468" w:type="dxa"/>
            <w:tcBorders>
              <w:top w:val="nil"/>
              <w:left w:val="single" w:sz="4" w:space="0" w:color="auto"/>
              <w:bottom w:val="nil"/>
              <w:right w:val="double" w:sz="4" w:space="0" w:color="auto"/>
            </w:tcBorders>
          </w:tcPr>
          <w:p w:rsidR="00610DDA" w:rsidRDefault="00610DDA">
            <w:pPr>
              <w:adjustRightInd w:val="0"/>
              <w:snapToGrid w:val="0"/>
              <w:rPr>
                <w:rFonts w:cs="Times New Roman"/>
                <w:sz w:val="22"/>
              </w:rPr>
            </w:pPr>
          </w:p>
        </w:tc>
      </w:tr>
      <w:tr w:rsidR="00610DDA" w:rsidTr="00FF26AA">
        <w:trPr>
          <w:trHeight w:val="317"/>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610DDA" w:rsidRDefault="00610DDA">
            <w:pPr>
              <w:rPr>
                <w:rFonts w:cs="Times New Roman"/>
                <w:b/>
                <w:i/>
                <w:sz w:val="22"/>
              </w:rPr>
            </w:pPr>
          </w:p>
        </w:tc>
        <w:tc>
          <w:tcPr>
            <w:tcW w:w="3608" w:type="dxa"/>
            <w:tcBorders>
              <w:top w:val="nil"/>
              <w:left w:val="single" w:sz="4" w:space="0" w:color="auto"/>
              <w:bottom w:val="single" w:sz="4" w:space="0" w:color="auto"/>
              <w:right w:val="single" w:sz="4" w:space="0" w:color="auto"/>
            </w:tcBorders>
            <w:hideMark/>
          </w:tcPr>
          <w:p w:rsidR="00610DDA" w:rsidRDefault="00610DDA">
            <w:pPr>
              <w:adjustRightInd w:val="0"/>
              <w:snapToGrid w:val="0"/>
              <w:rPr>
                <w:rFonts w:cs="Times New Roman"/>
                <w:sz w:val="22"/>
              </w:rPr>
            </w:pPr>
            <w:r>
              <w:rPr>
                <w:rFonts w:cs="Times New Roman"/>
                <w:sz w:val="22"/>
              </w:rPr>
              <w:t>Undergraduate or postgraduate studies</w:t>
            </w:r>
          </w:p>
        </w:tc>
        <w:tc>
          <w:tcPr>
            <w:tcW w:w="724" w:type="dxa"/>
            <w:tcBorders>
              <w:top w:val="nil"/>
              <w:left w:val="single" w:sz="4" w:space="0" w:color="auto"/>
              <w:bottom w:val="single" w:sz="4" w:space="0" w:color="auto"/>
              <w:right w:val="single" w:sz="4" w:space="0" w:color="auto"/>
            </w:tcBorders>
            <w:hideMark/>
          </w:tcPr>
          <w:p w:rsidR="00610DDA" w:rsidRDefault="00610DDA">
            <w:pPr>
              <w:adjustRightInd w:val="0"/>
              <w:snapToGrid w:val="0"/>
              <w:jc w:val="center"/>
              <w:rPr>
                <w:rFonts w:cs="Times New Roman"/>
                <w:sz w:val="22"/>
              </w:rPr>
            </w:pPr>
            <w:r>
              <w:rPr>
                <w:rFonts w:cs="Times New Roman"/>
                <w:sz w:val="22"/>
              </w:rPr>
              <w:t>294</w:t>
            </w:r>
          </w:p>
        </w:tc>
        <w:tc>
          <w:tcPr>
            <w:tcW w:w="778" w:type="dxa"/>
            <w:tcBorders>
              <w:top w:val="nil"/>
              <w:left w:val="single" w:sz="4" w:space="0" w:color="auto"/>
              <w:bottom w:val="single" w:sz="4" w:space="0" w:color="auto"/>
              <w:right w:val="single" w:sz="4" w:space="0" w:color="auto"/>
            </w:tcBorders>
            <w:hideMark/>
          </w:tcPr>
          <w:p w:rsidR="00610DDA" w:rsidRDefault="00610DDA">
            <w:pPr>
              <w:adjustRightInd w:val="0"/>
              <w:snapToGrid w:val="0"/>
              <w:jc w:val="center"/>
              <w:rPr>
                <w:rFonts w:cs="Times New Roman"/>
                <w:sz w:val="22"/>
              </w:rPr>
            </w:pPr>
            <w:r>
              <w:rPr>
                <w:rFonts w:cs="Times New Roman"/>
                <w:sz w:val="22"/>
              </w:rPr>
              <w:t>53.3</w:t>
            </w:r>
          </w:p>
        </w:tc>
        <w:tc>
          <w:tcPr>
            <w:tcW w:w="1468" w:type="dxa"/>
            <w:tcBorders>
              <w:top w:val="nil"/>
              <w:left w:val="single" w:sz="4" w:space="0" w:color="auto"/>
              <w:bottom w:val="single" w:sz="4" w:space="0" w:color="auto"/>
              <w:right w:val="double" w:sz="4" w:space="0" w:color="auto"/>
            </w:tcBorders>
          </w:tcPr>
          <w:p w:rsidR="00610DDA" w:rsidRDefault="00610DDA">
            <w:pPr>
              <w:adjustRightInd w:val="0"/>
              <w:snapToGrid w:val="0"/>
              <w:jc w:val="center"/>
              <w:rPr>
                <w:rFonts w:cs="Times New Roman"/>
                <w:sz w:val="22"/>
              </w:rPr>
            </w:pPr>
          </w:p>
        </w:tc>
      </w:tr>
      <w:tr w:rsidR="00610DDA" w:rsidTr="00FF26AA">
        <w:trPr>
          <w:trHeight w:val="317"/>
          <w:jc w:val="center"/>
        </w:trPr>
        <w:tc>
          <w:tcPr>
            <w:tcW w:w="2767" w:type="dxa"/>
            <w:vMerge w:val="restart"/>
            <w:tcBorders>
              <w:top w:val="single" w:sz="4" w:space="0" w:color="auto"/>
              <w:left w:val="double" w:sz="4" w:space="0" w:color="auto"/>
              <w:bottom w:val="single" w:sz="4" w:space="0" w:color="auto"/>
              <w:right w:val="single" w:sz="4" w:space="0" w:color="auto"/>
            </w:tcBorders>
            <w:hideMark/>
          </w:tcPr>
          <w:p w:rsidR="00610DDA" w:rsidRDefault="00610DDA">
            <w:pPr>
              <w:adjustRightInd w:val="0"/>
              <w:snapToGrid w:val="0"/>
              <w:rPr>
                <w:rFonts w:cs="Times New Roman"/>
                <w:b/>
                <w:i/>
                <w:sz w:val="22"/>
              </w:rPr>
            </w:pPr>
            <w:r>
              <w:rPr>
                <w:rFonts w:cs="Times New Roman"/>
                <w:b/>
                <w:i/>
                <w:sz w:val="22"/>
              </w:rPr>
              <w:t>Monthly household income (HK$)</w:t>
            </w:r>
          </w:p>
        </w:tc>
        <w:tc>
          <w:tcPr>
            <w:tcW w:w="3608" w:type="dxa"/>
            <w:tcBorders>
              <w:top w:val="single" w:sz="4" w:space="0" w:color="auto"/>
              <w:left w:val="single" w:sz="4" w:space="0" w:color="auto"/>
              <w:bottom w:val="nil"/>
              <w:right w:val="single" w:sz="4" w:space="0" w:color="auto"/>
            </w:tcBorders>
            <w:hideMark/>
          </w:tcPr>
          <w:p w:rsidR="00610DDA" w:rsidRDefault="00610DDA">
            <w:pPr>
              <w:adjustRightInd w:val="0"/>
              <w:snapToGrid w:val="0"/>
              <w:rPr>
                <w:rFonts w:cs="Times New Roman"/>
                <w:sz w:val="22"/>
              </w:rPr>
            </w:pPr>
            <w:r>
              <w:rPr>
                <w:rFonts w:cs="Times New Roman"/>
                <w:sz w:val="22"/>
              </w:rPr>
              <w:t>&lt; 30,000</w:t>
            </w:r>
          </w:p>
        </w:tc>
        <w:tc>
          <w:tcPr>
            <w:tcW w:w="724" w:type="dxa"/>
            <w:tcBorders>
              <w:top w:val="single" w:sz="4" w:space="0" w:color="auto"/>
              <w:left w:val="single" w:sz="4" w:space="0" w:color="auto"/>
              <w:bottom w:val="nil"/>
              <w:right w:val="single" w:sz="4" w:space="0" w:color="auto"/>
            </w:tcBorders>
            <w:hideMark/>
          </w:tcPr>
          <w:p w:rsidR="00610DDA" w:rsidRDefault="00610DDA">
            <w:pPr>
              <w:adjustRightInd w:val="0"/>
              <w:snapToGrid w:val="0"/>
              <w:jc w:val="center"/>
              <w:rPr>
                <w:rFonts w:cs="Times New Roman"/>
                <w:sz w:val="22"/>
              </w:rPr>
            </w:pPr>
            <w:r>
              <w:rPr>
                <w:rFonts w:cs="Times New Roman"/>
                <w:sz w:val="22"/>
              </w:rPr>
              <w:t>223</w:t>
            </w:r>
          </w:p>
        </w:tc>
        <w:tc>
          <w:tcPr>
            <w:tcW w:w="778" w:type="dxa"/>
            <w:tcBorders>
              <w:top w:val="single" w:sz="4" w:space="0" w:color="auto"/>
              <w:left w:val="single" w:sz="4" w:space="0" w:color="auto"/>
              <w:bottom w:val="nil"/>
              <w:right w:val="single" w:sz="4" w:space="0" w:color="auto"/>
            </w:tcBorders>
            <w:hideMark/>
          </w:tcPr>
          <w:p w:rsidR="00610DDA" w:rsidRDefault="00610DDA">
            <w:pPr>
              <w:adjustRightInd w:val="0"/>
              <w:snapToGrid w:val="0"/>
              <w:jc w:val="center"/>
              <w:rPr>
                <w:rFonts w:cs="Times New Roman"/>
                <w:sz w:val="22"/>
              </w:rPr>
            </w:pPr>
            <w:r>
              <w:rPr>
                <w:rFonts w:cs="Times New Roman"/>
                <w:sz w:val="22"/>
              </w:rPr>
              <w:t>40.4</w:t>
            </w:r>
          </w:p>
        </w:tc>
        <w:tc>
          <w:tcPr>
            <w:tcW w:w="1468" w:type="dxa"/>
            <w:tcBorders>
              <w:top w:val="single" w:sz="4" w:space="0" w:color="auto"/>
              <w:left w:val="single" w:sz="4" w:space="0" w:color="auto"/>
              <w:bottom w:val="nil"/>
              <w:right w:val="double" w:sz="4" w:space="0" w:color="auto"/>
            </w:tcBorders>
            <w:hideMark/>
          </w:tcPr>
          <w:p w:rsidR="00610DDA" w:rsidRDefault="00610DDA">
            <w:pPr>
              <w:adjustRightInd w:val="0"/>
              <w:snapToGrid w:val="0"/>
              <w:jc w:val="center"/>
              <w:rPr>
                <w:rFonts w:cs="Times New Roman"/>
                <w:sz w:val="22"/>
              </w:rPr>
            </w:pPr>
            <w:r>
              <w:rPr>
                <w:rFonts w:cs="Times New Roman"/>
                <w:sz w:val="22"/>
              </w:rPr>
              <w:t>48.9</w:t>
            </w:r>
          </w:p>
        </w:tc>
      </w:tr>
      <w:tr w:rsidR="00610DDA" w:rsidTr="00FF26AA">
        <w:trPr>
          <w:trHeight w:val="317"/>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610DDA" w:rsidRDefault="00610DDA">
            <w:pPr>
              <w:rPr>
                <w:rFonts w:cs="Times New Roman"/>
                <w:b/>
                <w:i/>
                <w:sz w:val="22"/>
              </w:rPr>
            </w:pPr>
          </w:p>
        </w:tc>
        <w:tc>
          <w:tcPr>
            <w:tcW w:w="3608" w:type="dxa"/>
            <w:tcBorders>
              <w:top w:val="nil"/>
              <w:left w:val="single" w:sz="4" w:space="0" w:color="auto"/>
              <w:bottom w:val="nil"/>
              <w:right w:val="single" w:sz="4" w:space="0" w:color="auto"/>
            </w:tcBorders>
            <w:hideMark/>
          </w:tcPr>
          <w:p w:rsidR="00610DDA" w:rsidRDefault="00610DDA">
            <w:pPr>
              <w:adjustRightInd w:val="0"/>
              <w:snapToGrid w:val="0"/>
              <w:rPr>
                <w:rFonts w:cs="Times New Roman"/>
                <w:sz w:val="22"/>
              </w:rPr>
            </w:pPr>
            <w:r>
              <w:rPr>
                <w:rFonts w:cs="Times New Roman"/>
                <w:sz w:val="22"/>
              </w:rPr>
              <w:t>30,000 – 59,999</w:t>
            </w:r>
          </w:p>
        </w:tc>
        <w:tc>
          <w:tcPr>
            <w:tcW w:w="724" w:type="dxa"/>
            <w:tcBorders>
              <w:top w:val="nil"/>
              <w:left w:val="single" w:sz="4" w:space="0" w:color="auto"/>
              <w:bottom w:val="nil"/>
              <w:right w:val="single" w:sz="4" w:space="0" w:color="auto"/>
            </w:tcBorders>
            <w:hideMark/>
          </w:tcPr>
          <w:p w:rsidR="00610DDA" w:rsidRDefault="00610DDA">
            <w:pPr>
              <w:adjustRightInd w:val="0"/>
              <w:snapToGrid w:val="0"/>
              <w:jc w:val="center"/>
              <w:rPr>
                <w:rFonts w:cs="Times New Roman"/>
                <w:sz w:val="22"/>
              </w:rPr>
            </w:pPr>
            <w:r>
              <w:rPr>
                <w:rFonts w:cs="Times New Roman"/>
                <w:sz w:val="22"/>
              </w:rPr>
              <w:t>141</w:t>
            </w:r>
          </w:p>
        </w:tc>
        <w:tc>
          <w:tcPr>
            <w:tcW w:w="778" w:type="dxa"/>
            <w:tcBorders>
              <w:top w:val="nil"/>
              <w:left w:val="single" w:sz="4" w:space="0" w:color="auto"/>
              <w:bottom w:val="nil"/>
              <w:right w:val="single" w:sz="4" w:space="0" w:color="auto"/>
            </w:tcBorders>
            <w:hideMark/>
          </w:tcPr>
          <w:p w:rsidR="00610DDA" w:rsidRDefault="00610DDA">
            <w:pPr>
              <w:adjustRightInd w:val="0"/>
              <w:snapToGrid w:val="0"/>
              <w:jc w:val="center"/>
              <w:rPr>
                <w:rFonts w:cs="Times New Roman"/>
                <w:sz w:val="22"/>
              </w:rPr>
            </w:pPr>
            <w:r>
              <w:rPr>
                <w:rFonts w:cs="Times New Roman"/>
                <w:sz w:val="22"/>
              </w:rPr>
              <w:t>25.5</w:t>
            </w:r>
          </w:p>
        </w:tc>
        <w:tc>
          <w:tcPr>
            <w:tcW w:w="1468" w:type="dxa"/>
            <w:tcBorders>
              <w:top w:val="nil"/>
              <w:left w:val="single" w:sz="4" w:space="0" w:color="auto"/>
              <w:bottom w:val="nil"/>
              <w:right w:val="double" w:sz="4" w:space="0" w:color="auto"/>
            </w:tcBorders>
            <w:hideMark/>
          </w:tcPr>
          <w:p w:rsidR="00610DDA" w:rsidRDefault="00610DDA">
            <w:pPr>
              <w:adjustRightInd w:val="0"/>
              <w:snapToGrid w:val="0"/>
              <w:jc w:val="center"/>
              <w:rPr>
                <w:rFonts w:cs="Times New Roman"/>
                <w:sz w:val="22"/>
              </w:rPr>
            </w:pPr>
            <w:r>
              <w:rPr>
                <w:rFonts w:cs="Times New Roman"/>
                <w:sz w:val="22"/>
              </w:rPr>
              <w:t>28.6</w:t>
            </w:r>
          </w:p>
        </w:tc>
      </w:tr>
      <w:tr w:rsidR="00610DDA" w:rsidTr="00FF26AA">
        <w:trPr>
          <w:trHeight w:val="317"/>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610DDA" w:rsidRDefault="00610DDA">
            <w:pPr>
              <w:rPr>
                <w:rFonts w:cs="Times New Roman"/>
                <w:b/>
                <w:i/>
                <w:sz w:val="22"/>
              </w:rPr>
            </w:pPr>
          </w:p>
        </w:tc>
        <w:tc>
          <w:tcPr>
            <w:tcW w:w="3608" w:type="dxa"/>
            <w:tcBorders>
              <w:top w:val="nil"/>
              <w:left w:val="single" w:sz="4" w:space="0" w:color="auto"/>
              <w:bottom w:val="single" w:sz="4" w:space="0" w:color="auto"/>
              <w:right w:val="single" w:sz="4" w:space="0" w:color="auto"/>
            </w:tcBorders>
            <w:hideMark/>
          </w:tcPr>
          <w:p w:rsidR="00610DDA" w:rsidRDefault="00610DDA">
            <w:pPr>
              <w:adjustRightInd w:val="0"/>
              <w:snapToGrid w:val="0"/>
              <w:rPr>
                <w:rFonts w:cs="Times New Roman"/>
                <w:sz w:val="22"/>
              </w:rPr>
            </w:pPr>
            <w:r>
              <w:rPr>
                <w:rFonts w:cs="Times New Roman"/>
                <w:sz w:val="22"/>
              </w:rPr>
              <w:t>&gt;59,999</w:t>
            </w:r>
          </w:p>
        </w:tc>
        <w:tc>
          <w:tcPr>
            <w:tcW w:w="724" w:type="dxa"/>
            <w:tcBorders>
              <w:top w:val="nil"/>
              <w:left w:val="single" w:sz="4" w:space="0" w:color="auto"/>
              <w:bottom w:val="single" w:sz="4" w:space="0" w:color="auto"/>
              <w:right w:val="single" w:sz="4" w:space="0" w:color="auto"/>
            </w:tcBorders>
            <w:hideMark/>
          </w:tcPr>
          <w:p w:rsidR="00610DDA" w:rsidRDefault="00610DDA">
            <w:pPr>
              <w:adjustRightInd w:val="0"/>
              <w:snapToGrid w:val="0"/>
              <w:jc w:val="center"/>
              <w:rPr>
                <w:rFonts w:cs="Times New Roman"/>
                <w:sz w:val="22"/>
              </w:rPr>
            </w:pPr>
            <w:r>
              <w:rPr>
                <w:rFonts w:cs="Times New Roman"/>
                <w:sz w:val="22"/>
              </w:rPr>
              <w:t>188</w:t>
            </w:r>
          </w:p>
        </w:tc>
        <w:tc>
          <w:tcPr>
            <w:tcW w:w="778" w:type="dxa"/>
            <w:tcBorders>
              <w:top w:val="nil"/>
              <w:left w:val="single" w:sz="4" w:space="0" w:color="auto"/>
              <w:bottom w:val="single" w:sz="4" w:space="0" w:color="auto"/>
              <w:right w:val="single" w:sz="4" w:space="0" w:color="auto"/>
            </w:tcBorders>
            <w:hideMark/>
          </w:tcPr>
          <w:p w:rsidR="00610DDA" w:rsidRDefault="00610DDA">
            <w:pPr>
              <w:adjustRightInd w:val="0"/>
              <w:snapToGrid w:val="0"/>
              <w:jc w:val="center"/>
              <w:rPr>
                <w:rFonts w:cs="Times New Roman"/>
                <w:sz w:val="22"/>
              </w:rPr>
            </w:pPr>
            <w:r>
              <w:rPr>
                <w:rFonts w:cs="Times New Roman"/>
                <w:sz w:val="22"/>
              </w:rPr>
              <w:t>34.1</w:t>
            </w:r>
          </w:p>
        </w:tc>
        <w:tc>
          <w:tcPr>
            <w:tcW w:w="1468" w:type="dxa"/>
            <w:tcBorders>
              <w:top w:val="nil"/>
              <w:left w:val="single" w:sz="4" w:space="0" w:color="auto"/>
              <w:bottom w:val="single" w:sz="4" w:space="0" w:color="auto"/>
              <w:right w:val="double" w:sz="4" w:space="0" w:color="auto"/>
            </w:tcBorders>
            <w:hideMark/>
          </w:tcPr>
          <w:p w:rsidR="00610DDA" w:rsidRDefault="00610DDA">
            <w:pPr>
              <w:adjustRightInd w:val="0"/>
              <w:snapToGrid w:val="0"/>
              <w:jc w:val="center"/>
              <w:rPr>
                <w:rFonts w:cs="Times New Roman"/>
                <w:sz w:val="22"/>
              </w:rPr>
            </w:pPr>
            <w:r>
              <w:rPr>
                <w:rFonts w:cs="Times New Roman"/>
                <w:sz w:val="22"/>
              </w:rPr>
              <w:t>25.5</w:t>
            </w:r>
          </w:p>
        </w:tc>
      </w:tr>
      <w:tr w:rsidR="00610DDA" w:rsidTr="00FF26AA">
        <w:trPr>
          <w:trHeight w:val="317"/>
          <w:jc w:val="center"/>
        </w:trPr>
        <w:tc>
          <w:tcPr>
            <w:tcW w:w="2767" w:type="dxa"/>
            <w:vMerge w:val="restart"/>
            <w:tcBorders>
              <w:top w:val="single" w:sz="4" w:space="0" w:color="auto"/>
              <w:left w:val="double" w:sz="4" w:space="0" w:color="auto"/>
              <w:bottom w:val="single" w:sz="4" w:space="0" w:color="auto"/>
              <w:right w:val="single" w:sz="4" w:space="0" w:color="auto"/>
            </w:tcBorders>
            <w:hideMark/>
          </w:tcPr>
          <w:p w:rsidR="00610DDA" w:rsidRDefault="00610DDA">
            <w:pPr>
              <w:adjustRightInd w:val="0"/>
              <w:snapToGrid w:val="0"/>
              <w:rPr>
                <w:rFonts w:cs="Times New Roman"/>
                <w:b/>
                <w:i/>
                <w:sz w:val="22"/>
              </w:rPr>
            </w:pPr>
            <w:r>
              <w:rPr>
                <w:rFonts w:cs="Times New Roman"/>
                <w:b/>
                <w:i/>
                <w:sz w:val="22"/>
              </w:rPr>
              <w:t>Number of motorized vehicles in household</w:t>
            </w:r>
          </w:p>
        </w:tc>
        <w:tc>
          <w:tcPr>
            <w:tcW w:w="3608" w:type="dxa"/>
            <w:tcBorders>
              <w:top w:val="single" w:sz="4" w:space="0" w:color="auto"/>
              <w:left w:val="single" w:sz="4" w:space="0" w:color="auto"/>
              <w:bottom w:val="nil"/>
              <w:right w:val="single" w:sz="4" w:space="0" w:color="auto"/>
            </w:tcBorders>
            <w:hideMark/>
          </w:tcPr>
          <w:p w:rsidR="00610DDA" w:rsidRDefault="00610DDA">
            <w:pPr>
              <w:adjustRightInd w:val="0"/>
              <w:snapToGrid w:val="0"/>
              <w:rPr>
                <w:rFonts w:cs="Times New Roman"/>
                <w:sz w:val="22"/>
              </w:rPr>
            </w:pPr>
            <w:r>
              <w:rPr>
                <w:rFonts w:cs="Times New Roman"/>
                <w:sz w:val="22"/>
              </w:rPr>
              <w:t>0</w:t>
            </w:r>
          </w:p>
        </w:tc>
        <w:tc>
          <w:tcPr>
            <w:tcW w:w="724" w:type="dxa"/>
            <w:tcBorders>
              <w:top w:val="single" w:sz="4" w:space="0" w:color="auto"/>
              <w:left w:val="single" w:sz="4" w:space="0" w:color="auto"/>
              <w:bottom w:val="nil"/>
              <w:right w:val="single" w:sz="4" w:space="0" w:color="auto"/>
            </w:tcBorders>
            <w:hideMark/>
          </w:tcPr>
          <w:p w:rsidR="00610DDA" w:rsidRDefault="00610DDA">
            <w:pPr>
              <w:adjustRightInd w:val="0"/>
              <w:snapToGrid w:val="0"/>
              <w:jc w:val="center"/>
              <w:rPr>
                <w:rFonts w:cs="Times New Roman"/>
                <w:sz w:val="22"/>
              </w:rPr>
            </w:pPr>
            <w:r>
              <w:rPr>
                <w:rFonts w:cs="Times New Roman"/>
                <w:sz w:val="22"/>
              </w:rPr>
              <w:t>387</w:t>
            </w:r>
          </w:p>
        </w:tc>
        <w:tc>
          <w:tcPr>
            <w:tcW w:w="778" w:type="dxa"/>
            <w:tcBorders>
              <w:top w:val="single" w:sz="4" w:space="0" w:color="auto"/>
              <w:left w:val="single" w:sz="4" w:space="0" w:color="auto"/>
              <w:bottom w:val="nil"/>
              <w:right w:val="single" w:sz="4" w:space="0" w:color="auto"/>
            </w:tcBorders>
            <w:hideMark/>
          </w:tcPr>
          <w:p w:rsidR="00610DDA" w:rsidRDefault="00610DDA">
            <w:pPr>
              <w:adjustRightInd w:val="0"/>
              <w:snapToGrid w:val="0"/>
              <w:jc w:val="center"/>
              <w:rPr>
                <w:rFonts w:cs="Times New Roman"/>
                <w:sz w:val="22"/>
              </w:rPr>
            </w:pPr>
            <w:r>
              <w:rPr>
                <w:rFonts w:cs="Times New Roman"/>
                <w:sz w:val="22"/>
              </w:rPr>
              <w:t>70.1</w:t>
            </w:r>
          </w:p>
        </w:tc>
        <w:tc>
          <w:tcPr>
            <w:tcW w:w="1468" w:type="dxa"/>
            <w:tcBorders>
              <w:top w:val="single" w:sz="4" w:space="0" w:color="auto"/>
              <w:left w:val="single" w:sz="4" w:space="0" w:color="auto"/>
              <w:bottom w:val="nil"/>
              <w:right w:val="double" w:sz="4" w:space="0" w:color="auto"/>
            </w:tcBorders>
            <w:hideMark/>
          </w:tcPr>
          <w:p w:rsidR="00610DDA" w:rsidRDefault="00610DDA">
            <w:pPr>
              <w:adjustRightInd w:val="0"/>
              <w:snapToGrid w:val="0"/>
              <w:jc w:val="center"/>
              <w:rPr>
                <w:rFonts w:cs="Times New Roman"/>
                <w:sz w:val="22"/>
              </w:rPr>
            </w:pPr>
            <w:r>
              <w:rPr>
                <w:rFonts w:cs="Times New Roman"/>
                <w:sz w:val="22"/>
                <w:lang w:eastAsia="zh-CN"/>
              </w:rPr>
              <w:t>84.9</w:t>
            </w:r>
          </w:p>
        </w:tc>
      </w:tr>
      <w:tr w:rsidR="00610DDA" w:rsidTr="00FF26AA">
        <w:trPr>
          <w:trHeight w:val="317"/>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610DDA" w:rsidRDefault="00610DDA">
            <w:pPr>
              <w:rPr>
                <w:rFonts w:cs="Times New Roman"/>
                <w:b/>
                <w:i/>
                <w:sz w:val="22"/>
              </w:rPr>
            </w:pPr>
          </w:p>
        </w:tc>
        <w:tc>
          <w:tcPr>
            <w:tcW w:w="3608" w:type="dxa"/>
            <w:tcBorders>
              <w:top w:val="nil"/>
              <w:left w:val="single" w:sz="4" w:space="0" w:color="auto"/>
              <w:bottom w:val="nil"/>
              <w:right w:val="single" w:sz="4" w:space="0" w:color="auto"/>
            </w:tcBorders>
            <w:hideMark/>
          </w:tcPr>
          <w:p w:rsidR="00610DDA" w:rsidRDefault="00610DDA">
            <w:pPr>
              <w:adjustRightInd w:val="0"/>
              <w:snapToGrid w:val="0"/>
              <w:rPr>
                <w:rFonts w:cs="Times New Roman"/>
                <w:sz w:val="22"/>
              </w:rPr>
            </w:pPr>
            <w:r>
              <w:rPr>
                <w:rFonts w:cs="Times New Roman"/>
                <w:sz w:val="22"/>
              </w:rPr>
              <w:t>1</w:t>
            </w:r>
          </w:p>
        </w:tc>
        <w:tc>
          <w:tcPr>
            <w:tcW w:w="724" w:type="dxa"/>
            <w:tcBorders>
              <w:top w:val="nil"/>
              <w:left w:val="single" w:sz="4" w:space="0" w:color="auto"/>
              <w:bottom w:val="nil"/>
              <w:right w:val="single" w:sz="4" w:space="0" w:color="auto"/>
            </w:tcBorders>
            <w:hideMark/>
          </w:tcPr>
          <w:p w:rsidR="00610DDA" w:rsidRDefault="00610DDA">
            <w:pPr>
              <w:adjustRightInd w:val="0"/>
              <w:snapToGrid w:val="0"/>
              <w:jc w:val="center"/>
              <w:rPr>
                <w:rFonts w:cs="Times New Roman"/>
                <w:sz w:val="22"/>
              </w:rPr>
            </w:pPr>
            <w:r>
              <w:rPr>
                <w:rFonts w:cs="Times New Roman"/>
                <w:sz w:val="22"/>
              </w:rPr>
              <w:t>133</w:t>
            </w:r>
          </w:p>
        </w:tc>
        <w:tc>
          <w:tcPr>
            <w:tcW w:w="778" w:type="dxa"/>
            <w:tcBorders>
              <w:top w:val="nil"/>
              <w:left w:val="single" w:sz="4" w:space="0" w:color="auto"/>
              <w:bottom w:val="nil"/>
              <w:right w:val="single" w:sz="4" w:space="0" w:color="auto"/>
            </w:tcBorders>
            <w:hideMark/>
          </w:tcPr>
          <w:p w:rsidR="00610DDA" w:rsidRDefault="00610DDA">
            <w:pPr>
              <w:adjustRightInd w:val="0"/>
              <w:snapToGrid w:val="0"/>
              <w:jc w:val="center"/>
              <w:rPr>
                <w:rFonts w:cs="Times New Roman"/>
                <w:sz w:val="22"/>
              </w:rPr>
            </w:pPr>
            <w:r>
              <w:rPr>
                <w:rFonts w:cs="Times New Roman"/>
                <w:sz w:val="22"/>
              </w:rPr>
              <w:t>24.1</w:t>
            </w:r>
          </w:p>
        </w:tc>
        <w:tc>
          <w:tcPr>
            <w:tcW w:w="1468" w:type="dxa"/>
            <w:tcBorders>
              <w:top w:val="nil"/>
              <w:left w:val="single" w:sz="4" w:space="0" w:color="auto"/>
              <w:bottom w:val="nil"/>
              <w:right w:val="double" w:sz="4" w:space="0" w:color="auto"/>
            </w:tcBorders>
            <w:hideMark/>
          </w:tcPr>
          <w:p w:rsidR="00610DDA" w:rsidRDefault="00610DDA">
            <w:pPr>
              <w:adjustRightInd w:val="0"/>
              <w:snapToGrid w:val="0"/>
              <w:jc w:val="center"/>
              <w:rPr>
                <w:rFonts w:cs="Times New Roman"/>
                <w:sz w:val="22"/>
              </w:rPr>
            </w:pPr>
            <w:r>
              <w:rPr>
                <w:rFonts w:cs="Times New Roman"/>
                <w:sz w:val="22"/>
                <w:lang w:eastAsia="zh-CN"/>
              </w:rPr>
              <w:t>13.3</w:t>
            </w:r>
          </w:p>
        </w:tc>
      </w:tr>
      <w:tr w:rsidR="00610DDA" w:rsidTr="00FF26AA">
        <w:trPr>
          <w:trHeight w:val="317"/>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610DDA" w:rsidRDefault="00610DDA">
            <w:pPr>
              <w:rPr>
                <w:rFonts w:cs="Times New Roman"/>
                <w:b/>
                <w:i/>
                <w:sz w:val="22"/>
              </w:rPr>
            </w:pPr>
          </w:p>
        </w:tc>
        <w:tc>
          <w:tcPr>
            <w:tcW w:w="3608" w:type="dxa"/>
            <w:tcBorders>
              <w:top w:val="nil"/>
              <w:left w:val="single" w:sz="4" w:space="0" w:color="auto"/>
              <w:bottom w:val="single" w:sz="4" w:space="0" w:color="auto"/>
              <w:right w:val="single" w:sz="4" w:space="0" w:color="auto"/>
            </w:tcBorders>
            <w:hideMark/>
          </w:tcPr>
          <w:p w:rsidR="00610DDA" w:rsidRDefault="00610DDA">
            <w:pPr>
              <w:adjustRightInd w:val="0"/>
              <w:snapToGrid w:val="0"/>
              <w:rPr>
                <w:rFonts w:cs="Times New Roman"/>
                <w:sz w:val="22"/>
              </w:rPr>
            </w:pPr>
            <w:r>
              <w:rPr>
                <w:rFonts w:cs="Times New Roman"/>
                <w:sz w:val="22"/>
              </w:rPr>
              <w:t xml:space="preserve">2 </w:t>
            </w:r>
            <w:r>
              <w:rPr>
                <w:rFonts w:cs="Times New Roman"/>
                <w:sz w:val="22"/>
                <w:lang w:eastAsia="zh-CN"/>
              </w:rPr>
              <w:t>or more</w:t>
            </w:r>
          </w:p>
        </w:tc>
        <w:tc>
          <w:tcPr>
            <w:tcW w:w="724" w:type="dxa"/>
            <w:tcBorders>
              <w:top w:val="nil"/>
              <w:left w:val="single" w:sz="4" w:space="0" w:color="auto"/>
              <w:bottom w:val="single" w:sz="4" w:space="0" w:color="auto"/>
              <w:right w:val="single" w:sz="4" w:space="0" w:color="auto"/>
            </w:tcBorders>
            <w:hideMark/>
          </w:tcPr>
          <w:p w:rsidR="00610DDA" w:rsidRDefault="00610DDA">
            <w:pPr>
              <w:adjustRightInd w:val="0"/>
              <w:snapToGrid w:val="0"/>
              <w:jc w:val="center"/>
              <w:rPr>
                <w:rFonts w:cs="Times New Roman"/>
                <w:sz w:val="22"/>
              </w:rPr>
            </w:pPr>
            <w:r>
              <w:rPr>
                <w:rFonts w:cs="Times New Roman"/>
                <w:sz w:val="22"/>
              </w:rPr>
              <w:t xml:space="preserve">  32</w:t>
            </w:r>
          </w:p>
        </w:tc>
        <w:tc>
          <w:tcPr>
            <w:tcW w:w="778" w:type="dxa"/>
            <w:tcBorders>
              <w:top w:val="nil"/>
              <w:left w:val="single" w:sz="4" w:space="0" w:color="auto"/>
              <w:bottom w:val="single" w:sz="4" w:space="0" w:color="auto"/>
              <w:right w:val="single" w:sz="4" w:space="0" w:color="auto"/>
            </w:tcBorders>
            <w:hideMark/>
          </w:tcPr>
          <w:p w:rsidR="00610DDA" w:rsidRDefault="00610DDA">
            <w:pPr>
              <w:adjustRightInd w:val="0"/>
              <w:snapToGrid w:val="0"/>
              <w:jc w:val="center"/>
              <w:rPr>
                <w:rFonts w:cs="Times New Roman"/>
                <w:sz w:val="22"/>
              </w:rPr>
            </w:pPr>
            <w:r>
              <w:rPr>
                <w:rFonts w:cs="Times New Roman"/>
                <w:sz w:val="22"/>
              </w:rPr>
              <w:t xml:space="preserve">  5.8</w:t>
            </w:r>
          </w:p>
        </w:tc>
        <w:tc>
          <w:tcPr>
            <w:tcW w:w="1468" w:type="dxa"/>
            <w:tcBorders>
              <w:top w:val="nil"/>
              <w:left w:val="single" w:sz="4" w:space="0" w:color="auto"/>
              <w:bottom w:val="single" w:sz="4" w:space="0" w:color="auto"/>
              <w:right w:val="double" w:sz="4" w:space="0" w:color="auto"/>
            </w:tcBorders>
            <w:hideMark/>
          </w:tcPr>
          <w:p w:rsidR="00610DDA" w:rsidRDefault="00610DDA">
            <w:pPr>
              <w:adjustRightInd w:val="0"/>
              <w:snapToGrid w:val="0"/>
              <w:jc w:val="center"/>
              <w:rPr>
                <w:rFonts w:cs="Times New Roman"/>
                <w:sz w:val="22"/>
              </w:rPr>
            </w:pPr>
            <w:r>
              <w:rPr>
                <w:rFonts w:cs="Times New Roman"/>
                <w:sz w:val="22"/>
                <w:lang w:eastAsia="zh-CN"/>
              </w:rPr>
              <w:t>1.8</w:t>
            </w:r>
          </w:p>
        </w:tc>
      </w:tr>
      <w:tr w:rsidR="00610DDA" w:rsidTr="00FF26AA">
        <w:trPr>
          <w:trHeight w:val="317"/>
          <w:jc w:val="center"/>
        </w:trPr>
        <w:tc>
          <w:tcPr>
            <w:tcW w:w="2767" w:type="dxa"/>
            <w:vMerge w:val="restart"/>
            <w:tcBorders>
              <w:top w:val="single" w:sz="4" w:space="0" w:color="auto"/>
              <w:left w:val="double" w:sz="4" w:space="0" w:color="auto"/>
              <w:bottom w:val="single" w:sz="4" w:space="0" w:color="auto"/>
              <w:right w:val="single" w:sz="4" w:space="0" w:color="auto"/>
            </w:tcBorders>
            <w:hideMark/>
          </w:tcPr>
          <w:p w:rsidR="00610DDA" w:rsidRDefault="00610DDA">
            <w:pPr>
              <w:adjustRightInd w:val="0"/>
              <w:snapToGrid w:val="0"/>
              <w:rPr>
                <w:rFonts w:cs="Times New Roman"/>
                <w:b/>
                <w:i/>
                <w:sz w:val="22"/>
              </w:rPr>
            </w:pPr>
            <w:r>
              <w:rPr>
                <w:rFonts w:cs="Times New Roman"/>
                <w:b/>
                <w:i/>
                <w:sz w:val="22"/>
              </w:rPr>
              <w:t>Number of children (siblings) in household</w:t>
            </w:r>
          </w:p>
        </w:tc>
        <w:tc>
          <w:tcPr>
            <w:tcW w:w="3608" w:type="dxa"/>
            <w:tcBorders>
              <w:top w:val="single" w:sz="4" w:space="0" w:color="auto"/>
              <w:left w:val="single" w:sz="4" w:space="0" w:color="auto"/>
              <w:bottom w:val="nil"/>
              <w:right w:val="single" w:sz="4" w:space="0" w:color="auto"/>
            </w:tcBorders>
            <w:hideMark/>
          </w:tcPr>
          <w:p w:rsidR="00610DDA" w:rsidRDefault="00610DDA">
            <w:pPr>
              <w:adjustRightInd w:val="0"/>
              <w:snapToGrid w:val="0"/>
              <w:rPr>
                <w:rFonts w:cs="Times New Roman"/>
                <w:sz w:val="22"/>
              </w:rPr>
            </w:pPr>
            <w:r>
              <w:rPr>
                <w:rFonts w:cs="Times New Roman"/>
                <w:sz w:val="22"/>
              </w:rPr>
              <w:t>1</w:t>
            </w:r>
          </w:p>
        </w:tc>
        <w:tc>
          <w:tcPr>
            <w:tcW w:w="724" w:type="dxa"/>
            <w:tcBorders>
              <w:top w:val="single" w:sz="4" w:space="0" w:color="auto"/>
              <w:left w:val="single" w:sz="4" w:space="0" w:color="auto"/>
              <w:bottom w:val="nil"/>
              <w:right w:val="single" w:sz="4" w:space="0" w:color="auto"/>
            </w:tcBorders>
            <w:hideMark/>
          </w:tcPr>
          <w:p w:rsidR="00610DDA" w:rsidRDefault="00610DDA">
            <w:pPr>
              <w:adjustRightInd w:val="0"/>
              <w:snapToGrid w:val="0"/>
              <w:jc w:val="center"/>
              <w:rPr>
                <w:rFonts w:cs="Times New Roman"/>
                <w:sz w:val="22"/>
              </w:rPr>
            </w:pPr>
            <w:r>
              <w:rPr>
                <w:rFonts w:cs="Times New Roman"/>
                <w:sz w:val="22"/>
              </w:rPr>
              <w:t>152</w:t>
            </w:r>
          </w:p>
        </w:tc>
        <w:tc>
          <w:tcPr>
            <w:tcW w:w="778" w:type="dxa"/>
            <w:tcBorders>
              <w:top w:val="single" w:sz="4" w:space="0" w:color="auto"/>
              <w:left w:val="single" w:sz="4" w:space="0" w:color="auto"/>
              <w:bottom w:val="nil"/>
              <w:right w:val="single" w:sz="4" w:space="0" w:color="auto"/>
            </w:tcBorders>
            <w:hideMark/>
          </w:tcPr>
          <w:p w:rsidR="00610DDA" w:rsidRDefault="00610DDA">
            <w:pPr>
              <w:adjustRightInd w:val="0"/>
              <w:snapToGrid w:val="0"/>
              <w:jc w:val="center"/>
              <w:rPr>
                <w:rFonts w:cs="Times New Roman"/>
                <w:sz w:val="22"/>
              </w:rPr>
            </w:pPr>
            <w:r>
              <w:rPr>
                <w:rFonts w:cs="Times New Roman"/>
                <w:sz w:val="22"/>
              </w:rPr>
              <w:t>27.5</w:t>
            </w:r>
          </w:p>
        </w:tc>
        <w:tc>
          <w:tcPr>
            <w:tcW w:w="1468" w:type="dxa"/>
            <w:tcBorders>
              <w:top w:val="single" w:sz="4" w:space="0" w:color="auto"/>
              <w:left w:val="single" w:sz="4" w:space="0" w:color="auto"/>
              <w:bottom w:val="nil"/>
              <w:right w:val="double" w:sz="4" w:space="0" w:color="auto"/>
            </w:tcBorders>
            <w:hideMark/>
          </w:tcPr>
          <w:p w:rsidR="00610DDA" w:rsidRDefault="00610DDA">
            <w:pPr>
              <w:adjustRightInd w:val="0"/>
              <w:snapToGrid w:val="0"/>
              <w:jc w:val="center"/>
              <w:rPr>
                <w:rFonts w:cs="Times New Roman"/>
                <w:sz w:val="22"/>
                <w:lang w:eastAsia="zh-CN"/>
              </w:rPr>
            </w:pPr>
            <w:r>
              <w:rPr>
                <w:rFonts w:cs="Times New Roman"/>
                <w:sz w:val="22"/>
              </w:rPr>
              <w:t>63.1</w:t>
            </w:r>
          </w:p>
        </w:tc>
      </w:tr>
      <w:tr w:rsidR="00610DDA" w:rsidTr="00FF26AA">
        <w:trPr>
          <w:trHeight w:val="317"/>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610DDA" w:rsidRDefault="00610DDA">
            <w:pPr>
              <w:rPr>
                <w:rFonts w:cs="Times New Roman"/>
                <w:b/>
                <w:i/>
                <w:sz w:val="22"/>
              </w:rPr>
            </w:pPr>
          </w:p>
        </w:tc>
        <w:tc>
          <w:tcPr>
            <w:tcW w:w="3608" w:type="dxa"/>
            <w:tcBorders>
              <w:top w:val="nil"/>
              <w:left w:val="single" w:sz="4" w:space="0" w:color="auto"/>
              <w:bottom w:val="nil"/>
              <w:right w:val="single" w:sz="4" w:space="0" w:color="auto"/>
            </w:tcBorders>
            <w:hideMark/>
          </w:tcPr>
          <w:p w:rsidR="00610DDA" w:rsidRDefault="00610DDA">
            <w:pPr>
              <w:adjustRightInd w:val="0"/>
              <w:snapToGrid w:val="0"/>
              <w:rPr>
                <w:rFonts w:cs="Times New Roman"/>
                <w:sz w:val="22"/>
              </w:rPr>
            </w:pPr>
            <w:r>
              <w:rPr>
                <w:rFonts w:cs="Times New Roman"/>
                <w:sz w:val="22"/>
              </w:rPr>
              <w:t>2</w:t>
            </w:r>
          </w:p>
        </w:tc>
        <w:tc>
          <w:tcPr>
            <w:tcW w:w="724" w:type="dxa"/>
            <w:tcBorders>
              <w:top w:val="nil"/>
              <w:left w:val="single" w:sz="4" w:space="0" w:color="auto"/>
              <w:bottom w:val="nil"/>
              <w:right w:val="single" w:sz="4" w:space="0" w:color="auto"/>
            </w:tcBorders>
            <w:hideMark/>
          </w:tcPr>
          <w:p w:rsidR="00610DDA" w:rsidRDefault="00610DDA">
            <w:pPr>
              <w:adjustRightInd w:val="0"/>
              <w:snapToGrid w:val="0"/>
              <w:jc w:val="center"/>
              <w:rPr>
                <w:rFonts w:cs="Times New Roman"/>
                <w:sz w:val="22"/>
              </w:rPr>
            </w:pPr>
            <w:r>
              <w:rPr>
                <w:rFonts w:cs="Times New Roman"/>
                <w:sz w:val="22"/>
              </w:rPr>
              <w:t>332</w:t>
            </w:r>
          </w:p>
        </w:tc>
        <w:tc>
          <w:tcPr>
            <w:tcW w:w="778" w:type="dxa"/>
            <w:tcBorders>
              <w:top w:val="nil"/>
              <w:left w:val="single" w:sz="4" w:space="0" w:color="auto"/>
              <w:bottom w:val="nil"/>
              <w:right w:val="single" w:sz="4" w:space="0" w:color="auto"/>
            </w:tcBorders>
            <w:hideMark/>
          </w:tcPr>
          <w:p w:rsidR="00610DDA" w:rsidRDefault="00610DDA">
            <w:pPr>
              <w:adjustRightInd w:val="0"/>
              <w:snapToGrid w:val="0"/>
              <w:jc w:val="center"/>
              <w:rPr>
                <w:rFonts w:cs="Times New Roman"/>
                <w:sz w:val="22"/>
              </w:rPr>
            </w:pPr>
            <w:r>
              <w:rPr>
                <w:rFonts w:cs="Times New Roman"/>
                <w:sz w:val="22"/>
              </w:rPr>
              <w:t>60.2</w:t>
            </w:r>
          </w:p>
        </w:tc>
        <w:tc>
          <w:tcPr>
            <w:tcW w:w="1468" w:type="dxa"/>
            <w:tcBorders>
              <w:top w:val="nil"/>
              <w:left w:val="single" w:sz="4" w:space="0" w:color="auto"/>
              <w:bottom w:val="nil"/>
              <w:right w:val="double" w:sz="4" w:space="0" w:color="auto"/>
            </w:tcBorders>
            <w:hideMark/>
          </w:tcPr>
          <w:p w:rsidR="00610DDA" w:rsidRDefault="00610DDA">
            <w:pPr>
              <w:adjustRightInd w:val="0"/>
              <w:snapToGrid w:val="0"/>
              <w:jc w:val="center"/>
              <w:rPr>
                <w:rFonts w:cs="Times New Roman"/>
                <w:sz w:val="22"/>
                <w:lang w:eastAsia="zh-CN"/>
              </w:rPr>
            </w:pPr>
            <w:r>
              <w:rPr>
                <w:rFonts w:cs="Times New Roman"/>
                <w:sz w:val="22"/>
              </w:rPr>
              <w:t>33.0</w:t>
            </w:r>
          </w:p>
        </w:tc>
      </w:tr>
      <w:tr w:rsidR="00610DDA" w:rsidTr="00FF26AA">
        <w:trPr>
          <w:trHeight w:val="317"/>
          <w:jc w:val="center"/>
        </w:trPr>
        <w:tc>
          <w:tcPr>
            <w:tcW w:w="0" w:type="auto"/>
            <w:vMerge/>
            <w:tcBorders>
              <w:top w:val="single" w:sz="4" w:space="0" w:color="auto"/>
              <w:left w:val="double" w:sz="4" w:space="0" w:color="auto"/>
              <w:bottom w:val="single" w:sz="4" w:space="0" w:color="auto"/>
              <w:right w:val="single" w:sz="4" w:space="0" w:color="auto"/>
            </w:tcBorders>
            <w:vAlign w:val="center"/>
            <w:hideMark/>
          </w:tcPr>
          <w:p w:rsidR="00610DDA" w:rsidRDefault="00610DDA">
            <w:pPr>
              <w:rPr>
                <w:rFonts w:cs="Times New Roman"/>
                <w:b/>
                <w:i/>
                <w:sz w:val="22"/>
              </w:rPr>
            </w:pPr>
          </w:p>
        </w:tc>
        <w:tc>
          <w:tcPr>
            <w:tcW w:w="3608" w:type="dxa"/>
            <w:tcBorders>
              <w:top w:val="nil"/>
              <w:left w:val="single" w:sz="4" w:space="0" w:color="auto"/>
              <w:bottom w:val="nil"/>
              <w:right w:val="single" w:sz="4" w:space="0" w:color="auto"/>
            </w:tcBorders>
            <w:hideMark/>
          </w:tcPr>
          <w:p w:rsidR="00610DDA" w:rsidRDefault="00610DDA">
            <w:pPr>
              <w:adjustRightInd w:val="0"/>
              <w:snapToGrid w:val="0"/>
              <w:rPr>
                <w:rFonts w:cs="Times New Roman"/>
                <w:sz w:val="22"/>
              </w:rPr>
            </w:pPr>
            <w:r>
              <w:rPr>
                <w:rFonts w:cs="Times New Roman"/>
                <w:sz w:val="22"/>
              </w:rPr>
              <w:t>3 or more</w:t>
            </w:r>
          </w:p>
        </w:tc>
        <w:tc>
          <w:tcPr>
            <w:tcW w:w="724" w:type="dxa"/>
            <w:tcBorders>
              <w:top w:val="nil"/>
              <w:left w:val="single" w:sz="4" w:space="0" w:color="auto"/>
              <w:bottom w:val="nil"/>
              <w:right w:val="single" w:sz="4" w:space="0" w:color="auto"/>
            </w:tcBorders>
            <w:hideMark/>
          </w:tcPr>
          <w:p w:rsidR="00610DDA" w:rsidRDefault="00610DDA">
            <w:pPr>
              <w:adjustRightInd w:val="0"/>
              <w:snapToGrid w:val="0"/>
              <w:jc w:val="center"/>
              <w:rPr>
                <w:rFonts w:cs="Times New Roman"/>
                <w:sz w:val="22"/>
              </w:rPr>
            </w:pPr>
            <w:r>
              <w:rPr>
                <w:rFonts w:cs="Times New Roman"/>
                <w:sz w:val="22"/>
              </w:rPr>
              <w:t xml:space="preserve">  68</w:t>
            </w:r>
          </w:p>
        </w:tc>
        <w:tc>
          <w:tcPr>
            <w:tcW w:w="778" w:type="dxa"/>
            <w:tcBorders>
              <w:top w:val="nil"/>
              <w:left w:val="single" w:sz="4" w:space="0" w:color="auto"/>
              <w:bottom w:val="nil"/>
              <w:right w:val="single" w:sz="4" w:space="0" w:color="auto"/>
            </w:tcBorders>
            <w:hideMark/>
          </w:tcPr>
          <w:p w:rsidR="00610DDA" w:rsidRDefault="00610DDA">
            <w:pPr>
              <w:adjustRightInd w:val="0"/>
              <w:snapToGrid w:val="0"/>
              <w:jc w:val="center"/>
              <w:rPr>
                <w:rFonts w:cs="Times New Roman"/>
                <w:sz w:val="22"/>
              </w:rPr>
            </w:pPr>
            <w:r>
              <w:rPr>
                <w:rFonts w:cs="Times New Roman"/>
                <w:sz w:val="22"/>
              </w:rPr>
              <w:t>12.3</w:t>
            </w:r>
          </w:p>
        </w:tc>
        <w:tc>
          <w:tcPr>
            <w:tcW w:w="1468" w:type="dxa"/>
            <w:tcBorders>
              <w:top w:val="nil"/>
              <w:left w:val="single" w:sz="4" w:space="0" w:color="auto"/>
              <w:bottom w:val="nil"/>
              <w:right w:val="double" w:sz="4" w:space="0" w:color="auto"/>
            </w:tcBorders>
            <w:hideMark/>
          </w:tcPr>
          <w:p w:rsidR="00610DDA" w:rsidRDefault="00610DDA">
            <w:pPr>
              <w:adjustRightInd w:val="0"/>
              <w:snapToGrid w:val="0"/>
              <w:jc w:val="center"/>
              <w:rPr>
                <w:rFonts w:cs="Times New Roman"/>
                <w:sz w:val="22"/>
                <w:lang w:eastAsia="zh-CN"/>
              </w:rPr>
            </w:pPr>
            <w:r>
              <w:rPr>
                <w:rFonts w:cs="Times New Roman"/>
                <w:sz w:val="22"/>
              </w:rPr>
              <w:t>3.9</w:t>
            </w:r>
          </w:p>
        </w:tc>
      </w:tr>
      <w:tr w:rsidR="00610DDA" w:rsidTr="00FF26AA">
        <w:trPr>
          <w:trHeight w:val="317"/>
          <w:jc w:val="center"/>
        </w:trPr>
        <w:tc>
          <w:tcPr>
            <w:tcW w:w="2767" w:type="dxa"/>
            <w:tcBorders>
              <w:top w:val="single" w:sz="4" w:space="0" w:color="auto"/>
              <w:left w:val="double" w:sz="4" w:space="0" w:color="auto"/>
              <w:bottom w:val="nil"/>
              <w:right w:val="single" w:sz="4" w:space="0" w:color="auto"/>
            </w:tcBorders>
            <w:hideMark/>
          </w:tcPr>
          <w:p w:rsidR="00610DDA" w:rsidRDefault="00610DDA">
            <w:pPr>
              <w:adjustRightInd w:val="0"/>
              <w:snapToGrid w:val="0"/>
              <w:rPr>
                <w:rFonts w:cs="Times New Roman"/>
                <w:b/>
                <w:i/>
                <w:sz w:val="22"/>
              </w:rPr>
            </w:pPr>
            <w:r>
              <w:rPr>
                <w:rFonts w:cs="Times New Roman"/>
                <w:b/>
                <w:i/>
                <w:sz w:val="22"/>
              </w:rPr>
              <w:t>Working status of parents</w:t>
            </w:r>
          </w:p>
        </w:tc>
        <w:tc>
          <w:tcPr>
            <w:tcW w:w="3608" w:type="dxa"/>
            <w:tcBorders>
              <w:top w:val="single" w:sz="4" w:space="0" w:color="auto"/>
              <w:left w:val="single" w:sz="4" w:space="0" w:color="auto"/>
              <w:bottom w:val="nil"/>
              <w:right w:val="single" w:sz="4" w:space="0" w:color="auto"/>
            </w:tcBorders>
            <w:hideMark/>
          </w:tcPr>
          <w:p w:rsidR="00610DDA" w:rsidRDefault="00610DDA">
            <w:pPr>
              <w:adjustRightInd w:val="0"/>
              <w:snapToGrid w:val="0"/>
              <w:rPr>
                <w:rFonts w:cs="Times New Roman"/>
                <w:sz w:val="22"/>
              </w:rPr>
            </w:pPr>
            <w:r>
              <w:rPr>
                <w:rFonts w:cs="Times New Roman"/>
                <w:sz w:val="22"/>
              </w:rPr>
              <w:t>Both working</w:t>
            </w:r>
          </w:p>
        </w:tc>
        <w:tc>
          <w:tcPr>
            <w:tcW w:w="724" w:type="dxa"/>
            <w:tcBorders>
              <w:top w:val="single" w:sz="4" w:space="0" w:color="auto"/>
              <w:left w:val="single" w:sz="4" w:space="0" w:color="auto"/>
              <w:bottom w:val="nil"/>
              <w:right w:val="single" w:sz="4" w:space="0" w:color="auto"/>
            </w:tcBorders>
            <w:hideMark/>
          </w:tcPr>
          <w:p w:rsidR="00610DDA" w:rsidRDefault="00610DDA">
            <w:pPr>
              <w:adjustRightInd w:val="0"/>
              <w:snapToGrid w:val="0"/>
              <w:jc w:val="center"/>
              <w:rPr>
                <w:rFonts w:cs="Times New Roman"/>
                <w:sz w:val="22"/>
              </w:rPr>
            </w:pPr>
            <w:r>
              <w:rPr>
                <w:rFonts w:cs="Times New Roman"/>
                <w:sz w:val="22"/>
              </w:rPr>
              <w:t>328</w:t>
            </w:r>
          </w:p>
        </w:tc>
        <w:tc>
          <w:tcPr>
            <w:tcW w:w="778" w:type="dxa"/>
            <w:tcBorders>
              <w:top w:val="single" w:sz="4" w:space="0" w:color="auto"/>
              <w:left w:val="single" w:sz="4" w:space="0" w:color="auto"/>
              <w:bottom w:val="nil"/>
              <w:right w:val="single" w:sz="4" w:space="0" w:color="auto"/>
            </w:tcBorders>
            <w:hideMark/>
          </w:tcPr>
          <w:p w:rsidR="00610DDA" w:rsidRDefault="00610DDA">
            <w:pPr>
              <w:adjustRightInd w:val="0"/>
              <w:snapToGrid w:val="0"/>
              <w:jc w:val="center"/>
              <w:rPr>
                <w:rFonts w:cs="Times New Roman"/>
                <w:sz w:val="22"/>
              </w:rPr>
            </w:pPr>
            <w:r>
              <w:rPr>
                <w:rFonts w:cs="Times New Roman"/>
                <w:sz w:val="22"/>
              </w:rPr>
              <w:t>59.4</w:t>
            </w:r>
          </w:p>
        </w:tc>
        <w:tc>
          <w:tcPr>
            <w:tcW w:w="1468" w:type="dxa"/>
            <w:tcBorders>
              <w:top w:val="single" w:sz="4" w:space="0" w:color="auto"/>
              <w:left w:val="single" w:sz="4" w:space="0" w:color="auto"/>
              <w:bottom w:val="nil"/>
              <w:right w:val="double" w:sz="4" w:space="0" w:color="auto"/>
            </w:tcBorders>
          </w:tcPr>
          <w:p w:rsidR="00610DDA" w:rsidRDefault="00610DDA">
            <w:pPr>
              <w:adjustRightInd w:val="0"/>
              <w:snapToGrid w:val="0"/>
              <w:jc w:val="center"/>
              <w:rPr>
                <w:rFonts w:cs="Times New Roman"/>
                <w:sz w:val="22"/>
              </w:rPr>
            </w:pPr>
          </w:p>
        </w:tc>
      </w:tr>
      <w:tr w:rsidR="00610DDA" w:rsidTr="00FF26AA">
        <w:trPr>
          <w:trHeight w:val="317"/>
          <w:jc w:val="center"/>
        </w:trPr>
        <w:tc>
          <w:tcPr>
            <w:tcW w:w="2767" w:type="dxa"/>
            <w:tcBorders>
              <w:top w:val="nil"/>
              <w:left w:val="double" w:sz="4" w:space="0" w:color="auto"/>
              <w:bottom w:val="nil"/>
              <w:right w:val="single" w:sz="4" w:space="0" w:color="auto"/>
            </w:tcBorders>
          </w:tcPr>
          <w:p w:rsidR="00610DDA" w:rsidRDefault="00610DDA">
            <w:pPr>
              <w:adjustRightInd w:val="0"/>
              <w:snapToGrid w:val="0"/>
              <w:rPr>
                <w:rFonts w:cs="Times New Roman"/>
                <w:b/>
                <w:i/>
                <w:sz w:val="22"/>
              </w:rPr>
            </w:pPr>
          </w:p>
        </w:tc>
        <w:tc>
          <w:tcPr>
            <w:tcW w:w="3608" w:type="dxa"/>
            <w:tcBorders>
              <w:top w:val="nil"/>
              <w:left w:val="single" w:sz="4" w:space="0" w:color="auto"/>
              <w:bottom w:val="nil"/>
              <w:right w:val="single" w:sz="4" w:space="0" w:color="auto"/>
            </w:tcBorders>
            <w:hideMark/>
          </w:tcPr>
          <w:p w:rsidR="00610DDA" w:rsidRDefault="00610DDA">
            <w:pPr>
              <w:adjustRightInd w:val="0"/>
              <w:snapToGrid w:val="0"/>
              <w:rPr>
                <w:rFonts w:cs="Times New Roman"/>
                <w:sz w:val="22"/>
              </w:rPr>
            </w:pPr>
            <w:r>
              <w:rPr>
                <w:rFonts w:cs="Times New Roman"/>
                <w:sz w:val="22"/>
              </w:rPr>
              <w:t>Both not working</w:t>
            </w:r>
          </w:p>
        </w:tc>
        <w:tc>
          <w:tcPr>
            <w:tcW w:w="724" w:type="dxa"/>
            <w:tcBorders>
              <w:top w:val="nil"/>
              <w:left w:val="single" w:sz="4" w:space="0" w:color="auto"/>
              <w:bottom w:val="nil"/>
              <w:right w:val="single" w:sz="4" w:space="0" w:color="auto"/>
            </w:tcBorders>
            <w:hideMark/>
          </w:tcPr>
          <w:p w:rsidR="00610DDA" w:rsidRDefault="00610DDA">
            <w:pPr>
              <w:adjustRightInd w:val="0"/>
              <w:snapToGrid w:val="0"/>
              <w:jc w:val="center"/>
              <w:rPr>
                <w:rFonts w:cs="Times New Roman"/>
                <w:sz w:val="22"/>
              </w:rPr>
            </w:pPr>
            <w:r>
              <w:rPr>
                <w:rFonts w:cs="Times New Roman"/>
                <w:sz w:val="22"/>
              </w:rPr>
              <w:t xml:space="preserve">   12</w:t>
            </w:r>
          </w:p>
        </w:tc>
        <w:tc>
          <w:tcPr>
            <w:tcW w:w="778" w:type="dxa"/>
            <w:tcBorders>
              <w:top w:val="nil"/>
              <w:left w:val="single" w:sz="4" w:space="0" w:color="auto"/>
              <w:bottom w:val="nil"/>
              <w:right w:val="single" w:sz="4" w:space="0" w:color="auto"/>
            </w:tcBorders>
            <w:hideMark/>
          </w:tcPr>
          <w:p w:rsidR="00610DDA" w:rsidRDefault="00610DDA">
            <w:pPr>
              <w:adjustRightInd w:val="0"/>
              <w:snapToGrid w:val="0"/>
              <w:jc w:val="center"/>
              <w:rPr>
                <w:rFonts w:cs="Times New Roman"/>
                <w:sz w:val="22"/>
              </w:rPr>
            </w:pPr>
            <w:r>
              <w:rPr>
                <w:rFonts w:cs="Times New Roman"/>
                <w:sz w:val="22"/>
              </w:rPr>
              <w:t xml:space="preserve">  2.2</w:t>
            </w:r>
          </w:p>
        </w:tc>
        <w:tc>
          <w:tcPr>
            <w:tcW w:w="1468" w:type="dxa"/>
            <w:tcBorders>
              <w:top w:val="nil"/>
              <w:left w:val="single" w:sz="4" w:space="0" w:color="auto"/>
              <w:bottom w:val="nil"/>
              <w:right w:val="double" w:sz="4" w:space="0" w:color="auto"/>
            </w:tcBorders>
          </w:tcPr>
          <w:p w:rsidR="00610DDA" w:rsidRDefault="00610DDA">
            <w:pPr>
              <w:adjustRightInd w:val="0"/>
              <w:snapToGrid w:val="0"/>
              <w:jc w:val="center"/>
              <w:rPr>
                <w:rFonts w:cs="Times New Roman"/>
                <w:sz w:val="22"/>
              </w:rPr>
            </w:pPr>
          </w:p>
        </w:tc>
      </w:tr>
      <w:tr w:rsidR="00610DDA" w:rsidTr="00FF26AA">
        <w:trPr>
          <w:trHeight w:val="317"/>
          <w:jc w:val="center"/>
        </w:trPr>
        <w:tc>
          <w:tcPr>
            <w:tcW w:w="2767" w:type="dxa"/>
            <w:tcBorders>
              <w:top w:val="nil"/>
              <w:left w:val="double" w:sz="4" w:space="0" w:color="auto"/>
              <w:bottom w:val="nil"/>
              <w:right w:val="single" w:sz="4" w:space="0" w:color="auto"/>
            </w:tcBorders>
          </w:tcPr>
          <w:p w:rsidR="00610DDA" w:rsidRDefault="00610DDA">
            <w:pPr>
              <w:adjustRightInd w:val="0"/>
              <w:snapToGrid w:val="0"/>
              <w:rPr>
                <w:rFonts w:cs="Times New Roman"/>
                <w:b/>
                <w:i/>
                <w:sz w:val="22"/>
              </w:rPr>
            </w:pPr>
          </w:p>
        </w:tc>
        <w:tc>
          <w:tcPr>
            <w:tcW w:w="3608" w:type="dxa"/>
            <w:tcBorders>
              <w:top w:val="nil"/>
              <w:left w:val="single" w:sz="4" w:space="0" w:color="auto"/>
              <w:bottom w:val="nil"/>
              <w:right w:val="single" w:sz="4" w:space="0" w:color="auto"/>
            </w:tcBorders>
            <w:hideMark/>
          </w:tcPr>
          <w:p w:rsidR="00610DDA" w:rsidRDefault="00610DDA">
            <w:pPr>
              <w:adjustRightInd w:val="0"/>
              <w:snapToGrid w:val="0"/>
              <w:rPr>
                <w:rFonts w:cs="Times New Roman"/>
                <w:sz w:val="22"/>
              </w:rPr>
            </w:pPr>
            <w:r>
              <w:rPr>
                <w:rFonts w:cs="Times New Roman"/>
                <w:sz w:val="22"/>
              </w:rPr>
              <w:t>Father works only</w:t>
            </w:r>
          </w:p>
        </w:tc>
        <w:tc>
          <w:tcPr>
            <w:tcW w:w="724" w:type="dxa"/>
            <w:tcBorders>
              <w:top w:val="nil"/>
              <w:left w:val="single" w:sz="4" w:space="0" w:color="auto"/>
              <w:bottom w:val="nil"/>
              <w:right w:val="single" w:sz="4" w:space="0" w:color="auto"/>
            </w:tcBorders>
            <w:hideMark/>
          </w:tcPr>
          <w:p w:rsidR="00610DDA" w:rsidRDefault="00610DDA">
            <w:pPr>
              <w:adjustRightInd w:val="0"/>
              <w:snapToGrid w:val="0"/>
              <w:jc w:val="center"/>
              <w:rPr>
                <w:rFonts w:cs="Times New Roman"/>
                <w:sz w:val="22"/>
              </w:rPr>
            </w:pPr>
            <w:r>
              <w:rPr>
                <w:rFonts w:cs="Times New Roman"/>
                <w:sz w:val="22"/>
              </w:rPr>
              <w:t>191</w:t>
            </w:r>
          </w:p>
        </w:tc>
        <w:tc>
          <w:tcPr>
            <w:tcW w:w="778" w:type="dxa"/>
            <w:tcBorders>
              <w:top w:val="nil"/>
              <w:left w:val="single" w:sz="4" w:space="0" w:color="auto"/>
              <w:bottom w:val="nil"/>
              <w:right w:val="single" w:sz="4" w:space="0" w:color="auto"/>
            </w:tcBorders>
            <w:hideMark/>
          </w:tcPr>
          <w:p w:rsidR="00610DDA" w:rsidRDefault="00610DDA">
            <w:pPr>
              <w:adjustRightInd w:val="0"/>
              <w:snapToGrid w:val="0"/>
              <w:jc w:val="center"/>
              <w:rPr>
                <w:rFonts w:cs="Times New Roman"/>
                <w:sz w:val="22"/>
              </w:rPr>
            </w:pPr>
            <w:r>
              <w:rPr>
                <w:rFonts w:cs="Times New Roman"/>
                <w:sz w:val="22"/>
              </w:rPr>
              <w:t>34.6</w:t>
            </w:r>
          </w:p>
        </w:tc>
        <w:tc>
          <w:tcPr>
            <w:tcW w:w="1468" w:type="dxa"/>
            <w:tcBorders>
              <w:top w:val="nil"/>
              <w:left w:val="single" w:sz="4" w:space="0" w:color="auto"/>
              <w:bottom w:val="nil"/>
              <w:right w:val="double" w:sz="4" w:space="0" w:color="auto"/>
            </w:tcBorders>
          </w:tcPr>
          <w:p w:rsidR="00610DDA" w:rsidRDefault="00610DDA">
            <w:pPr>
              <w:adjustRightInd w:val="0"/>
              <w:snapToGrid w:val="0"/>
              <w:jc w:val="center"/>
              <w:rPr>
                <w:rFonts w:cs="Times New Roman"/>
                <w:sz w:val="22"/>
              </w:rPr>
            </w:pPr>
          </w:p>
        </w:tc>
      </w:tr>
      <w:tr w:rsidR="00610DDA" w:rsidTr="00FF26AA">
        <w:trPr>
          <w:trHeight w:val="317"/>
          <w:jc w:val="center"/>
        </w:trPr>
        <w:tc>
          <w:tcPr>
            <w:tcW w:w="2767" w:type="dxa"/>
            <w:tcBorders>
              <w:top w:val="nil"/>
              <w:left w:val="double" w:sz="4" w:space="0" w:color="auto"/>
              <w:bottom w:val="double" w:sz="4" w:space="0" w:color="auto"/>
              <w:right w:val="single" w:sz="4" w:space="0" w:color="auto"/>
            </w:tcBorders>
          </w:tcPr>
          <w:p w:rsidR="00610DDA" w:rsidRDefault="00610DDA">
            <w:pPr>
              <w:adjustRightInd w:val="0"/>
              <w:snapToGrid w:val="0"/>
              <w:rPr>
                <w:rFonts w:cs="Times New Roman"/>
                <w:b/>
                <w:i/>
                <w:sz w:val="22"/>
              </w:rPr>
            </w:pPr>
          </w:p>
        </w:tc>
        <w:tc>
          <w:tcPr>
            <w:tcW w:w="3608" w:type="dxa"/>
            <w:tcBorders>
              <w:top w:val="nil"/>
              <w:left w:val="single" w:sz="4" w:space="0" w:color="auto"/>
              <w:bottom w:val="double" w:sz="4" w:space="0" w:color="auto"/>
              <w:right w:val="single" w:sz="4" w:space="0" w:color="auto"/>
            </w:tcBorders>
            <w:hideMark/>
          </w:tcPr>
          <w:p w:rsidR="00610DDA" w:rsidRDefault="00610DDA">
            <w:pPr>
              <w:adjustRightInd w:val="0"/>
              <w:snapToGrid w:val="0"/>
              <w:rPr>
                <w:rFonts w:cs="Times New Roman"/>
                <w:sz w:val="22"/>
              </w:rPr>
            </w:pPr>
            <w:r>
              <w:rPr>
                <w:rFonts w:cs="Times New Roman"/>
                <w:sz w:val="22"/>
              </w:rPr>
              <w:t>Mother works only</w:t>
            </w:r>
          </w:p>
        </w:tc>
        <w:tc>
          <w:tcPr>
            <w:tcW w:w="724" w:type="dxa"/>
            <w:tcBorders>
              <w:top w:val="nil"/>
              <w:left w:val="single" w:sz="4" w:space="0" w:color="auto"/>
              <w:bottom w:val="double" w:sz="4" w:space="0" w:color="auto"/>
              <w:right w:val="single" w:sz="4" w:space="0" w:color="auto"/>
            </w:tcBorders>
            <w:hideMark/>
          </w:tcPr>
          <w:p w:rsidR="00610DDA" w:rsidRDefault="00610DDA">
            <w:pPr>
              <w:adjustRightInd w:val="0"/>
              <w:snapToGrid w:val="0"/>
              <w:jc w:val="center"/>
              <w:rPr>
                <w:rFonts w:cs="Times New Roman"/>
                <w:sz w:val="22"/>
              </w:rPr>
            </w:pPr>
            <w:r>
              <w:rPr>
                <w:rFonts w:cs="Times New Roman"/>
                <w:sz w:val="22"/>
              </w:rPr>
              <w:t xml:space="preserve">  21</w:t>
            </w:r>
          </w:p>
        </w:tc>
        <w:tc>
          <w:tcPr>
            <w:tcW w:w="778" w:type="dxa"/>
            <w:tcBorders>
              <w:top w:val="nil"/>
              <w:left w:val="single" w:sz="4" w:space="0" w:color="auto"/>
              <w:bottom w:val="double" w:sz="4" w:space="0" w:color="auto"/>
              <w:right w:val="single" w:sz="4" w:space="0" w:color="auto"/>
            </w:tcBorders>
            <w:hideMark/>
          </w:tcPr>
          <w:p w:rsidR="00610DDA" w:rsidRDefault="00610DDA">
            <w:pPr>
              <w:adjustRightInd w:val="0"/>
              <w:snapToGrid w:val="0"/>
              <w:jc w:val="center"/>
              <w:rPr>
                <w:rFonts w:cs="Times New Roman"/>
                <w:sz w:val="22"/>
              </w:rPr>
            </w:pPr>
            <w:r>
              <w:rPr>
                <w:rFonts w:cs="Times New Roman"/>
                <w:sz w:val="22"/>
              </w:rPr>
              <w:t xml:space="preserve">  3.8</w:t>
            </w:r>
          </w:p>
        </w:tc>
        <w:tc>
          <w:tcPr>
            <w:tcW w:w="1468" w:type="dxa"/>
            <w:tcBorders>
              <w:top w:val="nil"/>
              <w:left w:val="single" w:sz="4" w:space="0" w:color="auto"/>
              <w:bottom w:val="double" w:sz="4" w:space="0" w:color="auto"/>
              <w:right w:val="double" w:sz="4" w:space="0" w:color="auto"/>
            </w:tcBorders>
          </w:tcPr>
          <w:p w:rsidR="00610DDA" w:rsidRDefault="00610DDA">
            <w:pPr>
              <w:adjustRightInd w:val="0"/>
              <w:snapToGrid w:val="0"/>
              <w:jc w:val="center"/>
              <w:rPr>
                <w:rFonts w:cs="Times New Roman"/>
                <w:sz w:val="22"/>
              </w:rPr>
            </w:pPr>
          </w:p>
        </w:tc>
      </w:tr>
    </w:tbl>
    <w:p w:rsidR="00610DDA" w:rsidRDefault="00610DDA" w:rsidP="00610DDA">
      <w:pPr>
        <w:adjustRightInd w:val="0"/>
        <w:snapToGrid w:val="0"/>
        <w:rPr>
          <w:rFonts w:cs="Times New Roman"/>
        </w:rPr>
      </w:pPr>
    </w:p>
    <w:p w:rsidR="00610DDA" w:rsidRDefault="00610DDA" w:rsidP="00610DDA">
      <w:pPr>
        <w:rPr>
          <w:rFonts w:cs="Times New Roman"/>
        </w:rPr>
        <w:sectPr w:rsidR="00610DDA">
          <w:footerReference w:type="default" r:id="rId234"/>
          <w:pgSz w:w="12240" w:h="15840"/>
          <w:pgMar w:top="1440" w:right="1440" w:bottom="1440" w:left="1440" w:header="720" w:footer="720" w:gutter="0"/>
          <w:pgNumType w:start="1"/>
          <w:cols w:space="720"/>
        </w:sectPr>
      </w:pPr>
    </w:p>
    <w:p w:rsidR="00610DDA" w:rsidRDefault="00610DDA" w:rsidP="00610DDA">
      <w:pPr>
        <w:rPr>
          <w:rFonts w:cs="Times New Roman"/>
          <w:b/>
          <w:szCs w:val="24"/>
        </w:rPr>
      </w:pPr>
      <w:r>
        <w:rPr>
          <w:rFonts w:cs="Times New Roman"/>
          <w:b/>
          <w:szCs w:val="24"/>
        </w:rPr>
        <w:lastRenderedPageBreak/>
        <w:t>Table 2. Descriptive statistics of activity type participation and duration over the week days</w:t>
      </w:r>
    </w:p>
    <w:p w:rsidR="00610DDA" w:rsidRDefault="00610DDA" w:rsidP="00610DDA">
      <w:pPr>
        <w:rPr>
          <w:rFonts w:cs="Times New Roman"/>
          <w:szCs w:val="24"/>
        </w:rPr>
      </w:pPr>
    </w:p>
    <w:tbl>
      <w:tblPr>
        <w:tblW w:w="9255"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325"/>
        <w:gridCol w:w="1800"/>
        <w:gridCol w:w="1440"/>
        <w:gridCol w:w="1620"/>
        <w:gridCol w:w="2070"/>
      </w:tblGrid>
      <w:tr w:rsidR="00610DDA" w:rsidTr="00610DDA">
        <w:trPr>
          <w:trHeight w:val="864"/>
          <w:jc w:val="center"/>
        </w:trPr>
        <w:tc>
          <w:tcPr>
            <w:tcW w:w="2325" w:type="dxa"/>
            <w:vMerge w:val="restart"/>
            <w:tcBorders>
              <w:top w:val="double" w:sz="4" w:space="0" w:color="auto"/>
              <w:left w:val="double" w:sz="4" w:space="0" w:color="auto"/>
              <w:bottom w:val="double" w:sz="4" w:space="0" w:color="auto"/>
              <w:right w:val="double" w:sz="4" w:space="0" w:color="auto"/>
            </w:tcBorders>
            <w:shd w:val="clear" w:color="auto" w:fill="D0CECE" w:themeFill="background2" w:themeFillShade="E6"/>
            <w:tcMar>
              <w:top w:w="0" w:type="dxa"/>
              <w:left w:w="58" w:type="dxa"/>
              <w:bottom w:w="0" w:type="dxa"/>
              <w:right w:w="58" w:type="dxa"/>
            </w:tcMar>
            <w:vAlign w:val="center"/>
            <w:hideMark/>
          </w:tcPr>
          <w:p w:rsidR="00610DDA" w:rsidRDefault="00610DDA">
            <w:pPr>
              <w:spacing w:line="256" w:lineRule="auto"/>
              <w:jc w:val="center"/>
              <w:rPr>
                <w:rFonts w:cs="Times New Roman"/>
                <w:b/>
                <w:sz w:val="22"/>
              </w:rPr>
            </w:pPr>
            <w:r>
              <w:rPr>
                <w:rFonts w:cs="Times New Roman"/>
                <w:b/>
                <w:sz w:val="22"/>
              </w:rPr>
              <w:t>Extra-curricular activity type</w:t>
            </w:r>
          </w:p>
        </w:tc>
        <w:tc>
          <w:tcPr>
            <w:tcW w:w="1800" w:type="dxa"/>
            <w:vMerge w:val="restart"/>
            <w:tcBorders>
              <w:top w:val="double" w:sz="4" w:space="0" w:color="auto"/>
              <w:left w:val="double" w:sz="4" w:space="0" w:color="auto"/>
              <w:bottom w:val="double" w:sz="4" w:space="0" w:color="auto"/>
              <w:right w:val="single" w:sz="4" w:space="0" w:color="auto"/>
            </w:tcBorders>
            <w:shd w:val="clear" w:color="auto" w:fill="D0CECE" w:themeFill="background2" w:themeFillShade="E6"/>
            <w:tcMar>
              <w:top w:w="0" w:type="dxa"/>
              <w:left w:w="58" w:type="dxa"/>
              <w:bottom w:w="0" w:type="dxa"/>
              <w:right w:w="58" w:type="dxa"/>
            </w:tcMar>
            <w:vAlign w:val="center"/>
            <w:hideMark/>
          </w:tcPr>
          <w:p w:rsidR="00610DDA" w:rsidRDefault="00610DDA">
            <w:pPr>
              <w:spacing w:line="256" w:lineRule="auto"/>
              <w:jc w:val="center"/>
              <w:rPr>
                <w:rFonts w:cs="Times New Roman"/>
                <w:b/>
                <w:sz w:val="22"/>
              </w:rPr>
            </w:pPr>
            <w:r>
              <w:rPr>
                <w:rFonts w:cs="Times New Roman"/>
                <w:b/>
                <w:sz w:val="22"/>
              </w:rPr>
              <w:t>Total number (%) of individuals participating</w:t>
            </w:r>
            <w:r>
              <w:rPr>
                <w:rStyle w:val="FootnoteReference"/>
                <w:rFonts w:cs="Times New Roman"/>
                <w:b/>
                <w:sz w:val="22"/>
                <w:vertAlign w:val="superscript"/>
              </w:rPr>
              <w:footnoteReference w:id="8"/>
            </w:r>
          </w:p>
        </w:tc>
        <w:tc>
          <w:tcPr>
            <w:tcW w:w="1440" w:type="dxa"/>
            <w:vMerge w:val="restart"/>
            <w:tcBorders>
              <w:top w:val="double" w:sz="4" w:space="0" w:color="auto"/>
              <w:left w:val="single" w:sz="4" w:space="0" w:color="auto"/>
              <w:bottom w:val="double" w:sz="4" w:space="0" w:color="auto"/>
              <w:right w:val="double" w:sz="4" w:space="0" w:color="auto"/>
            </w:tcBorders>
            <w:shd w:val="clear" w:color="auto" w:fill="D0CECE" w:themeFill="background2" w:themeFillShade="E6"/>
            <w:tcMar>
              <w:top w:w="0" w:type="dxa"/>
              <w:left w:w="58" w:type="dxa"/>
              <w:bottom w:w="0" w:type="dxa"/>
              <w:right w:w="58" w:type="dxa"/>
            </w:tcMar>
            <w:vAlign w:val="center"/>
            <w:hideMark/>
          </w:tcPr>
          <w:p w:rsidR="00610DDA" w:rsidRDefault="00610DDA">
            <w:pPr>
              <w:spacing w:line="256" w:lineRule="auto"/>
              <w:jc w:val="center"/>
              <w:rPr>
                <w:rFonts w:cs="Times New Roman"/>
                <w:b/>
                <w:sz w:val="22"/>
              </w:rPr>
            </w:pPr>
            <w:r>
              <w:rPr>
                <w:rFonts w:cs="Times New Roman"/>
                <w:b/>
                <w:sz w:val="22"/>
              </w:rPr>
              <w:t>Mean duration of participation (mins)</w:t>
            </w:r>
          </w:p>
        </w:tc>
        <w:tc>
          <w:tcPr>
            <w:tcW w:w="3690" w:type="dxa"/>
            <w:gridSpan w:val="2"/>
            <w:tcBorders>
              <w:top w:val="double" w:sz="4" w:space="0" w:color="auto"/>
              <w:left w:val="double" w:sz="4" w:space="0" w:color="auto"/>
              <w:bottom w:val="single" w:sz="4" w:space="0" w:color="auto"/>
              <w:right w:val="double" w:sz="4" w:space="0" w:color="auto"/>
            </w:tcBorders>
            <w:shd w:val="clear" w:color="auto" w:fill="D0CECE" w:themeFill="background2" w:themeFillShade="E6"/>
            <w:tcMar>
              <w:top w:w="0" w:type="dxa"/>
              <w:left w:w="58" w:type="dxa"/>
              <w:bottom w:w="0" w:type="dxa"/>
              <w:right w:w="58" w:type="dxa"/>
            </w:tcMar>
            <w:vAlign w:val="center"/>
            <w:hideMark/>
          </w:tcPr>
          <w:p w:rsidR="00610DDA" w:rsidRDefault="00610DDA">
            <w:pPr>
              <w:spacing w:line="256" w:lineRule="auto"/>
              <w:jc w:val="center"/>
              <w:rPr>
                <w:rFonts w:cs="Times New Roman"/>
                <w:b/>
                <w:sz w:val="22"/>
              </w:rPr>
            </w:pPr>
            <w:r>
              <w:rPr>
                <w:rFonts w:cs="Times New Roman"/>
                <w:b/>
                <w:sz w:val="22"/>
              </w:rPr>
              <w:t>Number of individuals (% of total number participating) who participate….</w:t>
            </w:r>
            <w:r>
              <w:rPr>
                <w:rStyle w:val="FootnoteReference"/>
                <w:rFonts w:cs="Times New Roman"/>
                <w:b/>
                <w:sz w:val="22"/>
                <w:vertAlign w:val="superscript"/>
              </w:rPr>
              <w:footnoteReference w:id="9"/>
            </w:r>
          </w:p>
        </w:tc>
      </w:tr>
      <w:tr w:rsidR="00610DDA" w:rsidTr="00610DDA">
        <w:trPr>
          <w:trHeight w:val="864"/>
          <w:jc w:val="center"/>
        </w:trPr>
        <w:tc>
          <w:tcPr>
            <w:tcW w:w="0" w:type="auto"/>
            <w:vMerge/>
            <w:tcBorders>
              <w:top w:val="double" w:sz="4" w:space="0" w:color="auto"/>
              <w:left w:val="double" w:sz="4" w:space="0" w:color="auto"/>
              <w:bottom w:val="double" w:sz="4" w:space="0" w:color="auto"/>
              <w:right w:val="double" w:sz="4" w:space="0" w:color="auto"/>
            </w:tcBorders>
            <w:vAlign w:val="center"/>
            <w:hideMark/>
          </w:tcPr>
          <w:p w:rsidR="00610DDA" w:rsidRDefault="00610DDA">
            <w:pPr>
              <w:spacing w:line="256" w:lineRule="auto"/>
              <w:rPr>
                <w:rFonts w:cs="Times New Roman"/>
                <w:b/>
                <w:sz w:val="22"/>
              </w:rPr>
            </w:pPr>
          </w:p>
        </w:tc>
        <w:tc>
          <w:tcPr>
            <w:tcW w:w="0" w:type="auto"/>
            <w:vMerge/>
            <w:tcBorders>
              <w:top w:val="double" w:sz="4" w:space="0" w:color="auto"/>
              <w:left w:val="double" w:sz="4" w:space="0" w:color="auto"/>
              <w:bottom w:val="double" w:sz="4" w:space="0" w:color="auto"/>
              <w:right w:val="single" w:sz="4" w:space="0" w:color="auto"/>
            </w:tcBorders>
            <w:vAlign w:val="center"/>
            <w:hideMark/>
          </w:tcPr>
          <w:p w:rsidR="00610DDA" w:rsidRDefault="00610DDA">
            <w:pPr>
              <w:spacing w:line="256" w:lineRule="auto"/>
              <w:rPr>
                <w:rFonts w:cs="Times New Roman"/>
                <w:b/>
                <w:sz w:val="22"/>
              </w:rPr>
            </w:pPr>
          </w:p>
        </w:tc>
        <w:tc>
          <w:tcPr>
            <w:tcW w:w="0" w:type="auto"/>
            <w:vMerge/>
            <w:tcBorders>
              <w:top w:val="double" w:sz="4" w:space="0" w:color="auto"/>
              <w:left w:val="single" w:sz="4" w:space="0" w:color="auto"/>
              <w:bottom w:val="double" w:sz="4" w:space="0" w:color="auto"/>
              <w:right w:val="double" w:sz="4" w:space="0" w:color="auto"/>
            </w:tcBorders>
            <w:vAlign w:val="center"/>
            <w:hideMark/>
          </w:tcPr>
          <w:p w:rsidR="00610DDA" w:rsidRDefault="00610DDA">
            <w:pPr>
              <w:spacing w:line="256" w:lineRule="auto"/>
              <w:rPr>
                <w:rFonts w:cs="Times New Roman"/>
                <w:b/>
                <w:sz w:val="22"/>
              </w:rPr>
            </w:pPr>
          </w:p>
        </w:tc>
        <w:tc>
          <w:tcPr>
            <w:tcW w:w="1620" w:type="dxa"/>
            <w:tcBorders>
              <w:top w:val="single" w:sz="4" w:space="0" w:color="auto"/>
              <w:left w:val="double" w:sz="4" w:space="0" w:color="auto"/>
              <w:bottom w:val="double" w:sz="4" w:space="0" w:color="auto"/>
              <w:right w:val="single" w:sz="4" w:space="0" w:color="auto"/>
            </w:tcBorders>
            <w:shd w:val="clear" w:color="auto" w:fill="D0CECE" w:themeFill="background2" w:themeFillShade="E6"/>
            <w:tcMar>
              <w:top w:w="0" w:type="dxa"/>
              <w:left w:w="58" w:type="dxa"/>
              <w:bottom w:w="0" w:type="dxa"/>
              <w:right w:w="58" w:type="dxa"/>
            </w:tcMar>
            <w:vAlign w:val="center"/>
            <w:hideMark/>
          </w:tcPr>
          <w:p w:rsidR="00610DDA" w:rsidRDefault="00610DDA">
            <w:pPr>
              <w:spacing w:line="256" w:lineRule="auto"/>
              <w:jc w:val="center"/>
              <w:rPr>
                <w:rFonts w:cs="Times New Roman"/>
                <w:b/>
                <w:sz w:val="22"/>
              </w:rPr>
            </w:pPr>
            <w:r>
              <w:rPr>
                <w:rFonts w:cs="Times New Roman"/>
                <w:b/>
                <w:sz w:val="22"/>
              </w:rPr>
              <w:t>Only in activity type</w:t>
            </w:r>
          </w:p>
        </w:tc>
        <w:tc>
          <w:tcPr>
            <w:tcW w:w="2070" w:type="dxa"/>
            <w:tcBorders>
              <w:top w:val="single" w:sz="4" w:space="0" w:color="auto"/>
              <w:left w:val="single" w:sz="4" w:space="0" w:color="auto"/>
              <w:bottom w:val="double" w:sz="4" w:space="0" w:color="auto"/>
              <w:right w:val="double" w:sz="4" w:space="0" w:color="auto"/>
            </w:tcBorders>
            <w:shd w:val="clear" w:color="auto" w:fill="D0CECE" w:themeFill="background2" w:themeFillShade="E6"/>
            <w:tcMar>
              <w:top w:w="0" w:type="dxa"/>
              <w:left w:w="58" w:type="dxa"/>
              <w:bottom w:w="0" w:type="dxa"/>
              <w:right w:w="58" w:type="dxa"/>
            </w:tcMar>
            <w:vAlign w:val="center"/>
            <w:hideMark/>
          </w:tcPr>
          <w:p w:rsidR="00610DDA" w:rsidRDefault="00610DDA">
            <w:pPr>
              <w:spacing w:line="256" w:lineRule="auto"/>
              <w:jc w:val="center"/>
              <w:rPr>
                <w:rFonts w:cs="Times New Roman"/>
                <w:b/>
                <w:sz w:val="22"/>
              </w:rPr>
            </w:pPr>
            <w:r>
              <w:rPr>
                <w:rFonts w:cs="Times New Roman"/>
                <w:b/>
                <w:sz w:val="22"/>
              </w:rPr>
              <w:t>In the activity type and other activity types</w:t>
            </w:r>
          </w:p>
        </w:tc>
      </w:tr>
      <w:tr w:rsidR="00610DDA" w:rsidTr="00610DDA">
        <w:trPr>
          <w:trHeight w:val="504"/>
          <w:jc w:val="center"/>
        </w:trPr>
        <w:tc>
          <w:tcPr>
            <w:tcW w:w="2325" w:type="dxa"/>
            <w:tcBorders>
              <w:top w:val="double" w:sz="4" w:space="0" w:color="auto"/>
              <w:left w:val="double" w:sz="4" w:space="0" w:color="auto"/>
              <w:bottom w:val="nil"/>
              <w:right w:val="double" w:sz="4" w:space="0" w:color="auto"/>
            </w:tcBorders>
            <w:tcMar>
              <w:top w:w="0" w:type="dxa"/>
              <w:left w:w="58" w:type="dxa"/>
              <w:bottom w:w="0" w:type="dxa"/>
              <w:right w:w="58" w:type="dxa"/>
            </w:tcMar>
            <w:vAlign w:val="center"/>
            <w:hideMark/>
          </w:tcPr>
          <w:p w:rsidR="00610DDA" w:rsidRDefault="00610DDA">
            <w:pPr>
              <w:spacing w:line="256" w:lineRule="auto"/>
              <w:rPr>
                <w:rFonts w:cs="Times New Roman"/>
                <w:sz w:val="22"/>
              </w:rPr>
            </w:pPr>
            <w:r>
              <w:rPr>
                <w:rFonts w:cs="Times New Roman"/>
                <w:sz w:val="22"/>
              </w:rPr>
              <w:t>Academic</w:t>
            </w:r>
          </w:p>
        </w:tc>
        <w:tc>
          <w:tcPr>
            <w:tcW w:w="1800" w:type="dxa"/>
            <w:tcBorders>
              <w:top w:val="double" w:sz="4" w:space="0" w:color="auto"/>
              <w:left w:val="double" w:sz="4" w:space="0" w:color="auto"/>
              <w:bottom w:val="nil"/>
              <w:right w:val="single" w:sz="4" w:space="0" w:color="auto"/>
            </w:tcBorders>
            <w:tcMar>
              <w:top w:w="0" w:type="dxa"/>
              <w:left w:w="58" w:type="dxa"/>
              <w:bottom w:w="0" w:type="dxa"/>
              <w:right w:w="58" w:type="dxa"/>
            </w:tcMar>
            <w:vAlign w:val="center"/>
            <w:hideMark/>
          </w:tcPr>
          <w:p w:rsidR="00610DDA" w:rsidRDefault="00610DDA">
            <w:pPr>
              <w:spacing w:line="256" w:lineRule="auto"/>
              <w:jc w:val="center"/>
              <w:rPr>
                <w:rFonts w:cs="Times New Roman"/>
                <w:sz w:val="22"/>
              </w:rPr>
            </w:pPr>
            <w:r>
              <w:rPr>
                <w:rFonts w:cs="Times New Roman"/>
                <w:sz w:val="22"/>
              </w:rPr>
              <w:t>269   (48.7)</w:t>
            </w:r>
          </w:p>
        </w:tc>
        <w:tc>
          <w:tcPr>
            <w:tcW w:w="1440" w:type="dxa"/>
            <w:tcBorders>
              <w:top w:val="double" w:sz="4" w:space="0" w:color="auto"/>
              <w:left w:val="single" w:sz="4" w:space="0" w:color="auto"/>
              <w:bottom w:val="nil"/>
              <w:right w:val="double" w:sz="4" w:space="0" w:color="auto"/>
            </w:tcBorders>
            <w:tcMar>
              <w:top w:w="0" w:type="dxa"/>
              <w:left w:w="58" w:type="dxa"/>
              <w:bottom w:w="0" w:type="dxa"/>
              <w:right w:w="58" w:type="dxa"/>
            </w:tcMar>
            <w:vAlign w:val="center"/>
            <w:hideMark/>
          </w:tcPr>
          <w:p w:rsidR="00610DDA" w:rsidRDefault="00610DDA">
            <w:pPr>
              <w:spacing w:line="256" w:lineRule="auto"/>
              <w:jc w:val="center"/>
              <w:rPr>
                <w:rFonts w:cs="Times New Roman"/>
                <w:sz w:val="22"/>
              </w:rPr>
            </w:pPr>
            <w:r>
              <w:rPr>
                <w:rFonts w:cs="Times New Roman"/>
                <w:sz w:val="22"/>
              </w:rPr>
              <w:t xml:space="preserve">  197</w:t>
            </w:r>
          </w:p>
        </w:tc>
        <w:tc>
          <w:tcPr>
            <w:tcW w:w="1620" w:type="dxa"/>
            <w:tcBorders>
              <w:top w:val="double" w:sz="4" w:space="0" w:color="auto"/>
              <w:left w:val="double" w:sz="4" w:space="0" w:color="auto"/>
              <w:bottom w:val="nil"/>
              <w:right w:val="single" w:sz="4" w:space="0" w:color="auto"/>
            </w:tcBorders>
            <w:tcMar>
              <w:top w:w="0" w:type="dxa"/>
              <w:left w:w="58" w:type="dxa"/>
              <w:bottom w:w="0" w:type="dxa"/>
              <w:right w:w="58" w:type="dxa"/>
            </w:tcMar>
            <w:vAlign w:val="center"/>
            <w:hideMark/>
          </w:tcPr>
          <w:p w:rsidR="00610DDA" w:rsidRDefault="00610DDA">
            <w:pPr>
              <w:spacing w:line="256" w:lineRule="auto"/>
              <w:jc w:val="center"/>
              <w:rPr>
                <w:rFonts w:cs="Times New Roman"/>
                <w:sz w:val="22"/>
              </w:rPr>
            </w:pPr>
            <w:r>
              <w:rPr>
                <w:rFonts w:cs="Times New Roman"/>
                <w:sz w:val="22"/>
              </w:rPr>
              <w:t xml:space="preserve">  62 (23%)</w:t>
            </w:r>
          </w:p>
        </w:tc>
        <w:tc>
          <w:tcPr>
            <w:tcW w:w="2070" w:type="dxa"/>
            <w:tcBorders>
              <w:top w:val="double" w:sz="4" w:space="0" w:color="auto"/>
              <w:left w:val="single" w:sz="4" w:space="0" w:color="auto"/>
              <w:bottom w:val="nil"/>
              <w:right w:val="double" w:sz="4" w:space="0" w:color="auto"/>
            </w:tcBorders>
            <w:tcMar>
              <w:top w:w="0" w:type="dxa"/>
              <w:left w:w="58" w:type="dxa"/>
              <w:bottom w:w="0" w:type="dxa"/>
              <w:right w:w="58" w:type="dxa"/>
            </w:tcMar>
            <w:vAlign w:val="center"/>
            <w:hideMark/>
          </w:tcPr>
          <w:p w:rsidR="00610DDA" w:rsidRDefault="00610DDA">
            <w:pPr>
              <w:spacing w:line="256" w:lineRule="auto"/>
              <w:jc w:val="center"/>
              <w:rPr>
                <w:rFonts w:cs="Times New Roman"/>
                <w:sz w:val="22"/>
              </w:rPr>
            </w:pPr>
            <w:r>
              <w:rPr>
                <w:rFonts w:cs="Times New Roman"/>
                <w:sz w:val="22"/>
              </w:rPr>
              <w:t xml:space="preserve">  207 (77%)</w:t>
            </w:r>
          </w:p>
        </w:tc>
      </w:tr>
      <w:tr w:rsidR="00610DDA" w:rsidTr="00610DDA">
        <w:trPr>
          <w:trHeight w:val="504"/>
          <w:jc w:val="center"/>
        </w:trPr>
        <w:tc>
          <w:tcPr>
            <w:tcW w:w="2325" w:type="dxa"/>
            <w:tcBorders>
              <w:top w:val="nil"/>
              <w:left w:val="double" w:sz="4" w:space="0" w:color="auto"/>
              <w:bottom w:val="nil"/>
              <w:right w:val="double" w:sz="4" w:space="0" w:color="auto"/>
            </w:tcBorders>
            <w:tcMar>
              <w:top w:w="0" w:type="dxa"/>
              <w:left w:w="58" w:type="dxa"/>
              <w:bottom w:w="0" w:type="dxa"/>
              <w:right w:w="58" w:type="dxa"/>
            </w:tcMar>
            <w:vAlign w:val="center"/>
            <w:hideMark/>
          </w:tcPr>
          <w:p w:rsidR="00610DDA" w:rsidRDefault="00610DDA">
            <w:pPr>
              <w:spacing w:line="256" w:lineRule="auto"/>
              <w:rPr>
                <w:rFonts w:cs="Times New Roman"/>
                <w:sz w:val="22"/>
              </w:rPr>
            </w:pPr>
            <w:r>
              <w:rPr>
                <w:rFonts w:cs="Times New Roman"/>
                <w:sz w:val="22"/>
              </w:rPr>
              <w:t>Sports</w:t>
            </w:r>
          </w:p>
        </w:tc>
        <w:tc>
          <w:tcPr>
            <w:tcW w:w="1800" w:type="dxa"/>
            <w:tcBorders>
              <w:top w:val="nil"/>
              <w:left w:val="double" w:sz="4" w:space="0" w:color="auto"/>
              <w:bottom w:val="nil"/>
              <w:right w:val="single" w:sz="4" w:space="0" w:color="auto"/>
            </w:tcBorders>
            <w:tcMar>
              <w:top w:w="0" w:type="dxa"/>
              <w:left w:w="58" w:type="dxa"/>
              <w:bottom w:w="0" w:type="dxa"/>
              <w:right w:w="58" w:type="dxa"/>
            </w:tcMar>
            <w:vAlign w:val="center"/>
            <w:hideMark/>
          </w:tcPr>
          <w:p w:rsidR="00610DDA" w:rsidRDefault="00610DDA">
            <w:pPr>
              <w:spacing w:line="256" w:lineRule="auto"/>
              <w:jc w:val="center"/>
              <w:rPr>
                <w:rFonts w:cs="Times New Roman"/>
                <w:sz w:val="22"/>
              </w:rPr>
            </w:pPr>
            <w:r>
              <w:rPr>
                <w:rFonts w:cs="Times New Roman"/>
                <w:sz w:val="22"/>
              </w:rPr>
              <w:t>281   (50.9)</w:t>
            </w:r>
          </w:p>
        </w:tc>
        <w:tc>
          <w:tcPr>
            <w:tcW w:w="1440" w:type="dxa"/>
            <w:tcBorders>
              <w:top w:val="nil"/>
              <w:left w:val="single" w:sz="4" w:space="0" w:color="auto"/>
              <w:bottom w:val="nil"/>
              <w:right w:val="double" w:sz="4" w:space="0" w:color="auto"/>
            </w:tcBorders>
            <w:tcMar>
              <w:top w:w="0" w:type="dxa"/>
              <w:left w:w="58" w:type="dxa"/>
              <w:bottom w:w="0" w:type="dxa"/>
              <w:right w:w="58" w:type="dxa"/>
            </w:tcMar>
            <w:vAlign w:val="center"/>
            <w:hideMark/>
          </w:tcPr>
          <w:p w:rsidR="00610DDA" w:rsidRDefault="00610DDA">
            <w:pPr>
              <w:spacing w:line="256" w:lineRule="auto"/>
              <w:jc w:val="center"/>
              <w:rPr>
                <w:rFonts w:cs="Times New Roman"/>
                <w:sz w:val="22"/>
              </w:rPr>
            </w:pPr>
            <w:r>
              <w:rPr>
                <w:rFonts w:cs="Times New Roman"/>
                <w:sz w:val="22"/>
              </w:rPr>
              <w:t xml:space="preserve">  140</w:t>
            </w:r>
          </w:p>
        </w:tc>
        <w:tc>
          <w:tcPr>
            <w:tcW w:w="1620" w:type="dxa"/>
            <w:tcBorders>
              <w:top w:val="nil"/>
              <w:left w:val="double" w:sz="4" w:space="0" w:color="auto"/>
              <w:bottom w:val="nil"/>
              <w:right w:val="single" w:sz="4" w:space="0" w:color="auto"/>
            </w:tcBorders>
            <w:tcMar>
              <w:top w:w="0" w:type="dxa"/>
              <w:left w:w="58" w:type="dxa"/>
              <w:bottom w:w="0" w:type="dxa"/>
              <w:right w:w="58" w:type="dxa"/>
            </w:tcMar>
            <w:vAlign w:val="center"/>
            <w:hideMark/>
          </w:tcPr>
          <w:p w:rsidR="00610DDA" w:rsidRDefault="00610DDA">
            <w:pPr>
              <w:spacing w:line="256" w:lineRule="auto"/>
              <w:jc w:val="center"/>
              <w:rPr>
                <w:rFonts w:cs="Times New Roman"/>
                <w:sz w:val="22"/>
              </w:rPr>
            </w:pPr>
            <w:r>
              <w:rPr>
                <w:rFonts w:cs="Times New Roman"/>
                <w:sz w:val="22"/>
              </w:rPr>
              <w:t xml:space="preserve">  84 (30%)</w:t>
            </w:r>
          </w:p>
        </w:tc>
        <w:tc>
          <w:tcPr>
            <w:tcW w:w="2070" w:type="dxa"/>
            <w:tcBorders>
              <w:top w:val="nil"/>
              <w:left w:val="single" w:sz="4" w:space="0" w:color="auto"/>
              <w:bottom w:val="nil"/>
              <w:right w:val="double" w:sz="4" w:space="0" w:color="auto"/>
            </w:tcBorders>
            <w:tcMar>
              <w:top w:w="0" w:type="dxa"/>
              <w:left w:w="58" w:type="dxa"/>
              <w:bottom w:w="0" w:type="dxa"/>
              <w:right w:w="58" w:type="dxa"/>
            </w:tcMar>
            <w:vAlign w:val="center"/>
            <w:hideMark/>
          </w:tcPr>
          <w:p w:rsidR="00610DDA" w:rsidRDefault="00610DDA">
            <w:pPr>
              <w:spacing w:line="256" w:lineRule="auto"/>
              <w:jc w:val="center"/>
              <w:rPr>
                <w:rFonts w:cs="Times New Roman"/>
                <w:sz w:val="22"/>
              </w:rPr>
            </w:pPr>
            <w:r>
              <w:rPr>
                <w:rFonts w:cs="Times New Roman"/>
                <w:sz w:val="22"/>
              </w:rPr>
              <w:t xml:space="preserve"> 197 (70%)</w:t>
            </w:r>
          </w:p>
        </w:tc>
      </w:tr>
      <w:tr w:rsidR="00610DDA" w:rsidTr="00610DDA">
        <w:trPr>
          <w:trHeight w:val="504"/>
          <w:jc w:val="center"/>
        </w:trPr>
        <w:tc>
          <w:tcPr>
            <w:tcW w:w="2325" w:type="dxa"/>
            <w:tcBorders>
              <w:top w:val="nil"/>
              <w:left w:val="double" w:sz="4" w:space="0" w:color="auto"/>
              <w:bottom w:val="nil"/>
              <w:right w:val="double" w:sz="4" w:space="0" w:color="auto"/>
            </w:tcBorders>
            <w:tcMar>
              <w:top w:w="0" w:type="dxa"/>
              <w:left w:w="58" w:type="dxa"/>
              <w:bottom w:w="0" w:type="dxa"/>
              <w:right w:w="58" w:type="dxa"/>
            </w:tcMar>
            <w:vAlign w:val="center"/>
            <w:hideMark/>
          </w:tcPr>
          <w:p w:rsidR="00610DDA" w:rsidRDefault="00610DDA">
            <w:pPr>
              <w:spacing w:line="256" w:lineRule="auto"/>
              <w:rPr>
                <w:rFonts w:cs="Times New Roman"/>
                <w:sz w:val="22"/>
              </w:rPr>
            </w:pPr>
            <w:r>
              <w:rPr>
                <w:rFonts w:cs="Times New Roman"/>
                <w:sz w:val="22"/>
              </w:rPr>
              <w:t>Arts</w:t>
            </w:r>
          </w:p>
        </w:tc>
        <w:tc>
          <w:tcPr>
            <w:tcW w:w="1800" w:type="dxa"/>
            <w:tcBorders>
              <w:top w:val="nil"/>
              <w:left w:val="double" w:sz="4" w:space="0" w:color="auto"/>
              <w:bottom w:val="nil"/>
              <w:right w:val="single" w:sz="4" w:space="0" w:color="auto"/>
            </w:tcBorders>
            <w:tcMar>
              <w:top w:w="0" w:type="dxa"/>
              <w:left w:w="58" w:type="dxa"/>
              <w:bottom w:w="0" w:type="dxa"/>
              <w:right w:w="58" w:type="dxa"/>
            </w:tcMar>
            <w:vAlign w:val="center"/>
            <w:hideMark/>
          </w:tcPr>
          <w:p w:rsidR="00610DDA" w:rsidRDefault="00610DDA">
            <w:pPr>
              <w:spacing w:line="256" w:lineRule="auto"/>
              <w:jc w:val="center"/>
              <w:rPr>
                <w:rFonts w:cs="Times New Roman"/>
                <w:sz w:val="22"/>
              </w:rPr>
            </w:pPr>
            <w:r>
              <w:rPr>
                <w:rFonts w:cs="Times New Roman"/>
                <w:sz w:val="22"/>
              </w:rPr>
              <w:t xml:space="preserve">246   (44.6) </w:t>
            </w:r>
          </w:p>
        </w:tc>
        <w:tc>
          <w:tcPr>
            <w:tcW w:w="1440" w:type="dxa"/>
            <w:tcBorders>
              <w:top w:val="nil"/>
              <w:left w:val="single" w:sz="4" w:space="0" w:color="auto"/>
              <w:bottom w:val="nil"/>
              <w:right w:val="double" w:sz="4" w:space="0" w:color="auto"/>
            </w:tcBorders>
            <w:tcMar>
              <w:top w:w="0" w:type="dxa"/>
              <w:left w:w="58" w:type="dxa"/>
              <w:bottom w:w="0" w:type="dxa"/>
              <w:right w:w="58" w:type="dxa"/>
            </w:tcMar>
            <w:vAlign w:val="center"/>
            <w:hideMark/>
          </w:tcPr>
          <w:p w:rsidR="00610DDA" w:rsidRDefault="00610DDA">
            <w:pPr>
              <w:spacing w:line="256" w:lineRule="auto"/>
              <w:jc w:val="center"/>
              <w:rPr>
                <w:rFonts w:cs="Times New Roman"/>
                <w:sz w:val="22"/>
              </w:rPr>
            </w:pPr>
            <w:r>
              <w:rPr>
                <w:rFonts w:cs="Times New Roman"/>
                <w:sz w:val="22"/>
              </w:rPr>
              <w:t xml:space="preserve">    97</w:t>
            </w:r>
          </w:p>
        </w:tc>
        <w:tc>
          <w:tcPr>
            <w:tcW w:w="1620" w:type="dxa"/>
            <w:tcBorders>
              <w:top w:val="nil"/>
              <w:left w:val="double" w:sz="4" w:space="0" w:color="auto"/>
              <w:bottom w:val="nil"/>
              <w:right w:val="single" w:sz="4" w:space="0" w:color="auto"/>
            </w:tcBorders>
            <w:tcMar>
              <w:top w:w="0" w:type="dxa"/>
              <w:left w:w="58" w:type="dxa"/>
              <w:bottom w:w="0" w:type="dxa"/>
              <w:right w:w="58" w:type="dxa"/>
            </w:tcMar>
            <w:vAlign w:val="center"/>
            <w:hideMark/>
          </w:tcPr>
          <w:p w:rsidR="00610DDA" w:rsidRDefault="00610DDA">
            <w:pPr>
              <w:spacing w:line="256" w:lineRule="auto"/>
              <w:jc w:val="center"/>
              <w:rPr>
                <w:rFonts w:cs="Times New Roman"/>
                <w:sz w:val="22"/>
              </w:rPr>
            </w:pPr>
            <w:r>
              <w:rPr>
                <w:rFonts w:cs="Times New Roman"/>
                <w:sz w:val="22"/>
              </w:rPr>
              <w:t xml:space="preserve">  49 (20%)</w:t>
            </w:r>
          </w:p>
        </w:tc>
        <w:tc>
          <w:tcPr>
            <w:tcW w:w="2070" w:type="dxa"/>
            <w:tcBorders>
              <w:top w:val="nil"/>
              <w:left w:val="single" w:sz="4" w:space="0" w:color="auto"/>
              <w:bottom w:val="nil"/>
              <w:right w:val="double" w:sz="4" w:space="0" w:color="auto"/>
            </w:tcBorders>
            <w:tcMar>
              <w:top w:w="0" w:type="dxa"/>
              <w:left w:w="58" w:type="dxa"/>
              <w:bottom w:w="0" w:type="dxa"/>
              <w:right w:w="58" w:type="dxa"/>
            </w:tcMar>
            <w:vAlign w:val="center"/>
            <w:hideMark/>
          </w:tcPr>
          <w:p w:rsidR="00610DDA" w:rsidRDefault="00610DDA">
            <w:pPr>
              <w:spacing w:line="256" w:lineRule="auto"/>
              <w:jc w:val="center"/>
              <w:rPr>
                <w:rFonts w:cs="Times New Roman"/>
                <w:sz w:val="22"/>
              </w:rPr>
            </w:pPr>
            <w:r>
              <w:rPr>
                <w:rFonts w:cs="Times New Roman"/>
                <w:sz w:val="22"/>
              </w:rPr>
              <w:t>197 (80%)</w:t>
            </w:r>
          </w:p>
        </w:tc>
      </w:tr>
      <w:tr w:rsidR="00610DDA" w:rsidTr="00610DDA">
        <w:trPr>
          <w:trHeight w:val="504"/>
          <w:jc w:val="center"/>
        </w:trPr>
        <w:tc>
          <w:tcPr>
            <w:tcW w:w="2325" w:type="dxa"/>
            <w:tcBorders>
              <w:top w:val="nil"/>
              <w:left w:val="double" w:sz="4" w:space="0" w:color="auto"/>
              <w:bottom w:val="nil"/>
              <w:right w:val="double" w:sz="4" w:space="0" w:color="auto"/>
            </w:tcBorders>
            <w:tcMar>
              <w:top w:w="0" w:type="dxa"/>
              <w:left w:w="58" w:type="dxa"/>
              <w:bottom w:w="0" w:type="dxa"/>
              <w:right w:w="58" w:type="dxa"/>
            </w:tcMar>
            <w:vAlign w:val="center"/>
            <w:hideMark/>
          </w:tcPr>
          <w:p w:rsidR="00610DDA" w:rsidRDefault="00610DDA">
            <w:pPr>
              <w:spacing w:line="256" w:lineRule="auto"/>
              <w:rPr>
                <w:rFonts w:cs="Times New Roman"/>
                <w:sz w:val="22"/>
              </w:rPr>
            </w:pPr>
            <w:r>
              <w:rPr>
                <w:rFonts w:cs="Times New Roman"/>
                <w:sz w:val="22"/>
              </w:rPr>
              <w:t>Hobbies</w:t>
            </w:r>
          </w:p>
        </w:tc>
        <w:tc>
          <w:tcPr>
            <w:tcW w:w="1800" w:type="dxa"/>
            <w:tcBorders>
              <w:top w:val="nil"/>
              <w:left w:val="double" w:sz="4" w:space="0" w:color="auto"/>
              <w:bottom w:val="nil"/>
              <w:right w:val="single" w:sz="4" w:space="0" w:color="auto"/>
            </w:tcBorders>
            <w:tcMar>
              <w:top w:w="0" w:type="dxa"/>
              <w:left w:w="58" w:type="dxa"/>
              <w:bottom w:w="0" w:type="dxa"/>
              <w:right w:w="58" w:type="dxa"/>
            </w:tcMar>
            <w:vAlign w:val="center"/>
            <w:hideMark/>
          </w:tcPr>
          <w:p w:rsidR="00610DDA" w:rsidRDefault="00610DDA">
            <w:pPr>
              <w:spacing w:line="256" w:lineRule="auto"/>
              <w:jc w:val="center"/>
              <w:rPr>
                <w:rFonts w:cs="Times New Roman"/>
                <w:sz w:val="22"/>
              </w:rPr>
            </w:pPr>
            <w:r>
              <w:rPr>
                <w:rFonts w:cs="Times New Roman"/>
                <w:sz w:val="22"/>
              </w:rPr>
              <w:t>102   (18.5)</w:t>
            </w:r>
          </w:p>
        </w:tc>
        <w:tc>
          <w:tcPr>
            <w:tcW w:w="1440" w:type="dxa"/>
            <w:tcBorders>
              <w:top w:val="nil"/>
              <w:left w:val="single" w:sz="4" w:space="0" w:color="auto"/>
              <w:bottom w:val="nil"/>
              <w:right w:val="double" w:sz="4" w:space="0" w:color="auto"/>
            </w:tcBorders>
            <w:tcMar>
              <w:top w:w="0" w:type="dxa"/>
              <w:left w:w="58" w:type="dxa"/>
              <w:bottom w:w="0" w:type="dxa"/>
              <w:right w:w="58" w:type="dxa"/>
            </w:tcMar>
            <w:vAlign w:val="center"/>
            <w:hideMark/>
          </w:tcPr>
          <w:p w:rsidR="00610DDA" w:rsidRDefault="00610DDA">
            <w:pPr>
              <w:spacing w:line="256" w:lineRule="auto"/>
              <w:jc w:val="center"/>
              <w:rPr>
                <w:rFonts w:cs="Times New Roman"/>
                <w:sz w:val="22"/>
              </w:rPr>
            </w:pPr>
            <w:r>
              <w:rPr>
                <w:rFonts w:cs="Times New Roman"/>
                <w:sz w:val="22"/>
              </w:rPr>
              <w:t xml:space="preserve">  134</w:t>
            </w:r>
          </w:p>
        </w:tc>
        <w:tc>
          <w:tcPr>
            <w:tcW w:w="1620" w:type="dxa"/>
            <w:tcBorders>
              <w:top w:val="nil"/>
              <w:left w:val="double" w:sz="4" w:space="0" w:color="auto"/>
              <w:bottom w:val="nil"/>
              <w:right w:val="single" w:sz="4" w:space="0" w:color="auto"/>
            </w:tcBorders>
            <w:tcMar>
              <w:top w:w="0" w:type="dxa"/>
              <w:left w:w="58" w:type="dxa"/>
              <w:bottom w:w="0" w:type="dxa"/>
              <w:right w:w="58" w:type="dxa"/>
            </w:tcMar>
            <w:vAlign w:val="center"/>
            <w:hideMark/>
          </w:tcPr>
          <w:p w:rsidR="00610DDA" w:rsidRDefault="00610DDA">
            <w:pPr>
              <w:spacing w:line="256" w:lineRule="auto"/>
              <w:jc w:val="center"/>
              <w:rPr>
                <w:rFonts w:cs="Times New Roman"/>
                <w:sz w:val="22"/>
              </w:rPr>
            </w:pPr>
            <w:r>
              <w:rPr>
                <w:rFonts w:cs="Times New Roman"/>
                <w:sz w:val="22"/>
              </w:rPr>
              <w:t xml:space="preserve">  12 (12%)</w:t>
            </w:r>
          </w:p>
        </w:tc>
        <w:tc>
          <w:tcPr>
            <w:tcW w:w="2070" w:type="dxa"/>
            <w:tcBorders>
              <w:top w:val="nil"/>
              <w:left w:val="single" w:sz="4" w:space="0" w:color="auto"/>
              <w:bottom w:val="nil"/>
              <w:right w:val="double" w:sz="4" w:space="0" w:color="auto"/>
            </w:tcBorders>
            <w:tcMar>
              <w:top w:w="0" w:type="dxa"/>
              <w:left w:w="58" w:type="dxa"/>
              <w:bottom w:w="0" w:type="dxa"/>
              <w:right w:w="58" w:type="dxa"/>
            </w:tcMar>
            <w:vAlign w:val="center"/>
            <w:hideMark/>
          </w:tcPr>
          <w:p w:rsidR="00610DDA" w:rsidRDefault="00610DDA">
            <w:pPr>
              <w:spacing w:line="256" w:lineRule="auto"/>
              <w:jc w:val="center"/>
              <w:rPr>
                <w:rFonts w:cs="Times New Roman"/>
                <w:sz w:val="22"/>
              </w:rPr>
            </w:pPr>
            <w:r>
              <w:rPr>
                <w:rFonts w:cs="Times New Roman"/>
                <w:sz w:val="22"/>
              </w:rPr>
              <w:t xml:space="preserve"> 90 (88%)</w:t>
            </w:r>
          </w:p>
        </w:tc>
      </w:tr>
      <w:tr w:rsidR="00610DDA" w:rsidTr="00610DDA">
        <w:trPr>
          <w:trHeight w:val="504"/>
          <w:jc w:val="center"/>
        </w:trPr>
        <w:tc>
          <w:tcPr>
            <w:tcW w:w="2325" w:type="dxa"/>
            <w:tcBorders>
              <w:top w:val="nil"/>
              <w:left w:val="double" w:sz="4" w:space="0" w:color="auto"/>
              <w:bottom w:val="double" w:sz="4" w:space="0" w:color="auto"/>
              <w:right w:val="double" w:sz="4" w:space="0" w:color="auto"/>
            </w:tcBorders>
            <w:tcMar>
              <w:top w:w="0" w:type="dxa"/>
              <w:left w:w="58" w:type="dxa"/>
              <w:bottom w:w="0" w:type="dxa"/>
              <w:right w:w="58" w:type="dxa"/>
            </w:tcMar>
            <w:vAlign w:val="center"/>
            <w:hideMark/>
          </w:tcPr>
          <w:p w:rsidR="00610DDA" w:rsidRDefault="00610DDA">
            <w:pPr>
              <w:spacing w:line="256" w:lineRule="auto"/>
              <w:rPr>
                <w:rFonts w:cs="Times New Roman"/>
                <w:sz w:val="22"/>
              </w:rPr>
            </w:pPr>
            <w:r>
              <w:rPr>
                <w:rFonts w:cs="Times New Roman"/>
                <w:sz w:val="22"/>
              </w:rPr>
              <w:t>In-home (outside good)</w:t>
            </w:r>
          </w:p>
        </w:tc>
        <w:tc>
          <w:tcPr>
            <w:tcW w:w="1800" w:type="dxa"/>
            <w:tcBorders>
              <w:top w:val="nil"/>
              <w:left w:val="double" w:sz="4" w:space="0" w:color="auto"/>
              <w:bottom w:val="double" w:sz="4" w:space="0" w:color="auto"/>
              <w:right w:val="single" w:sz="4" w:space="0" w:color="auto"/>
            </w:tcBorders>
            <w:tcMar>
              <w:top w:w="0" w:type="dxa"/>
              <w:left w:w="58" w:type="dxa"/>
              <w:bottom w:w="0" w:type="dxa"/>
              <w:right w:w="58" w:type="dxa"/>
            </w:tcMar>
            <w:vAlign w:val="center"/>
            <w:hideMark/>
          </w:tcPr>
          <w:p w:rsidR="00610DDA" w:rsidRDefault="00610DDA">
            <w:pPr>
              <w:spacing w:line="256" w:lineRule="auto"/>
              <w:jc w:val="center"/>
              <w:rPr>
                <w:rFonts w:cs="Times New Roman"/>
                <w:sz w:val="22"/>
              </w:rPr>
            </w:pPr>
            <w:r>
              <w:rPr>
                <w:rFonts w:cs="Times New Roman"/>
                <w:sz w:val="22"/>
              </w:rPr>
              <w:t>552 (100.0)</w:t>
            </w:r>
          </w:p>
        </w:tc>
        <w:tc>
          <w:tcPr>
            <w:tcW w:w="1440" w:type="dxa"/>
            <w:tcBorders>
              <w:top w:val="nil"/>
              <w:left w:val="single" w:sz="4" w:space="0" w:color="auto"/>
              <w:bottom w:val="double" w:sz="4" w:space="0" w:color="auto"/>
              <w:right w:val="double" w:sz="4" w:space="0" w:color="auto"/>
            </w:tcBorders>
            <w:tcMar>
              <w:top w:w="0" w:type="dxa"/>
              <w:left w:w="58" w:type="dxa"/>
              <w:bottom w:w="0" w:type="dxa"/>
              <w:right w:w="58" w:type="dxa"/>
            </w:tcMar>
            <w:vAlign w:val="center"/>
            <w:hideMark/>
          </w:tcPr>
          <w:p w:rsidR="00610DDA" w:rsidRDefault="00610DDA">
            <w:pPr>
              <w:spacing w:line="256" w:lineRule="auto"/>
              <w:jc w:val="center"/>
              <w:rPr>
                <w:rFonts w:cs="Times New Roman"/>
                <w:sz w:val="22"/>
              </w:rPr>
            </w:pPr>
            <w:r>
              <w:rPr>
                <w:rFonts w:cs="Times New Roman"/>
                <w:sz w:val="22"/>
              </w:rPr>
              <w:t>1530</w:t>
            </w:r>
          </w:p>
        </w:tc>
        <w:tc>
          <w:tcPr>
            <w:tcW w:w="1620" w:type="dxa"/>
            <w:tcBorders>
              <w:top w:val="nil"/>
              <w:left w:val="double" w:sz="4" w:space="0" w:color="auto"/>
              <w:bottom w:val="double" w:sz="4" w:space="0" w:color="auto"/>
              <w:right w:val="single" w:sz="4" w:space="0" w:color="auto"/>
            </w:tcBorders>
            <w:tcMar>
              <w:top w:w="0" w:type="dxa"/>
              <w:left w:w="58" w:type="dxa"/>
              <w:bottom w:w="0" w:type="dxa"/>
              <w:right w:w="58" w:type="dxa"/>
            </w:tcMar>
            <w:vAlign w:val="center"/>
            <w:hideMark/>
          </w:tcPr>
          <w:p w:rsidR="00610DDA" w:rsidRDefault="00610DDA">
            <w:pPr>
              <w:spacing w:line="256" w:lineRule="auto"/>
              <w:jc w:val="center"/>
              <w:rPr>
                <w:rFonts w:cs="Times New Roman"/>
                <w:sz w:val="22"/>
              </w:rPr>
            </w:pPr>
            <w:r>
              <w:rPr>
                <w:rFonts w:cs="Times New Roman"/>
                <w:sz w:val="22"/>
              </w:rPr>
              <w:t xml:space="preserve">  55 (10%)</w:t>
            </w:r>
          </w:p>
        </w:tc>
        <w:tc>
          <w:tcPr>
            <w:tcW w:w="2070" w:type="dxa"/>
            <w:tcBorders>
              <w:top w:val="nil"/>
              <w:left w:val="single" w:sz="4" w:space="0" w:color="auto"/>
              <w:bottom w:val="double" w:sz="4" w:space="0" w:color="auto"/>
              <w:right w:val="double" w:sz="4" w:space="0" w:color="auto"/>
            </w:tcBorders>
            <w:tcMar>
              <w:top w:w="0" w:type="dxa"/>
              <w:left w:w="58" w:type="dxa"/>
              <w:bottom w:w="0" w:type="dxa"/>
              <w:right w:w="58" w:type="dxa"/>
            </w:tcMar>
            <w:vAlign w:val="center"/>
            <w:hideMark/>
          </w:tcPr>
          <w:p w:rsidR="00610DDA" w:rsidRDefault="00610DDA">
            <w:pPr>
              <w:spacing w:line="256" w:lineRule="auto"/>
              <w:jc w:val="center"/>
              <w:rPr>
                <w:rFonts w:cs="Times New Roman"/>
                <w:sz w:val="22"/>
              </w:rPr>
            </w:pPr>
            <w:r>
              <w:rPr>
                <w:rFonts w:cs="Times New Roman"/>
                <w:sz w:val="22"/>
              </w:rPr>
              <w:t>497 (90%)</w:t>
            </w:r>
          </w:p>
        </w:tc>
      </w:tr>
    </w:tbl>
    <w:p w:rsidR="00610DDA" w:rsidRDefault="00610DDA" w:rsidP="00610DDA">
      <w:pPr>
        <w:adjustRightInd w:val="0"/>
        <w:snapToGrid w:val="0"/>
        <w:rPr>
          <w:rFonts w:cs="Times New Roman"/>
          <w:b/>
          <w:szCs w:val="24"/>
        </w:rPr>
      </w:pPr>
    </w:p>
    <w:p w:rsidR="00610DDA" w:rsidRDefault="00610DDA" w:rsidP="00610DDA">
      <w:pPr>
        <w:rPr>
          <w:rFonts w:cs="Times New Roman"/>
          <w:b/>
          <w:szCs w:val="24"/>
        </w:rPr>
        <w:sectPr w:rsidR="00610DDA">
          <w:pgSz w:w="12240" w:h="15840"/>
          <w:pgMar w:top="1440" w:right="1440" w:bottom="1440" w:left="1440" w:header="720" w:footer="720" w:gutter="0"/>
          <w:cols w:space="720"/>
        </w:sectPr>
      </w:pPr>
    </w:p>
    <w:p w:rsidR="00610DDA" w:rsidRDefault="00610DDA" w:rsidP="00610DDA">
      <w:pPr>
        <w:adjustRightInd w:val="0"/>
        <w:snapToGrid w:val="0"/>
        <w:spacing w:after="120"/>
        <w:rPr>
          <w:rFonts w:cs="Times New Roman"/>
          <w:b/>
          <w:szCs w:val="24"/>
        </w:rPr>
      </w:pPr>
      <w:r>
        <w:rPr>
          <w:rFonts w:cs="Times New Roman"/>
          <w:b/>
          <w:szCs w:val="24"/>
        </w:rPr>
        <w:lastRenderedPageBreak/>
        <w:t>Table 3. Estimation results of the joint model (t-stats in parenthesis)</w:t>
      </w:r>
    </w:p>
    <w:tbl>
      <w:tblPr>
        <w:tblStyle w:val="TableGrid"/>
        <w:tblW w:w="13755" w:type="dxa"/>
        <w:jc w:val="center"/>
        <w:tblLook w:val="04A0" w:firstRow="1" w:lastRow="0" w:firstColumn="1" w:lastColumn="0" w:noHBand="0" w:noVBand="1"/>
      </w:tblPr>
      <w:tblGrid>
        <w:gridCol w:w="3405"/>
        <w:gridCol w:w="1350"/>
        <w:gridCol w:w="1350"/>
        <w:gridCol w:w="1170"/>
        <w:gridCol w:w="1260"/>
        <w:gridCol w:w="1260"/>
        <w:gridCol w:w="1260"/>
        <w:gridCol w:w="1350"/>
        <w:gridCol w:w="1350"/>
      </w:tblGrid>
      <w:tr w:rsidR="00610DDA" w:rsidTr="00610DDA">
        <w:trPr>
          <w:jc w:val="center"/>
        </w:trPr>
        <w:tc>
          <w:tcPr>
            <w:tcW w:w="3405" w:type="dxa"/>
            <w:vMerge w:val="restart"/>
            <w:tcBorders>
              <w:top w:val="double" w:sz="4" w:space="0" w:color="auto"/>
              <w:left w:val="double" w:sz="4" w:space="0" w:color="auto"/>
              <w:bottom w:val="double" w:sz="4" w:space="0" w:color="auto"/>
              <w:right w:val="double" w:sz="4" w:space="0" w:color="auto"/>
            </w:tcBorders>
            <w:shd w:val="clear" w:color="auto" w:fill="D0CECE" w:themeFill="background2" w:themeFillShade="E6"/>
            <w:tcMar>
              <w:top w:w="0" w:type="dxa"/>
              <w:left w:w="58" w:type="dxa"/>
              <w:bottom w:w="0" w:type="dxa"/>
              <w:right w:w="58" w:type="dxa"/>
            </w:tcMar>
            <w:vAlign w:val="center"/>
            <w:hideMark/>
          </w:tcPr>
          <w:p w:rsidR="00610DDA" w:rsidRDefault="00610DDA">
            <w:pPr>
              <w:adjustRightInd w:val="0"/>
              <w:snapToGrid w:val="0"/>
              <w:jc w:val="center"/>
              <w:rPr>
                <w:rFonts w:cs="Times New Roman"/>
                <w:b/>
                <w:sz w:val="20"/>
                <w:szCs w:val="20"/>
              </w:rPr>
            </w:pPr>
            <w:r>
              <w:rPr>
                <w:rFonts w:cs="Times New Roman"/>
                <w:b/>
                <w:sz w:val="20"/>
                <w:szCs w:val="20"/>
              </w:rPr>
              <w:t>Exogenous variable</w:t>
            </w:r>
          </w:p>
        </w:tc>
        <w:tc>
          <w:tcPr>
            <w:tcW w:w="2700" w:type="dxa"/>
            <w:gridSpan w:val="2"/>
            <w:tcBorders>
              <w:top w:val="double" w:sz="4" w:space="0" w:color="auto"/>
              <w:left w:val="double" w:sz="4" w:space="0" w:color="auto"/>
              <w:bottom w:val="single" w:sz="4" w:space="0" w:color="auto"/>
              <w:right w:val="double" w:sz="4" w:space="0" w:color="auto"/>
            </w:tcBorders>
            <w:shd w:val="clear" w:color="auto" w:fill="D0CECE" w:themeFill="background2" w:themeFillShade="E6"/>
            <w:tcMar>
              <w:top w:w="0" w:type="dxa"/>
              <w:left w:w="58" w:type="dxa"/>
              <w:bottom w:w="0" w:type="dxa"/>
              <w:right w:w="58" w:type="dxa"/>
            </w:tcMar>
            <w:hideMark/>
          </w:tcPr>
          <w:p w:rsidR="00610DDA" w:rsidRDefault="00610DDA">
            <w:pPr>
              <w:adjustRightInd w:val="0"/>
              <w:snapToGrid w:val="0"/>
              <w:jc w:val="center"/>
              <w:rPr>
                <w:rFonts w:cs="Times New Roman"/>
                <w:b/>
                <w:sz w:val="20"/>
                <w:szCs w:val="20"/>
              </w:rPr>
            </w:pPr>
            <w:r>
              <w:rPr>
                <w:rFonts w:cs="Times New Roman"/>
                <w:b/>
                <w:sz w:val="20"/>
                <w:szCs w:val="20"/>
              </w:rPr>
              <w:t>Residential location density (RL choice utility; base RL alternative is low density)</w:t>
            </w:r>
          </w:p>
        </w:tc>
        <w:tc>
          <w:tcPr>
            <w:tcW w:w="4950" w:type="dxa"/>
            <w:gridSpan w:val="4"/>
            <w:tcBorders>
              <w:top w:val="double" w:sz="4" w:space="0" w:color="auto"/>
              <w:left w:val="double" w:sz="4" w:space="0" w:color="auto"/>
              <w:bottom w:val="single" w:sz="4" w:space="0" w:color="auto"/>
              <w:right w:val="double" w:sz="4" w:space="0" w:color="auto"/>
            </w:tcBorders>
            <w:shd w:val="clear" w:color="auto" w:fill="D0CECE" w:themeFill="background2" w:themeFillShade="E6"/>
            <w:tcMar>
              <w:top w:w="0" w:type="dxa"/>
              <w:left w:w="58" w:type="dxa"/>
              <w:bottom w:w="0" w:type="dxa"/>
              <w:right w:w="58" w:type="dxa"/>
            </w:tcMar>
            <w:vAlign w:val="center"/>
            <w:hideMark/>
          </w:tcPr>
          <w:p w:rsidR="00610DDA" w:rsidRDefault="00610DDA">
            <w:pPr>
              <w:adjustRightInd w:val="0"/>
              <w:snapToGrid w:val="0"/>
              <w:jc w:val="center"/>
              <w:rPr>
                <w:rFonts w:cs="Times New Roman"/>
                <w:b/>
                <w:sz w:val="20"/>
                <w:szCs w:val="20"/>
              </w:rPr>
            </w:pPr>
            <w:r>
              <w:rPr>
                <w:rFonts w:cs="Times New Roman"/>
                <w:b/>
                <w:sz w:val="20"/>
                <w:szCs w:val="20"/>
              </w:rPr>
              <w:t>Extra-curricular activity participation (ECAP baseline utility; base ECAP alternative is “in-home activity”)</w:t>
            </w:r>
          </w:p>
        </w:tc>
        <w:tc>
          <w:tcPr>
            <w:tcW w:w="2700" w:type="dxa"/>
            <w:gridSpan w:val="2"/>
            <w:tcBorders>
              <w:top w:val="double" w:sz="4" w:space="0" w:color="auto"/>
              <w:left w:val="double" w:sz="4" w:space="0" w:color="auto"/>
              <w:bottom w:val="single" w:sz="4" w:space="0" w:color="auto"/>
              <w:right w:val="double" w:sz="4" w:space="0" w:color="auto"/>
            </w:tcBorders>
            <w:shd w:val="clear" w:color="auto" w:fill="D0CECE" w:themeFill="background2" w:themeFillShade="E6"/>
            <w:tcMar>
              <w:top w:w="0" w:type="dxa"/>
              <w:left w:w="58" w:type="dxa"/>
              <w:bottom w:w="0" w:type="dxa"/>
              <w:right w:w="58" w:type="dxa"/>
            </w:tcMar>
            <w:hideMark/>
          </w:tcPr>
          <w:p w:rsidR="00610DDA" w:rsidRDefault="00610DDA">
            <w:pPr>
              <w:adjustRightInd w:val="0"/>
              <w:snapToGrid w:val="0"/>
              <w:jc w:val="center"/>
              <w:rPr>
                <w:rFonts w:cs="Times New Roman"/>
                <w:b/>
                <w:sz w:val="20"/>
                <w:szCs w:val="20"/>
              </w:rPr>
            </w:pPr>
            <w:r>
              <w:rPr>
                <w:rFonts w:cs="Times New Roman"/>
                <w:b/>
                <w:sz w:val="20"/>
                <w:szCs w:val="20"/>
              </w:rPr>
              <w:t>Active travel (ACT choice utility; base ACT alternative is “no active travel”)</w:t>
            </w:r>
          </w:p>
        </w:tc>
      </w:tr>
      <w:tr w:rsidR="00610DDA" w:rsidTr="00610DDA">
        <w:trPr>
          <w:jc w:val="center"/>
        </w:trPr>
        <w:tc>
          <w:tcPr>
            <w:tcW w:w="0" w:type="auto"/>
            <w:vMerge/>
            <w:tcBorders>
              <w:top w:val="double" w:sz="4" w:space="0" w:color="auto"/>
              <w:left w:val="double" w:sz="4" w:space="0" w:color="auto"/>
              <w:bottom w:val="double" w:sz="4" w:space="0" w:color="auto"/>
              <w:right w:val="double" w:sz="4" w:space="0" w:color="auto"/>
            </w:tcBorders>
            <w:vAlign w:val="center"/>
            <w:hideMark/>
          </w:tcPr>
          <w:p w:rsidR="00610DDA" w:rsidRDefault="00610DDA">
            <w:pPr>
              <w:rPr>
                <w:rFonts w:cs="Times New Roman"/>
                <w:b/>
                <w:sz w:val="20"/>
                <w:szCs w:val="20"/>
              </w:rPr>
            </w:pPr>
          </w:p>
        </w:tc>
        <w:tc>
          <w:tcPr>
            <w:tcW w:w="1350" w:type="dxa"/>
            <w:tcBorders>
              <w:top w:val="single" w:sz="4" w:space="0" w:color="auto"/>
              <w:left w:val="double" w:sz="4" w:space="0" w:color="auto"/>
              <w:bottom w:val="double" w:sz="4" w:space="0" w:color="auto"/>
              <w:right w:val="single" w:sz="4" w:space="0" w:color="auto"/>
            </w:tcBorders>
            <w:shd w:val="clear" w:color="auto" w:fill="D0CECE" w:themeFill="background2" w:themeFillShade="E6"/>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Medium density</w:t>
            </w:r>
          </w:p>
        </w:tc>
        <w:tc>
          <w:tcPr>
            <w:tcW w:w="1350" w:type="dxa"/>
            <w:tcBorders>
              <w:top w:val="single" w:sz="4" w:space="0" w:color="auto"/>
              <w:left w:val="single" w:sz="4" w:space="0" w:color="auto"/>
              <w:bottom w:val="double" w:sz="4" w:space="0" w:color="auto"/>
              <w:right w:val="double" w:sz="4" w:space="0" w:color="auto"/>
            </w:tcBorders>
            <w:shd w:val="clear" w:color="auto" w:fill="D0CECE" w:themeFill="background2" w:themeFillShade="E6"/>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High density</w:t>
            </w:r>
          </w:p>
        </w:tc>
        <w:tc>
          <w:tcPr>
            <w:tcW w:w="1170" w:type="dxa"/>
            <w:tcBorders>
              <w:top w:val="single" w:sz="4" w:space="0" w:color="auto"/>
              <w:left w:val="single" w:sz="4" w:space="0" w:color="auto"/>
              <w:bottom w:val="double" w:sz="4" w:space="0" w:color="auto"/>
              <w:right w:val="single" w:sz="4" w:space="0" w:color="auto"/>
            </w:tcBorders>
            <w:shd w:val="clear" w:color="auto" w:fill="D0CECE" w:themeFill="background2" w:themeFillShade="E6"/>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Academic</w:t>
            </w:r>
          </w:p>
        </w:tc>
        <w:tc>
          <w:tcPr>
            <w:tcW w:w="1260" w:type="dxa"/>
            <w:tcBorders>
              <w:top w:val="single" w:sz="4" w:space="0" w:color="auto"/>
              <w:left w:val="single" w:sz="4" w:space="0" w:color="auto"/>
              <w:bottom w:val="double" w:sz="4" w:space="0" w:color="auto"/>
              <w:right w:val="single" w:sz="4" w:space="0" w:color="auto"/>
            </w:tcBorders>
            <w:shd w:val="clear" w:color="auto" w:fill="D0CECE" w:themeFill="background2" w:themeFillShade="E6"/>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Sports</w:t>
            </w:r>
          </w:p>
        </w:tc>
        <w:tc>
          <w:tcPr>
            <w:tcW w:w="1260" w:type="dxa"/>
            <w:tcBorders>
              <w:top w:val="single" w:sz="4" w:space="0" w:color="auto"/>
              <w:left w:val="single" w:sz="4" w:space="0" w:color="auto"/>
              <w:bottom w:val="double" w:sz="4" w:space="0" w:color="auto"/>
              <w:right w:val="single" w:sz="4" w:space="0" w:color="auto"/>
            </w:tcBorders>
            <w:shd w:val="clear" w:color="auto" w:fill="D0CECE" w:themeFill="background2" w:themeFillShade="E6"/>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Arts</w:t>
            </w:r>
          </w:p>
        </w:tc>
        <w:tc>
          <w:tcPr>
            <w:tcW w:w="1260" w:type="dxa"/>
            <w:tcBorders>
              <w:top w:val="single" w:sz="4" w:space="0" w:color="auto"/>
              <w:left w:val="single" w:sz="4" w:space="0" w:color="auto"/>
              <w:bottom w:val="double" w:sz="4" w:space="0" w:color="auto"/>
              <w:right w:val="double" w:sz="4" w:space="0" w:color="auto"/>
            </w:tcBorders>
            <w:shd w:val="clear" w:color="auto" w:fill="D0CECE" w:themeFill="background2" w:themeFillShade="E6"/>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Hobbies</w:t>
            </w:r>
          </w:p>
        </w:tc>
        <w:tc>
          <w:tcPr>
            <w:tcW w:w="1350" w:type="dxa"/>
            <w:tcBorders>
              <w:top w:val="single" w:sz="4" w:space="0" w:color="auto"/>
              <w:left w:val="single" w:sz="4" w:space="0" w:color="auto"/>
              <w:bottom w:val="double" w:sz="4" w:space="0" w:color="auto"/>
              <w:right w:val="double" w:sz="4" w:space="0" w:color="auto"/>
            </w:tcBorders>
            <w:shd w:val="clear" w:color="auto" w:fill="D0CECE" w:themeFill="background2" w:themeFillShade="E6"/>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Some active travel</w:t>
            </w:r>
          </w:p>
        </w:tc>
        <w:tc>
          <w:tcPr>
            <w:tcW w:w="1350" w:type="dxa"/>
            <w:tcBorders>
              <w:top w:val="single" w:sz="4" w:space="0" w:color="auto"/>
              <w:left w:val="single" w:sz="4" w:space="0" w:color="auto"/>
              <w:bottom w:val="double" w:sz="4" w:space="0" w:color="auto"/>
              <w:right w:val="double" w:sz="4" w:space="0" w:color="auto"/>
            </w:tcBorders>
            <w:shd w:val="clear" w:color="auto" w:fill="D0CECE" w:themeFill="background2" w:themeFillShade="E6"/>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All travel is active travel</w:t>
            </w:r>
          </w:p>
        </w:tc>
      </w:tr>
      <w:tr w:rsidR="00610DDA" w:rsidTr="00610DDA">
        <w:trPr>
          <w:trHeight w:val="288"/>
          <w:jc w:val="center"/>
        </w:trPr>
        <w:tc>
          <w:tcPr>
            <w:tcW w:w="3405" w:type="dxa"/>
            <w:tcBorders>
              <w:top w:val="double" w:sz="4" w:space="0" w:color="auto"/>
              <w:left w:val="doub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rPr>
                <w:rFonts w:cs="Times New Roman"/>
                <w:b/>
                <w:i/>
                <w:sz w:val="20"/>
                <w:szCs w:val="20"/>
              </w:rPr>
            </w:pPr>
            <w:r>
              <w:rPr>
                <w:rFonts w:cs="Times New Roman"/>
                <w:b/>
                <w:i/>
                <w:sz w:val="20"/>
                <w:szCs w:val="20"/>
              </w:rPr>
              <w:t>Alternative specific constant</w:t>
            </w:r>
          </w:p>
        </w:tc>
        <w:tc>
          <w:tcPr>
            <w:tcW w:w="1350" w:type="dxa"/>
            <w:tcBorders>
              <w:top w:val="double" w:sz="4" w:space="0" w:color="auto"/>
              <w:left w:val="doub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-0.520 (-8.07)</w:t>
            </w:r>
          </w:p>
        </w:tc>
        <w:tc>
          <w:tcPr>
            <w:tcW w:w="1350" w:type="dxa"/>
            <w:tcBorders>
              <w:top w:val="double" w:sz="4" w:space="0" w:color="auto"/>
              <w:left w:val="sing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-0.497 (-7.29)</w:t>
            </w:r>
          </w:p>
        </w:tc>
        <w:tc>
          <w:tcPr>
            <w:tcW w:w="1170" w:type="dxa"/>
            <w:tcBorders>
              <w:top w:val="double" w:sz="4" w:space="0" w:color="auto"/>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0.432 (3.09)</w:t>
            </w:r>
          </w:p>
        </w:tc>
        <w:tc>
          <w:tcPr>
            <w:tcW w:w="1260" w:type="dxa"/>
            <w:tcBorders>
              <w:top w:val="double" w:sz="4" w:space="0" w:color="auto"/>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0.497 (3.97)</w:t>
            </w:r>
          </w:p>
        </w:tc>
        <w:tc>
          <w:tcPr>
            <w:tcW w:w="1260" w:type="dxa"/>
            <w:tcBorders>
              <w:top w:val="double" w:sz="4" w:space="0" w:color="auto"/>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0.296 (2.23)</w:t>
            </w:r>
          </w:p>
        </w:tc>
        <w:tc>
          <w:tcPr>
            <w:tcW w:w="1260" w:type="dxa"/>
            <w:tcBorders>
              <w:top w:val="double" w:sz="4" w:space="0" w:color="auto"/>
              <w:left w:val="sing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0.232 (2.27)</w:t>
            </w:r>
          </w:p>
        </w:tc>
        <w:tc>
          <w:tcPr>
            <w:tcW w:w="1350" w:type="dxa"/>
            <w:tcBorders>
              <w:top w:val="double" w:sz="4" w:space="0" w:color="auto"/>
              <w:left w:val="sing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-0.464 (-2.74)</w:t>
            </w:r>
          </w:p>
        </w:tc>
        <w:tc>
          <w:tcPr>
            <w:tcW w:w="1350" w:type="dxa"/>
            <w:tcBorders>
              <w:top w:val="double" w:sz="4" w:space="0" w:color="auto"/>
              <w:left w:val="sing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0.190 (1.19)</w:t>
            </w:r>
          </w:p>
        </w:tc>
      </w:tr>
      <w:tr w:rsidR="00610DDA" w:rsidTr="00610DDA">
        <w:trPr>
          <w:trHeight w:val="288"/>
          <w:jc w:val="center"/>
        </w:trPr>
        <w:tc>
          <w:tcPr>
            <w:tcW w:w="3405" w:type="dxa"/>
            <w:tcBorders>
              <w:top w:val="nil"/>
              <w:left w:val="doub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rPr>
                <w:rFonts w:cs="Times New Roman"/>
                <w:b/>
                <w:i/>
                <w:sz w:val="20"/>
                <w:szCs w:val="20"/>
              </w:rPr>
            </w:pPr>
            <w:r>
              <w:rPr>
                <w:rFonts w:cs="Times New Roman"/>
                <w:b/>
                <w:i/>
                <w:sz w:val="20"/>
                <w:szCs w:val="20"/>
              </w:rPr>
              <w:t>Children characteristics</w:t>
            </w:r>
          </w:p>
        </w:tc>
        <w:tc>
          <w:tcPr>
            <w:tcW w:w="1350" w:type="dxa"/>
            <w:tcBorders>
              <w:top w:val="nil"/>
              <w:left w:val="double" w:sz="4" w:space="0" w:color="auto"/>
              <w:bottom w:val="nil"/>
              <w:right w:val="sing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350" w:type="dxa"/>
            <w:tcBorders>
              <w:top w:val="nil"/>
              <w:left w:val="single" w:sz="4" w:space="0" w:color="auto"/>
              <w:bottom w:val="nil"/>
              <w:right w:val="doub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170" w:type="dxa"/>
            <w:tcBorders>
              <w:top w:val="nil"/>
              <w:left w:val="single" w:sz="4" w:space="0" w:color="auto"/>
              <w:bottom w:val="nil"/>
              <w:right w:val="sing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260" w:type="dxa"/>
            <w:tcBorders>
              <w:top w:val="nil"/>
              <w:left w:val="single" w:sz="4" w:space="0" w:color="auto"/>
              <w:bottom w:val="nil"/>
              <w:right w:val="sing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260" w:type="dxa"/>
            <w:tcBorders>
              <w:top w:val="nil"/>
              <w:left w:val="single" w:sz="4" w:space="0" w:color="auto"/>
              <w:bottom w:val="nil"/>
              <w:right w:val="sing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260" w:type="dxa"/>
            <w:tcBorders>
              <w:top w:val="nil"/>
              <w:left w:val="single" w:sz="4" w:space="0" w:color="auto"/>
              <w:bottom w:val="nil"/>
              <w:right w:val="doub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350" w:type="dxa"/>
            <w:tcBorders>
              <w:top w:val="nil"/>
              <w:left w:val="single" w:sz="4" w:space="0" w:color="auto"/>
              <w:bottom w:val="nil"/>
              <w:right w:val="doub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350" w:type="dxa"/>
            <w:tcBorders>
              <w:top w:val="nil"/>
              <w:left w:val="single" w:sz="4" w:space="0" w:color="auto"/>
              <w:bottom w:val="nil"/>
              <w:right w:val="doub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r>
      <w:tr w:rsidR="00610DDA" w:rsidTr="00610DDA">
        <w:trPr>
          <w:trHeight w:val="288"/>
          <w:jc w:val="center"/>
        </w:trPr>
        <w:tc>
          <w:tcPr>
            <w:tcW w:w="3405" w:type="dxa"/>
            <w:tcBorders>
              <w:top w:val="nil"/>
              <w:left w:val="doub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 xml:space="preserve">  Age</w:t>
            </w:r>
          </w:p>
        </w:tc>
        <w:tc>
          <w:tcPr>
            <w:tcW w:w="1350" w:type="dxa"/>
            <w:tcBorders>
              <w:top w:val="nil"/>
              <w:left w:val="doub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w:t>
            </w:r>
          </w:p>
        </w:tc>
        <w:tc>
          <w:tcPr>
            <w:tcW w:w="1350" w:type="dxa"/>
            <w:tcBorders>
              <w:top w:val="nil"/>
              <w:left w:val="sing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w:t>
            </w:r>
          </w:p>
        </w:tc>
        <w:tc>
          <w:tcPr>
            <w:tcW w:w="1170"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w:t>
            </w:r>
          </w:p>
        </w:tc>
        <w:tc>
          <w:tcPr>
            <w:tcW w:w="1260"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0.104 (2.72)</w:t>
            </w:r>
          </w:p>
        </w:tc>
        <w:tc>
          <w:tcPr>
            <w:tcW w:w="1260"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0.102 (2.15)</w:t>
            </w:r>
          </w:p>
        </w:tc>
        <w:tc>
          <w:tcPr>
            <w:tcW w:w="1260" w:type="dxa"/>
            <w:tcBorders>
              <w:top w:val="nil"/>
              <w:left w:val="sing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0.193 (4.12)</w:t>
            </w:r>
          </w:p>
        </w:tc>
        <w:tc>
          <w:tcPr>
            <w:tcW w:w="1350" w:type="dxa"/>
            <w:tcBorders>
              <w:top w:val="nil"/>
              <w:left w:val="sing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0.252 (1.99)</w:t>
            </w:r>
          </w:p>
        </w:tc>
        <w:tc>
          <w:tcPr>
            <w:tcW w:w="1350" w:type="dxa"/>
            <w:tcBorders>
              <w:top w:val="nil"/>
              <w:left w:val="sing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0.376 (3.14)</w:t>
            </w:r>
          </w:p>
        </w:tc>
      </w:tr>
      <w:tr w:rsidR="00610DDA" w:rsidTr="00610DDA">
        <w:trPr>
          <w:trHeight w:val="288"/>
          <w:jc w:val="center"/>
        </w:trPr>
        <w:tc>
          <w:tcPr>
            <w:tcW w:w="3405" w:type="dxa"/>
            <w:tcBorders>
              <w:top w:val="nil"/>
              <w:left w:val="doub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 xml:space="preserve">  Gender (base is </w:t>
            </w:r>
            <w:r>
              <w:rPr>
                <w:rFonts w:cs="Times New Roman"/>
                <w:i/>
                <w:sz w:val="20"/>
                <w:szCs w:val="20"/>
              </w:rPr>
              <w:t>Male</w:t>
            </w:r>
            <w:r>
              <w:rPr>
                <w:rFonts w:cs="Times New Roman"/>
                <w:sz w:val="20"/>
                <w:szCs w:val="20"/>
              </w:rPr>
              <w:t>)</w:t>
            </w:r>
          </w:p>
        </w:tc>
        <w:tc>
          <w:tcPr>
            <w:tcW w:w="1350" w:type="dxa"/>
            <w:tcBorders>
              <w:top w:val="nil"/>
              <w:left w:val="double" w:sz="4" w:space="0" w:color="auto"/>
              <w:bottom w:val="nil"/>
              <w:right w:val="sing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350" w:type="dxa"/>
            <w:tcBorders>
              <w:top w:val="nil"/>
              <w:left w:val="single" w:sz="4" w:space="0" w:color="auto"/>
              <w:bottom w:val="nil"/>
              <w:right w:val="doub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170" w:type="dxa"/>
            <w:tcBorders>
              <w:top w:val="nil"/>
              <w:left w:val="single" w:sz="4" w:space="0" w:color="auto"/>
              <w:bottom w:val="nil"/>
              <w:right w:val="sing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260" w:type="dxa"/>
            <w:tcBorders>
              <w:top w:val="nil"/>
              <w:left w:val="single" w:sz="4" w:space="0" w:color="auto"/>
              <w:bottom w:val="nil"/>
              <w:right w:val="sing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260" w:type="dxa"/>
            <w:tcBorders>
              <w:top w:val="nil"/>
              <w:left w:val="single" w:sz="4" w:space="0" w:color="auto"/>
              <w:bottom w:val="nil"/>
              <w:right w:val="sing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260" w:type="dxa"/>
            <w:tcBorders>
              <w:top w:val="nil"/>
              <w:left w:val="single" w:sz="4" w:space="0" w:color="auto"/>
              <w:bottom w:val="nil"/>
              <w:right w:val="doub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350" w:type="dxa"/>
            <w:tcBorders>
              <w:top w:val="nil"/>
              <w:left w:val="single" w:sz="4" w:space="0" w:color="auto"/>
              <w:bottom w:val="nil"/>
              <w:right w:val="doub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350" w:type="dxa"/>
            <w:tcBorders>
              <w:top w:val="nil"/>
              <w:left w:val="single" w:sz="4" w:space="0" w:color="auto"/>
              <w:bottom w:val="nil"/>
              <w:right w:val="doub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r>
      <w:tr w:rsidR="00610DDA" w:rsidTr="00610DDA">
        <w:trPr>
          <w:trHeight w:val="288"/>
          <w:jc w:val="center"/>
        </w:trPr>
        <w:tc>
          <w:tcPr>
            <w:tcW w:w="3405" w:type="dxa"/>
            <w:tcBorders>
              <w:top w:val="nil"/>
              <w:left w:val="doub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rPr>
                <w:rFonts w:cs="Times New Roman"/>
                <w:i/>
                <w:sz w:val="20"/>
                <w:szCs w:val="20"/>
              </w:rPr>
            </w:pPr>
            <w:r>
              <w:rPr>
                <w:rFonts w:cs="Times New Roman"/>
                <w:sz w:val="20"/>
                <w:szCs w:val="20"/>
              </w:rPr>
              <w:t xml:space="preserve">        </w:t>
            </w:r>
            <w:r>
              <w:rPr>
                <w:rFonts w:cs="Times New Roman"/>
                <w:i/>
                <w:sz w:val="20"/>
                <w:szCs w:val="20"/>
              </w:rPr>
              <w:t>Female</w:t>
            </w:r>
          </w:p>
        </w:tc>
        <w:tc>
          <w:tcPr>
            <w:tcW w:w="1350" w:type="dxa"/>
            <w:tcBorders>
              <w:top w:val="nil"/>
              <w:left w:val="doub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w:t>
            </w:r>
          </w:p>
        </w:tc>
        <w:tc>
          <w:tcPr>
            <w:tcW w:w="1350" w:type="dxa"/>
            <w:tcBorders>
              <w:top w:val="nil"/>
              <w:left w:val="sing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w:t>
            </w:r>
          </w:p>
        </w:tc>
        <w:tc>
          <w:tcPr>
            <w:tcW w:w="1170"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w:t>
            </w:r>
          </w:p>
        </w:tc>
        <w:tc>
          <w:tcPr>
            <w:tcW w:w="1260"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w:t>
            </w:r>
          </w:p>
        </w:tc>
        <w:tc>
          <w:tcPr>
            <w:tcW w:w="1260"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0.162 (5.79)</w:t>
            </w:r>
          </w:p>
        </w:tc>
        <w:tc>
          <w:tcPr>
            <w:tcW w:w="1260" w:type="dxa"/>
            <w:tcBorders>
              <w:top w:val="nil"/>
              <w:left w:val="sing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w:t>
            </w:r>
          </w:p>
        </w:tc>
        <w:tc>
          <w:tcPr>
            <w:tcW w:w="1350" w:type="dxa"/>
            <w:tcBorders>
              <w:top w:val="nil"/>
              <w:left w:val="sing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w:t>
            </w:r>
          </w:p>
        </w:tc>
        <w:tc>
          <w:tcPr>
            <w:tcW w:w="1350" w:type="dxa"/>
            <w:tcBorders>
              <w:top w:val="nil"/>
              <w:left w:val="sing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-0.146 (-2.52)</w:t>
            </w:r>
          </w:p>
        </w:tc>
      </w:tr>
      <w:tr w:rsidR="00610DDA" w:rsidTr="00610DDA">
        <w:trPr>
          <w:trHeight w:val="288"/>
          <w:jc w:val="center"/>
        </w:trPr>
        <w:tc>
          <w:tcPr>
            <w:tcW w:w="3405" w:type="dxa"/>
            <w:tcBorders>
              <w:top w:val="nil"/>
              <w:left w:val="doub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rPr>
                <w:rFonts w:cs="Times New Roman"/>
                <w:b/>
                <w:i/>
                <w:sz w:val="20"/>
                <w:szCs w:val="20"/>
              </w:rPr>
            </w:pPr>
            <w:r>
              <w:rPr>
                <w:rFonts w:cs="Times New Roman"/>
                <w:b/>
                <w:i/>
                <w:sz w:val="20"/>
                <w:szCs w:val="20"/>
              </w:rPr>
              <w:t>Household characteristics</w:t>
            </w:r>
          </w:p>
        </w:tc>
        <w:tc>
          <w:tcPr>
            <w:tcW w:w="1350" w:type="dxa"/>
            <w:tcBorders>
              <w:top w:val="nil"/>
              <w:left w:val="double" w:sz="4" w:space="0" w:color="auto"/>
              <w:bottom w:val="nil"/>
              <w:right w:val="sing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350" w:type="dxa"/>
            <w:tcBorders>
              <w:top w:val="nil"/>
              <w:left w:val="single" w:sz="4" w:space="0" w:color="auto"/>
              <w:bottom w:val="nil"/>
              <w:right w:val="doub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170" w:type="dxa"/>
            <w:tcBorders>
              <w:top w:val="nil"/>
              <w:left w:val="single" w:sz="4" w:space="0" w:color="auto"/>
              <w:bottom w:val="nil"/>
              <w:right w:val="sing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260" w:type="dxa"/>
            <w:tcBorders>
              <w:top w:val="nil"/>
              <w:left w:val="single" w:sz="4" w:space="0" w:color="auto"/>
              <w:bottom w:val="nil"/>
              <w:right w:val="sing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260" w:type="dxa"/>
            <w:tcBorders>
              <w:top w:val="nil"/>
              <w:left w:val="single" w:sz="4" w:space="0" w:color="auto"/>
              <w:bottom w:val="nil"/>
              <w:right w:val="sing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260" w:type="dxa"/>
            <w:tcBorders>
              <w:top w:val="nil"/>
              <w:left w:val="single" w:sz="4" w:space="0" w:color="auto"/>
              <w:bottom w:val="nil"/>
              <w:right w:val="doub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350" w:type="dxa"/>
            <w:tcBorders>
              <w:top w:val="nil"/>
              <w:left w:val="single" w:sz="4" w:space="0" w:color="auto"/>
              <w:bottom w:val="nil"/>
              <w:right w:val="doub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350" w:type="dxa"/>
            <w:tcBorders>
              <w:top w:val="nil"/>
              <w:left w:val="single" w:sz="4" w:space="0" w:color="auto"/>
              <w:bottom w:val="nil"/>
              <w:right w:val="doub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r>
      <w:tr w:rsidR="00610DDA" w:rsidTr="00610DDA">
        <w:trPr>
          <w:trHeight w:val="288"/>
          <w:jc w:val="center"/>
        </w:trPr>
        <w:tc>
          <w:tcPr>
            <w:tcW w:w="3405" w:type="dxa"/>
            <w:tcBorders>
              <w:top w:val="nil"/>
              <w:left w:val="doub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ind w:left="-30"/>
              <w:rPr>
                <w:rFonts w:cs="Times New Roman"/>
                <w:sz w:val="20"/>
                <w:szCs w:val="20"/>
              </w:rPr>
            </w:pPr>
            <w:r>
              <w:rPr>
                <w:rFonts w:cs="Times New Roman"/>
                <w:sz w:val="20"/>
                <w:szCs w:val="20"/>
              </w:rPr>
              <w:t xml:space="preserve">  Parent’s educational attainment (base is </w:t>
            </w:r>
          </w:p>
          <w:p w:rsidR="00610DDA" w:rsidRDefault="00610DDA">
            <w:pPr>
              <w:adjustRightInd w:val="0"/>
              <w:snapToGrid w:val="0"/>
              <w:ind w:left="-30"/>
              <w:rPr>
                <w:rFonts w:cs="Times New Roman"/>
                <w:sz w:val="20"/>
                <w:szCs w:val="20"/>
              </w:rPr>
            </w:pPr>
            <w:r>
              <w:rPr>
                <w:rFonts w:cs="Times New Roman"/>
                <w:i/>
                <w:sz w:val="20"/>
                <w:szCs w:val="20"/>
              </w:rPr>
              <w:t xml:space="preserve">   high school and below</w:t>
            </w:r>
            <w:r>
              <w:rPr>
                <w:rFonts w:cs="Times New Roman"/>
                <w:sz w:val="20"/>
                <w:szCs w:val="20"/>
              </w:rPr>
              <w:t>)</w:t>
            </w:r>
          </w:p>
        </w:tc>
        <w:tc>
          <w:tcPr>
            <w:tcW w:w="1350" w:type="dxa"/>
            <w:tcBorders>
              <w:top w:val="nil"/>
              <w:left w:val="double" w:sz="4" w:space="0" w:color="auto"/>
              <w:bottom w:val="nil"/>
              <w:right w:val="sing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350" w:type="dxa"/>
            <w:tcBorders>
              <w:top w:val="nil"/>
              <w:left w:val="single" w:sz="4" w:space="0" w:color="auto"/>
              <w:bottom w:val="nil"/>
              <w:right w:val="doub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170" w:type="dxa"/>
            <w:tcBorders>
              <w:top w:val="nil"/>
              <w:left w:val="single" w:sz="4" w:space="0" w:color="auto"/>
              <w:bottom w:val="nil"/>
              <w:right w:val="sing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260" w:type="dxa"/>
            <w:tcBorders>
              <w:top w:val="nil"/>
              <w:left w:val="single" w:sz="4" w:space="0" w:color="auto"/>
              <w:bottom w:val="nil"/>
              <w:right w:val="sing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260" w:type="dxa"/>
            <w:tcBorders>
              <w:top w:val="nil"/>
              <w:left w:val="single" w:sz="4" w:space="0" w:color="auto"/>
              <w:bottom w:val="nil"/>
              <w:right w:val="sing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260" w:type="dxa"/>
            <w:tcBorders>
              <w:top w:val="nil"/>
              <w:left w:val="single" w:sz="4" w:space="0" w:color="auto"/>
              <w:bottom w:val="nil"/>
              <w:right w:val="doub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350" w:type="dxa"/>
            <w:tcBorders>
              <w:top w:val="nil"/>
              <w:left w:val="single" w:sz="4" w:space="0" w:color="auto"/>
              <w:bottom w:val="nil"/>
              <w:right w:val="doub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350" w:type="dxa"/>
            <w:tcBorders>
              <w:top w:val="nil"/>
              <w:left w:val="single" w:sz="4" w:space="0" w:color="auto"/>
              <w:bottom w:val="nil"/>
              <w:right w:val="doub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r>
      <w:tr w:rsidR="00610DDA" w:rsidTr="00610DDA">
        <w:trPr>
          <w:trHeight w:val="288"/>
          <w:jc w:val="center"/>
        </w:trPr>
        <w:tc>
          <w:tcPr>
            <w:tcW w:w="3405" w:type="dxa"/>
            <w:tcBorders>
              <w:top w:val="nil"/>
              <w:left w:val="doub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rPr>
                <w:rFonts w:cs="Times New Roman"/>
                <w:i/>
                <w:sz w:val="20"/>
                <w:szCs w:val="20"/>
              </w:rPr>
            </w:pPr>
            <w:r>
              <w:rPr>
                <w:rFonts w:cs="Times New Roman"/>
                <w:sz w:val="20"/>
                <w:szCs w:val="20"/>
              </w:rPr>
              <w:t xml:space="preserve">        </w:t>
            </w:r>
            <w:r>
              <w:rPr>
                <w:rFonts w:cs="Times New Roman"/>
                <w:i/>
                <w:sz w:val="20"/>
                <w:szCs w:val="20"/>
              </w:rPr>
              <w:t>Undergraduate or graduate studies</w:t>
            </w:r>
          </w:p>
        </w:tc>
        <w:tc>
          <w:tcPr>
            <w:tcW w:w="1350" w:type="dxa"/>
            <w:tcBorders>
              <w:top w:val="nil"/>
              <w:left w:val="doub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w:t>
            </w:r>
          </w:p>
        </w:tc>
        <w:tc>
          <w:tcPr>
            <w:tcW w:w="1350" w:type="dxa"/>
            <w:tcBorders>
              <w:top w:val="nil"/>
              <w:left w:val="sing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0.286 (5.58)</w:t>
            </w:r>
          </w:p>
        </w:tc>
        <w:tc>
          <w:tcPr>
            <w:tcW w:w="1170"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0.167 (4.72)</w:t>
            </w:r>
          </w:p>
        </w:tc>
        <w:tc>
          <w:tcPr>
            <w:tcW w:w="1260"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w:t>
            </w:r>
          </w:p>
        </w:tc>
        <w:tc>
          <w:tcPr>
            <w:tcW w:w="1260"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0.249 (2.01)</w:t>
            </w:r>
          </w:p>
        </w:tc>
        <w:tc>
          <w:tcPr>
            <w:tcW w:w="1260" w:type="dxa"/>
            <w:tcBorders>
              <w:top w:val="nil"/>
              <w:left w:val="sing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w:t>
            </w:r>
          </w:p>
        </w:tc>
        <w:tc>
          <w:tcPr>
            <w:tcW w:w="1350" w:type="dxa"/>
            <w:tcBorders>
              <w:top w:val="nil"/>
              <w:left w:val="sing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w:t>
            </w:r>
          </w:p>
        </w:tc>
        <w:tc>
          <w:tcPr>
            <w:tcW w:w="1350" w:type="dxa"/>
            <w:tcBorders>
              <w:top w:val="nil"/>
              <w:left w:val="sing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w:t>
            </w:r>
          </w:p>
        </w:tc>
      </w:tr>
      <w:tr w:rsidR="00610DDA" w:rsidTr="00610DDA">
        <w:trPr>
          <w:trHeight w:val="288"/>
          <w:jc w:val="center"/>
        </w:trPr>
        <w:tc>
          <w:tcPr>
            <w:tcW w:w="3405" w:type="dxa"/>
            <w:tcBorders>
              <w:top w:val="nil"/>
              <w:left w:val="doub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 xml:space="preserve">  Household income (base is </w:t>
            </w:r>
            <w:r>
              <w:rPr>
                <w:rFonts w:cs="Times New Roman"/>
                <w:i/>
                <w:sz w:val="20"/>
                <w:szCs w:val="20"/>
              </w:rPr>
              <w:t>&gt;59,999 HK$</w:t>
            </w:r>
            <w:r>
              <w:rPr>
                <w:rFonts w:cs="Times New Roman"/>
                <w:sz w:val="20"/>
                <w:szCs w:val="20"/>
              </w:rPr>
              <w:t>)</w:t>
            </w:r>
          </w:p>
        </w:tc>
        <w:tc>
          <w:tcPr>
            <w:tcW w:w="1350" w:type="dxa"/>
            <w:tcBorders>
              <w:top w:val="nil"/>
              <w:left w:val="double" w:sz="4" w:space="0" w:color="auto"/>
              <w:bottom w:val="nil"/>
              <w:right w:val="sing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350" w:type="dxa"/>
            <w:tcBorders>
              <w:top w:val="nil"/>
              <w:left w:val="single" w:sz="4" w:space="0" w:color="auto"/>
              <w:bottom w:val="nil"/>
              <w:right w:val="doub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170" w:type="dxa"/>
            <w:tcBorders>
              <w:top w:val="nil"/>
              <w:left w:val="single" w:sz="4" w:space="0" w:color="auto"/>
              <w:bottom w:val="nil"/>
              <w:right w:val="sing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260" w:type="dxa"/>
            <w:tcBorders>
              <w:top w:val="nil"/>
              <w:left w:val="single" w:sz="4" w:space="0" w:color="auto"/>
              <w:bottom w:val="nil"/>
              <w:right w:val="sing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260" w:type="dxa"/>
            <w:tcBorders>
              <w:top w:val="nil"/>
              <w:left w:val="single" w:sz="4" w:space="0" w:color="auto"/>
              <w:bottom w:val="nil"/>
              <w:right w:val="sing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260" w:type="dxa"/>
            <w:tcBorders>
              <w:top w:val="nil"/>
              <w:left w:val="single" w:sz="4" w:space="0" w:color="auto"/>
              <w:bottom w:val="nil"/>
              <w:right w:val="doub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350" w:type="dxa"/>
            <w:tcBorders>
              <w:top w:val="nil"/>
              <w:left w:val="single" w:sz="4" w:space="0" w:color="auto"/>
              <w:bottom w:val="nil"/>
              <w:right w:val="doub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350" w:type="dxa"/>
            <w:tcBorders>
              <w:top w:val="nil"/>
              <w:left w:val="single" w:sz="4" w:space="0" w:color="auto"/>
              <w:bottom w:val="nil"/>
              <w:right w:val="doub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r>
      <w:tr w:rsidR="00610DDA" w:rsidTr="00610DDA">
        <w:trPr>
          <w:trHeight w:val="288"/>
          <w:jc w:val="center"/>
        </w:trPr>
        <w:tc>
          <w:tcPr>
            <w:tcW w:w="3405" w:type="dxa"/>
            <w:tcBorders>
              <w:top w:val="nil"/>
              <w:left w:val="doub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rPr>
                <w:rFonts w:cs="Times New Roman"/>
                <w:i/>
                <w:sz w:val="20"/>
                <w:szCs w:val="20"/>
              </w:rPr>
            </w:pPr>
            <w:r>
              <w:rPr>
                <w:rFonts w:cs="Times New Roman"/>
                <w:i/>
                <w:sz w:val="20"/>
                <w:szCs w:val="20"/>
              </w:rPr>
              <w:t xml:space="preserve">        &lt;30,000 HK$</w:t>
            </w:r>
          </w:p>
        </w:tc>
        <w:tc>
          <w:tcPr>
            <w:tcW w:w="1350" w:type="dxa"/>
            <w:tcBorders>
              <w:top w:val="nil"/>
              <w:left w:val="doub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-0.131 (-3.03)</w:t>
            </w:r>
          </w:p>
        </w:tc>
        <w:tc>
          <w:tcPr>
            <w:tcW w:w="1350" w:type="dxa"/>
            <w:tcBorders>
              <w:top w:val="nil"/>
              <w:left w:val="sing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-0.158 (-2.33)</w:t>
            </w:r>
          </w:p>
        </w:tc>
        <w:tc>
          <w:tcPr>
            <w:tcW w:w="1170"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w:t>
            </w:r>
          </w:p>
        </w:tc>
        <w:tc>
          <w:tcPr>
            <w:tcW w:w="1260"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-0.271 (-2.12)</w:t>
            </w:r>
          </w:p>
        </w:tc>
        <w:tc>
          <w:tcPr>
            <w:tcW w:w="1260"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-0.172 (-4.54)</w:t>
            </w:r>
          </w:p>
        </w:tc>
        <w:tc>
          <w:tcPr>
            <w:tcW w:w="1260" w:type="dxa"/>
            <w:tcBorders>
              <w:top w:val="nil"/>
              <w:left w:val="sing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-0.271 (-2.12)</w:t>
            </w:r>
          </w:p>
        </w:tc>
        <w:tc>
          <w:tcPr>
            <w:tcW w:w="1350" w:type="dxa"/>
            <w:tcBorders>
              <w:top w:val="nil"/>
              <w:left w:val="sing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w:t>
            </w:r>
          </w:p>
        </w:tc>
        <w:tc>
          <w:tcPr>
            <w:tcW w:w="1350" w:type="dxa"/>
            <w:tcBorders>
              <w:top w:val="nil"/>
              <w:left w:val="sing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0.362 (2.74)</w:t>
            </w:r>
          </w:p>
        </w:tc>
      </w:tr>
      <w:tr w:rsidR="00610DDA" w:rsidTr="00610DDA">
        <w:trPr>
          <w:trHeight w:val="288"/>
          <w:jc w:val="center"/>
        </w:trPr>
        <w:tc>
          <w:tcPr>
            <w:tcW w:w="3405" w:type="dxa"/>
            <w:tcBorders>
              <w:top w:val="nil"/>
              <w:left w:val="doub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rPr>
                <w:rFonts w:cs="Times New Roman"/>
                <w:i/>
                <w:sz w:val="20"/>
                <w:szCs w:val="20"/>
              </w:rPr>
            </w:pPr>
            <w:r>
              <w:rPr>
                <w:rFonts w:cs="Times New Roman"/>
                <w:i/>
                <w:sz w:val="20"/>
                <w:szCs w:val="20"/>
              </w:rPr>
              <w:t xml:space="preserve">         30,000 – 59,999 HK$</w:t>
            </w:r>
          </w:p>
        </w:tc>
        <w:tc>
          <w:tcPr>
            <w:tcW w:w="1350" w:type="dxa"/>
            <w:tcBorders>
              <w:top w:val="nil"/>
              <w:left w:val="doub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-0.079 (-2.11)</w:t>
            </w:r>
          </w:p>
        </w:tc>
        <w:tc>
          <w:tcPr>
            <w:tcW w:w="1350" w:type="dxa"/>
            <w:tcBorders>
              <w:top w:val="nil"/>
              <w:left w:val="sing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-0.101 (-2.19)</w:t>
            </w:r>
          </w:p>
        </w:tc>
        <w:tc>
          <w:tcPr>
            <w:tcW w:w="1170"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w:t>
            </w:r>
          </w:p>
        </w:tc>
        <w:tc>
          <w:tcPr>
            <w:tcW w:w="1260"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w:t>
            </w:r>
          </w:p>
        </w:tc>
        <w:tc>
          <w:tcPr>
            <w:tcW w:w="1260"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w:t>
            </w:r>
          </w:p>
        </w:tc>
        <w:tc>
          <w:tcPr>
            <w:tcW w:w="1260" w:type="dxa"/>
            <w:tcBorders>
              <w:top w:val="nil"/>
              <w:left w:val="sing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-0.202 (-3.31)</w:t>
            </w:r>
          </w:p>
        </w:tc>
        <w:tc>
          <w:tcPr>
            <w:tcW w:w="1350" w:type="dxa"/>
            <w:tcBorders>
              <w:top w:val="nil"/>
              <w:left w:val="sing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w:t>
            </w:r>
          </w:p>
        </w:tc>
        <w:tc>
          <w:tcPr>
            <w:tcW w:w="1350" w:type="dxa"/>
            <w:tcBorders>
              <w:top w:val="nil"/>
              <w:left w:val="sing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w:t>
            </w:r>
          </w:p>
        </w:tc>
      </w:tr>
      <w:tr w:rsidR="00610DDA" w:rsidTr="00610DDA">
        <w:trPr>
          <w:trHeight w:val="288"/>
          <w:jc w:val="center"/>
        </w:trPr>
        <w:tc>
          <w:tcPr>
            <w:tcW w:w="3405" w:type="dxa"/>
            <w:tcBorders>
              <w:top w:val="nil"/>
              <w:left w:val="doub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 xml:space="preserve">Presence of motorized vehicles in household </w:t>
            </w:r>
          </w:p>
        </w:tc>
        <w:tc>
          <w:tcPr>
            <w:tcW w:w="1350" w:type="dxa"/>
            <w:tcBorders>
              <w:top w:val="nil"/>
              <w:left w:val="doub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w:t>
            </w:r>
          </w:p>
        </w:tc>
        <w:tc>
          <w:tcPr>
            <w:tcW w:w="1350" w:type="dxa"/>
            <w:tcBorders>
              <w:top w:val="nil"/>
              <w:left w:val="sing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w:t>
            </w:r>
          </w:p>
        </w:tc>
        <w:tc>
          <w:tcPr>
            <w:tcW w:w="1170"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w:t>
            </w:r>
          </w:p>
        </w:tc>
        <w:tc>
          <w:tcPr>
            <w:tcW w:w="1260"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0.174 (4.39)</w:t>
            </w:r>
          </w:p>
        </w:tc>
        <w:tc>
          <w:tcPr>
            <w:tcW w:w="1260"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w:t>
            </w:r>
          </w:p>
        </w:tc>
        <w:tc>
          <w:tcPr>
            <w:tcW w:w="1260" w:type="dxa"/>
            <w:tcBorders>
              <w:top w:val="nil"/>
              <w:left w:val="sing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0.275 (3.27)</w:t>
            </w:r>
          </w:p>
        </w:tc>
        <w:tc>
          <w:tcPr>
            <w:tcW w:w="1350" w:type="dxa"/>
            <w:tcBorders>
              <w:top w:val="nil"/>
              <w:left w:val="sing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-0.264 (-2.21)</w:t>
            </w:r>
          </w:p>
        </w:tc>
        <w:tc>
          <w:tcPr>
            <w:tcW w:w="1350" w:type="dxa"/>
            <w:tcBorders>
              <w:top w:val="nil"/>
              <w:left w:val="sing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-0.452 (-3.41)</w:t>
            </w:r>
          </w:p>
        </w:tc>
      </w:tr>
      <w:tr w:rsidR="00610DDA" w:rsidTr="00610DDA">
        <w:trPr>
          <w:trHeight w:val="288"/>
          <w:jc w:val="center"/>
        </w:trPr>
        <w:tc>
          <w:tcPr>
            <w:tcW w:w="3405" w:type="dxa"/>
            <w:tcBorders>
              <w:top w:val="nil"/>
              <w:left w:val="doub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Presence of siblings</w:t>
            </w:r>
          </w:p>
        </w:tc>
        <w:tc>
          <w:tcPr>
            <w:tcW w:w="1350" w:type="dxa"/>
            <w:tcBorders>
              <w:top w:val="nil"/>
              <w:left w:val="doub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w:t>
            </w:r>
          </w:p>
        </w:tc>
        <w:tc>
          <w:tcPr>
            <w:tcW w:w="1350" w:type="dxa"/>
            <w:tcBorders>
              <w:top w:val="nil"/>
              <w:left w:val="sing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w:t>
            </w:r>
          </w:p>
        </w:tc>
        <w:tc>
          <w:tcPr>
            <w:tcW w:w="1170"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0.362 (5.31)</w:t>
            </w:r>
          </w:p>
        </w:tc>
        <w:tc>
          <w:tcPr>
            <w:tcW w:w="1260"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0.340 (2.84)</w:t>
            </w:r>
          </w:p>
        </w:tc>
        <w:tc>
          <w:tcPr>
            <w:tcW w:w="1260"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w:t>
            </w:r>
          </w:p>
        </w:tc>
        <w:tc>
          <w:tcPr>
            <w:tcW w:w="1260" w:type="dxa"/>
            <w:tcBorders>
              <w:top w:val="nil"/>
              <w:left w:val="sing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w:t>
            </w:r>
          </w:p>
        </w:tc>
        <w:tc>
          <w:tcPr>
            <w:tcW w:w="1350" w:type="dxa"/>
            <w:tcBorders>
              <w:top w:val="nil"/>
              <w:left w:val="sing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w:t>
            </w:r>
          </w:p>
        </w:tc>
        <w:tc>
          <w:tcPr>
            <w:tcW w:w="1350" w:type="dxa"/>
            <w:tcBorders>
              <w:top w:val="nil"/>
              <w:left w:val="sing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w:t>
            </w:r>
          </w:p>
        </w:tc>
      </w:tr>
      <w:tr w:rsidR="00610DDA" w:rsidTr="00610DDA">
        <w:trPr>
          <w:trHeight w:val="288"/>
          <w:jc w:val="center"/>
        </w:trPr>
        <w:tc>
          <w:tcPr>
            <w:tcW w:w="3405" w:type="dxa"/>
            <w:tcBorders>
              <w:top w:val="nil"/>
              <w:left w:val="doub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 xml:space="preserve">Both parents working </w:t>
            </w:r>
          </w:p>
        </w:tc>
        <w:tc>
          <w:tcPr>
            <w:tcW w:w="1350" w:type="dxa"/>
            <w:tcBorders>
              <w:top w:val="nil"/>
              <w:left w:val="doub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w:t>
            </w:r>
          </w:p>
        </w:tc>
        <w:tc>
          <w:tcPr>
            <w:tcW w:w="1350" w:type="dxa"/>
            <w:tcBorders>
              <w:top w:val="nil"/>
              <w:left w:val="sing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0.230 (4.28)</w:t>
            </w:r>
          </w:p>
        </w:tc>
        <w:tc>
          <w:tcPr>
            <w:tcW w:w="1170"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w:t>
            </w:r>
          </w:p>
        </w:tc>
        <w:tc>
          <w:tcPr>
            <w:tcW w:w="1260"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w:t>
            </w:r>
          </w:p>
        </w:tc>
        <w:tc>
          <w:tcPr>
            <w:tcW w:w="1260"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w:t>
            </w:r>
          </w:p>
        </w:tc>
        <w:tc>
          <w:tcPr>
            <w:tcW w:w="1260" w:type="dxa"/>
            <w:tcBorders>
              <w:top w:val="nil"/>
              <w:left w:val="sing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w:t>
            </w:r>
          </w:p>
        </w:tc>
        <w:tc>
          <w:tcPr>
            <w:tcW w:w="1350" w:type="dxa"/>
            <w:tcBorders>
              <w:top w:val="nil"/>
              <w:left w:val="sing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-0.391 (-3.78)</w:t>
            </w:r>
          </w:p>
        </w:tc>
        <w:tc>
          <w:tcPr>
            <w:tcW w:w="1350" w:type="dxa"/>
            <w:tcBorders>
              <w:top w:val="nil"/>
              <w:left w:val="sing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-0.127 (-2.05)</w:t>
            </w:r>
          </w:p>
        </w:tc>
      </w:tr>
      <w:tr w:rsidR="00610DDA" w:rsidTr="00610DDA">
        <w:trPr>
          <w:trHeight w:val="288"/>
          <w:jc w:val="center"/>
        </w:trPr>
        <w:tc>
          <w:tcPr>
            <w:tcW w:w="3405" w:type="dxa"/>
            <w:tcBorders>
              <w:top w:val="nil"/>
              <w:left w:val="doub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rPr>
                <w:rFonts w:cs="Times New Roman"/>
                <w:i/>
                <w:sz w:val="20"/>
                <w:szCs w:val="20"/>
              </w:rPr>
            </w:pPr>
            <w:r>
              <w:rPr>
                <w:rFonts w:cs="Times New Roman"/>
                <w:b/>
                <w:i/>
                <w:sz w:val="20"/>
                <w:szCs w:val="20"/>
              </w:rPr>
              <w:t>Residential location (RL choice; base is “low density”)</w:t>
            </w:r>
          </w:p>
        </w:tc>
        <w:tc>
          <w:tcPr>
            <w:tcW w:w="1350" w:type="dxa"/>
            <w:tcBorders>
              <w:top w:val="nil"/>
              <w:left w:val="double" w:sz="4" w:space="0" w:color="auto"/>
              <w:bottom w:val="nil"/>
              <w:right w:val="sing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350" w:type="dxa"/>
            <w:tcBorders>
              <w:top w:val="nil"/>
              <w:left w:val="single" w:sz="4" w:space="0" w:color="auto"/>
              <w:bottom w:val="nil"/>
              <w:right w:val="doub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170" w:type="dxa"/>
            <w:tcBorders>
              <w:top w:val="nil"/>
              <w:left w:val="single" w:sz="4" w:space="0" w:color="auto"/>
              <w:bottom w:val="nil"/>
              <w:right w:val="sing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260" w:type="dxa"/>
            <w:tcBorders>
              <w:top w:val="nil"/>
              <w:left w:val="single" w:sz="4" w:space="0" w:color="auto"/>
              <w:bottom w:val="nil"/>
              <w:right w:val="sing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260" w:type="dxa"/>
            <w:tcBorders>
              <w:top w:val="nil"/>
              <w:left w:val="single" w:sz="4" w:space="0" w:color="auto"/>
              <w:bottom w:val="nil"/>
              <w:right w:val="sing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260" w:type="dxa"/>
            <w:tcBorders>
              <w:top w:val="nil"/>
              <w:left w:val="single" w:sz="4" w:space="0" w:color="auto"/>
              <w:bottom w:val="nil"/>
              <w:right w:val="doub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350" w:type="dxa"/>
            <w:tcBorders>
              <w:top w:val="nil"/>
              <w:left w:val="single" w:sz="4" w:space="0" w:color="auto"/>
              <w:bottom w:val="nil"/>
              <w:right w:val="doub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350" w:type="dxa"/>
            <w:tcBorders>
              <w:top w:val="nil"/>
              <w:left w:val="single" w:sz="4" w:space="0" w:color="auto"/>
              <w:bottom w:val="nil"/>
              <w:right w:val="doub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r>
      <w:tr w:rsidR="00610DDA" w:rsidTr="00610DDA">
        <w:trPr>
          <w:trHeight w:val="288"/>
          <w:jc w:val="center"/>
        </w:trPr>
        <w:tc>
          <w:tcPr>
            <w:tcW w:w="3405" w:type="dxa"/>
            <w:tcBorders>
              <w:top w:val="nil"/>
              <w:left w:val="doub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rPr>
                <w:rFonts w:cs="Times New Roman"/>
                <w:i/>
                <w:sz w:val="20"/>
                <w:szCs w:val="20"/>
              </w:rPr>
            </w:pPr>
            <w:r>
              <w:rPr>
                <w:rFonts w:cs="Times New Roman"/>
                <w:sz w:val="20"/>
                <w:szCs w:val="20"/>
              </w:rPr>
              <w:t xml:space="preserve">  Medium density</w:t>
            </w:r>
          </w:p>
        </w:tc>
        <w:tc>
          <w:tcPr>
            <w:tcW w:w="1350" w:type="dxa"/>
            <w:tcBorders>
              <w:top w:val="nil"/>
              <w:left w:val="doub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proofErr w:type="spellStart"/>
            <w:r>
              <w:rPr>
                <w:rFonts w:cs="Times New Roman"/>
                <w:sz w:val="20"/>
                <w:szCs w:val="20"/>
              </w:rPr>
              <w:t>na</w:t>
            </w:r>
            <w:proofErr w:type="spellEnd"/>
          </w:p>
        </w:tc>
        <w:tc>
          <w:tcPr>
            <w:tcW w:w="1350" w:type="dxa"/>
            <w:tcBorders>
              <w:top w:val="nil"/>
              <w:left w:val="sing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proofErr w:type="spellStart"/>
            <w:r>
              <w:rPr>
                <w:rFonts w:cs="Times New Roman"/>
                <w:sz w:val="20"/>
                <w:szCs w:val="20"/>
              </w:rPr>
              <w:t>na</w:t>
            </w:r>
            <w:proofErr w:type="spellEnd"/>
          </w:p>
        </w:tc>
        <w:tc>
          <w:tcPr>
            <w:tcW w:w="1170"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w:t>
            </w:r>
          </w:p>
        </w:tc>
        <w:tc>
          <w:tcPr>
            <w:tcW w:w="1260"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0.147 (2.16)</w:t>
            </w:r>
          </w:p>
        </w:tc>
        <w:tc>
          <w:tcPr>
            <w:tcW w:w="1260"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0.100 (2.06)</w:t>
            </w:r>
          </w:p>
        </w:tc>
        <w:tc>
          <w:tcPr>
            <w:tcW w:w="1260" w:type="dxa"/>
            <w:tcBorders>
              <w:top w:val="nil"/>
              <w:left w:val="sing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w:t>
            </w:r>
          </w:p>
        </w:tc>
        <w:tc>
          <w:tcPr>
            <w:tcW w:w="1350" w:type="dxa"/>
            <w:tcBorders>
              <w:top w:val="nil"/>
              <w:left w:val="sing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0.178 (3.43)</w:t>
            </w:r>
          </w:p>
        </w:tc>
        <w:tc>
          <w:tcPr>
            <w:tcW w:w="1350" w:type="dxa"/>
            <w:tcBorders>
              <w:top w:val="nil"/>
              <w:left w:val="sing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0.135 (2.62)</w:t>
            </w:r>
          </w:p>
        </w:tc>
      </w:tr>
      <w:tr w:rsidR="00610DDA" w:rsidTr="00610DDA">
        <w:trPr>
          <w:trHeight w:val="288"/>
          <w:jc w:val="center"/>
        </w:trPr>
        <w:tc>
          <w:tcPr>
            <w:tcW w:w="3405" w:type="dxa"/>
            <w:tcBorders>
              <w:top w:val="nil"/>
              <w:left w:val="doub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rPr>
                <w:rFonts w:cs="Times New Roman"/>
                <w:i/>
                <w:sz w:val="20"/>
                <w:szCs w:val="20"/>
              </w:rPr>
            </w:pPr>
            <w:r>
              <w:rPr>
                <w:rFonts w:cs="Times New Roman"/>
                <w:sz w:val="20"/>
                <w:szCs w:val="20"/>
              </w:rPr>
              <w:t xml:space="preserve">  High density</w:t>
            </w:r>
          </w:p>
        </w:tc>
        <w:tc>
          <w:tcPr>
            <w:tcW w:w="1350" w:type="dxa"/>
            <w:tcBorders>
              <w:top w:val="nil"/>
              <w:left w:val="doub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proofErr w:type="spellStart"/>
            <w:r>
              <w:rPr>
                <w:rFonts w:cs="Times New Roman"/>
                <w:sz w:val="20"/>
                <w:szCs w:val="20"/>
              </w:rPr>
              <w:t>na</w:t>
            </w:r>
            <w:proofErr w:type="spellEnd"/>
          </w:p>
        </w:tc>
        <w:tc>
          <w:tcPr>
            <w:tcW w:w="1350" w:type="dxa"/>
            <w:tcBorders>
              <w:top w:val="nil"/>
              <w:left w:val="sing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proofErr w:type="spellStart"/>
            <w:r>
              <w:rPr>
                <w:rFonts w:cs="Times New Roman"/>
                <w:sz w:val="20"/>
                <w:szCs w:val="20"/>
              </w:rPr>
              <w:t>na</w:t>
            </w:r>
            <w:proofErr w:type="spellEnd"/>
          </w:p>
        </w:tc>
        <w:tc>
          <w:tcPr>
            <w:tcW w:w="1170"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w:t>
            </w:r>
          </w:p>
        </w:tc>
        <w:tc>
          <w:tcPr>
            <w:tcW w:w="1260"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0.285 (1.99)</w:t>
            </w:r>
          </w:p>
        </w:tc>
        <w:tc>
          <w:tcPr>
            <w:tcW w:w="1260"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0.385 (3.46)</w:t>
            </w:r>
          </w:p>
        </w:tc>
        <w:tc>
          <w:tcPr>
            <w:tcW w:w="1260" w:type="dxa"/>
            <w:tcBorders>
              <w:top w:val="nil"/>
              <w:left w:val="sing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w:t>
            </w:r>
          </w:p>
        </w:tc>
        <w:tc>
          <w:tcPr>
            <w:tcW w:w="1350" w:type="dxa"/>
            <w:tcBorders>
              <w:top w:val="nil"/>
              <w:left w:val="sing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0.178 (3.43)</w:t>
            </w:r>
          </w:p>
        </w:tc>
        <w:tc>
          <w:tcPr>
            <w:tcW w:w="1350" w:type="dxa"/>
            <w:tcBorders>
              <w:top w:val="nil"/>
              <w:left w:val="sing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0.241 (3.33)</w:t>
            </w:r>
          </w:p>
        </w:tc>
      </w:tr>
      <w:tr w:rsidR="00610DDA" w:rsidTr="00610DDA">
        <w:trPr>
          <w:trHeight w:val="288"/>
          <w:jc w:val="center"/>
        </w:trPr>
        <w:tc>
          <w:tcPr>
            <w:tcW w:w="3405" w:type="dxa"/>
            <w:tcBorders>
              <w:top w:val="nil"/>
              <w:left w:val="doub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rPr>
                <w:rFonts w:cs="Times New Roman"/>
                <w:b/>
                <w:i/>
                <w:sz w:val="20"/>
                <w:szCs w:val="20"/>
              </w:rPr>
            </w:pPr>
            <w:r>
              <w:rPr>
                <w:rFonts w:cs="Times New Roman"/>
                <w:b/>
                <w:i/>
                <w:sz w:val="20"/>
                <w:szCs w:val="20"/>
              </w:rPr>
              <w:t>Active travel (ACT choice; base is “no active travel”)</w:t>
            </w:r>
          </w:p>
        </w:tc>
        <w:tc>
          <w:tcPr>
            <w:tcW w:w="1350" w:type="dxa"/>
            <w:tcBorders>
              <w:top w:val="nil"/>
              <w:left w:val="double" w:sz="4" w:space="0" w:color="auto"/>
              <w:bottom w:val="nil"/>
              <w:right w:val="sing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350" w:type="dxa"/>
            <w:tcBorders>
              <w:top w:val="nil"/>
              <w:left w:val="single" w:sz="4" w:space="0" w:color="auto"/>
              <w:bottom w:val="nil"/>
              <w:right w:val="doub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170" w:type="dxa"/>
            <w:tcBorders>
              <w:top w:val="nil"/>
              <w:left w:val="single" w:sz="4" w:space="0" w:color="auto"/>
              <w:bottom w:val="nil"/>
              <w:right w:val="sing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260" w:type="dxa"/>
            <w:tcBorders>
              <w:top w:val="nil"/>
              <w:left w:val="single" w:sz="4" w:space="0" w:color="auto"/>
              <w:bottom w:val="nil"/>
              <w:right w:val="sing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260" w:type="dxa"/>
            <w:tcBorders>
              <w:top w:val="nil"/>
              <w:left w:val="single" w:sz="4" w:space="0" w:color="auto"/>
              <w:bottom w:val="nil"/>
              <w:right w:val="sing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260" w:type="dxa"/>
            <w:tcBorders>
              <w:top w:val="nil"/>
              <w:left w:val="single" w:sz="4" w:space="0" w:color="auto"/>
              <w:bottom w:val="nil"/>
              <w:right w:val="doub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350" w:type="dxa"/>
            <w:tcBorders>
              <w:top w:val="nil"/>
              <w:left w:val="single" w:sz="4" w:space="0" w:color="auto"/>
              <w:bottom w:val="nil"/>
              <w:right w:val="doub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350" w:type="dxa"/>
            <w:tcBorders>
              <w:top w:val="nil"/>
              <w:left w:val="single" w:sz="4" w:space="0" w:color="auto"/>
              <w:bottom w:val="nil"/>
              <w:right w:val="doub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r>
      <w:tr w:rsidR="00610DDA" w:rsidTr="00610DDA">
        <w:trPr>
          <w:trHeight w:val="288"/>
          <w:jc w:val="center"/>
        </w:trPr>
        <w:tc>
          <w:tcPr>
            <w:tcW w:w="3405" w:type="dxa"/>
            <w:tcBorders>
              <w:top w:val="nil"/>
              <w:left w:val="doub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 xml:space="preserve">  Some active travel</w:t>
            </w:r>
          </w:p>
        </w:tc>
        <w:tc>
          <w:tcPr>
            <w:tcW w:w="1350" w:type="dxa"/>
            <w:tcBorders>
              <w:top w:val="nil"/>
              <w:left w:val="doub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w:t>
            </w:r>
          </w:p>
        </w:tc>
        <w:tc>
          <w:tcPr>
            <w:tcW w:w="1350" w:type="dxa"/>
            <w:tcBorders>
              <w:top w:val="nil"/>
              <w:left w:val="sing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w:t>
            </w:r>
          </w:p>
        </w:tc>
        <w:tc>
          <w:tcPr>
            <w:tcW w:w="1170"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w:t>
            </w:r>
          </w:p>
        </w:tc>
        <w:tc>
          <w:tcPr>
            <w:tcW w:w="1260"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0.111 (2.51)</w:t>
            </w:r>
          </w:p>
        </w:tc>
        <w:tc>
          <w:tcPr>
            <w:tcW w:w="1260"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w:t>
            </w:r>
          </w:p>
        </w:tc>
        <w:tc>
          <w:tcPr>
            <w:tcW w:w="1260" w:type="dxa"/>
            <w:tcBorders>
              <w:top w:val="nil"/>
              <w:left w:val="sing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w:t>
            </w:r>
          </w:p>
        </w:tc>
        <w:tc>
          <w:tcPr>
            <w:tcW w:w="1350" w:type="dxa"/>
            <w:tcBorders>
              <w:top w:val="nil"/>
              <w:left w:val="sing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proofErr w:type="spellStart"/>
            <w:r>
              <w:rPr>
                <w:rFonts w:cs="Times New Roman"/>
                <w:sz w:val="20"/>
                <w:szCs w:val="20"/>
              </w:rPr>
              <w:t>na</w:t>
            </w:r>
            <w:proofErr w:type="spellEnd"/>
          </w:p>
        </w:tc>
        <w:tc>
          <w:tcPr>
            <w:tcW w:w="1350" w:type="dxa"/>
            <w:tcBorders>
              <w:top w:val="nil"/>
              <w:left w:val="sing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proofErr w:type="spellStart"/>
            <w:r>
              <w:rPr>
                <w:rFonts w:cs="Times New Roman"/>
                <w:sz w:val="20"/>
                <w:szCs w:val="20"/>
              </w:rPr>
              <w:t>na</w:t>
            </w:r>
            <w:proofErr w:type="spellEnd"/>
          </w:p>
        </w:tc>
      </w:tr>
      <w:tr w:rsidR="00610DDA" w:rsidTr="00610DDA">
        <w:trPr>
          <w:trHeight w:val="288"/>
          <w:jc w:val="center"/>
        </w:trPr>
        <w:tc>
          <w:tcPr>
            <w:tcW w:w="3405" w:type="dxa"/>
            <w:tcBorders>
              <w:top w:val="nil"/>
              <w:left w:val="doub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 xml:space="preserve">  All travel is active travel</w:t>
            </w:r>
          </w:p>
        </w:tc>
        <w:tc>
          <w:tcPr>
            <w:tcW w:w="1350" w:type="dxa"/>
            <w:tcBorders>
              <w:top w:val="nil"/>
              <w:left w:val="doub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w:t>
            </w:r>
          </w:p>
        </w:tc>
        <w:tc>
          <w:tcPr>
            <w:tcW w:w="1350" w:type="dxa"/>
            <w:tcBorders>
              <w:top w:val="nil"/>
              <w:left w:val="sing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w:t>
            </w:r>
          </w:p>
        </w:tc>
        <w:tc>
          <w:tcPr>
            <w:tcW w:w="1170"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w:t>
            </w:r>
          </w:p>
        </w:tc>
        <w:tc>
          <w:tcPr>
            <w:tcW w:w="1260"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0.269 (3.17)</w:t>
            </w:r>
          </w:p>
        </w:tc>
        <w:tc>
          <w:tcPr>
            <w:tcW w:w="1260"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w:t>
            </w:r>
          </w:p>
        </w:tc>
        <w:tc>
          <w:tcPr>
            <w:tcW w:w="1260" w:type="dxa"/>
            <w:tcBorders>
              <w:top w:val="nil"/>
              <w:left w:val="sing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w:t>
            </w:r>
          </w:p>
        </w:tc>
        <w:tc>
          <w:tcPr>
            <w:tcW w:w="1350" w:type="dxa"/>
            <w:tcBorders>
              <w:top w:val="nil"/>
              <w:left w:val="sing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proofErr w:type="spellStart"/>
            <w:r>
              <w:rPr>
                <w:rFonts w:cs="Times New Roman"/>
                <w:sz w:val="20"/>
                <w:szCs w:val="20"/>
              </w:rPr>
              <w:t>na</w:t>
            </w:r>
            <w:proofErr w:type="spellEnd"/>
          </w:p>
        </w:tc>
        <w:tc>
          <w:tcPr>
            <w:tcW w:w="1350" w:type="dxa"/>
            <w:tcBorders>
              <w:top w:val="nil"/>
              <w:left w:val="sing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proofErr w:type="spellStart"/>
            <w:r>
              <w:rPr>
                <w:rFonts w:cs="Times New Roman"/>
                <w:sz w:val="20"/>
                <w:szCs w:val="20"/>
              </w:rPr>
              <w:t>na</w:t>
            </w:r>
            <w:proofErr w:type="spellEnd"/>
          </w:p>
        </w:tc>
      </w:tr>
      <w:tr w:rsidR="00610DDA" w:rsidTr="00610DDA">
        <w:trPr>
          <w:trHeight w:val="288"/>
          <w:jc w:val="center"/>
        </w:trPr>
        <w:tc>
          <w:tcPr>
            <w:tcW w:w="3405" w:type="dxa"/>
            <w:tcBorders>
              <w:top w:val="nil"/>
              <w:left w:val="double" w:sz="4" w:space="0" w:color="auto"/>
              <w:bottom w:val="double" w:sz="4" w:space="0" w:color="auto"/>
              <w:right w:val="double" w:sz="4" w:space="0" w:color="auto"/>
            </w:tcBorders>
            <w:tcMar>
              <w:top w:w="0" w:type="dxa"/>
              <w:left w:w="58" w:type="dxa"/>
              <w:bottom w:w="0" w:type="dxa"/>
              <w:right w:w="58" w:type="dxa"/>
            </w:tcMar>
            <w:hideMark/>
          </w:tcPr>
          <w:p w:rsidR="00610DDA" w:rsidRDefault="00610DDA">
            <w:pPr>
              <w:adjustRightInd w:val="0"/>
              <w:snapToGrid w:val="0"/>
              <w:rPr>
                <w:rFonts w:cs="Times New Roman"/>
                <w:b/>
                <w:i/>
                <w:sz w:val="20"/>
                <w:szCs w:val="20"/>
              </w:rPr>
            </w:pPr>
            <w:r>
              <w:rPr>
                <w:rFonts w:cs="Times New Roman"/>
                <w:b/>
                <w:i/>
                <w:sz w:val="20"/>
                <w:szCs w:val="20"/>
              </w:rPr>
              <w:t>Satiation parameters</w:t>
            </w:r>
          </w:p>
        </w:tc>
        <w:tc>
          <w:tcPr>
            <w:tcW w:w="1350" w:type="dxa"/>
            <w:tcBorders>
              <w:top w:val="nil"/>
              <w:left w:val="double" w:sz="4" w:space="0" w:color="auto"/>
              <w:bottom w:val="double" w:sz="4" w:space="0" w:color="auto"/>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proofErr w:type="spellStart"/>
            <w:r>
              <w:rPr>
                <w:rFonts w:cs="Times New Roman"/>
                <w:sz w:val="20"/>
                <w:szCs w:val="20"/>
              </w:rPr>
              <w:t>na</w:t>
            </w:r>
            <w:proofErr w:type="spellEnd"/>
          </w:p>
        </w:tc>
        <w:tc>
          <w:tcPr>
            <w:tcW w:w="1350" w:type="dxa"/>
            <w:tcBorders>
              <w:top w:val="nil"/>
              <w:left w:val="single" w:sz="4" w:space="0" w:color="auto"/>
              <w:bottom w:val="double" w:sz="4" w:space="0" w:color="auto"/>
              <w:right w:val="doub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proofErr w:type="spellStart"/>
            <w:r>
              <w:rPr>
                <w:rFonts w:cs="Times New Roman"/>
                <w:sz w:val="20"/>
                <w:szCs w:val="20"/>
              </w:rPr>
              <w:t>na</w:t>
            </w:r>
            <w:proofErr w:type="spellEnd"/>
          </w:p>
        </w:tc>
        <w:tc>
          <w:tcPr>
            <w:tcW w:w="1170" w:type="dxa"/>
            <w:tcBorders>
              <w:top w:val="nil"/>
              <w:left w:val="single" w:sz="4" w:space="0" w:color="auto"/>
              <w:bottom w:val="double" w:sz="4" w:space="0" w:color="auto"/>
              <w:right w:val="sing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2.090 (3.77)</w:t>
            </w:r>
          </w:p>
        </w:tc>
        <w:tc>
          <w:tcPr>
            <w:tcW w:w="1260" w:type="dxa"/>
            <w:tcBorders>
              <w:top w:val="nil"/>
              <w:left w:val="single" w:sz="4" w:space="0" w:color="auto"/>
              <w:bottom w:val="double" w:sz="4" w:space="0" w:color="auto"/>
              <w:right w:val="sing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2.211 (3.53)</w:t>
            </w:r>
          </w:p>
        </w:tc>
        <w:tc>
          <w:tcPr>
            <w:tcW w:w="1260" w:type="dxa"/>
            <w:tcBorders>
              <w:top w:val="nil"/>
              <w:left w:val="single" w:sz="4" w:space="0" w:color="auto"/>
              <w:bottom w:val="double" w:sz="4" w:space="0" w:color="auto"/>
              <w:right w:val="sing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1.641 (4.10)</w:t>
            </w:r>
          </w:p>
        </w:tc>
        <w:tc>
          <w:tcPr>
            <w:tcW w:w="1260" w:type="dxa"/>
            <w:tcBorders>
              <w:top w:val="nil"/>
              <w:left w:val="single" w:sz="4" w:space="0" w:color="auto"/>
              <w:bottom w:val="double" w:sz="4" w:space="0" w:color="auto"/>
              <w:right w:val="doub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1.985 (2.12)</w:t>
            </w:r>
          </w:p>
        </w:tc>
        <w:tc>
          <w:tcPr>
            <w:tcW w:w="1350" w:type="dxa"/>
            <w:tcBorders>
              <w:top w:val="nil"/>
              <w:left w:val="single" w:sz="4" w:space="0" w:color="auto"/>
              <w:bottom w:val="double" w:sz="4" w:space="0" w:color="auto"/>
              <w:right w:val="doub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proofErr w:type="spellStart"/>
            <w:r>
              <w:rPr>
                <w:rFonts w:cs="Times New Roman"/>
                <w:sz w:val="20"/>
                <w:szCs w:val="20"/>
              </w:rPr>
              <w:t>na</w:t>
            </w:r>
            <w:proofErr w:type="spellEnd"/>
          </w:p>
        </w:tc>
        <w:tc>
          <w:tcPr>
            <w:tcW w:w="1350" w:type="dxa"/>
            <w:tcBorders>
              <w:top w:val="nil"/>
              <w:left w:val="single" w:sz="4" w:space="0" w:color="auto"/>
              <w:bottom w:val="double" w:sz="4" w:space="0" w:color="auto"/>
              <w:right w:val="doub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proofErr w:type="spellStart"/>
            <w:r>
              <w:rPr>
                <w:rFonts w:cs="Times New Roman"/>
                <w:sz w:val="20"/>
                <w:szCs w:val="20"/>
              </w:rPr>
              <w:t>na</w:t>
            </w:r>
            <w:proofErr w:type="spellEnd"/>
          </w:p>
        </w:tc>
      </w:tr>
    </w:tbl>
    <w:p w:rsidR="00610DDA" w:rsidRDefault="00610DDA" w:rsidP="00610DDA">
      <w:pPr>
        <w:adjustRightInd w:val="0"/>
        <w:snapToGrid w:val="0"/>
        <w:spacing w:before="120"/>
        <w:rPr>
          <w:rFonts w:cs="Times New Roman"/>
          <w:sz w:val="20"/>
          <w:szCs w:val="20"/>
        </w:rPr>
      </w:pPr>
      <w:r>
        <w:rPr>
          <w:rFonts w:cs="Times New Roman"/>
          <w:sz w:val="20"/>
          <w:szCs w:val="20"/>
        </w:rPr>
        <w:t xml:space="preserve">--: Not significant, </w:t>
      </w:r>
      <w:proofErr w:type="spellStart"/>
      <w:proofErr w:type="gramStart"/>
      <w:r>
        <w:rPr>
          <w:rFonts w:cs="Times New Roman"/>
          <w:sz w:val="20"/>
          <w:szCs w:val="20"/>
        </w:rPr>
        <w:t>na</w:t>
      </w:r>
      <w:proofErr w:type="spellEnd"/>
      <w:proofErr w:type="gramEnd"/>
      <w:r>
        <w:rPr>
          <w:rFonts w:cs="Times New Roman"/>
          <w:sz w:val="20"/>
          <w:szCs w:val="20"/>
        </w:rPr>
        <w:t>: Not Applicable</w:t>
      </w:r>
    </w:p>
    <w:p w:rsidR="00610DDA" w:rsidRDefault="00610DDA" w:rsidP="00610DDA">
      <w:pPr>
        <w:rPr>
          <w:rFonts w:cs="Times New Roman"/>
          <w:b/>
          <w:sz w:val="20"/>
          <w:szCs w:val="20"/>
        </w:rPr>
      </w:pPr>
    </w:p>
    <w:p w:rsidR="00610DDA" w:rsidRDefault="00610DDA" w:rsidP="00610DDA">
      <w:pPr>
        <w:rPr>
          <w:rFonts w:cs="Times New Roman"/>
          <w:b/>
          <w:sz w:val="20"/>
          <w:szCs w:val="20"/>
        </w:rPr>
        <w:sectPr w:rsidR="00610DDA">
          <w:footnotePr>
            <w:numStart w:val="7"/>
          </w:footnotePr>
          <w:pgSz w:w="15840" w:h="12240" w:orient="landscape"/>
          <w:pgMar w:top="1440" w:right="1440" w:bottom="1440" w:left="1440" w:header="720" w:footer="720" w:gutter="0"/>
          <w:cols w:space="720"/>
        </w:sectPr>
      </w:pPr>
    </w:p>
    <w:p w:rsidR="00610DDA" w:rsidRDefault="00610DDA" w:rsidP="00610DDA">
      <w:pPr>
        <w:adjustRightInd w:val="0"/>
        <w:snapToGrid w:val="0"/>
        <w:spacing w:after="120"/>
        <w:rPr>
          <w:rFonts w:cs="Times New Roman"/>
          <w:b/>
          <w:szCs w:val="24"/>
        </w:rPr>
      </w:pPr>
      <w:r>
        <w:rPr>
          <w:rFonts w:cs="Times New Roman"/>
          <w:b/>
          <w:szCs w:val="24"/>
        </w:rPr>
        <w:lastRenderedPageBreak/>
        <w:t>Table 4. Estimated covariance matrix of errors in the joint model (t-stat)</w:t>
      </w:r>
    </w:p>
    <w:tbl>
      <w:tblPr>
        <w:tblStyle w:val="TableGrid"/>
        <w:tblW w:w="0" w:type="auto"/>
        <w:jc w:val="center"/>
        <w:tblLook w:val="04A0" w:firstRow="1" w:lastRow="0" w:firstColumn="1" w:lastColumn="0" w:noHBand="0" w:noVBand="1"/>
      </w:tblPr>
      <w:tblGrid>
        <w:gridCol w:w="3225"/>
        <w:gridCol w:w="1376"/>
        <w:gridCol w:w="1350"/>
        <w:gridCol w:w="1150"/>
        <w:gridCol w:w="1150"/>
        <w:gridCol w:w="1150"/>
        <w:gridCol w:w="1150"/>
        <w:gridCol w:w="1162"/>
        <w:gridCol w:w="1163"/>
      </w:tblGrid>
      <w:tr w:rsidR="00610DDA" w:rsidTr="00610DDA">
        <w:trPr>
          <w:jc w:val="center"/>
        </w:trPr>
        <w:tc>
          <w:tcPr>
            <w:tcW w:w="3225" w:type="dxa"/>
            <w:vMerge w:val="restart"/>
            <w:tcBorders>
              <w:top w:val="double" w:sz="4" w:space="0" w:color="auto"/>
              <w:left w:val="double" w:sz="4" w:space="0" w:color="auto"/>
              <w:bottom w:val="double" w:sz="4" w:space="0" w:color="auto"/>
              <w:right w:val="double" w:sz="4" w:space="0" w:color="auto"/>
            </w:tcBorders>
            <w:shd w:val="clear" w:color="auto" w:fill="D0CECE" w:themeFill="background2" w:themeFillShade="E6"/>
            <w:tcMar>
              <w:top w:w="0" w:type="dxa"/>
              <w:left w:w="58" w:type="dxa"/>
              <w:bottom w:w="0" w:type="dxa"/>
              <w:right w:w="58" w:type="dxa"/>
            </w:tcMar>
            <w:vAlign w:val="center"/>
            <w:hideMark/>
          </w:tcPr>
          <w:p w:rsidR="00610DDA" w:rsidRDefault="00610DDA">
            <w:pPr>
              <w:adjustRightInd w:val="0"/>
              <w:snapToGrid w:val="0"/>
              <w:jc w:val="center"/>
              <w:rPr>
                <w:rFonts w:cs="Times New Roman"/>
                <w:b/>
                <w:sz w:val="20"/>
                <w:szCs w:val="20"/>
              </w:rPr>
            </w:pPr>
            <w:r>
              <w:rPr>
                <w:rFonts w:cs="Times New Roman"/>
                <w:b/>
                <w:sz w:val="20"/>
                <w:szCs w:val="20"/>
              </w:rPr>
              <w:t>Endogenous variable</w:t>
            </w:r>
          </w:p>
        </w:tc>
        <w:tc>
          <w:tcPr>
            <w:tcW w:w="2726" w:type="dxa"/>
            <w:gridSpan w:val="2"/>
            <w:tcBorders>
              <w:top w:val="double" w:sz="4" w:space="0" w:color="auto"/>
              <w:left w:val="double" w:sz="4" w:space="0" w:color="auto"/>
              <w:bottom w:val="single" w:sz="4" w:space="0" w:color="auto"/>
              <w:right w:val="double" w:sz="4" w:space="0" w:color="auto"/>
            </w:tcBorders>
            <w:shd w:val="clear" w:color="auto" w:fill="D0CECE" w:themeFill="background2" w:themeFillShade="E6"/>
            <w:tcMar>
              <w:top w:w="0" w:type="dxa"/>
              <w:left w:w="58" w:type="dxa"/>
              <w:bottom w:w="0" w:type="dxa"/>
              <w:right w:w="58" w:type="dxa"/>
            </w:tcMar>
            <w:vAlign w:val="center"/>
            <w:hideMark/>
          </w:tcPr>
          <w:p w:rsidR="00610DDA" w:rsidRDefault="00610DDA">
            <w:pPr>
              <w:adjustRightInd w:val="0"/>
              <w:snapToGrid w:val="0"/>
              <w:jc w:val="center"/>
              <w:rPr>
                <w:rFonts w:cs="Times New Roman"/>
                <w:b/>
                <w:sz w:val="20"/>
                <w:szCs w:val="20"/>
              </w:rPr>
            </w:pPr>
            <w:r>
              <w:rPr>
                <w:rFonts w:cs="Times New Roman"/>
                <w:b/>
                <w:sz w:val="20"/>
                <w:szCs w:val="20"/>
              </w:rPr>
              <w:t>Residential location density (RL choice utility;  base RL alternative is low density)</w:t>
            </w:r>
          </w:p>
        </w:tc>
        <w:tc>
          <w:tcPr>
            <w:tcW w:w="4600" w:type="dxa"/>
            <w:gridSpan w:val="4"/>
            <w:tcBorders>
              <w:top w:val="double" w:sz="4" w:space="0" w:color="auto"/>
              <w:left w:val="double" w:sz="4" w:space="0" w:color="auto"/>
              <w:bottom w:val="single" w:sz="4" w:space="0" w:color="auto"/>
              <w:right w:val="double" w:sz="4" w:space="0" w:color="auto"/>
            </w:tcBorders>
            <w:shd w:val="clear" w:color="auto" w:fill="D0CECE" w:themeFill="background2" w:themeFillShade="E6"/>
            <w:tcMar>
              <w:top w:w="0" w:type="dxa"/>
              <w:left w:w="58" w:type="dxa"/>
              <w:bottom w:w="0" w:type="dxa"/>
              <w:right w:w="58" w:type="dxa"/>
            </w:tcMar>
            <w:vAlign w:val="center"/>
            <w:hideMark/>
          </w:tcPr>
          <w:p w:rsidR="00610DDA" w:rsidRDefault="00610DDA">
            <w:pPr>
              <w:adjustRightInd w:val="0"/>
              <w:snapToGrid w:val="0"/>
              <w:jc w:val="center"/>
              <w:rPr>
                <w:rFonts w:cs="Times New Roman"/>
                <w:b/>
                <w:sz w:val="20"/>
                <w:szCs w:val="20"/>
              </w:rPr>
            </w:pPr>
            <w:r>
              <w:rPr>
                <w:rFonts w:cs="Times New Roman"/>
                <w:b/>
                <w:sz w:val="20"/>
                <w:szCs w:val="20"/>
              </w:rPr>
              <w:t>Extra-curricular activity participation (ECAP baseline utility; base ECAP alternative is “in-home activity”)</w:t>
            </w:r>
          </w:p>
        </w:tc>
        <w:tc>
          <w:tcPr>
            <w:tcW w:w="2325" w:type="dxa"/>
            <w:gridSpan w:val="2"/>
            <w:tcBorders>
              <w:top w:val="double" w:sz="4" w:space="0" w:color="auto"/>
              <w:left w:val="double" w:sz="4" w:space="0" w:color="auto"/>
              <w:bottom w:val="single" w:sz="4" w:space="0" w:color="auto"/>
              <w:right w:val="double" w:sz="4" w:space="0" w:color="auto"/>
            </w:tcBorders>
            <w:shd w:val="clear" w:color="auto" w:fill="D0CECE" w:themeFill="background2" w:themeFillShade="E6"/>
            <w:tcMar>
              <w:top w:w="0" w:type="dxa"/>
              <w:left w:w="58" w:type="dxa"/>
              <w:bottom w:w="0" w:type="dxa"/>
              <w:right w:w="58" w:type="dxa"/>
            </w:tcMar>
            <w:vAlign w:val="center"/>
            <w:hideMark/>
          </w:tcPr>
          <w:p w:rsidR="00610DDA" w:rsidRDefault="00610DDA">
            <w:pPr>
              <w:adjustRightInd w:val="0"/>
              <w:snapToGrid w:val="0"/>
              <w:jc w:val="center"/>
              <w:rPr>
                <w:rFonts w:cs="Times New Roman"/>
                <w:b/>
                <w:sz w:val="20"/>
                <w:szCs w:val="20"/>
              </w:rPr>
            </w:pPr>
            <w:r>
              <w:rPr>
                <w:rFonts w:cs="Times New Roman"/>
                <w:b/>
                <w:sz w:val="20"/>
                <w:szCs w:val="20"/>
              </w:rPr>
              <w:t>Active travel (ACT choice utility; base ACT alternative is “no active travel”)</w:t>
            </w:r>
          </w:p>
        </w:tc>
      </w:tr>
      <w:tr w:rsidR="00610DDA" w:rsidTr="00610DDA">
        <w:trPr>
          <w:trHeight w:val="576"/>
          <w:jc w:val="center"/>
        </w:trPr>
        <w:tc>
          <w:tcPr>
            <w:tcW w:w="0" w:type="auto"/>
            <w:vMerge/>
            <w:tcBorders>
              <w:top w:val="double" w:sz="4" w:space="0" w:color="auto"/>
              <w:left w:val="double" w:sz="4" w:space="0" w:color="auto"/>
              <w:bottom w:val="double" w:sz="4" w:space="0" w:color="auto"/>
              <w:right w:val="double" w:sz="4" w:space="0" w:color="auto"/>
            </w:tcBorders>
            <w:vAlign w:val="center"/>
            <w:hideMark/>
          </w:tcPr>
          <w:p w:rsidR="00610DDA" w:rsidRDefault="00610DDA">
            <w:pPr>
              <w:rPr>
                <w:rFonts w:cs="Times New Roman"/>
                <w:b/>
                <w:sz w:val="20"/>
                <w:szCs w:val="20"/>
              </w:rPr>
            </w:pPr>
          </w:p>
        </w:tc>
        <w:tc>
          <w:tcPr>
            <w:tcW w:w="1376" w:type="dxa"/>
            <w:tcBorders>
              <w:top w:val="single" w:sz="4" w:space="0" w:color="auto"/>
              <w:left w:val="single" w:sz="4" w:space="0" w:color="auto"/>
              <w:bottom w:val="double" w:sz="4" w:space="0" w:color="auto"/>
              <w:right w:val="single" w:sz="4" w:space="0" w:color="auto"/>
            </w:tcBorders>
            <w:shd w:val="clear" w:color="auto" w:fill="D0CECE" w:themeFill="background2" w:themeFillShade="E6"/>
            <w:tcMar>
              <w:top w:w="0" w:type="dxa"/>
              <w:left w:w="58" w:type="dxa"/>
              <w:bottom w:w="0" w:type="dxa"/>
              <w:right w:w="58" w:type="dxa"/>
            </w:tcMar>
            <w:vAlign w:val="center"/>
            <w:hideMark/>
          </w:tcPr>
          <w:p w:rsidR="00610DDA" w:rsidRDefault="00610DDA">
            <w:pPr>
              <w:adjustRightInd w:val="0"/>
              <w:snapToGrid w:val="0"/>
              <w:ind w:left="-160"/>
              <w:jc w:val="center"/>
              <w:rPr>
                <w:rFonts w:cs="Times New Roman"/>
                <w:sz w:val="20"/>
                <w:szCs w:val="20"/>
              </w:rPr>
            </w:pPr>
            <w:r>
              <w:rPr>
                <w:rFonts w:cs="Times New Roman"/>
                <w:sz w:val="20"/>
                <w:szCs w:val="20"/>
              </w:rPr>
              <w:t xml:space="preserve">   Medium density</w:t>
            </w:r>
          </w:p>
        </w:tc>
        <w:tc>
          <w:tcPr>
            <w:tcW w:w="1350" w:type="dxa"/>
            <w:tcBorders>
              <w:top w:val="single" w:sz="4" w:space="0" w:color="auto"/>
              <w:left w:val="single" w:sz="4" w:space="0" w:color="auto"/>
              <w:bottom w:val="double" w:sz="4" w:space="0" w:color="auto"/>
              <w:right w:val="double" w:sz="4" w:space="0" w:color="auto"/>
            </w:tcBorders>
            <w:shd w:val="clear" w:color="auto" w:fill="D0CECE" w:themeFill="background2" w:themeFillShade="E6"/>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High density</w:t>
            </w:r>
          </w:p>
        </w:tc>
        <w:tc>
          <w:tcPr>
            <w:tcW w:w="1150" w:type="dxa"/>
            <w:tcBorders>
              <w:top w:val="single" w:sz="4" w:space="0" w:color="auto"/>
              <w:left w:val="single" w:sz="4" w:space="0" w:color="auto"/>
              <w:bottom w:val="double" w:sz="4" w:space="0" w:color="auto"/>
              <w:right w:val="single" w:sz="4" w:space="0" w:color="auto"/>
            </w:tcBorders>
            <w:shd w:val="clear" w:color="auto" w:fill="D0CECE" w:themeFill="background2" w:themeFillShade="E6"/>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Academic</w:t>
            </w:r>
          </w:p>
        </w:tc>
        <w:tc>
          <w:tcPr>
            <w:tcW w:w="1150" w:type="dxa"/>
            <w:tcBorders>
              <w:top w:val="single" w:sz="4" w:space="0" w:color="auto"/>
              <w:left w:val="single" w:sz="4" w:space="0" w:color="auto"/>
              <w:bottom w:val="double" w:sz="4" w:space="0" w:color="auto"/>
              <w:right w:val="single" w:sz="4" w:space="0" w:color="auto"/>
            </w:tcBorders>
            <w:shd w:val="clear" w:color="auto" w:fill="D0CECE" w:themeFill="background2" w:themeFillShade="E6"/>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Sports</w:t>
            </w:r>
          </w:p>
        </w:tc>
        <w:tc>
          <w:tcPr>
            <w:tcW w:w="1150" w:type="dxa"/>
            <w:tcBorders>
              <w:top w:val="single" w:sz="4" w:space="0" w:color="auto"/>
              <w:left w:val="single" w:sz="4" w:space="0" w:color="auto"/>
              <w:bottom w:val="double" w:sz="4" w:space="0" w:color="auto"/>
              <w:right w:val="single" w:sz="4" w:space="0" w:color="auto"/>
            </w:tcBorders>
            <w:shd w:val="clear" w:color="auto" w:fill="D0CECE" w:themeFill="background2" w:themeFillShade="E6"/>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Arts</w:t>
            </w:r>
          </w:p>
        </w:tc>
        <w:tc>
          <w:tcPr>
            <w:tcW w:w="1150" w:type="dxa"/>
            <w:tcBorders>
              <w:top w:val="single" w:sz="4" w:space="0" w:color="auto"/>
              <w:left w:val="single" w:sz="4" w:space="0" w:color="auto"/>
              <w:bottom w:val="double" w:sz="4" w:space="0" w:color="auto"/>
              <w:right w:val="double" w:sz="4" w:space="0" w:color="auto"/>
            </w:tcBorders>
            <w:shd w:val="clear" w:color="auto" w:fill="D0CECE" w:themeFill="background2" w:themeFillShade="E6"/>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Hobbies</w:t>
            </w:r>
          </w:p>
        </w:tc>
        <w:tc>
          <w:tcPr>
            <w:tcW w:w="1162" w:type="dxa"/>
            <w:tcBorders>
              <w:top w:val="single" w:sz="4" w:space="0" w:color="auto"/>
              <w:left w:val="single" w:sz="4" w:space="0" w:color="auto"/>
              <w:bottom w:val="double" w:sz="4" w:space="0" w:color="auto"/>
              <w:right w:val="single" w:sz="4" w:space="0" w:color="auto"/>
            </w:tcBorders>
            <w:shd w:val="clear" w:color="auto" w:fill="D0CECE" w:themeFill="background2" w:themeFillShade="E6"/>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Some active travel</w:t>
            </w:r>
          </w:p>
        </w:tc>
        <w:tc>
          <w:tcPr>
            <w:tcW w:w="1163" w:type="dxa"/>
            <w:tcBorders>
              <w:top w:val="single" w:sz="4" w:space="0" w:color="auto"/>
              <w:left w:val="single" w:sz="4" w:space="0" w:color="auto"/>
              <w:bottom w:val="double" w:sz="4" w:space="0" w:color="auto"/>
              <w:right w:val="double" w:sz="4" w:space="0" w:color="auto"/>
            </w:tcBorders>
            <w:shd w:val="clear" w:color="auto" w:fill="D0CECE" w:themeFill="background2" w:themeFillShade="E6"/>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All travel is active travel</w:t>
            </w:r>
          </w:p>
        </w:tc>
      </w:tr>
      <w:tr w:rsidR="00610DDA" w:rsidTr="00610DDA">
        <w:trPr>
          <w:trHeight w:val="346"/>
          <w:jc w:val="center"/>
        </w:trPr>
        <w:tc>
          <w:tcPr>
            <w:tcW w:w="3225" w:type="dxa"/>
            <w:tcBorders>
              <w:top w:val="nil"/>
              <w:left w:val="doub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rPr>
                <w:rFonts w:cs="Times New Roman"/>
                <w:b/>
                <w:sz w:val="20"/>
                <w:szCs w:val="20"/>
              </w:rPr>
            </w:pPr>
            <w:r>
              <w:rPr>
                <w:rFonts w:cs="Times New Roman"/>
                <w:b/>
                <w:sz w:val="20"/>
                <w:szCs w:val="20"/>
              </w:rPr>
              <w:t>Residential location (RL choice; base is “low density”)</w:t>
            </w:r>
          </w:p>
        </w:tc>
        <w:tc>
          <w:tcPr>
            <w:tcW w:w="1376" w:type="dxa"/>
            <w:tcBorders>
              <w:top w:val="nil"/>
              <w:left w:val="single" w:sz="4" w:space="0" w:color="auto"/>
              <w:bottom w:val="nil"/>
              <w:right w:val="sing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350" w:type="dxa"/>
            <w:tcBorders>
              <w:top w:val="nil"/>
              <w:left w:val="single" w:sz="4" w:space="0" w:color="auto"/>
              <w:bottom w:val="nil"/>
              <w:right w:val="doub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150" w:type="dxa"/>
            <w:tcBorders>
              <w:top w:val="nil"/>
              <w:left w:val="single" w:sz="4" w:space="0" w:color="auto"/>
              <w:bottom w:val="nil"/>
              <w:right w:val="sing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150" w:type="dxa"/>
            <w:tcBorders>
              <w:top w:val="nil"/>
              <w:left w:val="single" w:sz="4" w:space="0" w:color="auto"/>
              <w:bottom w:val="nil"/>
              <w:right w:val="sing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150" w:type="dxa"/>
            <w:tcBorders>
              <w:top w:val="nil"/>
              <w:left w:val="single" w:sz="4" w:space="0" w:color="auto"/>
              <w:bottom w:val="nil"/>
              <w:right w:val="sing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150" w:type="dxa"/>
            <w:tcBorders>
              <w:top w:val="nil"/>
              <w:left w:val="single" w:sz="4" w:space="0" w:color="auto"/>
              <w:bottom w:val="nil"/>
              <w:right w:val="doub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162" w:type="dxa"/>
            <w:tcBorders>
              <w:top w:val="nil"/>
              <w:left w:val="single" w:sz="4" w:space="0" w:color="auto"/>
              <w:bottom w:val="nil"/>
              <w:right w:val="sing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163" w:type="dxa"/>
            <w:tcBorders>
              <w:top w:val="nil"/>
              <w:left w:val="single" w:sz="4" w:space="0" w:color="auto"/>
              <w:bottom w:val="nil"/>
              <w:right w:val="doub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r>
      <w:tr w:rsidR="00610DDA" w:rsidTr="00610DDA">
        <w:trPr>
          <w:trHeight w:val="346"/>
          <w:jc w:val="center"/>
        </w:trPr>
        <w:tc>
          <w:tcPr>
            <w:tcW w:w="3225" w:type="dxa"/>
            <w:tcBorders>
              <w:top w:val="nil"/>
              <w:left w:val="doub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 xml:space="preserve">   Medium density</w:t>
            </w:r>
          </w:p>
        </w:tc>
        <w:tc>
          <w:tcPr>
            <w:tcW w:w="1376"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1.00 (fixed)</w:t>
            </w:r>
          </w:p>
        </w:tc>
        <w:tc>
          <w:tcPr>
            <w:tcW w:w="1350" w:type="dxa"/>
            <w:tcBorders>
              <w:top w:val="nil"/>
              <w:left w:val="single" w:sz="4" w:space="0" w:color="auto"/>
              <w:bottom w:val="nil"/>
              <w:right w:val="doub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150" w:type="dxa"/>
            <w:tcBorders>
              <w:top w:val="nil"/>
              <w:left w:val="single" w:sz="4" w:space="0" w:color="auto"/>
              <w:bottom w:val="nil"/>
              <w:right w:val="sing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150" w:type="dxa"/>
            <w:tcBorders>
              <w:top w:val="nil"/>
              <w:left w:val="single" w:sz="4" w:space="0" w:color="auto"/>
              <w:bottom w:val="nil"/>
              <w:right w:val="sing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150" w:type="dxa"/>
            <w:tcBorders>
              <w:top w:val="nil"/>
              <w:left w:val="single" w:sz="4" w:space="0" w:color="auto"/>
              <w:bottom w:val="nil"/>
              <w:right w:val="sing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150" w:type="dxa"/>
            <w:tcBorders>
              <w:top w:val="nil"/>
              <w:left w:val="single" w:sz="4" w:space="0" w:color="auto"/>
              <w:bottom w:val="nil"/>
              <w:right w:val="doub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162" w:type="dxa"/>
            <w:tcBorders>
              <w:top w:val="nil"/>
              <w:left w:val="single" w:sz="4" w:space="0" w:color="auto"/>
              <w:bottom w:val="nil"/>
              <w:right w:val="sing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163" w:type="dxa"/>
            <w:tcBorders>
              <w:top w:val="nil"/>
              <w:left w:val="single" w:sz="4" w:space="0" w:color="auto"/>
              <w:bottom w:val="nil"/>
              <w:right w:val="doub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r>
      <w:tr w:rsidR="00610DDA" w:rsidTr="00610DDA">
        <w:trPr>
          <w:trHeight w:val="346"/>
          <w:jc w:val="center"/>
        </w:trPr>
        <w:tc>
          <w:tcPr>
            <w:tcW w:w="3225" w:type="dxa"/>
            <w:tcBorders>
              <w:top w:val="nil"/>
              <w:left w:val="doub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 xml:space="preserve">   High density</w:t>
            </w:r>
          </w:p>
        </w:tc>
        <w:tc>
          <w:tcPr>
            <w:tcW w:w="1376"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0.50 (fixed)</w:t>
            </w:r>
          </w:p>
        </w:tc>
        <w:tc>
          <w:tcPr>
            <w:tcW w:w="1350" w:type="dxa"/>
            <w:tcBorders>
              <w:top w:val="nil"/>
              <w:left w:val="sing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1.00 (fixed)</w:t>
            </w:r>
          </w:p>
        </w:tc>
        <w:tc>
          <w:tcPr>
            <w:tcW w:w="1150" w:type="dxa"/>
            <w:tcBorders>
              <w:top w:val="nil"/>
              <w:left w:val="single" w:sz="4" w:space="0" w:color="auto"/>
              <w:bottom w:val="nil"/>
              <w:right w:val="sing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150" w:type="dxa"/>
            <w:tcBorders>
              <w:top w:val="nil"/>
              <w:left w:val="single" w:sz="4" w:space="0" w:color="auto"/>
              <w:bottom w:val="nil"/>
              <w:right w:val="sing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150" w:type="dxa"/>
            <w:tcBorders>
              <w:top w:val="nil"/>
              <w:left w:val="single" w:sz="4" w:space="0" w:color="auto"/>
              <w:bottom w:val="nil"/>
              <w:right w:val="sing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150" w:type="dxa"/>
            <w:tcBorders>
              <w:top w:val="nil"/>
              <w:left w:val="single" w:sz="4" w:space="0" w:color="auto"/>
              <w:bottom w:val="nil"/>
              <w:right w:val="doub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162" w:type="dxa"/>
            <w:tcBorders>
              <w:top w:val="nil"/>
              <w:left w:val="single" w:sz="4" w:space="0" w:color="auto"/>
              <w:bottom w:val="nil"/>
              <w:right w:val="sing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163" w:type="dxa"/>
            <w:tcBorders>
              <w:top w:val="nil"/>
              <w:left w:val="single" w:sz="4" w:space="0" w:color="auto"/>
              <w:bottom w:val="nil"/>
              <w:right w:val="doub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r>
      <w:tr w:rsidR="00610DDA" w:rsidTr="00610DDA">
        <w:trPr>
          <w:trHeight w:val="346"/>
          <w:jc w:val="center"/>
        </w:trPr>
        <w:tc>
          <w:tcPr>
            <w:tcW w:w="3225" w:type="dxa"/>
            <w:tcBorders>
              <w:top w:val="nil"/>
              <w:left w:val="double" w:sz="4" w:space="0" w:color="auto"/>
              <w:bottom w:val="nil"/>
              <w:right w:val="double" w:sz="4" w:space="0" w:color="auto"/>
            </w:tcBorders>
            <w:tcMar>
              <w:top w:w="0" w:type="dxa"/>
              <w:left w:w="58" w:type="dxa"/>
              <w:bottom w:w="0" w:type="dxa"/>
              <w:right w:w="58" w:type="dxa"/>
            </w:tcMar>
          </w:tcPr>
          <w:p w:rsidR="00610DDA" w:rsidRDefault="00610DDA">
            <w:pPr>
              <w:adjustRightInd w:val="0"/>
              <w:snapToGrid w:val="0"/>
              <w:rPr>
                <w:rFonts w:cs="Times New Roman"/>
                <w:i/>
                <w:sz w:val="20"/>
                <w:szCs w:val="20"/>
              </w:rPr>
            </w:pPr>
          </w:p>
        </w:tc>
        <w:tc>
          <w:tcPr>
            <w:tcW w:w="1376" w:type="dxa"/>
            <w:tcBorders>
              <w:top w:val="nil"/>
              <w:left w:val="single" w:sz="4" w:space="0" w:color="auto"/>
              <w:bottom w:val="nil"/>
              <w:right w:val="sing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350" w:type="dxa"/>
            <w:tcBorders>
              <w:top w:val="nil"/>
              <w:left w:val="single" w:sz="4" w:space="0" w:color="auto"/>
              <w:bottom w:val="nil"/>
              <w:right w:val="doub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150" w:type="dxa"/>
            <w:tcBorders>
              <w:top w:val="nil"/>
              <w:left w:val="single" w:sz="4" w:space="0" w:color="auto"/>
              <w:bottom w:val="nil"/>
              <w:right w:val="sing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150" w:type="dxa"/>
            <w:tcBorders>
              <w:top w:val="nil"/>
              <w:left w:val="single" w:sz="4" w:space="0" w:color="auto"/>
              <w:bottom w:val="nil"/>
              <w:right w:val="sing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150" w:type="dxa"/>
            <w:tcBorders>
              <w:top w:val="nil"/>
              <w:left w:val="single" w:sz="4" w:space="0" w:color="auto"/>
              <w:bottom w:val="nil"/>
              <w:right w:val="sing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150" w:type="dxa"/>
            <w:tcBorders>
              <w:top w:val="nil"/>
              <w:left w:val="single" w:sz="4" w:space="0" w:color="auto"/>
              <w:bottom w:val="nil"/>
              <w:right w:val="doub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162" w:type="dxa"/>
            <w:tcBorders>
              <w:top w:val="nil"/>
              <w:left w:val="single" w:sz="4" w:space="0" w:color="auto"/>
              <w:bottom w:val="nil"/>
              <w:right w:val="sing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163" w:type="dxa"/>
            <w:tcBorders>
              <w:top w:val="nil"/>
              <w:left w:val="single" w:sz="4" w:space="0" w:color="auto"/>
              <w:bottom w:val="nil"/>
              <w:right w:val="doub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r>
      <w:tr w:rsidR="00610DDA" w:rsidTr="00610DDA">
        <w:trPr>
          <w:trHeight w:val="346"/>
          <w:jc w:val="center"/>
        </w:trPr>
        <w:tc>
          <w:tcPr>
            <w:tcW w:w="3225" w:type="dxa"/>
            <w:tcBorders>
              <w:top w:val="nil"/>
              <w:left w:val="doub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rPr>
                <w:rFonts w:cs="Times New Roman"/>
                <w:b/>
                <w:sz w:val="20"/>
                <w:szCs w:val="20"/>
              </w:rPr>
            </w:pPr>
            <w:r>
              <w:rPr>
                <w:rFonts w:cs="Times New Roman"/>
                <w:b/>
                <w:sz w:val="20"/>
                <w:szCs w:val="20"/>
              </w:rPr>
              <w:t>Extra-curricular activity participation (ECAP choice; base ECAP alternative is “in-home activity”)</w:t>
            </w:r>
          </w:p>
        </w:tc>
        <w:tc>
          <w:tcPr>
            <w:tcW w:w="1376" w:type="dxa"/>
            <w:tcBorders>
              <w:top w:val="nil"/>
              <w:left w:val="single" w:sz="4" w:space="0" w:color="auto"/>
              <w:bottom w:val="nil"/>
              <w:right w:val="sing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350" w:type="dxa"/>
            <w:tcBorders>
              <w:top w:val="nil"/>
              <w:left w:val="single" w:sz="4" w:space="0" w:color="auto"/>
              <w:bottom w:val="nil"/>
              <w:right w:val="doub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150" w:type="dxa"/>
            <w:tcBorders>
              <w:top w:val="nil"/>
              <w:left w:val="single" w:sz="4" w:space="0" w:color="auto"/>
              <w:bottom w:val="nil"/>
              <w:right w:val="sing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150" w:type="dxa"/>
            <w:tcBorders>
              <w:top w:val="nil"/>
              <w:left w:val="single" w:sz="4" w:space="0" w:color="auto"/>
              <w:bottom w:val="nil"/>
              <w:right w:val="sing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150" w:type="dxa"/>
            <w:tcBorders>
              <w:top w:val="nil"/>
              <w:left w:val="single" w:sz="4" w:space="0" w:color="auto"/>
              <w:bottom w:val="nil"/>
              <w:right w:val="sing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150" w:type="dxa"/>
            <w:tcBorders>
              <w:top w:val="nil"/>
              <w:left w:val="single" w:sz="4" w:space="0" w:color="auto"/>
              <w:bottom w:val="nil"/>
              <w:right w:val="doub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162" w:type="dxa"/>
            <w:tcBorders>
              <w:top w:val="nil"/>
              <w:left w:val="single" w:sz="4" w:space="0" w:color="auto"/>
              <w:bottom w:val="nil"/>
              <w:right w:val="sing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163" w:type="dxa"/>
            <w:tcBorders>
              <w:top w:val="nil"/>
              <w:left w:val="single" w:sz="4" w:space="0" w:color="auto"/>
              <w:bottom w:val="nil"/>
              <w:right w:val="doub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r>
      <w:tr w:rsidR="00610DDA" w:rsidTr="00610DDA">
        <w:trPr>
          <w:trHeight w:val="346"/>
          <w:jc w:val="center"/>
        </w:trPr>
        <w:tc>
          <w:tcPr>
            <w:tcW w:w="3225" w:type="dxa"/>
            <w:tcBorders>
              <w:top w:val="nil"/>
              <w:left w:val="doub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 xml:space="preserve">  Academic</w:t>
            </w:r>
          </w:p>
        </w:tc>
        <w:tc>
          <w:tcPr>
            <w:tcW w:w="1376"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0.00 (fixed)</w:t>
            </w:r>
          </w:p>
        </w:tc>
        <w:tc>
          <w:tcPr>
            <w:tcW w:w="1350" w:type="dxa"/>
            <w:tcBorders>
              <w:top w:val="nil"/>
              <w:left w:val="sing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0.00 (fixed)</w:t>
            </w:r>
          </w:p>
        </w:tc>
        <w:tc>
          <w:tcPr>
            <w:tcW w:w="1150"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1.00 (fixed)</w:t>
            </w:r>
          </w:p>
        </w:tc>
        <w:tc>
          <w:tcPr>
            <w:tcW w:w="1150" w:type="dxa"/>
            <w:tcBorders>
              <w:top w:val="nil"/>
              <w:left w:val="single" w:sz="4" w:space="0" w:color="auto"/>
              <w:bottom w:val="nil"/>
              <w:right w:val="sing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150" w:type="dxa"/>
            <w:tcBorders>
              <w:top w:val="nil"/>
              <w:left w:val="single" w:sz="4" w:space="0" w:color="auto"/>
              <w:bottom w:val="nil"/>
              <w:right w:val="sing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150" w:type="dxa"/>
            <w:tcBorders>
              <w:top w:val="nil"/>
              <w:left w:val="single" w:sz="4" w:space="0" w:color="auto"/>
              <w:bottom w:val="nil"/>
              <w:right w:val="doub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162" w:type="dxa"/>
            <w:tcBorders>
              <w:top w:val="nil"/>
              <w:left w:val="single" w:sz="4" w:space="0" w:color="auto"/>
              <w:bottom w:val="nil"/>
              <w:right w:val="sing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163" w:type="dxa"/>
            <w:tcBorders>
              <w:top w:val="nil"/>
              <w:left w:val="single" w:sz="4" w:space="0" w:color="auto"/>
              <w:bottom w:val="nil"/>
              <w:right w:val="doub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r>
      <w:tr w:rsidR="00610DDA" w:rsidTr="00610DDA">
        <w:trPr>
          <w:trHeight w:val="346"/>
          <w:jc w:val="center"/>
        </w:trPr>
        <w:tc>
          <w:tcPr>
            <w:tcW w:w="3225" w:type="dxa"/>
            <w:tcBorders>
              <w:top w:val="nil"/>
              <w:left w:val="doub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 xml:space="preserve">  Sports</w:t>
            </w:r>
          </w:p>
        </w:tc>
        <w:tc>
          <w:tcPr>
            <w:tcW w:w="1376"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0.00 (fixed)</w:t>
            </w:r>
          </w:p>
        </w:tc>
        <w:tc>
          <w:tcPr>
            <w:tcW w:w="1350" w:type="dxa"/>
            <w:tcBorders>
              <w:top w:val="nil"/>
              <w:left w:val="sing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0.00 (fixed)</w:t>
            </w:r>
          </w:p>
        </w:tc>
        <w:tc>
          <w:tcPr>
            <w:tcW w:w="1150"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0.50 (fixed)</w:t>
            </w:r>
          </w:p>
        </w:tc>
        <w:tc>
          <w:tcPr>
            <w:tcW w:w="1150"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1.0 (fixed)</w:t>
            </w:r>
          </w:p>
        </w:tc>
        <w:tc>
          <w:tcPr>
            <w:tcW w:w="1150" w:type="dxa"/>
            <w:tcBorders>
              <w:top w:val="nil"/>
              <w:left w:val="single" w:sz="4" w:space="0" w:color="auto"/>
              <w:bottom w:val="nil"/>
              <w:right w:val="sing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150" w:type="dxa"/>
            <w:tcBorders>
              <w:top w:val="nil"/>
              <w:left w:val="single" w:sz="4" w:space="0" w:color="auto"/>
              <w:bottom w:val="nil"/>
              <w:right w:val="doub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162" w:type="dxa"/>
            <w:tcBorders>
              <w:top w:val="nil"/>
              <w:left w:val="single" w:sz="4" w:space="0" w:color="auto"/>
              <w:bottom w:val="nil"/>
              <w:right w:val="sing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163" w:type="dxa"/>
            <w:tcBorders>
              <w:top w:val="nil"/>
              <w:left w:val="single" w:sz="4" w:space="0" w:color="auto"/>
              <w:bottom w:val="nil"/>
              <w:right w:val="doub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r>
      <w:tr w:rsidR="00610DDA" w:rsidTr="00610DDA">
        <w:trPr>
          <w:trHeight w:val="346"/>
          <w:jc w:val="center"/>
        </w:trPr>
        <w:tc>
          <w:tcPr>
            <w:tcW w:w="3225" w:type="dxa"/>
            <w:tcBorders>
              <w:top w:val="nil"/>
              <w:left w:val="doub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 xml:space="preserve">  Arts</w:t>
            </w:r>
          </w:p>
        </w:tc>
        <w:tc>
          <w:tcPr>
            <w:tcW w:w="1376"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0.12 (1.99)</w:t>
            </w:r>
          </w:p>
        </w:tc>
        <w:tc>
          <w:tcPr>
            <w:tcW w:w="1350" w:type="dxa"/>
            <w:tcBorders>
              <w:top w:val="nil"/>
              <w:left w:val="sing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0.27 (2.46)</w:t>
            </w:r>
          </w:p>
        </w:tc>
        <w:tc>
          <w:tcPr>
            <w:tcW w:w="1150"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0.50 (fixed)</w:t>
            </w:r>
          </w:p>
        </w:tc>
        <w:tc>
          <w:tcPr>
            <w:tcW w:w="1150"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0.5 (fixed)</w:t>
            </w:r>
          </w:p>
        </w:tc>
        <w:tc>
          <w:tcPr>
            <w:tcW w:w="1150"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1.0 (fixed)</w:t>
            </w:r>
          </w:p>
        </w:tc>
        <w:tc>
          <w:tcPr>
            <w:tcW w:w="1150" w:type="dxa"/>
            <w:tcBorders>
              <w:top w:val="nil"/>
              <w:left w:val="single" w:sz="4" w:space="0" w:color="auto"/>
              <w:bottom w:val="nil"/>
              <w:right w:val="doub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162" w:type="dxa"/>
            <w:tcBorders>
              <w:top w:val="nil"/>
              <w:left w:val="single" w:sz="4" w:space="0" w:color="auto"/>
              <w:bottom w:val="nil"/>
              <w:right w:val="sing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163" w:type="dxa"/>
            <w:tcBorders>
              <w:top w:val="nil"/>
              <w:left w:val="single" w:sz="4" w:space="0" w:color="auto"/>
              <w:bottom w:val="nil"/>
              <w:right w:val="doub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r>
      <w:tr w:rsidR="00610DDA" w:rsidTr="00610DDA">
        <w:trPr>
          <w:trHeight w:val="346"/>
          <w:jc w:val="center"/>
        </w:trPr>
        <w:tc>
          <w:tcPr>
            <w:tcW w:w="3225" w:type="dxa"/>
            <w:tcBorders>
              <w:top w:val="nil"/>
              <w:left w:val="doub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 xml:space="preserve">  Hobbies</w:t>
            </w:r>
          </w:p>
        </w:tc>
        <w:tc>
          <w:tcPr>
            <w:tcW w:w="1376"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0.00 (fixed)</w:t>
            </w:r>
          </w:p>
        </w:tc>
        <w:tc>
          <w:tcPr>
            <w:tcW w:w="1350" w:type="dxa"/>
            <w:tcBorders>
              <w:top w:val="nil"/>
              <w:left w:val="sing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0.43 (1.98)</w:t>
            </w:r>
          </w:p>
        </w:tc>
        <w:tc>
          <w:tcPr>
            <w:tcW w:w="1150"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0.50 (fixed)</w:t>
            </w:r>
          </w:p>
        </w:tc>
        <w:tc>
          <w:tcPr>
            <w:tcW w:w="1150"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0.5 (fixed)</w:t>
            </w:r>
          </w:p>
        </w:tc>
        <w:tc>
          <w:tcPr>
            <w:tcW w:w="1150"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0.5 (fixed)</w:t>
            </w:r>
          </w:p>
        </w:tc>
        <w:tc>
          <w:tcPr>
            <w:tcW w:w="1150" w:type="dxa"/>
            <w:tcBorders>
              <w:top w:val="nil"/>
              <w:left w:val="sing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1.0 (fixed)</w:t>
            </w:r>
          </w:p>
        </w:tc>
        <w:tc>
          <w:tcPr>
            <w:tcW w:w="1162" w:type="dxa"/>
            <w:tcBorders>
              <w:top w:val="nil"/>
              <w:left w:val="single" w:sz="4" w:space="0" w:color="auto"/>
              <w:bottom w:val="nil"/>
              <w:right w:val="sing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163" w:type="dxa"/>
            <w:tcBorders>
              <w:top w:val="nil"/>
              <w:left w:val="single" w:sz="4" w:space="0" w:color="auto"/>
              <w:bottom w:val="nil"/>
              <w:right w:val="doub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r>
      <w:tr w:rsidR="00610DDA" w:rsidTr="00610DDA">
        <w:trPr>
          <w:trHeight w:val="346"/>
          <w:jc w:val="center"/>
        </w:trPr>
        <w:tc>
          <w:tcPr>
            <w:tcW w:w="3225" w:type="dxa"/>
            <w:tcBorders>
              <w:top w:val="nil"/>
              <w:left w:val="double" w:sz="4" w:space="0" w:color="auto"/>
              <w:bottom w:val="nil"/>
              <w:right w:val="double" w:sz="4" w:space="0" w:color="auto"/>
            </w:tcBorders>
            <w:tcMar>
              <w:top w:w="0" w:type="dxa"/>
              <w:left w:w="58" w:type="dxa"/>
              <w:bottom w:w="0" w:type="dxa"/>
              <w:right w:w="58" w:type="dxa"/>
            </w:tcMar>
          </w:tcPr>
          <w:p w:rsidR="00610DDA" w:rsidRDefault="00610DDA">
            <w:pPr>
              <w:adjustRightInd w:val="0"/>
              <w:snapToGrid w:val="0"/>
              <w:rPr>
                <w:rFonts w:cs="Times New Roman"/>
                <w:sz w:val="20"/>
                <w:szCs w:val="20"/>
              </w:rPr>
            </w:pPr>
          </w:p>
        </w:tc>
        <w:tc>
          <w:tcPr>
            <w:tcW w:w="1376" w:type="dxa"/>
            <w:tcBorders>
              <w:top w:val="nil"/>
              <w:left w:val="single" w:sz="4" w:space="0" w:color="auto"/>
              <w:bottom w:val="nil"/>
              <w:right w:val="sing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350" w:type="dxa"/>
            <w:tcBorders>
              <w:top w:val="nil"/>
              <w:left w:val="single" w:sz="4" w:space="0" w:color="auto"/>
              <w:bottom w:val="nil"/>
              <w:right w:val="doub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150" w:type="dxa"/>
            <w:tcBorders>
              <w:top w:val="nil"/>
              <w:left w:val="single" w:sz="4" w:space="0" w:color="auto"/>
              <w:bottom w:val="nil"/>
              <w:right w:val="sing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150" w:type="dxa"/>
            <w:tcBorders>
              <w:top w:val="nil"/>
              <w:left w:val="single" w:sz="4" w:space="0" w:color="auto"/>
              <w:bottom w:val="nil"/>
              <w:right w:val="sing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150" w:type="dxa"/>
            <w:tcBorders>
              <w:top w:val="nil"/>
              <w:left w:val="single" w:sz="4" w:space="0" w:color="auto"/>
              <w:bottom w:val="nil"/>
              <w:right w:val="sing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150" w:type="dxa"/>
            <w:tcBorders>
              <w:top w:val="nil"/>
              <w:left w:val="single" w:sz="4" w:space="0" w:color="auto"/>
              <w:bottom w:val="nil"/>
              <w:right w:val="doub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162" w:type="dxa"/>
            <w:tcBorders>
              <w:top w:val="nil"/>
              <w:left w:val="single" w:sz="4" w:space="0" w:color="auto"/>
              <w:bottom w:val="nil"/>
              <w:right w:val="sing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163" w:type="dxa"/>
            <w:tcBorders>
              <w:top w:val="nil"/>
              <w:left w:val="single" w:sz="4" w:space="0" w:color="auto"/>
              <w:bottom w:val="nil"/>
              <w:right w:val="doub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r>
      <w:tr w:rsidR="00610DDA" w:rsidTr="00610DDA">
        <w:trPr>
          <w:trHeight w:val="346"/>
          <w:jc w:val="center"/>
        </w:trPr>
        <w:tc>
          <w:tcPr>
            <w:tcW w:w="3225" w:type="dxa"/>
            <w:tcBorders>
              <w:top w:val="nil"/>
              <w:left w:val="doub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rPr>
                <w:rFonts w:cs="Times New Roman"/>
                <w:b/>
                <w:sz w:val="20"/>
                <w:szCs w:val="20"/>
              </w:rPr>
            </w:pPr>
            <w:r>
              <w:rPr>
                <w:rFonts w:cs="Times New Roman"/>
                <w:b/>
                <w:sz w:val="20"/>
                <w:szCs w:val="20"/>
              </w:rPr>
              <w:t>Active travel (ACT choice; base is “no active travel”)</w:t>
            </w:r>
          </w:p>
        </w:tc>
        <w:tc>
          <w:tcPr>
            <w:tcW w:w="1376" w:type="dxa"/>
            <w:tcBorders>
              <w:top w:val="nil"/>
              <w:left w:val="single" w:sz="4" w:space="0" w:color="auto"/>
              <w:bottom w:val="nil"/>
              <w:right w:val="sing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350" w:type="dxa"/>
            <w:tcBorders>
              <w:top w:val="nil"/>
              <w:left w:val="single" w:sz="4" w:space="0" w:color="auto"/>
              <w:bottom w:val="nil"/>
              <w:right w:val="doub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150" w:type="dxa"/>
            <w:tcBorders>
              <w:top w:val="nil"/>
              <w:left w:val="single" w:sz="4" w:space="0" w:color="auto"/>
              <w:bottom w:val="nil"/>
              <w:right w:val="sing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150" w:type="dxa"/>
            <w:tcBorders>
              <w:top w:val="nil"/>
              <w:left w:val="single" w:sz="4" w:space="0" w:color="auto"/>
              <w:bottom w:val="nil"/>
              <w:right w:val="sing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150" w:type="dxa"/>
            <w:tcBorders>
              <w:top w:val="nil"/>
              <w:left w:val="single" w:sz="4" w:space="0" w:color="auto"/>
              <w:bottom w:val="nil"/>
              <w:right w:val="sing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150" w:type="dxa"/>
            <w:tcBorders>
              <w:top w:val="nil"/>
              <w:left w:val="single" w:sz="4" w:space="0" w:color="auto"/>
              <w:bottom w:val="nil"/>
              <w:right w:val="doub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162" w:type="dxa"/>
            <w:tcBorders>
              <w:top w:val="nil"/>
              <w:left w:val="single" w:sz="4" w:space="0" w:color="auto"/>
              <w:bottom w:val="nil"/>
              <w:right w:val="sing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c>
          <w:tcPr>
            <w:tcW w:w="1163" w:type="dxa"/>
            <w:tcBorders>
              <w:top w:val="nil"/>
              <w:left w:val="single" w:sz="4" w:space="0" w:color="auto"/>
              <w:bottom w:val="nil"/>
              <w:right w:val="doub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r>
      <w:tr w:rsidR="00610DDA" w:rsidTr="00610DDA">
        <w:trPr>
          <w:trHeight w:val="346"/>
          <w:jc w:val="center"/>
        </w:trPr>
        <w:tc>
          <w:tcPr>
            <w:tcW w:w="3225" w:type="dxa"/>
            <w:tcBorders>
              <w:top w:val="nil"/>
              <w:left w:val="doub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b/>
                <w:sz w:val="20"/>
                <w:szCs w:val="20"/>
              </w:rPr>
              <w:t xml:space="preserve">  </w:t>
            </w:r>
            <w:r>
              <w:rPr>
                <w:rFonts w:cs="Times New Roman"/>
                <w:sz w:val="20"/>
                <w:szCs w:val="20"/>
              </w:rPr>
              <w:t>Some active travel</w:t>
            </w:r>
          </w:p>
        </w:tc>
        <w:tc>
          <w:tcPr>
            <w:tcW w:w="1376"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0.00 (fixed)</w:t>
            </w:r>
          </w:p>
        </w:tc>
        <w:tc>
          <w:tcPr>
            <w:tcW w:w="1350" w:type="dxa"/>
            <w:tcBorders>
              <w:top w:val="nil"/>
              <w:left w:val="sing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0.00 (fixed)</w:t>
            </w:r>
          </w:p>
        </w:tc>
        <w:tc>
          <w:tcPr>
            <w:tcW w:w="1150"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0.00 (fixed)</w:t>
            </w:r>
          </w:p>
        </w:tc>
        <w:tc>
          <w:tcPr>
            <w:tcW w:w="1150"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0.56 (2.15)</w:t>
            </w:r>
          </w:p>
        </w:tc>
        <w:tc>
          <w:tcPr>
            <w:tcW w:w="1150"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0.00 (fixed)</w:t>
            </w:r>
          </w:p>
        </w:tc>
        <w:tc>
          <w:tcPr>
            <w:tcW w:w="1150" w:type="dxa"/>
            <w:tcBorders>
              <w:top w:val="nil"/>
              <w:left w:val="single" w:sz="4" w:space="0" w:color="auto"/>
              <w:bottom w:val="nil"/>
              <w:right w:val="doub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0.00 (fixed)</w:t>
            </w:r>
          </w:p>
        </w:tc>
        <w:tc>
          <w:tcPr>
            <w:tcW w:w="1162"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1.0 (fixed)</w:t>
            </w:r>
          </w:p>
        </w:tc>
        <w:tc>
          <w:tcPr>
            <w:tcW w:w="1163" w:type="dxa"/>
            <w:tcBorders>
              <w:top w:val="nil"/>
              <w:left w:val="single" w:sz="4" w:space="0" w:color="auto"/>
              <w:bottom w:val="nil"/>
              <w:right w:val="double" w:sz="4" w:space="0" w:color="auto"/>
            </w:tcBorders>
            <w:tcMar>
              <w:top w:w="0" w:type="dxa"/>
              <w:left w:w="58" w:type="dxa"/>
              <w:bottom w:w="0" w:type="dxa"/>
              <w:right w:w="58" w:type="dxa"/>
            </w:tcMar>
          </w:tcPr>
          <w:p w:rsidR="00610DDA" w:rsidRDefault="00610DDA">
            <w:pPr>
              <w:adjustRightInd w:val="0"/>
              <w:snapToGrid w:val="0"/>
              <w:jc w:val="center"/>
              <w:rPr>
                <w:rFonts w:cs="Times New Roman"/>
                <w:sz w:val="20"/>
                <w:szCs w:val="20"/>
              </w:rPr>
            </w:pPr>
          </w:p>
        </w:tc>
      </w:tr>
      <w:tr w:rsidR="00610DDA" w:rsidTr="00610DDA">
        <w:trPr>
          <w:trHeight w:val="346"/>
          <w:jc w:val="center"/>
        </w:trPr>
        <w:tc>
          <w:tcPr>
            <w:tcW w:w="3225" w:type="dxa"/>
            <w:tcBorders>
              <w:top w:val="nil"/>
              <w:left w:val="double" w:sz="4" w:space="0" w:color="auto"/>
              <w:bottom w:val="double" w:sz="4" w:space="0" w:color="auto"/>
              <w:right w:val="doub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 xml:space="preserve">  All travel is active travel</w:t>
            </w:r>
          </w:p>
        </w:tc>
        <w:tc>
          <w:tcPr>
            <w:tcW w:w="1376" w:type="dxa"/>
            <w:tcBorders>
              <w:top w:val="nil"/>
              <w:left w:val="single" w:sz="4" w:space="0" w:color="auto"/>
              <w:bottom w:val="double" w:sz="4" w:space="0" w:color="auto"/>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0.00 (fixed)</w:t>
            </w:r>
          </w:p>
        </w:tc>
        <w:tc>
          <w:tcPr>
            <w:tcW w:w="1350" w:type="dxa"/>
            <w:tcBorders>
              <w:top w:val="nil"/>
              <w:left w:val="single" w:sz="4" w:space="0" w:color="auto"/>
              <w:bottom w:val="double" w:sz="4" w:space="0" w:color="auto"/>
              <w:right w:val="doub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0.20 (2.91)</w:t>
            </w:r>
          </w:p>
        </w:tc>
        <w:tc>
          <w:tcPr>
            <w:tcW w:w="1150" w:type="dxa"/>
            <w:tcBorders>
              <w:top w:val="nil"/>
              <w:left w:val="single" w:sz="4" w:space="0" w:color="auto"/>
              <w:bottom w:val="double" w:sz="4" w:space="0" w:color="auto"/>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0.00 (fixed)</w:t>
            </w:r>
          </w:p>
        </w:tc>
        <w:tc>
          <w:tcPr>
            <w:tcW w:w="1150" w:type="dxa"/>
            <w:tcBorders>
              <w:top w:val="nil"/>
              <w:left w:val="single" w:sz="4" w:space="0" w:color="auto"/>
              <w:bottom w:val="double" w:sz="4" w:space="0" w:color="auto"/>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0.41 (2.41)</w:t>
            </w:r>
          </w:p>
        </w:tc>
        <w:tc>
          <w:tcPr>
            <w:tcW w:w="1150" w:type="dxa"/>
            <w:tcBorders>
              <w:top w:val="nil"/>
              <w:left w:val="single" w:sz="4" w:space="0" w:color="auto"/>
              <w:bottom w:val="double" w:sz="4" w:space="0" w:color="auto"/>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0.00 (fixed)</w:t>
            </w:r>
          </w:p>
        </w:tc>
        <w:tc>
          <w:tcPr>
            <w:tcW w:w="1150" w:type="dxa"/>
            <w:tcBorders>
              <w:top w:val="nil"/>
              <w:left w:val="single" w:sz="4" w:space="0" w:color="auto"/>
              <w:bottom w:val="double" w:sz="4" w:space="0" w:color="auto"/>
              <w:right w:val="doub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0.00 (fixed)</w:t>
            </w:r>
          </w:p>
        </w:tc>
        <w:tc>
          <w:tcPr>
            <w:tcW w:w="1162" w:type="dxa"/>
            <w:tcBorders>
              <w:top w:val="nil"/>
              <w:left w:val="single" w:sz="4" w:space="0" w:color="auto"/>
              <w:bottom w:val="double" w:sz="4" w:space="0" w:color="auto"/>
              <w:right w:val="sing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0.5 (fixed)</w:t>
            </w:r>
          </w:p>
        </w:tc>
        <w:tc>
          <w:tcPr>
            <w:tcW w:w="1163" w:type="dxa"/>
            <w:tcBorders>
              <w:top w:val="nil"/>
              <w:left w:val="single" w:sz="4" w:space="0" w:color="auto"/>
              <w:bottom w:val="double" w:sz="4" w:space="0" w:color="auto"/>
              <w:right w:val="double" w:sz="4" w:space="0" w:color="auto"/>
            </w:tcBorders>
            <w:tcMar>
              <w:top w:w="0" w:type="dxa"/>
              <w:left w:w="58" w:type="dxa"/>
              <w:bottom w:w="0" w:type="dxa"/>
              <w:right w:w="58" w:type="dxa"/>
            </w:tcMar>
            <w:hideMark/>
          </w:tcPr>
          <w:p w:rsidR="00610DDA" w:rsidRDefault="00610DDA">
            <w:pPr>
              <w:adjustRightInd w:val="0"/>
              <w:snapToGrid w:val="0"/>
              <w:jc w:val="center"/>
              <w:rPr>
                <w:rFonts w:cs="Times New Roman"/>
                <w:sz w:val="20"/>
                <w:szCs w:val="20"/>
              </w:rPr>
            </w:pPr>
            <w:r>
              <w:rPr>
                <w:rFonts w:cs="Times New Roman"/>
                <w:sz w:val="20"/>
                <w:szCs w:val="20"/>
              </w:rPr>
              <w:t>1.0 (fixed)</w:t>
            </w:r>
          </w:p>
        </w:tc>
      </w:tr>
    </w:tbl>
    <w:p w:rsidR="00610DDA" w:rsidRDefault="00610DDA" w:rsidP="00610DDA">
      <w:pPr>
        <w:adjustRightInd w:val="0"/>
        <w:snapToGrid w:val="0"/>
        <w:spacing w:before="120"/>
        <w:rPr>
          <w:rFonts w:cs="Times New Roman"/>
          <w:sz w:val="20"/>
          <w:szCs w:val="20"/>
        </w:rPr>
      </w:pPr>
      <w:r>
        <w:rPr>
          <w:rFonts w:cs="Times New Roman"/>
          <w:sz w:val="20"/>
          <w:szCs w:val="20"/>
        </w:rPr>
        <w:t>(</w:t>
      </w:r>
      <w:proofErr w:type="gramStart"/>
      <w:r>
        <w:rPr>
          <w:rFonts w:cs="Times New Roman"/>
          <w:sz w:val="20"/>
          <w:szCs w:val="20"/>
        </w:rPr>
        <w:t>fixed</w:t>
      </w:r>
      <w:proofErr w:type="gramEnd"/>
      <w:r>
        <w:rPr>
          <w:rFonts w:cs="Times New Roman"/>
          <w:sz w:val="20"/>
          <w:szCs w:val="20"/>
        </w:rPr>
        <w:t>): estimate is not statistically significantly different from the value it is fixed at.</w:t>
      </w:r>
    </w:p>
    <w:p w:rsidR="00610DDA" w:rsidRDefault="00610DDA" w:rsidP="00610DDA">
      <w:pPr>
        <w:rPr>
          <w:rFonts w:cs="Times New Roman"/>
          <w:sz w:val="20"/>
          <w:szCs w:val="20"/>
          <w:highlight w:val="yellow"/>
        </w:rPr>
        <w:sectPr w:rsidR="00610DDA">
          <w:footnotePr>
            <w:numStart w:val="7"/>
          </w:footnotePr>
          <w:pgSz w:w="15840" w:h="12240" w:orient="landscape"/>
          <w:pgMar w:top="1440" w:right="1440" w:bottom="1440" w:left="1440" w:header="720" w:footer="720" w:gutter="0"/>
          <w:cols w:space="720"/>
        </w:sectPr>
      </w:pPr>
    </w:p>
    <w:p w:rsidR="00610DDA" w:rsidRDefault="00610DDA" w:rsidP="00610DDA">
      <w:pPr>
        <w:adjustRightInd w:val="0"/>
        <w:snapToGrid w:val="0"/>
        <w:spacing w:after="120"/>
        <w:rPr>
          <w:rFonts w:cs="Times New Roman"/>
          <w:b/>
          <w:szCs w:val="24"/>
        </w:rPr>
      </w:pPr>
      <w:r>
        <w:rPr>
          <w:rFonts w:cs="Times New Roman"/>
          <w:b/>
          <w:szCs w:val="24"/>
        </w:rPr>
        <w:lastRenderedPageBreak/>
        <w:t>Table 5. Aggregate measures of fit</w:t>
      </w:r>
    </w:p>
    <w:tbl>
      <w:tblPr>
        <w:tblStyle w:val="TableGrid"/>
        <w:tblW w:w="9435" w:type="dxa"/>
        <w:tblLayout w:type="fixed"/>
        <w:tblLook w:val="04A0" w:firstRow="1" w:lastRow="0" w:firstColumn="1" w:lastColumn="0" w:noHBand="0" w:noVBand="1"/>
      </w:tblPr>
      <w:tblGrid>
        <w:gridCol w:w="1785"/>
        <w:gridCol w:w="2340"/>
        <w:gridCol w:w="1890"/>
        <w:gridCol w:w="1080"/>
        <w:gridCol w:w="1080"/>
        <w:gridCol w:w="1260"/>
      </w:tblGrid>
      <w:tr w:rsidR="00610DDA" w:rsidTr="00610DDA">
        <w:trPr>
          <w:trHeight w:val="1008"/>
        </w:trPr>
        <w:tc>
          <w:tcPr>
            <w:tcW w:w="1785" w:type="dxa"/>
            <w:tcBorders>
              <w:top w:val="double" w:sz="4" w:space="0" w:color="auto"/>
              <w:left w:val="double" w:sz="4" w:space="0" w:color="auto"/>
              <w:bottom w:val="single" w:sz="4" w:space="0" w:color="auto"/>
              <w:right w:val="single" w:sz="4" w:space="0" w:color="auto"/>
            </w:tcBorders>
            <w:shd w:val="clear" w:color="auto" w:fill="D0CECE" w:themeFill="background2" w:themeFillShade="E6"/>
            <w:tcMar>
              <w:top w:w="0" w:type="dxa"/>
              <w:left w:w="58" w:type="dxa"/>
              <w:bottom w:w="0" w:type="dxa"/>
              <w:right w:w="58" w:type="dxa"/>
            </w:tcMar>
            <w:vAlign w:val="center"/>
            <w:hideMark/>
          </w:tcPr>
          <w:p w:rsidR="00610DDA" w:rsidRDefault="00610DDA">
            <w:pPr>
              <w:adjustRightInd w:val="0"/>
              <w:snapToGrid w:val="0"/>
              <w:rPr>
                <w:rFonts w:cs="Times New Roman"/>
                <w:b/>
                <w:sz w:val="20"/>
                <w:szCs w:val="20"/>
              </w:rPr>
            </w:pPr>
            <w:r>
              <w:rPr>
                <w:rFonts w:cs="Times New Roman"/>
                <w:b/>
                <w:sz w:val="20"/>
                <w:szCs w:val="20"/>
              </w:rPr>
              <w:t xml:space="preserve">Living in a </w:t>
            </w:r>
            <w:r w:rsidR="00B87C48">
              <w:rPr>
                <w:rFonts w:cs="Times New Roman"/>
                <w:b/>
                <w:sz w:val="20"/>
                <w:szCs w:val="20"/>
              </w:rPr>
              <w:t>neighbourhood</w:t>
            </w:r>
            <w:r>
              <w:rPr>
                <w:rFonts w:cs="Times New Roman"/>
                <w:b/>
                <w:sz w:val="20"/>
                <w:szCs w:val="20"/>
              </w:rPr>
              <w:t xml:space="preserve"> of…</w:t>
            </w:r>
          </w:p>
        </w:tc>
        <w:tc>
          <w:tcPr>
            <w:tcW w:w="2340" w:type="dxa"/>
            <w:tcBorders>
              <w:top w:val="double" w:sz="4" w:space="0" w:color="auto"/>
              <w:left w:val="double" w:sz="4" w:space="0" w:color="auto"/>
              <w:bottom w:val="single" w:sz="4" w:space="0" w:color="auto"/>
              <w:right w:val="single" w:sz="4" w:space="0" w:color="auto"/>
            </w:tcBorders>
            <w:shd w:val="clear" w:color="auto" w:fill="D0CECE" w:themeFill="background2" w:themeFillShade="E6"/>
            <w:tcMar>
              <w:top w:w="0" w:type="dxa"/>
              <w:left w:w="58" w:type="dxa"/>
              <w:bottom w:w="0" w:type="dxa"/>
              <w:right w:w="58" w:type="dxa"/>
            </w:tcMar>
            <w:vAlign w:val="center"/>
            <w:hideMark/>
          </w:tcPr>
          <w:p w:rsidR="00610DDA" w:rsidRDefault="00610DDA">
            <w:pPr>
              <w:adjustRightInd w:val="0"/>
              <w:snapToGrid w:val="0"/>
              <w:rPr>
                <w:rFonts w:cs="Times New Roman"/>
                <w:b/>
                <w:sz w:val="20"/>
                <w:szCs w:val="20"/>
              </w:rPr>
            </w:pPr>
            <w:r>
              <w:rPr>
                <w:rFonts w:cs="Times New Roman"/>
                <w:b/>
                <w:sz w:val="20"/>
                <w:szCs w:val="20"/>
              </w:rPr>
              <w:t>…and participating in extra-curricular activity corresponding to…</w:t>
            </w:r>
          </w:p>
        </w:tc>
        <w:tc>
          <w:tcPr>
            <w:tcW w:w="1890" w:type="dxa"/>
            <w:tcBorders>
              <w:top w:val="double" w:sz="4" w:space="0" w:color="auto"/>
              <w:left w:val="single" w:sz="4" w:space="0" w:color="auto"/>
              <w:bottom w:val="single" w:sz="4" w:space="0" w:color="auto"/>
              <w:right w:val="single" w:sz="4" w:space="0" w:color="auto"/>
            </w:tcBorders>
            <w:shd w:val="clear" w:color="auto" w:fill="D0CECE" w:themeFill="background2" w:themeFillShade="E6"/>
            <w:tcMar>
              <w:top w:w="0" w:type="dxa"/>
              <w:left w:w="58" w:type="dxa"/>
              <w:bottom w:w="0" w:type="dxa"/>
              <w:right w:w="58" w:type="dxa"/>
            </w:tcMar>
            <w:vAlign w:val="center"/>
            <w:hideMark/>
          </w:tcPr>
          <w:p w:rsidR="00610DDA" w:rsidRDefault="00610DDA">
            <w:pPr>
              <w:adjustRightInd w:val="0"/>
              <w:snapToGrid w:val="0"/>
              <w:rPr>
                <w:rFonts w:cs="Times New Roman"/>
                <w:b/>
                <w:sz w:val="20"/>
                <w:szCs w:val="20"/>
              </w:rPr>
            </w:pPr>
            <w:r>
              <w:rPr>
                <w:rFonts w:cs="Times New Roman"/>
                <w:b/>
                <w:sz w:val="20"/>
                <w:szCs w:val="20"/>
              </w:rPr>
              <w:t>…and engaging in…</w:t>
            </w:r>
          </w:p>
        </w:tc>
        <w:tc>
          <w:tcPr>
            <w:tcW w:w="1080" w:type="dxa"/>
            <w:tcBorders>
              <w:top w:val="double" w:sz="4" w:space="0" w:color="auto"/>
              <w:left w:val="double" w:sz="4" w:space="0" w:color="auto"/>
              <w:bottom w:val="double" w:sz="4" w:space="0" w:color="auto"/>
              <w:right w:val="single" w:sz="4" w:space="0" w:color="auto"/>
            </w:tcBorders>
            <w:shd w:val="clear" w:color="auto" w:fill="D0CECE" w:themeFill="background2" w:themeFillShade="E6"/>
            <w:tcMar>
              <w:top w:w="0" w:type="dxa"/>
              <w:left w:w="58" w:type="dxa"/>
              <w:bottom w:w="0" w:type="dxa"/>
              <w:right w:w="58" w:type="dxa"/>
            </w:tcMar>
            <w:vAlign w:val="center"/>
            <w:hideMark/>
          </w:tcPr>
          <w:p w:rsidR="00610DDA" w:rsidRDefault="00610DDA">
            <w:pPr>
              <w:adjustRightInd w:val="0"/>
              <w:snapToGrid w:val="0"/>
              <w:jc w:val="center"/>
              <w:rPr>
                <w:rFonts w:cs="Times New Roman"/>
                <w:b/>
                <w:sz w:val="20"/>
                <w:szCs w:val="20"/>
              </w:rPr>
            </w:pPr>
            <w:r>
              <w:rPr>
                <w:rFonts w:cs="Times New Roman"/>
                <w:b/>
                <w:sz w:val="20"/>
                <w:szCs w:val="20"/>
              </w:rPr>
              <w:t>Actual percentage</w:t>
            </w:r>
          </w:p>
        </w:tc>
        <w:tc>
          <w:tcPr>
            <w:tcW w:w="1080" w:type="dxa"/>
            <w:tcBorders>
              <w:top w:val="double" w:sz="4" w:space="0" w:color="auto"/>
              <w:left w:val="single" w:sz="4" w:space="0" w:color="auto"/>
              <w:bottom w:val="double" w:sz="4" w:space="0" w:color="auto"/>
              <w:right w:val="single" w:sz="4" w:space="0" w:color="auto"/>
            </w:tcBorders>
            <w:shd w:val="clear" w:color="auto" w:fill="D0CECE" w:themeFill="background2" w:themeFillShade="E6"/>
            <w:tcMar>
              <w:top w:w="0" w:type="dxa"/>
              <w:left w:w="58" w:type="dxa"/>
              <w:bottom w:w="0" w:type="dxa"/>
              <w:right w:w="58" w:type="dxa"/>
            </w:tcMar>
            <w:vAlign w:val="center"/>
            <w:hideMark/>
          </w:tcPr>
          <w:p w:rsidR="00610DDA" w:rsidRDefault="00610DDA">
            <w:pPr>
              <w:adjustRightInd w:val="0"/>
              <w:snapToGrid w:val="0"/>
              <w:jc w:val="center"/>
              <w:rPr>
                <w:rFonts w:cs="Times New Roman"/>
                <w:b/>
                <w:sz w:val="20"/>
                <w:szCs w:val="20"/>
              </w:rPr>
            </w:pPr>
            <w:r>
              <w:rPr>
                <w:rFonts w:cs="Times New Roman"/>
                <w:b/>
                <w:sz w:val="20"/>
                <w:szCs w:val="20"/>
              </w:rPr>
              <w:t>Joint model prediction</w:t>
            </w:r>
          </w:p>
        </w:tc>
        <w:tc>
          <w:tcPr>
            <w:tcW w:w="1260" w:type="dxa"/>
            <w:tcBorders>
              <w:top w:val="double" w:sz="4" w:space="0" w:color="auto"/>
              <w:left w:val="single" w:sz="4" w:space="0" w:color="auto"/>
              <w:bottom w:val="double" w:sz="4" w:space="0" w:color="auto"/>
              <w:right w:val="double" w:sz="4" w:space="0" w:color="auto"/>
            </w:tcBorders>
            <w:shd w:val="clear" w:color="auto" w:fill="D0CECE" w:themeFill="background2" w:themeFillShade="E6"/>
            <w:tcMar>
              <w:top w:w="0" w:type="dxa"/>
              <w:left w:w="58" w:type="dxa"/>
              <w:bottom w:w="0" w:type="dxa"/>
              <w:right w:w="58" w:type="dxa"/>
            </w:tcMar>
            <w:vAlign w:val="center"/>
            <w:hideMark/>
          </w:tcPr>
          <w:p w:rsidR="00610DDA" w:rsidRDefault="00610DDA">
            <w:pPr>
              <w:adjustRightInd w:val="0"/>
              <w:snapToGrid w:val="0"/>
              <w:jc w:val="center"/>
              <w:rPr>
                <w:rFonts w:cs="Times New Roman"/>
                <w:b/>
                <w:sz w:val="20"/>
                <w:szCs w:val="20"/>
              </w:rPr>
            </w:pPr>
            <w:r>
              <w:rPr>
                <w:rFonts w:cs="Times New Roman"/>
                <w:b/>
                <w:sz w:val="20"/>
                <w:szCs w:val="20"/>
              </w:rPr>
              <w:t>Independent model prediction</w:t>
            </w:r>
          </w:p>
        </w:tc>
      </w:tr>
      <w:tr w:rsidR="00610DDA" w:rsidTr="00610DDA">
        <w:trPr>
          <w:trHeight w:val="317"/>
        </w:trPr>
        <w:tc>
          <w:tcPr>
            <w:tcW w:w="1785" w:type="dxa"/>
            <w:tcBorders>
              <w:top w:val="double" w:sz="4" w:space="0" w:color="auto"/>
              <w:left w:val="doub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Low density</w:t>
            </w:r>
          </w:p>
        </w:tc>
        <w:tc>
          <w:tcPr>
            <w:tcW w:w="2340" w:type="dxa"/>
            <w:tcBorders>
              <w:top w:val="double" w:sz="4" w:space="0" w:color="auto"/>
              <w:left w:val="doub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Sports only</w:t>
            </w:r>
          </w:p>
        </w:tc>
        <w:tc>
          <w:tcPr>
            <w:tcW w:w="1890" w:type="dxa"/>
            <w:tcBorders>
              <w:top w:val="double" w:sz="4" w:space="0" w:color="auto"/>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Active travel</w:t>
            </w:r>
          </w:p>
        </w:tc>
        <w:tc>
          <w:tcPr>
            <w:tcW w:w="1080" w:type="dxa"/>
            <w:tcBorders>
              <w:top w:val="double" w:sz="4" w:space="0" w:color="auto"/>
              <w:left w:val="double" w:sz="4" w:space="0" w:color="auto"/>
              <w:bottom w:val="nil"/>
              <w:right w:val="sing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5.62</w:t>
            </w:r>
          </w:p>
        </w:tc>
        <w:tc>
          <w:tcPr>
            <w:tcW w:w="1080" w:type="dxa"/>
            <w:tcBorders>
              <w:top w:val="double" w:sz="4" w:space="0" w:color="auto"/>
              <w:left w:val="single" w:sz="4" w:space="0" w:color="auto"/>
              <w:bottom w:val="nil"/>
              <w:right w:val="sing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4.65</w:t>
            </w:r>
          </w:p>
        </w:tc>
        <w:tc>
          <w:tcPr>
            <w:tcW w:w="1260" w:type="dxa"/>
            <w:tcBorders>
              <w:top w:val="double" w:sz="4" w:space="0" w:color="auto"/>
              <w:left w:val="single" w:sz="4" w:space="0" w:color="auto"/>
              <w:bottom w:val="nil"/>
              <w:right w:val="doub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4.12</w:t>
            </w:r>
          </w:p>
        </w:tc>
      </w:tr>
      <w:tr w:rsidR="00610DDA" w:rsidTr="00610DDA">
        <w:trPr>
          <w:trHeight w:val="317"/>
        </w:trPr>
        <w:tc>
          <w:tcPr>
            <w:tcW w:w="1785" w:type="dxa"/>
            <w:tcBorders>
              <w:top w:val="nil"/>
              <w:left w:val="doub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Low density</w:t>
            </w:r>
          </w:p>
        </w:tc>
        <w:tc>
          <w:tcPr>
            <w:tcW w:w="2340" w:type="dxa"/>
            <w:tcBorders>
              <w:top w:val="nil"/>
              <w:left w:val="doub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Academic and Sports</w:t>
            </w:r>
          </w:p>
        </w:tc>
        <w:tc>
          <w:tcPr>
            <w:tcW w:w="1890"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Active travel</w:t>
            </w:r>
          </w:p>
        </w:tc>
        <w:tc>
          <w:tcPr>
            <w:tcW w:w="1080" w:type="dxa"/>
            <w:tcBorders>
              <w:top w:val="nil"/>
              <w:left w:val="double" w:sz="4" w:space="0" w:color="auto"/>
              <w:bottom w:val="nil"/>
              <w:right w:val="sing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4.35</w:t>
            </w:r>
          </w:p>
        </w:tc>
        <w:tc>
          <w:tcPr>
            <w:tcW w:w="1080" w:type="dxa"/>
            <w:tcBorders>
              <w:top w:val="nil"/>
              <w:left w:val="single" w:sz="4" w:space="0" w:color="auto"/>
              <w:bottom w:val="nil"/>
              <w:right w:val="sing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3.53</w:t>
            </w:r>
          </w:p>
        </w:tc>
        <w:tc>
          <w:tcPr>
            <w:tcW w:w="1260" w:type="dxa"/>
            <w:tcBorders>
              <w:top w:val="nil"/>
              <w:left w:val="single" w:sz="4" w:space="0" w:color="auto"/>
              <w:bottom w:val="nil"/>
              <w:right w:val="doub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3.09</w:t>
            </w:r>
          </w:p>
        </w:tc>
      </w:tr>
      <w:tr w:rsidR="00610DDA" w:rsidTr="00610DDA">
        <w:trPr>
          <w:trHeight w:val="317"/>
        </w:trPr>
        <w:tc>
          <w:tcPr>
            <w:tcW w:w="1785" w:type="dxa"/>
            <w:tcBorders>
              <w:top w:val="nil"/>
              <w:left w:val="doub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Low density</w:t>
            </w:r>
          </w:p>
        </w:tc>
        <w:tc>
          <w:tcPr>
            <w:tcW w:w="2340" w:type="dxa"/>
            <w:tcBorders>
              <w:top w:val="nil"/>
              <w:left w:val="doub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Academic, Sports and Arts</w:t>
            </w:r>
          </w:p>
        </w:tc>
        <w:tc>
          <w:tcPr>
            <w:tcW w:w="1890"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Active travel</w:t>
            </w:r>
          </w:p>
        </w:tc>
        <w:tc>
          <w:tcPr>
            <w:tcW w:w="1080" w:type="dxa"/>
            <w:tcBorders>
              <w:top w:val="nil"/>
              <w:left w:val="double" w:sz="4" w:space="0" w:color="auto"/>
              <w:bottom w:val="nil"/>
              <w:right w:val="sing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3.80</w:t>
            </w:r>
          </w:p>
        </w:tc>
        <w:tc>
          <w:tcPr>
            <w:tcW w:w="1080" w:type="dxa"/>
            <w:tcBorders>
              <w:top w:val="nil"/>
              <w:left w:val="single" w:sz="4" w:space="0" w:color="auto"/>
              <w:bottom w:val="nil"/>
              <w:right w:val="sing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3.34</w:t>
            </w:r>
          </w:p>
        </w:tc>
        <w:tc>
          <w:tcPr>
            <w:tcW w:w="1260" w:type="dxa"/>
            <w:tcBorders>
              <w:top w:val="nil"/>
              <w:left w:val="single" w:sz="4" w:space="0" w:color="auto"/>
              <w:bottom w:val="nil"/>
              <w:right w:val="doub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2.82</w:t>
            </w:r>
          </w:p>
        </w:tc>
      </w:tr>
      <w:tr w:rsidR="00610DDA" w:rsidTr="00610DDA">
        <w:trPr>
          <w:trHeight w:val="317"/>
        </w:trPr>
        <w:tc>
          <w:tcPr>
            <w:tcW w:w="1785" w:type="dxa"/>
            <w:tcBorders>
              <w:top w:val="nil"/>
              <w:left w:val="doub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High density</w:t>
            </w:r>
          </w:p>
        </w:tc>
        <w:tc>
          <w:tcPr>
            <w:tcW w:w="2340" w:type="dxa"/>
            <w:tcBorders>
              <w:top w:val="nil"/>
              <w:left w:val="doub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Academic only</w:t>
            </w:r>
          </w:p>
        </w:tc>
        <w:tc>
          <w:tcPr>
            <w:tcW w:w="1890"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No active travel</w:t>
            </w:r>
          </w:p>
        </w:tc>
        <w:tc>
          <w:tcPr>
            <w:tcW w:w="1080" w:type="dxa"/>
            <w:tcBorders>
              <w:top w:val="nil"/>
              <w:left w:val="double" w:sz="4" w:space="0" w:color="auto"/>
              <w:bottom w:val="nil"/>
              <w:right w:val="sing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3.62</w:t>
            </w:r>
          </w:p>
        </w:tc>
        <w:tc>
          <w:tcPr>
            <w:tcW w:w="1080" w:type="dxa"/>
            <w:tcBorders>
              <w:top w:val="nil"/>
              <w:left w:val="single" w:sz="4" w:space="0" w:color="auto"/>
              <w:bottom w:val="nil"/>
              <w:right w:val="sing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3.13</w:t>
            </w:r>
          </w:p>
        </w:tc>
        <w:tc>
          <w:tcPr>
            <w:tcW w:w="1260" w:type="dxa"/>
            <w:tcBorders>
              <w:top w:val="nil"/>
              <w:left w:val="single" w:sz="4" w:space="0" w:color="auto"/>
              <w:bottom w:val="nil"/>
              <w:right w:val="doub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2.70</w:t>
            </w:r>
          </w:p>
        </w:tc>
      </w:tr>
      <w:tr w:rsidR="00610DDA" w:rsidTr="00610DDA">
        <w:trPr>
          <w:trHeight w:val="317"/>
        </w:trPr>
        <w:tc>
          <w:tcPr>
            <w:tcW w:w="1785" w:type="dxa"/>
            <w:tcBorders>
              <w:top w:val="nil"/>
              <w:left w:val="doub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Low density</w:t>
            </w:r>
          </w:p>
        </w:tc>
        <w:tc>
          <w:tcPr>
            <w:tcW w:w="2340" w:type="dxa"/>
            <w:tcBorders>
              <w:top w:val="nil"/>
              <w:left w:val="doub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Academic and  Arts</w:t>
            </w:r>
          </w:p>
        </w:tc>
        <w:tc>
          <w:tcPr>
            <w:tcW w:w="1890"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Active travel</w:t>
            </w:r>
          </w:p>
        </w:tc>
        <w:tc>
          <w:tcPr>
            <w:tcW w:w="1080" w:type="dxa"/>
            <w:tcBorders>
              <w:top w:val="nil"/>
              <w:left w:val="double" w:sz="4" w:space="0" w:color="auto"/>
              <w:bottom w:val="nil"/>
              <w:right w:val="sing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3.44</w:t>
            </w:r>
          </w:p>
        </w:tc>
        <w:tc>
          <w:tcPr>
            <w:tcW w:w="1080" w:type="dxa"/>
            <w:tcBorders>
              <w:top w:val="nil"/>
              <w:left w:val="single" w:sz="4" w:space="0" w:color="auto"/>
              <w:bottom w:val="nil"/>
              <w:right w:val="sing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2.80</w:t>
            </w:r>
          </w:p>
        </w:tc>
        <w:tc>
          <w:tcPr>
            <w:tcW w:w="1260" w:type="dxa"/>
            <w:tcBorders>
              <w:top w:val="nil"/>
              <w:left w:val="single" w:sz="4" w:space="0" w:color="auto"/>
              <w:bottom w:val="nil"/>
              <w:right w:val="doub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2.38</w:t>
            </w:r>
          </w:p>
        </w:tc>
      </w:tr>
      <w:tr w:rsidR="00610DDA" w:rsidTr="00610DDA">
        <w:trPr>
          <w:trHeight w:val="317"/>
        </w:trPr>
        <w:tc>
          <w:tcPr>
            <w:tcW w:w="1785" w:type="dxa"/>
            <w:tcBorders>
              <w:top w:val="nil"/>
              <w:left w:val="doub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Low density</w:t>
            </w:r>
          </w:p>
        </w:tc>
        <w:tc>
          <w:tcPr>
            <w:tcW w:w="2340" w:type="dxa"/>
            <w:tcBorders>
              <w:top w:val="nil"/>
              <w:left w:val="doub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Sports and  Arts</w:t>
            </w:r>
          </w:p>
        </w:tc>
        <w:tc>
          <w:tcPr>
            <w:tcW w:w="1890"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Active travel</w:t>
            </w:r>
          </w:p>
        </w:tc>
        <w:tc>
          <w:tcPr>
            <w:tcW w:w="1080" w:type="dxa"/>
            <w:tcBorders>
              <w:top w:val="nil"/>
              <w:left w:val="double" w:sz="4" w:space="0" w:color="auto"/>
              <w:bottom w:val="nil"/>
              <w:right w:val="sing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3.26</w:t>
            </w:r>
          </w:p>
        </w:tc>
        <w:tc>
          <w:tcPr>
            <w:tcW w:w="1080" w:type="dxa"/>
            <w:tcBorders>
              <w:top w:val="nil"/>
              <w:left w:val="single" w:sz="4" w:space="0" w:color="auto"/>
              <w:bottom w:val="nil"/>
              <w:right w:val="sing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2.57</w:t>
            </w:r>
          </w:p>
        </w:tc>
        <w:tc>
          <w:tcPr>
            <w:tcW w:w="1260" w:type="dxa"/>
            <w:tcBorders>
              <w:top w:val="nil"/>
              <w:left w:val="single" w:sz="4" w:space="0" w:color="auto"/>
              <w:bottom w:val="nil"/>
              <w:right w:val="doub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2.10</w:t>
            </w:r>
          </w:p>
        </w:tc>
      </w:tr>
      <w:tr w:rsidR="00610DDA" w:rsidTr="00610DDA">
        <w:trPr>
          <w:trHeight w:val="317"/>
        </w:trPr>
        <w:tc>
          <w:tcPr>
            <w:tcW w:w="1785" w:type="dxa"/>
            <w:tcBorders>
              <w:top w:val="nil"/>
              <w:left w:val="doub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High density</w:t>
            </w:r>
          </w:p>
        </w:tc>
        <w:tc>
          <w:tcPr>
            <w:tcW w:w="2340" w:type="dxa"/>
            <w:tcBorders>
              <w:top w:val="nil"/>
              <w:left w:val="doub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Sports only</w:t>
            </w:r>
          </w:p>
        </w:tc>
        <w:tc>
          <w:tcPr>
            <w:tcW w:w="1890"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No active travel</w:t>
            </w:r>
          </w:p>
        </w:tc>
        <w:tc>
          <w:tcPr>
            <w:tcW w:w="1080" w:type="dxa"/>
            <w:tcBorders>
              <w:top w:val="nil"/>
              <w:left w:val="double" w:sz="4" w:space="0" w:color="auto"/>
              <w:bottom w:val="nil"/>
              <w:right w:val="sing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3.08</w:t>
            </w:r>
          </w:p>
        </w:tc>
        <w:tc>
          <w:tcPr>
            <w:tcW w:w="1080" w:type="dxa"/>
            <w:tcBorders>
              <w:top w:val="nil"/>
              <w:left w:val="single" w:sz="4" w:space="0" w:color="auto"/>
              <w:bottom w:val="nil"/>
              <w:right w:val="sing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2.33</w:t>
            </w:r>
          </w:p>
        </w:tc>
        <w:tc>
          <w:tcPr>
            <w:tcW w:w="1260" w:type="dxa"/>
            <w:tcBorders>
              <w:top w:val="nil"/>
              <w:left w:val="single" w:sz="4" w:space="0" w:color="auto"/>
              <w:bottom w:val="nil"/>
              <w:right w:val="doub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1.97</w:t>
            </w:r>
          </w:p>
        </w:tc>
      </w:tr>
      <w:tr w:rsidR="00610DDA" w:rsidTr="00610DDA">
        <w:trPr>
          <w:trHeight w:val="317"/>
        </w:trPr>
        <w:tc>
          <w:tcPr>
            <w:tcW w:w="1785" w:type="dxa"/>
            <w:tcBorders>
              <w:top w:val="nil"/>
              <w:left w:val="doub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Low density</w:t>
            </w:r>
          </w:p>
        </w:tc>
        <w:tc>
          <w:tcPr>
            <w:tcW w:w="2340" w:type="dxa"/>
            <w:tcBorders>
              <w:top w:val="nil"/>
              <w:left w:val="doub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Arts only</w:t>
            </w:r>
          </w:p>
        </w:tc>
        <w:tc>
          <w:tcPr>
            <w:tcW w:w="1890"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Active travel</w:t>
            </w:r>
          </w:p>
        </w:tc>
        <w:tc>
          <w:tcPr>
            <w:tcW w:w="1080" w:type="dxa"/>
            <w:tcBorders>
              <w:top w:val="nil"/>
              <w:left w:val="double" w:sz="4" w:space="0" w:color="auto"/>
              <w:bottom w:val="nil"/>
              <w:right w:val="sing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3.08</w:t>
            </w:r>
          </w:p>
        </w:tc>
        <w:tc>
          <w:tcPr>
            <w:tcW w:w="1080" w:type="dxa"/>
            <w:tcBorders>
              <w:top w:val="nil"/>
              <w:left w:val="single" w:sz="4" w:space="0" w:color="auto"/>
              <w:bottom w:val="nil"/>
              <w:right w:val="sing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2.67</w:t>
            </w:r>
          </w:p>
        </w:tc>
        <w:tc>
          <w:tcPr>
            <w:tcW w:w="1260" w:type="dxa"/>
            <w:tcBorders>
              <w:top w:val="nil"/>
              <w:left w:val="single" w:sz="4" w:space="0" w:color="auto"/>
              <w:bottom w:val="nil"/>
              <w:right w:val="doub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2.49</w:t>
            </w:r>
          </w:p>
        </w:tc>
      </w:tr>
      <w:tr w:rsidR="00610DDA" w:rsidTr="00610DDA">
        <w:trPr>
          <w:trHeight w:val="317"/>
        </w:trPr>
        <w:tc>
          <w:tcPr>
            <w:tcW w:w="1785" w:type="dxa"/>
            <w:tcBorders>
              <w:top w:val="nil"/>
              <w:left w:val="doub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Low density</w:t>
            </w:r>
          </w:p>
        </w:tc>
        <w:tc>
          <w:tcPr>
            <w:tcW w:w="2340" w:type="dxa"/>
            <w:tcBorders>
              <w:top w:val="nil"/>
              <w:left w:val="doub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Academic only</w:t>
            </w:r>
          </w:p>
        </w:tc>
        <w:tc>
          <w:tcPr>
            <w:tcW w:w="1890"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No active travel</w:t>
            </w:r>
          </w:p>
        </w:tc>
        <w:tc>
          <w:tcPr>
            <w:tcW w:w="1080" w:type="dxa"/>
            <w:tcBorders>
              <w:top w:val="nil"/>
              <w:left w:val="double" w:sz="4" w:space="0" w:color="auto"/>
              <w:bottom w:val="nil"/>
              <w:right w:val="sing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2.90</w:t>
            </w:r>
          </w:p>
        </w:tc>
        <w:tc>
          <w:tcPr>
            <w:tcW w:w="1080" w:type="dxa"/>
            <w:tcBorders>
              <w:top w:val="nil"/>
              <w:left w:val="single" w:sz="4" w:space="0" w:color="auto"/>
              <w:bottom w:val="nil"/>
              <w:right w:val="sing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2.44</w:t>
            </w:r>
          </w:p>
        </w:tc>
        <w:tc>
          <w:tcPr>
            <w:tcW w:w="1260" w:type="dxa"/>
            <w:tcBorders>
              <w:top w:val="nil"/>
              <w:left w:val="single" w:sz="4" w:space="0" w:color="auto"/>
              <w:bottom w:val="nil"/>
              <w:right w:val="doub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2.20</w:t>
            </w:r>
          </w:p>
        </w:tc>
      </w:tr>
      <w:tr w:rsidR="00610DDA" w:rsidTr="00610DDA">
        <w:trPr>
          <w:trHeight w:val="317"/>
        </w:trPr>
        <w:tc>
          <w:tcPr>
            <w:tcW w:w="1785" w:type="dxa"/>
            <w:tcBorders>
              <w:top w:val="nil"/>
              <w:left w:val="doub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Medium density</w:t>
            </w:r>
          </w:p>
        </w:tc>
        <w:tc>
          <w:tcPr>
            <w:tcW w:w="2340" w:type="dxa"/>
            <w:tcBorders>
              <w:top w:val="nil"/>
              <w:left w:val="doub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Academic and Sports</w:t>
            </w:r>
          </w:p>
        </w:tc>
        <w:tc>
          <w:tcPr>
            <w:tcW w:w="1890"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Active travel</w:t>
            </w:r>
          </w:p>
        </w:tc>
        <w:tc>
          <w:tcPr>
            <w:tcW w:w="1080" w:type="dxa"/>
            <w:tcBorders>
              <w:top w:val="nil"/>
              <w:left w:val="double" w:sz="4" w:space="0" w:color="auto"/>
              <w:bottom w:val="nil"/>
              <w:right w:val="sing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2.54</w:t>
            </w:r>
          </w:p>
        </w:tc>
        <w:tc>
          <w:tcPr>
            <w:tcW w:w="1080" w:type="dxa"/>
            <w:tcBorders>
              <w:top w:val="nil"/>
              <w:left w:val="single" w:sz="4" w:space="0" w:color="auto"/>
              <w:bottom w:val="nil"/>
              <w:right w:val="sing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1.82</w:t>
            </w:r>
          </w:p>
        </w:tc>
        <w:tc>
          <w:tcPr>
            <w:tcW w:w="1260" w:type="dxa"/>
            <w:tcBorders>
              <w:top w:val="nil"/>
              <w:left w:val="single" w:sz="4" w:space="0" w:color="auto"/>
              <w:bottom w:val="nil"/>
              <w:right w:val="doub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1.56</w:t>
            </w:r>
          </w:p>
        </w:tc>
      </w:tr>
      <w:tr w:rsidR="00610DDA" w:rsidTr="00610DDA">
        <w:trPr>
          <w:trHeight w:val="317"/>
        </w:trPr>
        <w:tc>
          <w:tcPr>
            <w:tcW w:w="6015" w:type="dxa"/>
            <w:gridSpan w:val="3"/>
            <w:tcBorders>
              <w:top w:val="single" w:sz="4" w:space="0" w:color="auto"/>
              <w:left w:val="double" w:sz="4" w:space="0" w:color="auto"/>
              <w:bottom w:val="double" w:sz="4" w:space="0" w:color="auto"/>
              <w:right w:val="doub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Weighted mean absolute percentage error</w:t>
            </w:r>
          </w:p>
        </w:tc>
        <w:tc>
          <w:tcPr>
            <w:tcW w:w="108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proofErr w:type="spellStart"/>
            <w:r>
              <w:rPr>
                <w:rFonts w:cs="Times New Roman"/>
                <w:sz w:val="20"/>
                <w:szCs w:val="20"/>
              </w:rPr>
              <w:t>na</w:t>
            </w:r>
            <w:proofErr w:type="spellEnd"/>
          </w:p>
        </w:tc>
        <w:tc>
          <w:tcPr>
            <w:tcW w:w="1080" w:type="dxa"/>
            <w:tcBorders>
              <w:top w:val="single" w:sz="4" w:space="0" w:color="auto"/>
              <w:left w:val="single" w:sz="4" w:space="0" w:color="auto"/>
              <w:bottom w:val="single" w:sz="4" w:space="0" w:color="auto"/>
              <w:right w:val="sing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18.06</w:t>
            </w:r>
          </w:p>
        </w:tc>
        <w:tc>
          <w:tcPr>
            <w:tcW w:w="1260" w:type="dxa"/>
            <w:tcBorders>
              <w:top w:val="single" w:sz="4" w:space="0" w:color="auto"/>
              <w:left w:val="single" w:sz="4" w:space="0" w:color="auto"/>
              <w:bottom w:val="single" w:sz="4" w:space="0" w:color="auto"/>
              <w:right w:val="doub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29.12</w:t>
            </w:r>
          </w:p>
        </w:tc>
      </w:tr>
      <w:tr w:rsidR="00610DDA" w:rsidTr="00610DDA">
        <w:trPr>
          <w:trHeight w:val="1008"/>
        </w:trPr>
        <w:tc>
          <w:tcPr>
            <w:tcW w:w="1785" w:type="dxa"/>
            <w:tcBorders>
              <w:top w:val="double" w:sz="4" w:space="0" w:color="auto"/>
              <w:left w:val="double" w:sz="4" w:space="0" w:color="auto"/>
              <w:bottom w:val="double" w:sz="4" w:space="0" w:color="auto"/>
              <w:right w:val="single" w:sz="4" w:space="0" w:color="auto"/>
            </w:tcBorders>
            <w:shd w:val="clear" w:color="auto" w:fill="D0CECE" w:themeFill="background2" w:themeFillShade="E6"/>
            <w:tcMar>
              <w:top w:w="0" w:type="dxa"/>
              <w:left w:w="58" w:type="dxa"/>
              <w:bottom w:w="0" w:type="dxa"/>
              <w:right w:w="58" w:type="dxa"/>
            </w:tcMar>
            <w:vAlign w:val="center"/>
            <w:hideMark/>
          </w:tcPr>
          <w:p w:rsidR="00610DDA" w:rsidRDefault="00610DDA">
            <w:pPr>
              <w:adjustRightInd w:val="0"/>
              <w:snapToGrid w:val="0"/>
              <w:rPr>
                <w:rFonts w:cs="Times New Roman"/>
                <w:b/>
                <w:sz w:val="20"/>
                <w:szCs w:val="20"/>
              </w:rPr>
            </w:pPr>
            <w:r>
              <w:rPr>
                <w:rFonts w:cs="Times New Roman"/>
                <w:b/>
                <w:sz w:val="20"/>
                <w:szCs w:val="20"/>
              </w:rPr>
              <w:t xml:space="preserve">Living in a </w:t>
            </w:r>
            <w:r w:rsidR="00B87C48">
              <w:rPr>
                <w:rFonts w:cs="Times New Roman"/>
                <w:b/>
                <w:sz w:val="20"/>
                <w:szCs w:val="20"/>
              </w:rPr>
              <w:t>neighbourhood</w:t>
            </w:r>
            <w:r>
              <w:rPr>
                <w:rFonts w:cs="Times New Roman"/>
                <w:b/>
                <w:sz w:val="20"/>
                <w:szCs w:val="20"/>
              </w:rPr>
              <w:t xml:space="preserve"> of…</w:t>
            </w:r>
          </w:p>
        </w:tc>
        <w:tc>
          <w:tcPr>
            <w:tcW w:w="2340" w:type="dxa"/>
            <w:tcBorders>
              <w:top w:val="double" w:sz="4" w:space="0" w:color="auto"/>
              <w:left w:val="double" w:sz="4" w:space="0" w:color="auto"/>
              <w:bottom w:val="double" w:sz="4" w:space="0" w:color="auto"/>
              <w:right w:val="single" w:sz="4" w:space="0" w:color="auto"/>
            </w:tcBorders>
            <w:shd w:val="clear" w:color="auto" w:fill="D0CECE" w:themeFill="background2" w:themeFillShade="E6"/>
            <w:tcMar>
              <w:top w:w="0" w:type="dxa"/>
              <w:left w:w="58" w:type="dxa"/>
              <w:bottom w:w="0" w:type="dxa"/>
              <w:right w:w="58" w:type="dxa"/>
            </w:tcMar>
            <w:vAlign w:val="center"/>
            <w:hideMark/>
          </w:tcPr>
          <w:p w:rsidR="00610DDA" w:rsidRDefault="00610DDA">
            <w:pPr>
              <w:adjustRightInd w:val="0"/>
              <w:snapToGrid w:val="0"/>
              <w:rPr>
                <w:rFonts w:cs="Times New Roman"/>
                <w:b/>
                <w:sz w:val="20"/>
                <w:szCs w:val="20"/>
              </w:rPr>
            </w:pPr>
            <w:r>
              <w:rPr>
                <w:rFonts w:cs="Times New Roman"/>
                <w:b/>
                <w:sz w:val="20"/>
                <w:szCs w:val="20"/>
              </w:rPr>
              <w:t>…and time-budget spent in activity type corresponding to…</w:t>
            </w:r>
          </w:p>
        </w:tc>
        <w:tc>
          <w:tcPr>
            <w:tcW w:w="1890" w:type="dxa"/>
            <w:tcBorders>
              <w:top w:val="double" w:sz="4" w:space="0" w:color="auto"/>
              <w:left w:val="single" w:sz="4" w:space="0" w:color="auto"/>
              <w:bottom w:val="double" w:sz="4" w:space="0" w:color="auto"/>
              <w:right w:val="single" w:sz="4" w:space="0" w:color="auto"/>
            </w:tcBorders>
            <w:shd w:val="clear" w:color="auto" w:fill="D0CECE" w:themeFill="background2" w:themeFillShade="E6"/>
            <w:tcMar>
              <w:top w:w="0" w:type="dxa"/>
              <w:left w:w="58" w:type="dxa"/>
              <w:bottom w:w="0" w:type="dxa"/>
              <w:right w:w="58" w:type="dxa"/>
            </w:tcMar>
            <w:vAlign w:val="center"/>
            <w:hideMark/>
          </w:tcPr>
          <w:p w:rsidR="00610DDA" w:rsidRDefault="00610DDA">
            <w:pPr>
              <w:adjustRightInd w:val="0"/>
              <w:snapToGrid w:val="0"/>
              <w:rPr>
                <w:rFonts w:cs="Times New Roman"/>
                <w:b/>
                <w:sz w:val="20"/>
                <w:szCs w:val="20"/>
              </w:rPr>
            </w:pPr>
            <w:r>
              <w:rPr>
                <w:rFonts w:cs="Times New Roman"/>
                <w:b/>
                <w:sz w:val="20"/>
                <w:szCs w:val="20"/>
              </w:rPr>
              <w:t>…and engaging in…</w:t>
            </w:r>
          </w:p>
        </w:tc>
        <w:tc>
          <w:tcPr>
            <w:tcW w:w="1080" w:type="dxa"/>
            <w:tcBorders>
              <w:top w:val="double" w:sz="4" w:space="0" w:color="auto"/>
              <w:left w:val="double" w:sz="4" w:space="0" w:color="auto"/>
              <w:bottom w:val="double" w:sz="4" w:space="0" w:color="auto"/>
              <w:right w:val="single" w:sz="4" w:space="0" w:color="auto"/>
            </w:tcBorders>
            <w:shd w:val="clear" w:color="auto" w:fill="D0CECE" w:themeFill="background2" w:themeFillShade="E6"/>
            <w:tcMar>
              <w:top w:w="0" w:type="dxa"/>
              <w:left w:w="58" w:type="dxa"/>
              <w:bottom w:w="0" w:type="dxa"/>
              <w:right w:w="58" w:type="dxa"/>
            </w:tcMar>
            <w:vAlign w:val="center"/>
            <w:hideMark/>
          </w:tcPr>
          <w:p w:rsidR="00610DDA" w:rsidRDefault="00610DDA">
            <w:pPr>
              <w:adjustRightInd w:val="0"/>
              <w:snapToGrid w:val="0"/>
              <w:jc w:val="center"/>
              <w:rPr>
                <w:rFonts w:cs="Times New Roman"/>
                <w:b/>
                <w:sz w:val="20"/>
                <w:szCs w:val="20"/>
              </w:rPr>
            </w:pPr>
            <w:r>
              <w:rPr>
                <w:rFonts w:cs="Times New Roman"/>
                <w:b/>
                <w:sz w:val="20"/>
                <w:szCs w:val="20"/>
              </w:rPr>
              <w:t>Actual percentage</w:t>
            </w:r>
          </w:p>
        </w:tc>
        <w:tc>
          <w:tcPr>
            <w:tcW w:w="1080" w:type="dxa"/>
            <w:tcBorders>
              <w:top w:val="double" w:sz="4" w:space="0" w:color="auto"/>
              <w:left w:val="single" w:sz="4" w:space="0" w:color="auto"/>
              <w:bottom w:val="double" w:sz="4" w:space="0" w:color="auto"/>
              <w:right w:val="single" w:sz="4" w:space="0" w:color="auto"/>
            </w:tcBorders>
            <w:shd w:val="clear" w:color="auto" w:fill="D0CECE" w:themeFill="background2" w:themeFillShade="E6"/>
            <w:tcMar>
              <w:top w:w="0" w:type="dxa"/>
              <w:left w:w="58" w:type="dxa"/>
              <w:bottom w:w="0" w:type="dxa"/>
              <w:right w:w="58" w:type="dxa"/>
            </w:tcMar>
            <w:vAlign w:val="center"/>
            <w:hideMark/>
          </w:tcPr>
          <w:p w:rsidR="00610DDA" w:rsidRDefault="00610DDA">
            <w:pPr>
              <w:adjustRightInd w:val="0"/>
              <w:snapToGrid w:val="0"/>
              <w:jc w:val="center"/>
              <w:rPr>
                <w:rFonts w:cs="Times New Roman"/>
                <w:b/>
                <w:sz w:val="20"/>
                <w:szCs w:val="20"/>
              </w:rPr>
            </w:pPr>
            <w:r>
              <w:rPr>
                <w:rFonts w:cs="Times New Roman"/>
                <w:b/>
                <w:sz w:val="20"/>
                <w:szCs w:val="20"/>
              </w:rPr>
              <w:t>Joint model prediction</w:t>
            </w:r>
          </w:p>
        </w:tc>
        <w:tc>
          <w:tcPr>
            <w:tcW w:w="1260" w:type="dxa"/>
            <w:tcBorders>
              <w:top w:val="double" w:sz="4" w:space="0" w:color="auto"/>
              <w:left w:val="single" w:sz="4" w:space="0" w:color="auto"/>
              <w:bottom w:val="double" w:sz="4" w:space="0" w:color="auto"/>
              <w:right w:val="double" w:sz="4" w:space="0" w:color="auto"/>
            </w:tcBorders>
            <w:shd w:val="clear" w:color="auto" w:fill="D0CECE" w:themeFill="background2" w:themeFillShade="E6"/>
            <w:tcMar>
              <w:top w:w="0" w:type="dxa"/>
              <w:left w:w="58" w:type="dxa"/>
              <w:bottom w:w="0" w:type="dxa"/>
              <w:right w:w="58" w:type="dxa"/>
            </w:tcMar>
            <w:vAlign w:val="center"/>
            <w:hideMark/>
          </w:tcPr>
          <w:p w:rsidR="00610DDA" w:rsidRDefault="00610DDA">
            <w:pPr>
              <w:adjustRightInd w:val="0"/>
              <w:snapToGrid w:val="0"/>
              <w:jc w:val="center"/>
              <w:rPr>
                <w:rFonts w:cs="Times New Roman"/>
                <w:b/>
                <w:sz w:val="20"/>
                <w:szCs w:val="20"/>
              </w:rPr>
            </w:pPr>
            <w:r>
              <w:rPr>
                <w:rFonts w:cs="Times New Roman"/>
                <w:b/>
                <w:sz w:val="20"/>
                <w:szCs w:val="20"/>
              </w:rPr>
              <w:t>Independent model prediction</w:t>
            </w:r>
          </w:p>
        </w:tc>
      </w:tr>
      <w:tr w:rsidR="00610DDA" w:rsidTr="00610DDA">
        <w:trPr>
          <w:trHeight w:val="317"/>
        </w:trPr>
        <w:tc>
          <w:tcPr>
            <w:tcW w:w="1785" w:type="dxa"/>
            <w:tcBorders>
              <w:top w:val="double" w:sz="4" w:space="0" w:color="auto"/>
              <w:left w:val="doub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High density</w:t>
            </w:r>
          </w:p>
        </w:tc>
        <w:tc>
          <w:tcPr>
            <w:tcW w:w="2340" w:type="dxa"/>
            <w:tcBorders>
              <w:top w:val="double" w:sz="4" w:space="0" w:color="auto"/>
              <w:left w:val="doub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 xml:space="preserve">Academic </w:t>
            </w:r>
          </w:p>
        </w:tc>
        <w:tc>
          <w:tcPr>
            <w:tcW w:w="1890" w:type="dxa"/>
            <w:tcBorders>
              <w:top w:val="double" w:sz="4" w:space="0" w:color="auto"/>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No active travel</w:t>
            </w:r>
          </w:p>
        </w:tc>
        <w:tc>
          <w:tcPr>
            <w:tcW w:w="1080" w:type="dxa"/>
            <w:tcBorders>
              <w:top w:val="double" w:sz="4" w:space="0" w:color="auto"/>
              <w:left w:val="double" w:sz="4" w:space="0" w:color="auto"/>
              <w:bottom w:val="nil"/>
              <w:right w:val="sing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9.93</w:t>
            </w:r>
          </w:p>
        </w:tc>
        <w:tc>
          <w:tcPr>
            <w:tcW w:w="1080" w:type="dxa"/>
            <w:tcBorders>
              <w:top w:val="double" w:sz="4" w:space="0" w:color="auto"/>
              <w:left w:val="single" w:sz="4" w:space="0" w:color="auto"/>
              <w:bottom w:val="nil"/>
              <w:right w:val="sing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8.40</w:t>
            </w:r>
          </w:p>
        </w:tc>
        <w:tc>
          <w:tcPr>
            <w:tcW w:w="1260" w:type="dxa"/>
            <w:tcBorders>
              <w:top w:val="double" w:sz="4" w:space="0" w:color="auto"/>
              <w:left w:val="single" w:sz="4" w:space="0" w:color="auto"/>
              <w:bottom w:val="nil"/>
              <w:right w:val="doub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7.90</w:t>
            </w:r>
          </w:p>
        </w:tc>
      </w:tr>
      <w:tr w:rsidR="00610DDA" w:rsidTr="00610DDA">
        <w:trPr>
          <w:trHeight w:val="317"/>
        </w:trPr>
        <w:tc>
          <w:tcPr>
            <w:tcW w:w="1785" w:type="dxa"/>
            <w:tcBorders>
              <w:top w:val="nil"/>
              <w:left w:val="doub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Low density</w:t>
            </w:r>
          </w:p>
        </w:tc>
        <w:tc>
          <w:tcPr>
            <w:tcW w:w="2340" w:type="dxa"/>
            <w:tcBorders>
              <w:top w:val="nil"/>
              <w:left w:val="doub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Academic</w:t>
            </w:r>
          </w:p>
        </w:tc>
        <w:tc>
          <w:tcPr>
            <w:tcW w:w="1890"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No active travel</w:t>
            </w:r>
          </w:p>
        </w:tc>
        <w:tc>
          <w:tcPr>
            <w:tcW w:w="1080" w:type="dxa"/>
            <w:tcBorders>
              <w:top w:val="nil"/>
              <w:left w:val="double" w:sz="4" w:space="0" w:color="auto"/>
              <w:bottom w:val="nil"/>
              <w:right w:val="sing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8.77</w:t>
            </w:r>
          </w:p>
        </w:tc>
        <w:tc>
          <w:tcPr>
            <w:tcW w:w="1080" w:type="dxa"/>
            <w:tcBorders>
              <w:top w:val="nil"/>
              <w:left w:val="single" w:sz="4" w:space="0" w:color="auto"/>
              <w:bottom w:val="nil"/>
              <w:right w:val="sing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7.95</w:t>
            </w:r>
          </w:p>
        </w:tc>
        <w:tc>
          <w:tcPr>
            <w:tcW w:w="1260" w:type="dxa"/>
            <w:tcBorders>
              <w:top w:val="nil"/>
              <w:left w:val="single" w:sz="4" w:space="0" w:color="auto"/>
              <w:bottom w:val="nil"/>
              <w:right w:val="doub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7.62</w:t>
            </w:r>
          </w:p>
        </w:tc>
      </w:tr>
      <w:tr w:rsidR="00610DDA" w:rsidTr="00610DDA">
        <w:trPr>
          <w:trHeight w:val="317"/>
        </w:trPr>
        <w:tc>
          <w:tcPr>
            <w:tcW w:w="1785" w:type="dxa"/>
            <w:tcBorders>
              <w:top w:val="nil"/>
              <w:left w:val="doub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Medium density</w:t>
            </w:r>
          </w:p>
        </w:tc>
        <w:tc>
          <w:tcPr>
            <w:tcW w:w="2340" w:type="dxa"/>
            <w:tcBorders>
              <w:top w:val="nil"/>
              <w:left w:val="doub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Academic</w:t>
            </w:r>
          </w:p>
        </w:tc>
        <w:tc>
          <w:tcPr>
            <w:tcW w:w="1890"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Active travel</w:t>
            </w:r>
          </w:p>
        </w:tc>
        <w:tc>
          <w:tcPr>
            <w:tcW w:w="1080" w:type="dxa"/>
            <w:tcBorders>
              <w:top w:val="nil"/>
              <w:left w:val="double" w:sz="4" w:space="0" w:color="auto"/>
              <w:bottom w:val="nil"/>
              <w:right w:val="sing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8.26</w:t>
            </w:r>
          </w:p>
        </w:tc>
        <w:tc>
          <w:tcPr>
            <w:tcW w:w="1080" w:type="dxa"/>
            <w:tcBorders>
              <w:top w:val="nil"/>
              <w:left w:val="single" w:sz="4" w:space="0" w:color="auto"/>
              <w:bottom w:val="nil"/>
              <w:right w:val="sing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7.14</w:t>
            </w:r>
          </w:p>
        </w:tc>
        <w:tc>
          <w:tcPr>
            <w:tcW w:w="1260" w:type="dxa"/>
            <w:tcBorders>
              <w:top w:val="nil"/>
              <w:left w:val="single" w:sz="4" w:space="0" w:color="auto"/>
              <w:bottom w:val="nil"/>
              <w:right w:val="doub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6.82</w:t>
            </w:r>
          </w:p>
        </w:tc>
      </w:tr>
      <w:tr w:rsidR="00610DDA" w:rsidTr="00610DDA">
        <w:trPr>
          <w:trHeight w:val="317"/>
        </w:trPr>
        <w:tc>
          <w:tcPr>
            <w:tcW w:w="1785" w:type="dxa"/>
            <w:tcBorders>
              <w:top w:val="nil"/>
              <w:left w:val="doub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Medium density</w:t>
            </w:r>
          </w:p>
        </w:tc>
        <w:tc>
          <w:tcPr>
            <w:tcW w:w="2340" w:type="dxa"/>
            <w:tcBorders>
              <w:top w:val="nil"/>
              <w:left w:val="doub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Sports</w:t>
            </w:r>
          </w:p>
        </w:tc>
        <w:tc>
          <w:tcPr>
            <w:tcW w:w="1890"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Active travel</w:t>
            </w:r>
          </w:p>
        </w:tc>
        <w:tc>
          <w:tcPr>
            <w:tcW w:w="1080" w:type="dxa"/>
            <w:tcBorders>
              <w:top w:val="nil"/>
              <w:left w:val="double" w:sz="4" w:space="0" w:color="auto"/>
              <w:bottom w:val="nil"/>
              <w:right w:val="sing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5.77</w:t>
            </w:r>
          </w:p>
        </w:tc>
        <w:tc>
          <w:tcPr>
            <w:tcW w:w="1080" w:type="dxa"/>
            <w:tcBorders>
              <w:top w:val="nil"/>
              <w:left w:val="single" w:sz="4" w:space="0" w:color="auto"/>
              <w:bottom w:val="nil"/>
              <w:right w:val="sing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4.35</w:t>
            </w:r>
          </w:p>
        </w:tc>
        <w:tc>
          <w:tcPr>
            <w:tcW w:w="1260" w:type="dxa"/>
            <w:tcBorders>
              <w:top w:val="nil"/>
              <w:left w:val="single" w:sz="4" w:space="0" w:color="auto"/>
              <w:bottom w:val="nil"/>
              <w:right w:val="doub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3.63</w:t>
            </w:r>
          </w:p>
        </w:tc>
      </w:tr>
      <w:tr w:rsidR="00610DDA" w:rsidTr="00610DDA">
        <w:trPr>
          <w:trHeight w:val="317"/>
        </w:trPr>
        <w:tc>
          <w:tcPr>
            <w:tcW w:w="1785" w:type="dxa"/>
            <w:tcBorders>
              <w:top w:val="nil"/>
              <w:left w:val="doub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Low density</w:t>
            </w:r>
          </w:p>
        </w:tc>
        <w:tc>
          <w:tcPr>
            <w:tcW w:w="2340" w:type="dxa"/>
            <w:tcBorders>
              <w:top w:val="nil"/>
              <w:left w:val="doub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Sports</w:t>
            </w:r>
          </w:p>
        </w:tc>
        <w:tc>
          <w:tcPr>
            <w:tcW w:w="1890"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Active travel</w:t>
            </w:r>
          </w:p>
        </w:tc>
        <w:tc>
          <w:tcPr>
            <w:tcW w:w="1080" w:type="dxa"/>
            <w:tcBorders>
              <w:top w:val="nil"/>
              <w:left w:val="double" w:sz="4" w:space="0" w:color="auto"/>
              <w:bottom w:val="nil"/>
              <w:right w:val="sing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5.08</w:t>
            </w:r>
          </w:p>
        </w:tc>
        <w:tc>
          <w:tcPr>
            <w:tcW w:w="1080" w:type="dxa"/>
            <w:tcBorders>
              <w:top w:val="nil"/>
              <w:left w:val="single" w:sz="4" w:space="0" w:color="auto"/>
              <w:bottom w:val="nil"/>
              <w:right w:val="sing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4.28</w:t>
            </w:r>
          </w:p>
        </w:tc>
        <w:tc>
          <w:tcPr>
            <w:tcW w:w="1260" w:type="dxa"/>
            <w:tcBorders>
              <w:top w:val="nil"/>
              <w:left w:val="single" w:sz="4" w:space="0" w:color="auto"/>
              <w:bottom w:val="nil"/>
              <w:right w:val="doub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4.02</w:t>
            </w:r>
          </w:p>
        </w:tc>
      </w:tr>
      <w:tr w:rsidR="00610DDA" w:rsidTr="00610DDA">
        <w:trPr>
          <w:trHeight w:val="317"/>
        </w:trPr>
        <w:tc>
          <w:tcPr>
            <w:tcW w:w="1785" w:type="dxa"/>
            <w:tcBorders>
              <w:top w:val="nil"/>
              <w:left w:val="doub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Low density</w:t>
            </w:r>
          </w:p>
        </w:tc>
        <w:tc>
          <w:tcPr>
            <w:tcW w:w="2340" w:type="dxa"/>
            <w:tcBorders>
              <w:top w:val="nil"/>
              <w:left w:val="doub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Hobbies</w:t>
            </w:r>
          </w:p>
        </w:tc>
        <w:tc>
          <w:tcPr>
            <w:tcW w:w="1890"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No active travel</w:t>
            </w:r>
          </w:p>
        </w:tc>
        <w:tc>
          <w:tcPr>
            <w:tcW w:w="1080" w:type="dxa"/>
            <w:tcBorders>
              <w:top w:val="nil"/>
              <w:left w:val="double" w:sz="4" w:space="0" w:color="auto"/>
              <w:bottom w:val="nil"/>
              <w:right w:val="sing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4.75</w:t>
            </w:r>
          </w:p>
        </w:tc>
        <w:tc>
          <w:tcPr>
            <w:tcW w:w="1080" w:type="dxa"/>
            <w:tcBorders>
              <w:top w:val="nil"/>
              <w:left w:val="single" w:sz="4" w:space="0" w:color="auto"/>
              <w:bottom w:val="nil"/>
              <w:right w:val="sing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4.15</w:t>
            </w:r>
          </w:p>
        </w:tc>
        <w:tc>
          <w:tcPr>
            <w:tcW w:w="1260" w:type="dxa"/>
            <w:tcBorders>
              <w:top w:val="nil"/>
              <w:left w:val="single" w:sz="4" w:space="0" w:color="auto"/>
              <w:bottom w:val="nil"/>
              <w:right w:val="doub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3.84</w:t>
            </w:r>
          </w:p>
        </w:tc>
      </w:tr>
      <w:tr w:rsidR="00610DDA" w:rsidTr="00610DDA">
        <w:trPr>
          <w:trHeight w:val="317"/>
        </w:trPr>
        <w:tc>
          <w:tcPr>
            <w:tcW w:w="1785" w:type="dxa"/>
            <w:tcBorders>
              <w:top w:val="nil"/>
              <w:left w:val="doub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Medium density</w:t>
            </w:r>
          </w:p>
        </w:tc>
        <w:tc>
          <w:tcPr>
            <w:tcW w:w="2340" w:type="dxa"/>
            <w:tcBorders>
              <w:top w:val="nil"/>
              <w:left w:val="doub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Arts</w:t>
            </w:r>
          </w:p>
        </w:tc>
        <w:tc>
          <w:tcPr>
            <w:tcW w:w="1890"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Active travel</w:t>
            </w:r>
          </w:p>
        </w:tc>
        <w:tc>
          <w:tcPr>
            <w:tcW w:w="1080" w:type="dxa"/>
            <w:tcBorders>
              <w:top w:val="nil"/>
              <w:left w:val="double" w:sz="4" w:space="0" w:color="auto"/>
              <w:bottom w:val="nil"/>
              <w:right w:val="sing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3.14</w:t>
            </w:r>
          </w:p>
        </w:tc>
        <w:tc>
          <w:tcPr>
            <w:tcW w:w="1080" w:type="dxa"/>
            <w:tcBorders>
              <w:top w:val="nil"/>
              <w:left w:val="single" w:sz="4" w:space="0" w:color="auto"/>
              <w:bottom w:val="nil"/>
              <w:right w:val="sing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2.63</w:t>
            </w:r>
          </w:p>
        </w:tc>
        <w:tc>
          <w:tcPr>
            <w:tcW w:w="1260" w:type="dxa"/>
            <w:tcBorders>
              <w:top w:val="nil"/>
              <w:left w:val="single" w:sz="4" w:space="0" w:color="auto"/>
              <w:bottom w:val="nil"/>
              <w:right w:val="doub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2.50</w:t>
            </w:r>
          </w:p>
        </w:tc>
      </w:tr>
      <w:tr w:rsidR="00610DDA" w:rsidTr="00610DDA">
        <w:trPr>
          <w:trHeight w:val="317"/>
        </w:trPr>
        <w:tc>
          <w:tcPr>
            <w:tcW w:w="1785" w:type="dxa"/>
            <w:tcBorders>
              <w:top w:val="nil"/>
              <w:left w:val="doub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Medium density</w:t>
            </w:r>
          </w:p>
        </w:tc>
        <w:tc>
          <w:tcPr>
            <w:tcW w:w="2340" w:type="dxa"/>
            <w:tcBorders>
              <w:top w:val="nil"/>
              <w:left w:val="doub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Hobbies</w:t>
            </w:r>
          </w:p>
        </w:tc>
        <w:tc>
          <w:tcPr>
            <w:tcW w:w="1890"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Active travel</w:t>
            </w:r>
          </w:p>
        </w:tc>
        <w:tc>
          <w:tcPr>
            <w:tcW w:w="1080" w:type="dxa"/>
            <w:tcBorders>
              <w:top w:val="nil"/>
              <w:left w:val="double" w:sz="4" w:space="0" w:color="auto"/>
              <w:bottom w:val="nil"/>
              <w:right w:val="sing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2.97</w:t>
            </w:r>
          </w:p>
        </w:tc>
        <w:tc>
          <w:tcPr>
            <w:tcW w:w="1080" w:type="dxa"/>
            <w:tcBorders>
              <w:top w:val="nil"/>
              <w:left w:val="single" w:sz="4" w:space="0" w:color="auto"/>
              <w:bottom w:val="nil"/>
              <w:right w:val="sing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2.33</w:t>
            </w:r>
          </w:p>
        </w:tc>
        <w:tc>
          <w:tcPr>
            <w:tcW w:w="1260" w:type="dxa"/>
            <w:tcBorders>
              <w:top w:val="nil"/>
              <w:left w:val="single" w:sz="4" w:space="0" w:color="auto"/>
              <w:bottom w:val="nil"/>
              <w:right w:val="doub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2.10</w:t>
            </w:r>
          </w:p>
        </w:tc>
      </w:tr>
      <w:tr w:rsidR="00610DDA" w:rsidTr="00610DDA">
        <w:trPr>
          <w:trHeight w:val="317"/>
        </w:trPr>
        <w:tc>
          <w:tcPr>
            <w:tcW w:w="1785" w:type="dxa"/>
            <w:tcBorders>
              <w:top w:val="nil"/>
              <w:left w:val="doub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High density</w:t>
            </w:r>
          </w:p>
        </w:tc>
        <w:tc>
          <w:tcPr>
            <w:tcW w:w="2340" w:type="dxa"/>
            <w:tcBorders>
              <w:top w:val="nil"/>
              <w:left w:val="doub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Sports</w:t>
            </w:r>
          </w:p>
        </w:tc>
        <w:tc>
          <w:tcPr>
            <w:tcW w:w="1890"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No active travel</w:t>
            </w:r>
          </w:p>
        </w:tc>
        <w:tc>
          <w:tcPr>
            <w:tcW w:w="1080" w:type="dxa"/>
            <w:tcBorders>
              <w:top w:val="nil"/>
              <w:left w:val="double" w:sz="4" w:space="0" w:color="auto"/>
              <w:bottom w:val="nil"/>
              <w:right w:val="sing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2.97</w:t>
            </w:r>
          </w:p>
        </w:tc>
        <w:tc>
          <w:tcPr>
            <w:tcW w:w="1080" w:type="dxa"/>
            <w:tcBorders>
              <w:top w:val="nil"/>
              <w:left w:val="single" w:sz="4" w:space="0" w:color="auto"/>
              <w:bottom w:val="nil"/>
              <w:right w:val="sing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2.44</w:t>
            </w:r>
          </w:p>
        </w:tc>
        <w:tc>
          <w:tcPr>
            <w:tcW w:w="1260" w:type="dxa"/>
            <w:tcBorders>
              <w:top w:val="nil"/>
              <w:left w:val="single" w:sz="4" w:space="0" w:color="auto"/>
              <w:bottom w:val="nil"/>
              <w:right w:val="doub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2.08</w:t>
            </w:r>
          </w:p>
        </w:tc>
      </w:tr>
      <w:tr w:rsidR="00610DDA" w:rsidTr="00610DDA">
        <w:trPr>
          <w:trHeight w:val="317"/>
        </w:trPr>
        <w:tc>
          <w:tcPr>
            <w:tcW w:w="1785" w:type="dxa"/>
            <w:tcBorders>
              <w:top w:val="nil"/>
              <w:left w:val="doub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Low density</w:t>
            </w:r>
          </w:p>
        </w:tc>
        <w:tc>
          <w:tcPr>
            <w:tcW w:w="2340" w:type="dxa"/>
            <w:tcBorders>
              <w:top w:val="nil"/>
              <w:left w:val="doub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Hobbies</w:t>
            </w:r>
          </w:p>
        </w:tc>
        <w:tc>
          <w:tcPr>
            <w:tcW w:w="1890" w:type="dxa"/>
            <w:tcBorders>
              <w:top w:val="nil"/>
              <w:left w:val="single" w:sz="4" w:space="0" w:color="auto"/>
              <w:bottom w:val="nil"/>
              <w:right w:val="single" w:sz="4" w:space="0" w:color="auto"/>
            </w:tcBorders>
            <w:tcMar>
              <w:top w:w="0" w:type="dxa"/>
              <w:left w:w="58" w:type="dxa"/>
              <w:bottom w:w="0" w:type="dxa"/>
              <w:right w:w="58" w:type="dxa"/>
            </w:tcMar>
            <w:hideMark/>
          </w:tcPr>
          <w:p w:rsidR="00610DDA" w:rsidRDefault="00610DDA">
            <w:pPr>
              <w:adjustRightInd w:val="0"/>
              <w:snapToGrid w:val="0"/>
              <w:rPr>
                <w:rFonts w:cs="Times New Roman"/>
                <w:sz w:val="20"/>
                <w:szCs w:val="20"/>
              </w:rPr>
            </w:pPr>
            <w:r>
              <w:rPr>
                <w:rFonts w:cs="Times New Roman"/>
                <w:sz w:val="20"/>
                <w:szCs w:val="20"/>
              </w:rPr>
              <w:t>Active travel</w:t>
            </w:r>
          </w:p>
        </w:tc>
        <w:tc>
          <w:tcPr>
            <w:tcW w:w="1080" w:type="dxa"/>
            <w:tcBorders>
              <w:top w:val="nil"/>
              <w:left w:val="double" w:sz="4" w:space="0" w:color="auto"/>
              <w:bottom w:val="nil"/>
              <w:right w:val="sing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2.84</w:t>
            </w:r>
          </w:p>
        </w:tc>
        <w:tc>
          <w:tcPr>
            <w:tcW w:w="1080" w:type="dxa"/>
            <w:tcBorders>
              <w:top w:val="nil"/>
              <w:left w:val="single" w:sz="4" w:space="0" w:color="auto"/>
              <w:bottom w:val="single" w:sz="4" w:space="0" w:color="auto"/>
              <w:right w:val="sing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2.53</w:t>
            </w:r>
          </w:p>
        </w:tc>
        <w:tc>
          <w:tcPr>
            <w:tcW w:w="1260" w:type="dxa"/>
            <w:tcBorders>
              <w:top w:val="nil"/>
              <w:left w:val="single" w:sz="4" w:space="0" w:color="auto"/>
              <w:bottom w:val="single" w:sz="4" w:space="0" w:color="auto"/>
              <w:right w:val="doub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2.05</w:t>
            </w:r>
          </w:p>
        </w:tc>
      </w:tr>
      <w:tr w:rsidR="00610DDA" w:rsidTr="00610DDA">
        <w:trPr>
          <w:trHeight w:val="317"/>
        </w:trPr>
        <w:tc>
          <w:tcPr>
            <w:tcW w:w="6015" w:type="dxa"/>
            <w:gridSpan w:val="3"/>
            <w:tcBorders>
              <w:top w:val="single" w:sz="4" w:space="0" w:color="auto"/>
              <w:left w:val="double" w:sz="4" w:space="0" w:color="auto"/>
              <w:bottom w:val="double" w:sz="4" w:space="0" w:color="auto"/>
              <w:right w:val="doub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Weighted mean absolute percentage error</w:t>
            </w:r>
          </w:p>
        </w:tc>
        <w:tc>
          <w:tcPr>
            <w:tcW w:w="1080" w:type="dxa"/>
            <w:tcBorders>
              <w:top w:val="single" w:sz="4" w:space="0" w:color="auto"/>
              <w:left w:val="single" w:sz="4" w:space="0" w:color="auto"/>
              <w:bottom w:val="double" w:sz="4" w:space="0" w:color="auto"/>
              <w:right w:val="sing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proofErr w:type="spellStart"/>
            <w:r>
              <w:rPr>
                <w:rFonts w:cs="Times New Roman"/>
                <w:sz w:val="20"/>
                <w:szCs w:val="20"/>
              </w:rPr>
              <w:t>na</w:t>
            </w:r>
            <w:proofErr w:type="spellEnd"/>
          </w:p>
        </w:tc>
        <w:tc>
          <w:tcPr>
            <w:tcW w:w="1080" w:type="dxa"/>
            <w:tcBorders>
              <w:top w:val="single" w:sz="4" w:space="0" w:color="auto"/>
              <w:left w:val="single" w:sz="4" w:space="0" w:color="auto"/>
              <w:bottom w:val="double" w:sz="4" w:space="0" w:color="auto"/>
              <w:right w:val="sing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15.17</w:t>
            </w:r>
          </w:p>
        </w:tc>
        <w:tc>
          <w:tcPr>
            <w:tcW w:w="1260" w:type="dxa"/>
            <w:tcBorders>
              <w:top w:val="single" w:sz="4" w:space="0" w:color="auto"/>
              <w:left w:val="single" w:sz="4" w:space="0" w:color="auto"/>
              <w:bottom w:val="double" w:sz="4" w:space="0" w:color="auto"/>
              <w:right w:val="double" w:sz="4" w:space="0" w:color="auto"/>
            </w:tcBorders>
            <w:tcMar>
              <w:top w:w="0" w:type="dxa"/>
              <w:left w:w="58" w:type="dxa"/>
              <w:bottom w:w="0" w:type="dxa"/>
              <w:right w:w="58" w:type="dxa"/>
            </w:tcMar>
            <w:vAlign w:val="center"/>
            <w:hideMark/>
          </w:tcPr>
          <w:p w:rsidR="00610DDA" w:rsidRDefault="00610DDA">
            <w:pPr>
              <w:adjustRightInd w:val="0"/>
              <w:snapToGrid w:val="0"/>
              <w:jc w:val="center"/>
              <w:rPr>
                <w:rFonts w:cs="Times New Roman"/>
                <w:sz w:val="20"/>
                <w:szCs w:val="20"/>
              </w:rPr>
            </w:pPr>
            <w:r>
              <w:rPr>
                <w:rFonts w:cs="Times New Roman"/>
                <w:sz w:val="20"/>
                <w:szCs w:val="20"/>
              </w:rPr>
              <w:t>23.25</w:t>
            </w:r>
          </w:p>
        </w:tc>
      </w:tr>
    </w:tbl>
    <w:p w:rsidR="00610DDA" w:rsidRDefault="00610DDA" w:rsidP="00610DDA">
      <w:pPr>
        <w:adjustRightInd w:val="0"/>
        <w:snapToGrid w:val="0"/>
        <w:spacing w:before="120"/>
        <w:rPr>
          <w:rFonts w:eastAsia="Times New Roman" w:cs="Times New Roman"/>
          <w:sz w:val="20"/>
          <w:szCs w:val="20"/>
        </w:rPr>
      </w:pPr>
      <w:proofErr w:type="spellStart"/>
      <w:proofErr w:type="gramStart"/>
      <w:r>
        <w:rPr>
          <w:rFonts w:eastAsia="Times New Roman" w:cs="Times New Roman"/>
          <w:sz w:val="20"/>
          <w:szCs w:val="20"/>
        </w:rPr>
        <w:t>na</w:t>
      </w:r>
      <w:proofErr w:type="spellEnd"/>
      <w:proofErr w:type="gramEnd"/>
      <w:r>
        <w:rPr>
          <w:rFonts w:eastAsia="Times New Roman" w:cs="Times New Roman"/>
          <w:sz w:val="20"/>
          <w:szCs w:val="20"/>
        </w:rPr>
        <w:t>: Not applicable</w:t>
      </w:r>
    </w:p>
    <w:p w:rsidR="00610DDA" w:rsidRDefault="00610DDA" w:rsidP="00610DDA">
      <w:pPr>
        <w:adjustRightInd w:val="0"/>
        <w:snapToGrid w:val="0"/>
        <w:spacing w:line="360" w:lineRule="auto"/>
        <w:jc w:val="center"/>
        <w:rPr>
          <w:rFonts w:ascii="Cambria Math" w:eastAsia="Times New Roman" w:hAnsi="Cambria Math" w:cs="Times New Roman"/>
          <w:b/>
          <w:szCs w:val="24"/>
        </w:rPr>
      </w:pPr>
    </w:p>
    <w:p w:rsidR="00610DDA" w:rsidRDefault="00610DDA" w:rsidP="00610DDA">
      <w:pPr>
        <w:spacing w:after="160" w:line="256" w:lineRule="auto"/>
        <w:rPr>
          <w:rFonts w:eastAsia="Times New Roman" w:cs="Times New Roman"/>
          <w:b/>
          <w:szCs w:val="24"/>
        </w:rPr>
      </w:pPr>
      <w:r>
        <w:rPr>
          <w:rFonts w:eastAsia="Times New Roman" w:cs="Times New Roman"/>
          <w:b/>
          <w:szCs w:val="24"/>
        </w:rPr>
        <w:br w:type="page"/>
      </w:r>
    </w:p>
    <w:p w:rsidR="00610DDA" w:rsidRDefault="00610DDA" w:rsidP="00610DDA">
      <w:pPr>
        <w:adjustRightInd w:val="0"/>
        <w:snapToGrid w:val="0"/>
        <w:spacing w:after="120"/>
        <w:rPr>
          <w:rFonts w:eastAsia="Times New Roman" w:cs="Times New Roman"/>
          <w:b/>
          <w:szCs w:val="24"/>
        </w:rPr>
      </w:pPr>
      <w:r>
        <w:rPr>
          <w:rFonts w:eastAsia="Times New Roman" w:cs="Times New Roman"/>
          <w:b/>
          <w:szCs w:val="24"/>
        </w:rPr>
        <w:lastRenderedPageBreak/>
        <w:t xml:space="preserve">Table 6. Average treatment effects (ATE) corresponding to transplanting a random household from a lowest density </w:t>
      </w:r>
      <w:r w:rsidR="00B87C48">
        <w:rPr>
          <w:rFonts w:eastAsia="Times New Roman" w:cs="Times New Roman"/>
          <w:b/>
          <w:szCs w:val="24"/>
        </w:rPr>
        <w:t>neighbourhood</w:t>
      </w:r>
      <w:r>
        <w:rPr>
          <w:rFonts w:eastAsia="Times New Roman" w:cs="Times New Roman"/>
          <w:b/>
          <w:szCs w:val="24"/>
        </w:rPr>
        <w:t xml:space="preserve"> to highest density </w:t>
      </w:r>
      <w:r w:rsidR="00B87C48">
        <w:rPr>
          <w:rFonts w:eastAsia="Times New Roman" w:cs="Times New Roman"/>
          <w:b/>
          <w:szCs w:val="24"/>
        </w:rPr>
        <w:t>neighbourhood</w:t>
      </w:r>
      <w:r>
        <w:rPr>
          <w:rFonts w:eastAsia="Times New Roman" w:cs="Times New Roman"/>
          <w:b/>
          <w:szCs w:val="24"/>
        </w:rPr>
        <w:t xml:space="preserve">     (standard error in parenthesis)</w:t>
      </w:r>
    </w:p>
    <w:tbl>
      <w:tblPr>
        <w:tblStyle w:val="TableGrid2"/>
        <w:tblW w:w="9255" w:type="dxa"/>
        <w:jc w:val="center"/>
        <w:tblLook w:val="04A0" w:firstRow="1" w:lastRow="0" w:firstColumn="1" w:lastColumn="0" w:noHBand="0" w:noVBand="1"/>
      </w:tblPr>
      <w:tblGrid>
        <w:gridCol w:w="2235"/>
        <w:gridCol w:w="1872"/>
        <w:gridCol w:w="1872"/>
        <w:gridCol w:w="1491"/>
        <w:gridCol w:w="1785"/>
      </w:tblGrid>
      <w:tr w:rsidR="00610DDA" w:rsidTr="00610DDA">
        <w:trPr>
          <w:trHeight w:val="432"/>
          <w:jc w:val="center"/>
        </w:trPr>
        <w:tc>
          <w:tcPr>
            <w:tcW w:w="2235" w:type="dxa"/>
            <w:vMerge w:val="restart"/>
            <w:tcBorders>
              <w:top w:val="double" w:sz="4" w:space="0" w:color="auto"/>
              <w:left w:val="double" w:sz="4" w:space="0" w:color="auto"/>
              <w:bottom w:val="double" w:sz="4" w:space="0" w:color="auto"/>
              <w:right w:val="single" w:sz="4" w:space="0" w:color="auto"/>
            </w:tcBorders>
            <w:shd w:val="clear" w:color="auto" w:fill="D0CECE" w:themeFill="background2" w:themeFillShade="E6"/>
            <w:vAlign w:val="center"/>
            <w:hideMark/>
          </w:tcPr>
          <w:p w:rsidR="00610DDA" w:rsidRDefault="00610DDA">
            <w:pPr>
              <w:autoSpaceDE w:val="0"/>
              <w:autoSpaceDN w:val="0"/>
              <w:adjustRightInd w:val="0"/>
              <w:snapToGrid w:val="0"/>
              <w:jc w:val="center"/>
              <w:rPr>
                <w:rFonts w:eastAsia="Times New Roman" w:cs="Times New Roman"/>
                <w:b/>
                <w:sz w:val="22"/>
              </w:rPr>
            </w:pPr>
            <w:r>
              <w:rPr>
                <w:rFonts w:eastAsia="Times New Roman" w:cs="Times New Roman"/>
                <w:b/>
                <w:sz w:val="22"/>
              </w:rPr>
              <w:t>Variable</w:t>
            </w:r>
          </w:p>
        </w:tc>
        <w:tc>
          <w:tcPr>
            <w:tcW w:w="1872" w:type="dxa"/>
            <w:vMerge w:val="restart"/>
            <w:tcBorders>
              <w:top w:val="double" w:sz="4" w:space="0" w:color="auto"/>
              <w:left w:val="single" w:sz="4" w:space="0" w:color="auto"/>
              <w:bottom w:val="double" w:sz="4" w:space="0" w:color="auto"/>
              <w:right w:val="single" w:sz="4" w:space="0" w:color="auto"/>
            </w:tcBorders>
            <w:shd w:val="clear" w:color="auto" w:fill="D0CECE" w:themeFill="background2" w:themeFillShade="E6"/>
            <w:vAlign w:val="center"/>
            <w:hideMark/>
          </w:tcPr>
          <w:p w:rsidR="00610DDA" w:rsidRDefault="00610DDA">
            <w:pPr>
              <w:autoSpaceDE w:val="0"/>
              <w:autoSpaceDN w:val="0"/>
              <w:adjustRightInd w:val="0"/>
              <w:snapToGrid w:val="0"/>
              <w:jc w:val="center"/>
              <w:rPr>
                <w:rFonts w:eastAsia="Times New Roman" w:cs="Times New Roman"/>
                <w:b/>
                <w:sz w:val="22"/>
              </w:rPr>
            </w:pPr>
            <w:r>
              <w:rPr>
                <w:rFonts w:eastAsia="Times New Roman" w:cs="Times New Roman"/>
                <w:b/>
                <w:sz w:val="22"/>
              </w:rPr>
              <w:t>ATE from joint model</w:t>
            </w:r>
          </w:p>
        </w:tc>
        <w:tc>
          <w:tcPr>
            <w:tcW w:w="1872" w:type="dxa"/>
            <w:vMerge w:val="restart"/>
            <w:tcBorders>
              <w:top w:val="double" w:sz="4" w:space="0" w:color="auto"/>
              <w:left w:val="single" w:sz="4" w:space="0" w:color="auto"/>
              <w:bottom w:val="double" w:sz="4" w:space="0" w:color="auto"/>
              <w:right w:val="double" w:sz="4" w:space="0" w:color="auto"/>
            </w:tcBorders>
            <w:shd w:val="clear" w:color="auto" w:fill="D0CECE" w:themeFill="background2" w:themeFillShade="E6"/>
            <w:vAlign w:val="center"/>
            <w:hideMark/>
          </w:tcPr>
          <w:p w:rsidR="00610DDA" w:rsidRDefault="00610DDA">
            <w:pPr>
              <w:autoSpaceDE w:val="0"/>
              <w:autoSpaceDN w:val="0"/>
              <w:adjustRightInd w:val="0"/>
              <w:snapToGrid w:val="0"/>
              <w:jc w:val="center"/>
              <w:rPr>
                <w:rFonts w:eastAsia="Times New Roman" w:cs="Times New Roman"/>
                <w:b/>
                <w:sz w:val="22"/>
              </w:rPr>
            </w:pPr>
            <w:r>
              <w:rPr>
                <w:rFonts w:eastAsia="Times New Roman" w:cs="Times New Roman"/>
                <w:b/>
                <w:sz w:val="22"/>
              </w:rPr>
              <w:t>ATE from independent model</w:t>
            </w:r>
          </w:p>
        </w:tc>
        <w:tc>
          <w:tcPr>
            <w:tcW w:w="3276" w:type="dxa"/>
            <w:gridSpan w:val="2"/>
            <w:tcBorders>
              <w:top w:val="double" w:sz="4" w:space="0" w:color="auto"/>
              <w:left w:val="single" w:sz="4" w:space="0" w:color="auto"/>
              <w:bottom w:val="single" w:sz="4" w:space="0" w:color="auto"/>
              <w:right w:val="double" w:sz="4" w:space="0" w:color="auto"/>
            </w:tcBorders>
            <w:shd w:val="clear" w:color="auto" w:fill="D0CECE" w:themeFill="background2" w:themeFillShade="E6"/>
            <w:vAlign w:val="center"/>
            <w:hideMark/>
          </w:tcPr>
          <w:p w:rsidR="00610DDA" w:rsidRDefault="00610DDA">
            <w:pPr>
              <w:autoSpaceDE w:val="0"/>
              <w:autoSpaceDN w:val="0"/>
              <w:adjustRightInd w:val="0"/>
              <w:snapToGrid w:val="0"/>
              <w:jc w:val="center"/>
              <w:rPr>
                <w:rFonts w:eastAsia="Times New Roman" w:cs="Times New Roman"/>
                <w:b/>
                <w:sz w:val="22"/>
              </w:rPr>
            </w:pPr>
            <w:r>
              <w:rPr>
                <w:rFonts w:eastAsia="Times New Roman" w:cs="Times New Roman"/>
                <w:b/>
                <w:sz w:val="22"/>
              </w:rPr>
              <w:t>% Difference Attributable to</w:t>
            </w:r>
          </w:p>
        </w:tc>
      </w:tr>
      <w:tr w:rsidR="00610DDA" w:rsidTr="00610DDA">
        <w:trPr>
          <w:trHeight w:val="432"/>
          <w:jc w:val="center"/>
        </w:trPr>
        <w:tc>
          <w:tcPr>
            <w:tcW w:w="0" w:type="auto"/>
            <w:vMerge/>
            <w:tcBorders>
              <w:top w:val="double" w:sz="4" w:space="0" w:color="auto"/>
              <w:left w:val="double" w:sz="4" w:space="0" w:color="auto"/>
              <w:bottom w:val="double" w:sz="4" w:space="0" w:color="auto"/>
              <w:right w:val="single" w:sz="4" w:space="0" w:color="auto"/>
            </w:tcBorders>
            <w:vAlign w:val="center"/>
            <w:hideMark/>
          </w:tcPr>
          <w:p w:rsidR="00610DDA" w:rsidRDefault="00610DDA">
            <w:pPr>
              <w:rPr>
                <w:rFonts w:eastAsia="Times New Roman" w:cs="Times New Roman"/>
                <w:b/>
                <w:sz w:val="22"/>
              </w:rPr>
            </w:pPr>
          </w:p>
        </w:tc>
        <w:tc>
          <w:tcPr>
            <w:tcW w:w="0" w:type="auto"/>
            <w:vMerge/>
            <w:tcBorders>
              <w:top w:val="double" w:sz="4" w:space="0" w:color="auto"/>
              <w:left w:val="single" w:sz="4" w:space="0" w:color="auto"/>
              <w:bottom w:val="double" w:sz="4" w:space="0" w:color="auto"/>
              <w:right w:val="single" w:sz="4" w:space="0" w:color="auto"/>
            </w:tcBorders>
            <w:vAlign w:val="center"/>
            <w:hideMark/>
          </w:tcPr>
          <w:p w:rsidR="00610DDA" w:rsidRDefault="00610DDA">
            <w:pPr>
              <w:rPr>
                <w:rFonts w:eastAsia="Times New Roman" w:cs="Times New Roman"/>
                <w:b/>
                <w:sz w:val="22"/>
              </w:rPr>
            </w:pPr>
          </w:p>
        </w:tc>
        <w:tc>
          <w:tcPr>
            <w:tcW w:w="0" w:type="auto"/>
            <w:vMerge/>
            <w:tcBorders>
              <w:top w:val="double" w:sz="4" w:space="0" w:color="auto"/>
              <w:left w:val="single" w:sz="4" w:space="0" w:color="auto"/>
              <w:bottom w:val="double" w:sz="4" w:space="0" w:color="auto"/>
              <w:right w:val="double" w:sz="4" w:space="0" w:color="auto"/>
            </w:tcBorders>
            <w:vAlign w:val="center"/>
            <w:hideMark/>
          </w:tcPr>
          <w:p w:rsidR="00610DDA" w:rsidRDefault="00610DDA">
            <w:pPr>
              <w:rPr>
                <w:rFonts w:eastAsia="Times New Roman" w:cs="Times New Roman"/>
                <w:b/>
                <w:sz w:val="22"/>
              </w:rPr>
            </w:pPr>
          </w:p>
        </w:tc>
        <w:tc>
          <w:tcPr>
            <w:tcW w:w="1491" w:type="dxa"/>
            <w:tcBorders>
              <w:top w:val="single" w:sz="4" w:space="0" w:color="auto"/>
              <w:left w:val="single" w:sz="4" w:space="0" w:color="auto"/>
              <w:bottom w:val="double" w:sz="4" w:space="0" w:color="auto"/>
              <w:right w:val="single" w:sz="4" w:space="0" w:color="auto"/>
            </w:tcBorders>
            <w:shd w:val="clear" w:color="auto" w:fill="D0CECE" w:themeFill="background2" w:themeFillShade="E6"/>
            <w:vAlign w:val="center"/>
            <w:hideMark/>
          </w:tcPr>
          <w:p w:rsidR="00610DDA" w:rsidRDefault="00610DDA">
            <w:pPr>
              <w:autoSpaceDE w:val="0"/>
              <w:autoSpaceDN w:val="0"/>
              <w:adjustRightInd w:val="0"/>
              <w:snapToGrid w:val="0"/>
              <w:jc w:val="center"/>
              <w:rPr>
                <w:rFonts w:eastAsia="Times New Roman" w:cs="Times New Roman"/>
                <w:sz w:val="22"/>
              </w:rPr>
            </w:pPr>
            <w:r>
              <w:rPr>
                <w:rFonts w:eastAsia="Times New Roman" w:cs="Times New Roman"/>
                <w:sz w:val="22"/>
              </w:rPr>
              <w:t>“True” Effect</w:t>
            </w:r>
          </w:p>
        </w:tc>
        <w:tc>
          <w:tcPr>
            <w:tcW w:w="1785" w:type="dxa"/>
            <w:tcBorders>
              <w:top w:val="single" w:sz="4" w:space="0" w:color="auto"/>
              <w:left w:val="single" w:sz="4" w:space="0" w:color="auto"/>
              <w:bottom w:val="double" w:sz="4" w:space="0" w:color="auto"/>
              <w:right w:val="double" w:sz="4" w:space="0" w:color="auto"/>
            </w:tcBorders>
            <w:shd w:val="clear" w:color="auto" w:fill="D0CECE" w:themeFill="background2" w:themeFillShade="E6"/>
            <w:vAlign w:val="center"/>
            <w:hideMark/>
          </w:tcPr>
          <w:p w:rsidR="00610DDA" w:rsidRDefault="00610DDA">
            <w:pPr>
              <w:autoSpaceDE w:val="0"/>
              <w:autoSpaceDN w:val="0"/>
              <w:adjustRightInd w:val="0"/>
              <w:snapToGrid w:val="0"/>
              <w:jc w:val="center"/>
              <w:rPr>
                <w:rFonts w:eastAsia="Times New Roman" w:cs="Times New Roman"/>
                <w:sz w:val="22"/>
              </w:rPr>
            </w:pPr>
            <w:r>
              <w:rPr>
                <w:rFonts w:eastAsia="Times New Roman" w:cs="Times New Roman"/>
                <w:sz w:val="22"/>
              </w:rPr>
              <w:t>Residential Self-Selection Effect</w:t>
            </w:r>
          </w:p>
        </w:tc>
      </w:tr>
      <w:tr w:rsidR="00610DDA" w:rsidTr="00610DDA">
        <w:trPr>
          <w:trHeight w:val="374"/>
          <w:jc w:val="center"/>
        </w:trPr>
        <w:tc>
          <w:tcPr>
            <w:tcW w:w="2235" w:type="dxa"/>
            <w:tcBorders>
              <w:top w:val="nil"/>
              <w:left w:val="double" w:sz="4" w:space="0" w:color="auto"/>
              <w:bottom w:val="nil"/>
              <w:right w:val="single" w:sz="4" w:space="0" w:color="auto"/>
            </w:tcBorders>
            <w:vAlign w:val="center"/>
            <w:hideMark/>
          </w:tcPr>
          <w:p w:rsidR="00610DDA" w:rsidRDefault="00610DDA">
            <w:pPr>
              <w:autoSpaceDE w:val="0"/>
              <w:autoSpaceDN w:val="0"/>
              <w:adjustRightInd w:val="0"/>
              <w:snapToGrid w:val="0"/>
              <w:rPr>
                <w:rFonts w:eastAsia="Times New Roman" w:cs="Times New Roman"/>
                <w:b/>
                <w:sz w:val="22"/>
              </w:rPr>
            </w:pPr>
            <w:r>
              <w:rPr>
                <w:rFonts w:eastAsia="Times New Roman" w:cs="Times New Roman"/>
                <w:b/>
                <w:sz w:val="22"/>
              </w:rPr>
              <w:t>Participation in</w:t>
            </w:r>
          </w:p>
        </w:tc>
        <w:tc>
          <w:tcPr>
            <w:tcW w:w="1872" w:type="dxa"/>
            <w:tcBorders>
              <w:top w:val="nil"/>
              <w:left w:val="single" w:sz="4" w:space="0" w:color="auto"/>
              <w:bottom w:val="nil"/>
              <w:right w:val="single" w:sz="4" w:space="0" w:color="auto"/>
            </w:tcBorders>
            <w:vAlign w:val="center"/>
          </w:tcPr>
          <w:p w:rsidR="00610DDA" w:rsidRDefault="00610DDA">
            <w:pPr>
              <w:tabs>
                <w:tab w:val="decimal" w:pos="233"/>
              </w:tabs>
              <w:autoSpaceDE w:val="0"/>
              <w:autoSpaceDN w:val="0"/>
              <w:adjustRightInd w:val="0"/>
              <w:snapToGrid w:val="0"/>
              <w:jc w:val="center"/>
              <w:rPr>
                <w:rFonts w:eastAsia="Times New Roman" w:cs="Times New Roman"/>
                <w:sz w:val="22"/>
              </w:rPr>
            </w:pPr>
          </w:p>
        </w:tc>
        <w:tc>
          <w:tcPr>
            <w:tcW w:w="1872" w:type="dxa"/>
            <w:tcBorders>
              <w:top w:val="nil"/>
              <w:left w:val="single" w:sz="4" w:space="0" w:color="auto"/>
              <w:bottom w:val="nil"/>
              <w:right w:val="double" w:sz="4" w:space="0" w:color="auto"/>
            </w:tcBorders>
            <w:vAlign w:val="center"/>
          </w:tcPr>
          <w:p w:rsidR="00610DDA" w:rsidRDefault="00610DDA">
            <w:pPr>
              <w:tabs>
                <w:tab w:val="decimal" w:pos="136"/>
              </w:tabs>
              <w:autoSpaceDE w:val="0"/>
              <w:autoSpaceDN w:val="0"/>
              <w:adjustRightInd w:val="0"/>
              <w:snapToGrid w:val="0"/>
              <w:jc w:val="center"/>
              <w:rPr>
                <w:rFonts w:eastAsia="Times New Roman" w:cs="Times New Roman"/>
                <w:sz w:val="22"/>
              </w:rPr>
            </w:pPr>
          </w:p>
        </w:tc>
        <w:tc>
          <w:tcPr>
            <w:tcW w:w="1491" w:type="dxa"/>
            <w:tcBorders>
              <w:top w:val="nil"/>
              <w:left w:val="single" w:sz="4" w:space="0" w:color="auto"/>
              <w:bottom w:val="nil"/>
              <w:right w:val="single" w:sz="4" w:space="0" w:color="auto"/>
            </w:tcBorders>
            <w:vAlign w:val="center"/>
          </w:tcPr>
          <w:p w:rsidR="00610DDA" w:rsidRDefault="00610DDA">
            <w:pPr>
              <w:tabs>
                <w:tab w:val="decimal" w:pos="196"/>
              </w:tabs>
              <w:autoSpaceDE w:val="0"/>
              <w:autoSpaceDN w:val="0"/>
              <w:adjustRightInd w:val="0"/>
              <w:snapToGrid w:val="0"/>
              <w:jc w:val="center"/>
              <w:rPr>
                <w:rFonts w:eastAsia="Times New Roman" w:cs="Times New Roman"/>
                <w:sz w:val="22"/>
              </w:rPr>
            </w:pPr>
          </w:p>
        </w:tc>
        <w:tc>
          <w:tcPr>
            <w:tcW w:w="1785" w:type="dxa"/>
            <w:tcBorders>
              <w:top w:val="nil"/>
              <w:left w:val="single" w:sz="4" w:space="0" w:color="auto"/>
              <w:bottom w:val="nil"/>
              <w:right w:val="double" w:sz="4" w:space="0" w:color="auto"/>
            </w:tcBorders>
            <w:vAlign w:val="center"/>
          </w:tcPr>
          <w:p w:rsidR="00610DDA" w:rsidRDefault="00610DDA">
            <w:pPr>
              <w:tabs>
                <w:tab w:val="decimal" w:pos="196"/>
              </w:tabs>
              <w:autoSpaceDE w:val="0"/>
              <w:autoSpaceDN w:val="0"/>
              <w:adjustRightInd w:val="0"/>
              <w:snapToGrid w:val="0"/>
              <w:jc w:val="center"/>
              <w:rPr>
                <w:rFonts w:eastAsia="Times New Roman" w:cs="Times New Roman"/>
                <w:sz w:val="22"/>
              </w:rPr>
            </w:pPr>
          </w:p>
        </w:tc>
      </w:tr>
      <w:tr w:rsidR="00610DDA" w:rsidTr="00610DDA">
        <w:trPr>
          <w:trHeight w:val="374"/>
          <w:jc w:val="center"/>
        </w:trPr>
        <w:tc>
          <w:tcPr>
            <w:tcW w:w="2235" w:type="dxa"/>
            <w:tcBorders>
              <w:top w:val="nil"/>
              <w:left w:val="double" w:sz="4" w:space="0" w:color="auto"/>
              <w:bottom w:val="nil"/>
              <w:right w:val="single" w:sz="4" w:space="0" w:color="auto"/>
            </w:tcBorders>
            <w:vAlign w:val="center"/>
            <w:hideMark/>
          </w:tcPr>
          <w:p w:rsidR="00610DDA" w:rsidRDefault="00610DDA">
            <w:pPr>
              <w:autoSpaceDE w:val="0"/>
              <w:autoSpaceDN w:val="0"/>
              <w:adjustRightInd w:val="0"/>
              <w:snapToGrid w:val="0"/>
              <w:rPr>
                <w:rFonts w:eastAsia="Times New Roman" w:cs="Times New Roman"/>
                <w:sz w:val="22"/>
              </w:rPr>
            </w:pPr>
            <w:r>
              <w:rPr>
                <w:rFonts w:eastAsia="Times New Roman" w:cs="Times New Roman"/>
                <w:sz w:val="22"/>
              </w:rPr>
              <w:t>Academic activities</w:t>
            </w:r>
          </w:p>
        </w:tc>
        <w:tc>
          <w:tcPr>
            <w:tcW w:w="1872" w:type="dxa"/>
            <w:tcBorders>
              <w:top w:val="nil"/>
              <w:left w:val="single" w:sz="4" w:space="0" w:color="auto"/>
              <w:bottom w:val="nil"/>
              <w:right w:val="single" w:sz="4" w:space="0" w:color="auto"/>
            </w:tcBorders>
            <w:vAlign w:val="center"/>
            <w:hideMark/>
          </w:tcPr>
          <w:p w:rsidR="00610DDA" w:rsidRDefault="00610DDA">
            <w:pPr>
              <w:tabs>
                <w:tab w:val="decimal" w:pos="233"/>
              </w:tabs>
              <w:autoSpaceDE w:val="0"/>
              <w:autoSpaceDN w:val="0"/>
              <w:adjustRightInd w:val="0"/>
              <w:snapToGrid w:val="0"/>
              <w:jc w:val="center"/>
              <w:rPr>
                <w:rFonts w:eastAsia="Times New Roman" w:cs="Times New Roman"/>
                <w:sz w:val="22"/>
              </w:rPr>
            </w:pPr>
            <w:r>
              <w:rPr>
                <w:rFonts w:eastAsia="Times New Roman" w:cs="Times New Roman"/>
                <w:sz w:val="22"/>
              </w:rPr>
              <w:t>-0.018 (0.002)</w:t>
            </w:r>
          </w:p>
        </w:tc>
        <w:tc>
          <w:tcPr>
            <w:tcW w:w="1872" w:type="dxa"/>
            <w:tcBorders>
              <w:top w:val="nil"/>
              <w:left w:val="single" w:sz="4" w:space="0" w:color="auto"/>
              <w:bottom w:val="nil"/>
              <w:right w:val="double" w:sz="4" w:space="0" w:color="auto"/>
            </w:tcBorders>
            <w:vAlign w:val="center"/>
            <w:hideMark/>
          </w:tcPr>
          <w:p w:rsidR="00610DDA" w:rsidRDefault="00610DDA">
            <w:pPr>
              <w:tabs>
                <w:tab w:val="decimal" w:pos="136"/>
              </w:tabs>
              <w:autoSpaceDE w:val="0"/>
              <w:autoSpaceDN w:val="0"/>
              <w:adjustRightInd w:val="0"/>
              <w:snapToGrid w:val="0"/>
              <w:jc w:val="center"/>
              <w:rPr>
                <w:rFonts w:eastAsia="Times New Roman" w:cs="Times New Roman"/>
                <w:sz w:val="22"/>
              </w:rPr>
            </w:pPr>
            <w:r>
              <w:rPr>
                <w:rFonts w:eastAsia="Times New Roman" w:cs="Times New Roman"/>
                <w:sz w:val="22"/>
              </w:rPr>
              <w:t xml:space="preserve"> -0.022 (0.001) </w:t>
            </w:r>
          </w:p>
        </w:tc>
        <w:tc>
          <w:tcPr>
            <w:tcW w:w="1491" w:type="dxa"/>
            <w:tcBorders>
              <w:top w:val="nil"/>
              <w:left w:val="single" w:sz="4" w:space="0" w:color="auto"/>
              <w:bottom w:val="nil"/>
              <w:right w:val="single" w:sz="4" w:space="0" w:color="auto"/>
            </w:tcBorders>
            <w:vAlign w:val="center"/>
            <w:hideMark/>
          </w:tcPr>
          <w:p w:rsidR="00610DDA" w:rsidRDefault="00610DDA">
            <w:pPr>
              <w:tabs>
                <w:tab w:val="decimal" w:pos="196"/>
              </w:tabs>
              <w:autoSpaceDE w:val="0"/>
              <w:autoSpaceDN w:val="0"/>
              <w:adjustRightInd w:val="0"/>
              <w:snapToGrid w:val="0"/>
              <w:jc w:val="center"/>
              <w:rPr>
                <w:rFonts w:eastAsia="Times New Roman" w:cs="Times New Roman"/>
                <w:sz w:val="22"/>
              </w:rPr>
            </w:pPr>
            <w:r>
              <w:rPr>
                <w:rFonts w:eastAsia="Times New Roman" w:cs="Times New Roman"/>
                <w:sz w:val="22"/>
              </w:rPr>
              <w:t>82</w:t>
            </w:r>
          </w:p>
        </w:tc>
        <w:tc>
          <w:tcPr>
            <w:tcW w:w="1785" w:type="dxa"/>
            <w:tcBorders>
              <w:top w:val="nil"/>
              <w:left w:val="single" w:sz="4" w:space="0" w:color="auto"/>
              <w:bottom w:val="nil"/>
              <w:right w:val="double" w:sz="4" w:space="0" w:color="auto"/>
            </w:tcBorders>
            <w:vAlign w:val="center"/>
            <w:hideMark/>
          </w:tcPr>
          <w:p w:rsidR="00610DDA" w:rsidRDefault="00610DDA">
            <w:pPr>
              <w:tabs>
                <w:tab w:val="decimal" w:pos="196"/>
              </w:tabs>
              <w:autoSpaceDE w:val="0"/>
              <w:autoSpaceDN w:val="0"/>
              <w:adjustRightInd w:val="0"/>
              <w:snapToGrid w:val="0"/>
              <w:jc w:val="center"/>
              <w:rPr>
                <w:rFonts w:eastAsia="Times New Roman" w:cs="Times New Roman"/>
                <w:sz w:val="22"/>
              </w:rPr>
            </w:pPr>
            <w:r>
              <w:rPr>
                <w:rFonts w:eastAsia="Times New Roman" w:cs="Times New Roman"/>
                <w:sz w:val="22"/>
              </w:rPr>
              <w:t>18</w:t>
            </w:r>
          </w:p>
        </w:tc>
      </w:tr>
      <w:tr w:rsidR="00610DDA" w:rsidTr="00610DDA">
        <w:trPr>
          <w:trHeight w:val="374"/>
          <w:jc w:val="center"/>
        </w:trPr>
        <w:tc>
          <w:tcPr>
            <w:tcW w:w="2235" w:type="dxa"/>
            <w:tcBorders>
              <w:top w:val="nil"/>
              <w:left w:val="double" w:sz="4" w:space="0" w:color="auto"/>
              <w:bottom w:val="nil"/>
              <w:right w:val="single" w:sz="4" w:space="0" w:color="auto"/>
            </w:tcBorders>
            <w:vAlign w:val="center"/>
            <w:hideMark/>
          </w:tcPr>
          <w:p w:rsidR="00610DDA" w:rsidRDefault="00610DDA">
            <w:pPr>
              <w:autoSpaceDE w:val="0"/>
              <w:autoSpaceDN w:val="0"/>
              <w:adjustRightInd w:val="0"/>
              <w:snapToGrid w:val="0"/>
              <w:rPr>
                <w:rFonts w:eastAsia="Times New Roman" w:cs="Times New Roman"/>
                <w:sz w:val="22"/>
              </w:rPr>
            </w:pPr>
            <w:r>
              <w:rPr>
                <w:rFonts w:eastAsia="Times New Roman" w:cs="Times New Roman"/>
                <w:sz w:val="22"/>
              </w:rPr>
              <w:t>Sport activities</w:t>
            </w:r>
          </w:p>
        </w:tc>
        <w:tc>
          <w:tcPr>
            <w:tcW w:w="1872" w:type="dxa"/>
            <w:tcBorders>
              <w:top w:val="nil"/>
              <w:left w:val="single" w:sz="4" w:space="0" w:color="auto"/>
              <w:bottom w:val="nil"/>
              <w:right w:val="single" w:sz="4" w:space="0" w:color="auto"/>
            </w:tcBorders>
            <w:vAlign w:val="center"/>
            <w:hideMark/>
          </w:tcPr>
          <w:p w:rsidR="00610DDA" w:rsidRDefault="00610DDA">
            <w:pPr>
              <w:tabs>
                <w:tab w:val="decimal" w:pos="233"/>
              </w:tabs>
              <w:autoSpaceDE w:val="0"/>
              <w:autoSpaceDN w:val="0"/>
              <w:adjustRightInd w:val="0"/>
              <w:snapToGrid w:val="0"/>
              <w:jc w:val="center"/>
              <w:rPr>
                <w:rFonts w:eastAsia="Times New Roman" w:cs="Times New Roman"/>
                <w:sz w:val="22"/>
              </w:rPr>
            </w:pPr>
            <w:r>
              <w:rPr>
                <w:rFonts w:eastAsia="Times New Roman" w:cs="Times New Roman"/>
                <w:sz w:val="22"/>
              </w:rPr>
              <w:t>0.114 (0.003)</w:t>
            </w:r>
          </w:p>
        </w:tc>
        <w:tc>
          <w:tcPr>
            <w:tcW w:w="1872" w:type="dxa"/>
            <w:tcBorders>
              <w:top w:val="nil"/>
              <w:left w:val="single" w:sz="4" w:space="0" w:color="auto"/>
              <w:bottom w:val="nil"/>
              <w:right w:val="double" w:sz="4" w:space="0" w:color="auto"/>
            </w:tcBorders>
            <w:vAlign w:val="center"/>
            <w:hideMark/>
          </w:tcPr>
          <w:p w:rsidR="00610DDA" w:rsidRDefault="00610DDA">
            <w:pPr>
              <w:tabs>
                <w:tab w:val="decimal" w:pos="136"/>
              </w:tabs>
              <w:autoSpaceDE w:val="0"/>
              <w:autoSpaceDN w:val="0"/>
              <w:adjustRightInd w:val="0"/>
              <w:snapToGrid w:val="0"/>
              <w:jc w:val="center"/>
              <w:rPr>
                <w:rFonts w:eastAsia="Times New Roman" w:cs="Times New Roman"/>
                <w:sz w:val="22"/>
              </w:rPr>
            </w:pPr>
            <w:r>
              <w:rPr>
                <w:rFonts w:eastAsia="Times New Roman" w:cs="Times New Roman"/>
                <w:sz w:val="22"/>
              </w:rPr>
              <w:t xml:space="preserve">  0.127 (0.006)</w:t>
            </w:r>
          </w:p>
        </w:tc>
        <w:tc>
          <w:tcPr>
            <w:tcW w:w="1491" w:type="dxa"/>
            <w:tcBorders>
              <w:top w:val="nil"/>
              <w:left w:val="single" w:sz="4" w:space="0" w:color="auto"/>
              <w:bottom w:val="nil"/>
              <w:right w:val="single" w:sz="4" w:space="0" w:color="auto"/>
            </w:tcBorders>
            <w:vAlign w:val="center"/>
            <w:hideMark/>
          </w:tcPr>
          <w:p w:rsidR="00610DDA" w:rsidRDefault="00610DDA">
            <w:pPr>
              <w:tabs>
                <w:tab w:val="decimal" w:pos="196"/>
              </w:tabs>
              <w:autoSpaceDE w:val="0"/>
              <w:autoSpaceDN w:val="0"/>
              <w:adjustRightInd w:val="0"/>
              <w:snapToGrid w:val="0"/>
              <w:jc w:val="center"/>
              <w:rPr>
                <w:rFonts w:eastAsia="Times New Roman" w:cs="Times New Roman"/>
                <w:sz w:val="22"/>
              </w:rPr>
            </w:pPr>
            <w:r>
              <w:rPr>
                <w:rFonts w:eastAsia="Times New Roman" w:cs="Times New Roman"/>
                <w:sz w:val="22"/>
              </w:rPr>
              <w:t>90</w:t>
            </w:r>
          </w:p>
        </w:tc>
        <w:tc>
          <w:tcPr>
            <w:tcW w:w="1785" w:type="dxa"/>
            <w:tcBorders>
              <w:top w:val="nil"/>
              <w:left w:val="single" w:sz="4" w:space="0" w:color="auto"/>
              <w:bottom w:val="nil"/>
              <w:right w:val="double" w:sz="4" w:space="0" w:color="auto"/>
            </w:tcBorders>
            <w:vAlign w:val="center"/>
            <w:hideMark/>
          </w:tcPr>
          <w:p w:rsidR="00610DDA" w:rsidRDefault="00610DDA">
            <w:pPr>
              <w:tabs>
                <w:tab w:val="decimal" w:pos="196"/>
              </w:tabs>
              <w:autoSpaceDE w:val="0"/>
              <w:autoSpaceDN w:val="0"/>
              <w:adjustRightInd w:val="0"/>
              <w:snapToGrid w:val="0"/>
              <w:jc w:val="center"/>
              <w:rPr>
                <w:rFonts w:eastAsia="Times New Roman" w:cs="Times New Roman"/>
                <w:sz w:val="22"/>
              </w:rPr>
            </w:pPr>
            <w:r>
              <w:rPr>
                <w:rFonts w:eastAsia="Times New Roman" w:cs="Times New Roman"/>
                <w:sz w:val="22"/>
              </w:rPr>
              <w:t>10</w:t>
            </w:r>
          </w:p>
        </w:tc>
      </w:tr>
      <w:tr w:rsidR="00610DDA" w:rsidTr="00610DDA">
        <w:trPr>
          <w:trHeight w:val="374"/>
          <w:jc w:val="center"/>
        </w:trPr>
        <w:tc>
          <w:tcPr>
            <w:tcW w:w="2235" w:type="dxa"/>
            <w:tcBorders>
              <w:top w:val="nil"/>
              <w:left w:val="double" w:sz="4" w:space="0" w:color="auto"/>
              <w:bottom w:val="nil"/>
              <w:right w:val="single" w:sz="4" w:space="0" w:color="auto"/>
            </w:tcBorders>
            <w:vAlign w:val="center"/>
            <w:hideMark/>
          </w:tcPr>
          <w:p w:rsidR="00610DDA" w:rsidRDefault="00610DDA">
            <w:pPr>
              <w:autoSpaceDE w:val="0"/>
              <w:autoSpaceDN w:val="0"/>
              <w:adjustRightInd w:val="0"/>
              <w:snapToGrid w:val="0"/>
              <w:rPr>
                <w:rFonts w:eastAsia="Times New Roman" w:cs="Times New Roman"/>
                <w:sz w:val="22"/>
              </w:rPr>
            </w:pPr>
            <w:r>
              <w:rPr>
                <w:rFonts w:eastAsia="Times New Roman" w:cs="Times New Roman"/>
                <w:sz w:val="22"/>
              </w:rPr>
              <w:t>Arts activities</w:t>
            </w:r>
          </w:p>
        </w:tc>
        <w:tc>
          <w:tcPr>
            <w:tcW w:w="1872" w:type="dxa"/>
            <w:tcBorders>
              <w:top w:val="nil"/>
              <w:left w:val="single" w:sz="4" w:space="0" w:color="auto"/>
              <w:bottom w:val="nil"/>
              <w:right w:val="single" w:sz="4" w:space="0" w:color="auto"/>
            </w:tcBorders>
            <w:vAlign w:val="center"/>
            <w:hideMark/>
          </w:tcPr>
          <w:p w:rsidR="00610DDA" w:rsidRDefault="00610DDA">
            <w:pPr>
              <w:tabs>
                <w:tab w:val="decimal" w:pos="233"/>
              </w:tabs>
              <w:autoSpaceDE w:val="0"/>
              <w:autoSpaceDN w:val="0"/>
              <w:adjustRightInd w:val="0"/>
              <w:snapToGrid w:val="0"/>
              <w:jc w:val="center"/>
              <w:rPr>
                <w:rFonts w:eastAsia="Times New Roman" w:cs="Times New Roman"/>
                <w:sz w:val="22"/>
              </w:rPr>
            </w:pPr>
            <w:r>
              <w:rPr>
                <w:rFonts w:eastAsia="Times New Roman" w:cs="Times New Roman"/>
                <w:sz w:val="22"/>
              </w:rPr>
              <w:t>0.155 (0.009)</w:t>
            </w:r>
          </w:p>
        </w:tc>
        <w:tc>
          <w:tcPr>
            <w:tcW w:w="1872" w:type="dxa"/>
            <w:tcBorders>
              <w:top w:val="nil"/>
              <w:left w:val="single" w:sz="4" w:space="0" w:color="auto"/>
              <w:bottom w:val="nil"/>
              <w:right w:val="double" w:sz="4" w:space="0" w:color="auto"/>
            </w:tcBorders>
            <w:vAlign w:val="center"/>
            <w:hideMark/>
          </w:tcPr>
          <w:p w:rsidR="00610DDA" w:rsidRDefault="00610DDA">
            <w:pPr>
              <w:tabs>
                <w:tab w:val="decimal" w:pos="136"/>
              </w:tabs>
              <w:autoSpaceDE w:val="0"/>
              <w:autoSpaceDN w:val="0"/>
              <w:adjustRightInd w:val="0"/>
              <w:snapToGrid w:val="0"/>
              <w:jc w:val="center"/>
              <w:rPr>
                <w:rFonts w:eastAsia="Times New Roman" w:cs="Times New Roman"/>
                <w:sz w:val="22"/>
              </w:rPr>
            </w:pPr>
            <w:r>
              <w:rPr>
                <w:rFonts w:eastAsia="Times New Roman" w:cs="Times New Roman"/>
                <w:sz w:val="22"/>
              </w:rPr>
              <w:t xml:space="preserve">  0.189 (0.009)</w:t>
            </w:r>
          </w:p>
        </w:tc>
        <w:tc>
          <w:tcPr>
            <w:tcW w:w="1491" w:type="dxa"/>
            <w:tcBorders>
              <w:top w:val="nil"/>
              <w:left w:val="single" w:sz="4" w:space="0" w:color="auto"/>
              <w:bottom w:val="nil"/>
              <w:right w:val="single" w:sz="4" w:space="0" w:color="auto"/>
            </w:tcBorders>
            <w:vAlign w:val="center"/>
            <w:hideMark/>
          </w:tcPr>
          <w:p w:rsidR="00610DDA" w:rsidRDefault="00610DDA">
            <w:pPr>
              <w:tabs>
                <w:tab w:val="decimal" w:pos="196"/>
              </w:tabs>
              <w:autoSpaceDE w:val="0"/>
              <w:autoSpaceDN w:val="0"/>
              <w:adjustRightInd w:val="0"/>
              <w:snapToGrid w:val="0"/>
              <w:jc w:val="center"/>
              <w:rPr>
                <w:rFonts w:eastAsia="Times New Roman" w:cs="Times New Roman"/>
                <w:sz w:val="22"/>
              </w:rPr>
            </w:pPr>
            <w:r>
              <w:rPr>
                <w:rFonts w:eastAsia="Times New Roman" w:cs="Times New Roman"/>
                <w:sz w:val="22"/>
              </w:rPr>
              <w:t>84</w:t>
            </w:r>
          </w:p>
        </w:tc>
        <w:tc>
          <w:tcPr>
            <w:tcW w:w="1785" w:type="dxa"/>
            <w:tcBorders>
              <w:top w:val="nil"/>
              <w:left w:val="single" w:sz="4" w:space="0" w:color="auto"/>
              <w:bottom w:val="nil"/>
              <w:right w:val="double" w:sz="4" w:space="0" w:color="auto"/>
            </w:tcBorders>
            <w:vAlign w:val="center"/>
            <w:hideMark/>
          </w:tcPr>
          <w:p w:rsidR="00610DDA" w:rsidRDefault="00610DDA">
            <w:pPr>
              <w:tabs>
                <w:tab w:val="decimal" w:pos="196"/>
              </w:tabs>
              <w:autoSpaceDE w:val="0"/>
              <w:autoSpaceDN w:val="0"/>
              <w:adjustRightInd w:val="0"/>
              <w:snapToGrid w:val="0"/>
              <w:jc w:val="center"/>
              <w:rPr>
                <w:rFonts w:eastAsia="Times New Roman" w:cs="Times New Roman"/>
                <w:sz w:val="22"/>
              </w:rPr>
            </w:pPr>
            <w:r>
              <w:rPr>
                <w:rFonts w:eastAsia="Times New Roman" w:cs="Times New Roman"/>
                <w:sz w:val="22"/>
              </w:rPr>
              <w:t>16</w:t>
            </w:r>
          </w:p>
        </w:tc>
      </w:tr>
      <w:tr w:rsidR="00610DDA" w:rsidTr="00610DDA">
        <w:trPr>
          <w:trHeight w:val="374"/>
          <w:jc w:val="center"/>
        </w:trPr>
        <w:tc>
          <w:tcPr>
            <w:tcW w:w="2235" w:type="dxa"/>
            <w:tcBorders>
              <w:top w:val="nil"/>
              <w:left w:val="double" w:sz="4" w:space="0" w:color="auto"/>
              <w:bottom w:val="nil"/>
              <w:right w:val="single" w:sz="4" w:space="0" w:color="auto"/>
            </w:tcBorders>
            <w:vAlign w:val="center"/>
            <w:hideMark/>
          </w:tcPr>
          <w:p w:rsidR="00610DDA" w:rsidRDefault="00610DDA">
            <w:pPr>
              <w:autoSpaceDE w:val="0"/>
              <w:autoSpaceDN w:val="0"/>
              <w:adjustRightInd w:val="0"/>
              <w:snapToGrid w:val="0"/>
              <w:rPr>
                <w:rFonts w:eastAsia="Times New Roman" w:cs="Times New Roman"/>
                <w:sz w:val="22"/>
              </w:rPr>
            </w:pPr>
            <w:r>
              <w:rPr>
                <w:rFonts w:eastAsia="Times New Roman" w:cs="Times New Roman"/>
                <w:sz w:val="22"/>
              </w:rPr>
              <w:t>Hobby activities</w:t>
            </w:r>
          </w:p>
        </w:tc>
        <w:tc>
          <w:tcPr>
            <w:tcW w:w="1872" w:type="dxa"/>
            <w:tcBorders>
              <w:top w:val="nil"/>
              <w:left w:val="single" w:sz="4" w:space="0" w:color="auto"/>
              <w:bottom w:val="nil"/>
              <w:right w:val="single" w:sz="4" w:space="0" w:color="auto"/>
            </w:tcBorders>
            <w:vAlign w:val="center"/>
            <w:hideMark/>
          </w:tcPr>
          <w:p w:rsidR="00610DDA" w:rsidRDefault="00610DDA">
            <w:pPr>
              <w:tabs>
                <w:tab w:val="decimal" w:pos="233"/>
              </w:tabs>
              <w:autoSpaceDE w:val="0"/>
              <w:autoSpaceDN w:val="0"/>
              <w:adjustRightInd w:val="0"/>
              <w:snapToGrid w:val="0"/>
              <w:jc w:val="center"/>
              <w:rPr>
                <w:rFonts w:eastAsia="Times New Roman" w:cs="Times New Roman"/>
                <w:sz w:val="22"/>
              </w:rPr>
            </w:pPr>
            <w:r>
              <w:rPr>
                <w:rFonts w:eastAsia="Times New Roman" w:cs="Times New Roman"/>
                <w:sz w:val="22"/>
              </w:rPr>
              <w:t>-0.012 (0.001)</w:t>
            </w:r>
          </w:p>
        </w:tc>
        <w:tc>
          <w:tcPr>
            <w:tcW w:w="1872" w:type="dxa"/>
            <w:tcBorders>
              <w:top w:val="nil"/>
              <w:left w:val="single" w:sz="4" w:space="0" w:color="auto"/>
              <w:bottom w:val="nil"/>
              <w:right w:val="double" w:sz="4" w:space="0" w:color="auto"/>
            </w:tcBorders>
            <w:vAlign w:val="center"/>
            <w:hideMark/>
          </w:tcPr>
          <w:p w:rsidR="00610DDA" w:rsidRDefault="00610DDA">
            <w:pPr>
              <w:tabs>
                <w:tab w:val="decimal" w:pos="136"/>
              </w:tabs>
              <w:autoSpaceDE w:val="0"/>
              <w:autoSpaceDN w:val="0"/>
              <w:adjustRightInd w:val="0"/>
              <w:snapToGrid w:val="0"/>
              <w:jc w:val="center"/>
              <w:rPr>
                <w:rFonts w:eastAsia="Times New Roman" w:cs="Times New Roman"/>
                <w:sz w:val="22"/>
              </w:rPr>
            </w:pPr>
            <w:r>
              <w:rPr>
                <w:rFonts w:eastAsia="Times New Roman" w:cs="Times New Roman"/>
                <w:sz w:val="22"/>
              </w:rPr>
              <w:t xml:space="preserve">  -0.015 (0.002)</w:t>
            </w:r>
          </w:p>
        </w:tc>
        <w:tc>
          <w:tcPr>
            <w:tcW w:w="1491" w:type="dxa"/>
            <w:tcBorders>
              <w:top w:val="nil"/>
              <w:left w:val="single" w:sz="4" w:space="0" w:color="auto"/>
              <w:bottom w:val="nil"/>
              <w:right w:val="single" w:sz="4" w:space="0" w:color="auto"/>
            </w:tcBorders>
            <w:vAlign w:val="center"/>
            <w:hideMark/>
          </w:tcPr>
          <w:p w:rsidR="00610DDA" w:rsidRDefault="00610DDA">
            <w:pPr>
              <w:tabs>
                <w:tab w:val="decimal" w:pos="196"/>
              </w:tabs>
              <w:autoSpaceDE w:val="0"/>
              <w:autoSpaceDN w:val="0"/>
              <w:adjustRightInd w:val="0"/>
              <w:snapToGrid w:val="0"/>
              <w:jc w:val="center"/>
              <w:rPr>
                <w:rFonts w:eastAsia="Times New Roman" w:cs="Times New Roman"/>
                <w:sz w:val="22"/>
              </w:rPr>
            </w:pPr>
            <w:r>
              <w:rPr>
                <w:rFonts w:eastAsia="Times New Roman" w:cs="Times New Roman"/>
                <w:sz w:val="22"/>
              </w:rPr>
              <w:t>80</w:t>
            </w:r>
          </w:p>
        </w:tc>
        <w:tc>
          <w:tcPr>
            <w:tcW w:w="1785" w:type="dxa"/>
            <w:tcBorders>
              <w:top w:val="nil"/>
              <w:left w:val="single" w:sz="4" w:space="0" w:color="auto"/>
              <w:bottom w:val="nil"/>
              <w:right w:val="double" w:sz="4" w:space="0" w:color="auto"/>
            </w:tcBorders>
            <w:vAlign w:val="center"/>
            <w:hideMark/>
          </w:tcPr>
          <w:p w:rsidR="00610DDA" w:rsidRDefault="00610DDA">
            <w:pPr>
              <w:tabs>
                <w:tab w:val="decimal" w:pos="196"/>
              </w:tabs>
              <w:autoSpaceDE w:val="0"/>
              <w:autoSpaceDN w:val="0"/>
              <w:adjustRightInd w:val="0"/>
              <w:snapToGrid w:val="0"/>
              <w:jc w:val="center"/>
              <w:rPr>
                <w:rFonts w:eastAsia="Times New Roman" w:cs="Times New Roman"/>
                <w:sz w:val="22"/>
              </w:rPr>
            </w:pPr>
            <w:r>
              <w:rPr>
                <w:rFonts w:eastAsia="Times New Roman" w:cs="Times New Roman"/>
                <w:sz w:val="22"/>
              </w:rPr>
              <w:t>20</w:t>
            </w:r>
          </w:p>
        </w:tc>
      </w:tr>
      <w:tr w:rsidR="00610DDA" w:rsidTr="00610DDA">
        <w:trPr>
          <w:trHeight w:val="374"/>
          <w:jc w:val="center"/>
        </w:trPr>
        <w:tc>
          <w:tcPr>
            <w:tcW w:w="2235" w:type="dxa"/>
            <w:tcBorders>
              <w:top w:val="nil"/>
              <w:left w:val="double" w:sz="4" w:space="0" w:color="auto"/>
              <w:bottom w:val="nil"/>
              <w:right w:val="single" w:sz="4" w:space="0" w:color="auto"/>
            </w:tcBorders>
            <w:vAlign w:val="center"/>
          </w:tcPr>
          <w:p w:rsidR="00610DDA" w:rsidRDefault="00610DDA">
            <w:pPr>
              <w:autoSpaceDE w:val="0"/>
              <w:autoSpaceDN w:val="0"/>
              <w:adjustRightInd w:val="0"/>
              <w:snapToGrid w:val="0"/>
              <w:rPr>
                <w:rFonts w:eastAsia="Times New Roman" w:cs="Times New Roman"/>
                <w:sz w:val="22"/>
              </w:rPr>
            </w:pPr>
          </w:p>
        </w:tc>
        <w:tc>
          <w:tcPr>
            <w:tcW w:w="1872" w:type="dxa"/>
            <w:tcBorders>
              <w:top w:val="nil"/>
              <w:left w:val="single" w:sz="4" w:space="0" w:color="auto"/>
              <w:bottom w:val="nil"/>
              <w:right w:val="single" w:sz="4" w:space="0" w:color="auto"/>
            </w:tcBorders>
            <w:vAlign w:val="center"/>
          </w:tcPr>
          <w:p w:rsidR="00610DDA" w:rsidRDefault="00610DDA">
            <w:pPr>
              <w:tabs>
                <w:tab w:val="decimal" w:pos="233"/>
              </w:tabs>
              <w:autoSpaceDE w:val="0"/>
              <w:autoSpaceDN w:val="0"/>
              <w:adjustRightInd w:val="0"/>
              <w:snapToGrid w:val="0"/>
              <w:jc w:val="center"/>
              <w:rPr>
                <w:rFonts w:eastAsia="Times New Roman" w:cs="Times New Roman"/>
                <w:sz w:val="22"/>
              </w:rPr>
            </w:pPr>
          </w:p>
        </w:tc>
        <w:tc>
          <w:tcPr>
            <w:tcW w:w="1872" w:type="dxa"/>
            <w:tcBorders>
              <w:top w:val="nil"/>
              <w:left w:val="single" w:sz="4" w:space="0" w:color="auto"/>
              <w:bottom w:val="nil"/>
              <w:right w:val="double" w:sz="4" w:space="0" w:color="auto"/>
            </w:tcBorders>
            <w:vAlign w:val="center"/>
          </w:tcPr>
          <w:p w:rsidR="00610DDA" w:rsidRDefault="00610DDA">
            <w:pPr>
              <w:tabs>
                <w:tab w:val="decimal" w:pos="136"/>
              </w:tabs>
              <w:autoSpaceDE w:val="0"/>
              <w:autoSpaceDN w:val="0"/>
              <w:adjustRightInd w:val="0"/>
              <w:snapToGrid w:val="0"/>
              <w:jc w:val="center"/>
              <w:rPr>
                <w:rFonts w:eastAsia="Times New Roman" w:cs="Times New Roman"/>
                <w:sz w:val="22"/>
              </w:rPr>
            </w:pPr>
          </w:p>
        </w:tc>
        <w:tc>
          <w:tcPr>
            <w:tcW w:w="1491" w:type="dxa"/>
            <w:tcBorders>
              <w:top w:val="nil"/>
              <w:left w:val="single" w:sz="4" w:space="0" w:color="auto"/>
              <w:bottom w:val="nil"/>
              <w:right w:val="single" w:sz="4" w:space="0" w:color="auto"/>
            </w:tcBorders>
            <w:vAlign w:val="center"/>
          </w:tcPr>
          <w:p w:rsidR="00610DDA" w:rsidRDefault="00610DDA">
            <w:pPr>
              <w:tabs>
                <w:tab w:val="decimal" w:pos="196"/>
              </w:tabs>
              <w:autoSpaceDE w:val="0"/>
              <w:autoSpaceDN w:val="0"/>
              <w:adjustRightInd w:val="0"/>
              <w:snapToGrid w:val="0"/>
              <w:jc w:val="center"/>
              <w:rPr>
                <w:rFonts w:eastAsia="Times New Roman" w:cs="Times New Roman"/>
                <w:sz w:val="22"/>
              </w:rPr>
            </w:pPr>
          </w:p>
        </w:tc>
        <w:tc>
          <w:tcPr>
            <w:tcW w:w="1785" w:type="dxa"/>
            <w:tcBorders>
              <w:top w:val="nil"/>
              <w:left w:val="single" w:sz="4" w:space="0" w:color="auto"/>
              <w:bottom w:val="nil"/>
              <w:right w:val="double" w:sz="4" w:space="0" w:color="auto"/>
            </w:tcBorders>
            <w:vAlign w:val="center"/>
          </w:tcPr>
          <w:p w:rsidR="00610DDA" w:rsidRDefault="00610DDA">
            <w:pPr>
              <w:tabs>
                <w:tab w:val="decimal" w:pos="196"/>
              </w:tabs>
              <w:autoSpaceDE w:val="0"/>
              <w:autoSpaceDN w:val="0"/>
              <w:adjustRightInd w:val="0"/>
              <w:snapToGrid w:val="0"/>
              <w:jc w:val="center"/>
              <w:rPr>
                <w:rFonts w:eastAsia="Times New Roman" w:cs="Times New Roman"/>
                <w:sz w:val="22"/>
              </w:rPr>
            </w:pPr>
          </w:p>
        </w:tc>
      </w:tr>
      <w:tr w:rsidR="00610DDA" w:rsidTr="00610DDA">
        <w:trPr>
          <w:trHeight w:val="374"/>
          <w:jc w:val="center"/>
        </w:trPr>
        <w:tc>
          <w:tcPr>
            <w:tcW w:w="2235" w:type="dxa"/>
            <w:tcBorders>
              <w:top w:val="nil"/>
              <w:left w:val="double" w:sz="4" w:space="0" w:color="auto"/>
              <w:bottom w:val="nil"/>
              <w:right w:val="single" w:sz="4" w:space="0" w:color="auto"/>
            </w:tcBorders>
            <w:vAlign w:val="center"/>
            <w:hideMark/>
          </w:tcPr>
          <w:p w:rsidR="00610DDA" w:rsidRDefault="00610DDA">
            <w:pPr>
              <w:autoSpaceDE w:val="0"/>
              <w:autoSpaceDN w:val="0"/>
              <w:adjustRightInd w:val="0"/>
              <w:snapToGrid w:val="0"/>
              <w:rPr>
                <w:rFonts w:eastAsia="Times New Roman" w:cs="Times New Roman"/>
                <w:sz w:val="22"/>
              </w:rPr>
            </w:pPr>
            <w:r>
              <w:rPr>
                <w:rFonts w:eastAsia="Times New Roman" w:cs="Times New Roman"/>
                <w:b/>
                <w:sz w:val="22"/>
              </w:rPr>
              <w:t>Active travel</w:t>
            </w:r>
          </w:p>
        </w:tc>
        <w:tc>
          <w:tcPr>
            <w:tcW w:w="1872" w:type="dxa"/>
            <w:tcBorders>
              <w:top w:val="nil"/>
              <w:left w:val="single" w:sz="4" w:space="0" w:color="auto"/>
              <w:bottom w:val="nil"/>
              <w:right w:val="single" w:sz="4" w:space="0" w:color="auto"/>
            </w:tcBorders>
            <w:vAlign w:val="center"/>
          </w:tcPr>
          <w:p w:rsidR="00610DDA" w:rsidRDefault="00610DDA">
            <w:pPr>
              <w:tabs>
                <w:tab w:val="decimal" w:pos="233"/>
              </w:tabs>
              <w:autoSpaceDE w:val="0"/>
              <w:autoSpaceDN w:val="0"/>
              <w:adjustRightInd w:val="0"/>
              <w:snapToGrid w:val="0"/>
              <w:jc w:val="center"/>
              <w:rPr>
                <w:rFonts w:eastAsia="Times New Roman" w:cs="Times New Roman"/>
                <w:sz w:val="22"/>
              </w:rPr>
            </w:pPr>
          </w:p>
        </w:tc>
        <w:tc>
          <w:tcPr>
            <w:tcW w:w="1872" w:type="dxa"/>
            <w:tcBorders>
              <w:top w:val="nil"/>
              <w:left w:val="single" w:sz="4" w:space="0" w:color="auto"/>
              <w:bottom w:val="nil"/>
              <w:right w:val="double" w:sz="4" w:space="0" w:color="auto"/>
            </w:tcBorders>
            <w:vAlign w:val="center"/>
          </w:tcPr>
          <w:p w:rsidR="00610DDA" w:rsidRDefault="00610DDA">
            <w:pPr>
              <w:tabs>
                <w:tab w:val="decimal" w:pos="136"/>
              </w:tabs>
              <w:autoSpaceDE w:val="0"/>
              <w:autoSpaceDN w:val="0"/>
              <w:adjustRightInd w:val="0"/>
              <w:snapToGrid w:val="0"/>
              <w:jc w:val="center"/>
              <w:rPr>
                <w:rFonts w:eastAsia="Times New Roman" w:cs="Times New Roman"/>
                <w:sz w:val="22"/>
              </w:rPr>
            </w:pPr>
          </w:p>
        </w:tc>
        <w:tc>
          <w:tcPr>
            <w:tcW w:w="1491" w:type="dxa"/>
            <w:tcBorders>
              <w:top w:val="nil"/>
              <w:left w:val="single" w:sz="4" w:space="0" w:color="auto"/>
              <w:bottom w:val="nil"/>
              <w:right w:val="single" w:sz="4" w:space="0" w:color="auto"/>
            </w:tcBorders>
            <w:vAlign w:val="center"/>
          </w:tcPr>
          <w:p w:rsidR="00610DDA" w:rsidRDefault="00610DDA">
            <w:pPr>
              <w:tabs>
                <w:tab w:val="decimal" w:pos="196"/>
              </w:tabs>
              <w:autoSpaceDE w:val="0"/>
              <w:autoSpaceDN w:val="0"/>
              <w:adjustRightInd w:val="0"/>
              <w:snapToGrid w:val="0"/>
              <w:jc w:val="center"/>
              <w:rPr>
                <w:rFonts w:eastAsia="Times New Roman" w:cs="Times New Roman"/>
                <w:sz w:val="22"/>
              </w:rPr>
            </w:pPr>
          </w:p>
        </w:tc>
        <w:tc>
          <w:tcPr>
            <w:tcW w:w="1785" w:type="dxa"/>
            <w:tcBorders>
              <w:top w:val="nil"/>
              <w:left w:val="single" w:sz="4" w:space="0" w:color="auto"/>
              <w:bottom w:val="nil"/>
              <w:right w:val="double" w:sz="4" w:space="0" w:color="auto"/>
            </w:tcBorders>
            <w:vAlign w:val="center"/>
          </w:tcPr>
          <w:p w:rsidR="00610DDA" w:rsidRDefault="00610DDA">
            <w:pPr>
              <w:tabs>
                <w:tab w:val="decimal" w:pos="196"/>
              </w:tabs>
              <w:autoSpaceDE w:val="0"/>
              <w:autoSpaceDN w:val="0"/>
              <w:adjustRightInd w:val="0"/>
              <w:snapToGrid w:val="0"/>
              <w:jc w:val="center"/>
              <w:rPr>
                <w:rFonts w:eastAsia="Times New Roman" w:cs="Times New Roman"/>
                <w:sz w:val="22"/>
              </w:rPr>
            </w:pPr>
          </w:p>
        </w:tc>
      </w:tr>
      <w:tr w:rsidR="00610DDA" w:rsidTr="00610DDA">
        <w:trPr>
          <w:trHeight w:val="374"/>
          <w:jc w:val="center"/>
        </w:trPr>
        <w:tc>
          <w:tcPr>
            <w:tcW w:w="2235" w:type="dxa"/>
            <w:tcBorders>
              <w:top w:val="nil"/>
              <w:left w:val="double" w:sz="4" w:space="0" w:color="auto"/>
              <w:bottom w:val="nil"/>
              <w:right w:val="single" w:sz="4" w:space="0" w:color="auto"/>
            </w:tcBorders>
            <w:vAlign w:val="center"/>
            <w:hideMark/>
          </w:tcPr>
          <w:p w:rsidR="00610DDA" w:rsidRDefault="00610DDA">
            <w:pPr>
              <w:autoSpaceDE w:val="0"/>
              <w:autoSpaceDN w:val="0"/>
              <w:adjustRightInd w:val="0"/>
              <w:snapToGrid w:val="0"/>
              <w:rPr>
                <w:rFonts w:eastAsia="Times New Roman" w:cs="Times New Roman"/>
                <w:sz w:val="22"/>
              </w:rPr>
            </w:pPr>
            <w:r>
              <w:rPr>
                <w:rFonts w:eastAsia="Times New Roman" w:cs="Times New Roman"/>
                <w:sz w:val="22"/>
              </w:rPr>
              <w:t>Some active travel</w:t>
            </w:r>
          </w:p>
        </w:tc>
        <w:tc>
          <w:tcPr>
            <w:tcW w:w="1872" w:type="dxa"/>
            <w:tcBorders>
              <w:top w:val="nil"/>
              <w:left w:val="single" w:sz="4" w:space="0" w:color="auto"/>
              <w:bottom w:val="nil"/>
              <w:right w:val="single" w:sz="4" w:space="0" w:color="auto"/>
            </w:tcBorders>
            <w:vAlign w:val="center"/>
            <w:hideMark/>
          </w:tcPr>
          <w:p w:rsidR="00610DDA" w:rsidRDefault="00610DDA">
            <w:pPr>
              <w:tabs>
                <w:tab w:val="decimal" w:pos="233"/>
              </w:tabs>
              <w:autoSpaceDE w:val="0"/>
              <w:autoSpaceDN w:val="0"/>
              <w:adjustRightInd w:val="0"/>
              <w:snapToGrid w:val="0"/>
              <w:jc w:val="center"/>
              <w:rPr>
                <w:rFonts w:eastAsia="Times New Roman" w:cs="Times New Roman"/>
                <w:sz w:val="22"/>
              </w:rPr>
            </w:pPr>
            <w:r>
              <w:rPr>
                <w:rFonts w:eastAsia="Times New Roman" w:cs="Times New Roman"/>
                <w:sz w:val="22"/>
              </w:rPr>
              <w:t>0.087 (0.005)</w:t>
            </w:r>
          </w:p>
        </w:tc>
        <w:tc>
          <w:tcPr>
            <w:tcW w:w="1872" w:type="dxa"/>
            <w:tcBorders>
              <w:top w:val="nil"/>
              <w:left w:val="single" w:sz="4" w:space="0" w:color="auto"/>
              <w:bottom w:val="nil"/>
              <w:right w:val="double" w:sz="4" w:space="0" w:color="auto"/>
            </w:tcBorders>
            <w:vAlign w:val="center"/>
            <w:hideMark/>
          </w:tcPr>
          <w:p w:rsidR="00610DDA" w:rsidRDefault="00610DDA">
            <w:pPr>
              <w:tabs>
                <w:tab w:val="decimal" w:pos="136"/>
              </w:tabs>
              <w:autoSpaceDE w:val="0"/>
              <w:autoSpaceDN w:val="0"/>
              <w:adjustRightInd w:val="0"/>
              <w:snapToGrid w:val="0"/>
              <w:jc w:val="center"/>
              <w:rPr>
                <w:rFonts w:eastAsia="Times New Roman" w:cs="Times New Roman"/>
                <w:sz w:val="22"/>
              </w:rPr>
            </w:pPr>
            <w:r>
              <w:rPr>
                <w:rFonts w:eastAsia="Times New Roman" w:cs="Times New Roman"/>
                <w:sz w:val="22"/>
              </w:rPr>
              <w:t>0.103 (0.004)</w:t>
            </w:r>
          </w:p>
        </w:tc>
        <w:tc>
          <w:tcPr>
            <w:tcW w:w="1491" w:type="dxa"/>
            <w:tcBorders>
              <w:top w:val="nil"/>
              <w:left w:val="single" w:sz="4" w:space="0" w:color="auto"/>
              <w:bottom w:val="nil"/>
              <w:right w:val="single" w:sz="4" w:space="0" w:color="auto"/>
            </w:tcBorders>
            <w:vAlign w:val="center"/>
            <w:hideMark/>
          </w:tcPr>
          <w:p w:rsidR="00610DDA" w:rsidRDefault="00610DDA">
            <w:pPr>
              <w:tabs>
                <w:tab w:val="decimal" w:pos="196"/>
              </w:tabs>
              <w:autoSpaceDE w:val="0"/>
              <w:autoSpaceDN w:val="0"/>
              <w:adjustRightInd w:val="0"/>
              <w:snapToGrid w:val="0"/>
              <w:jc w:val="center"/>
              <w:rPr>
                <w:rFonts w:eastAsia="Times New Roman" w:cs="Times New Roman"/>
                <w:sz w:val="22"/>
              </w:rPr>
            </w:pPr>
            <w:r>
              <w:rPr>
                <w:rFonts w:eastAsia="Times New Roman" w:cs="Times New Roman"/>
                <w:sz w:val="22"/>
              </w:rPr>
              <w:t>84</w:t>
            </w:r>
          </w:p>
        </w:tc>
        <w:tc>
          <w:tcPr>
            <w:tcW w:w="1785" w:type="dxa"/>
            <w:tcBorders>
              <w:top w:val="nil"/>
              <w:left w:val="single" w:sz="4" w:space="0" w:color="auto"/>
              <w:bottom w:val="nil"/>
              <w:right w:val="double" w:sz="4" w:space="0" w:color="auto"/>
            </w:tcBorders>
            <w:vAlign w:val="center"/>
            <w:hideMark/>
          </w:tcPr>
          <w:p w:rsidR="00610DDA" w:rsidRDefault="00610DDA">
            <w:pPr>
              <w:tabs>
                <w:tab w:val="decimal" w:pos="196"/>
              </w:tabs>
              <w:autoSpaceDE w:val="0"/>
              <w:autoSpaceDN w:val="0"/>
              <w:adjustRightInd w:val="0"/>
              <w:snapToGrid w:val="0"/>
              <w:jc w:val="center"/>
              <w:rPr>
                <w:rFonts w:eastAsia="Times New Roman" w:cs="Times New Roman"/>
                <w:sz w:val="22"/>
              </w:rPr>
            </w:pPr>
            <w:r>
              <w:rPr>
                <w:rFonts w:eastAsia="Times New Roman" w:cs="Times New Roman"/>
                <w:sz w:val="22"/>
              </w:rPr>
              <w:t>16</w:t>
            </w:r>
          </w:p>
        </w:tc>
      </w:tr>
      <w:tr w:rsidR="00610DDA" w:rsidTr="00610DDA">
        <w:trPr>
          <w:trHeight w:val="374"/>
          <w:jc w:val="center"/>
        </w:trPr>
        <w:tc>
          <w:tcPr>
            <w:tcW w:w="2235" w:type="dxa"/>
            <w:tcBorders>
              <w:top w:val="nil"/>
              <w:left w:val="double" w:sz="4" w:space="0" w:color="auto"/>
              <w:bottom w:val="double" w:sz="4" w:space="0" w:color="auto"/>
              <w:right w:val="single" w:sz="4" w:space="0" w:color="auto"/>
            </w:tcBorders>
            <w:vAlign w:val="center"/>
            <w:hideMark/>
          </w:tcPr>
          <w:p w:rsidR="00610DDA" w:rsidRDefault="00610DDA">
            <w:pPr>
              <w:autoSpaceDE w:val="0"/>
              <w:autoSpaceDN w:val="0"/>
              <w:adjustRightInd w:val="0"/>
              <w:snapToGrid w:val="0"/>
              <w:rPr>
                <w:rFonts w:eastAsia="Times New Roman" w:cs="Times New Roman"/>
                <w:sz w:val="22"/>
              </w:rPr>
            </w:pPr>
            <w:r>
              <w:rPr>
                <w:rFonts w:eastAsia="Times New Roman" w:cs="Times New Roman"/>
                <w:sz w:val="22"/>
              </w:rPr>
              <w:t>All active travel</w:t>
            </w:r>
          </w:p>
        </w:tc>
        <w:tc>
          <w:tcPr>
            <w:tcW w:w="1872" w:type="dxa"/>
            <w:tcBorders>
              <w:top w:val="nil"/>
              <w:left w:val="single" w:sz="4" w:space="0" w:color="auto"/>
              <w:bottom w:val="double" w:sz="4" w:space="0" w:color="auto"/>
              <w:right w:val="single" w:sz="4" w:space="0" w:color="auto"/>
            </w:tcBorders>
            <w:vAlign w:val="center"/>
            <w:hideMark/>
          </w:tcPr>
          <w:p w:rsidR="00610DDA" w:rsidRDefault="00610DDA">
            <w:pPr>
              <w:tabs>
                <w:tab w:val="decimal" w:pos="233"/>
              </w:tabs>
              <w:autoSpaceDE w:val="0"/>
              <w:autoSpaceDN w:val="0"/>
              <w:adjustRightInd w:val="0"/>
              <w:snapToGrid w:val="0"/>
              <w:jc w:val="center"/>
              <w:rPr>
                <w:rFonts w:eastAsia="Times New Roman" w:cs="Times New Roman"/>
                <w:sz w:val="22"/>
              </w:rPr>
            </w:pPr>
            <w:r>
              <w:rPr>
                <w:rFonts w:eastAsia="Times New Roman" w:cs="Times New Roman"/>
                <w:sz w:val="22"/>
              </w:rPr>
              <w:t>0.106 (0.006)</w:t>
            </w:r>
          </w:p>
        </w:tc>
        <w:tc>
          <w:tcPr>
            <w:tcW w:w="1872" w:type="dxa"/>
            <w:tcBorders>
              <w:top w:val="nil"/>
              <w:left w:val="single" w:sz="4" w:space="0" w:color="auto"/>
              <w:bottom w:val="double" w:sz="4" w:space="0" w:color="auto"/>
              <w:right w:val="double" w:sz="4" w:space="0" w:color="auto"/>
            </w:tcBorders>
            <w:vAlign w:val="center"/>
            <w:hideMark/>
          </w:tcPr>
          <w:p w:rsidR="00610DDA" w:rsidRDefault="00610DDA">
            <w:pPr>
              <w:tabs>
                <w:tab w:val="decimal" w:pos="136"/>
              </w:tabs>
              <w:autoSpaceDE w:val="0"/>
              <w:autoSpaceDN w:val="0"/>
              <w:adjustRightInd w:val="0"/>
              <w:snapToGrid w:val="0"/>
              <w:jc w:val="center"/>
              <w:rPr>
                <w:rFonts w:eastAsia="Times New Roman" w:cs="Times New Roman"/>
                <w:sz w:val="22"/>
              </w:rPr>
            </w:pPr>
            <w:r>
              <w:rPr>
                <w:rFonts w:eastAsia="Times New Roman" w:cs="Times New Roman"/>
                <w:sz w:val="22"/>
              </w:rPr>
              <w:t>0.122 (0.002)</w:t>
            </w:r>
          </w:p>
        </w:tc>
        <w:tc>
          <w:tcPr>
            <w:tcW w:w="1491" w:type="dxa"/>
            <w:tcBorders>
              <w:top w:val="nil"/>
              <w:left w:val="single" w:sz="4" w:space="0" w:color="auto"/>
              <w:bottom w:val="double" w:sz="4" w:space="0" w:color="auto"/>
              <w:right w:val="single" w:sz="4" w:space="0" w:color="auto"/>
            </w:tcBorders>
            <w:vAlign w:val="center"/>
            <w:hideMark/>
          </w:tcPr>
          <w:p w:rsidR="00610DDA" w:rsidRDefault="00610DDA">
            <w:pPr>
              <w:tabs>
                <w:tab w:val="decimal" w:pos="196"/>
              </w:tabs>
              <w:autoSpaceDE w:val="0"/>
              <w:autoSpaceDN w:val="0"/>
              <w:adjustRightInd w:val="0"/>
              <w:snapToGrid w:val="0"/>
              <w:jc w:val="center"/>
              <w:rPr>
                <w:rFonts w:eastAsia="Times New Roman" w:cs="Times New Roman"/>
                <w:sz w:val="22"/>
              </w:rPr>
            </w:pPr>
            <w:r>
              <w:rPr>
                <w:rFonts w:eastAsia="Times New Roman" w:cs="Times New Roman"/>
                <w:sz w:val="22"/>
              </w:rPr>
              <w:t>87</w:t>
            </w:r>
          </w:p>
        </w:tc>
        <w:tc>
          <w:tcPr>
            <w:tcW w:w="1785" w:type="dxa"/>
            <w:tcBorders>
              <w:top w:val="nil"/>
              <w:left w:val="single" w:sz="4" w:space="0" w:color="auto"/>
              <w:bottom w:val="double" w:sz="4" w:space="0" w:color="auto"/>
              <w:right w:val="double" w:sz="4" w:space="0" w:color="auto"/>
            </w:tcBorders>
            <w:vAlign w:val="center"/>
            <w:hideMark/>
          </w:tcPr>
          <w:p w:rsidR="00610DDA" w:rsidRDefault="00610DDA">
            <w:pPr>
              <w:tabs>
                <w:tab w:val="decimal" w:pos="196"/>
              </w:tabs>
              <w:autoSpaceDE w:val="0"/>
              <w:autoSpaceDN w:val="0"/>
              <w:adjustRightInd w:val="0"/>
              <w:snapToGrid w:val="0"/>
              <w:jc w:val="center"/>
              <w:rPr>
                <w:rFonts w:eastAsia="Times New Roman" w:cs="Times New Roman"/>
                <w:sz w:val="22"/>
              </w:rPr>
            </w:pPr>
            <w:r>
              <w:rPr>
                <w:rFonts w:eastAsia="Times New Roman" w:cs="Times New Roman"/>
                <w:sz w:val="22"/>
              </w:rPr>
              <w:t>13</w:t>
            </w:r>
          </w:p>
        </w:tc>
      </w:tr>
    </w:tbl>
    <w:p w:rsidR="00610DDA" w:rsidRDefault="00610DDA" w:rsidP="00610DDA">
      <w:pPr>
        <w:autoSpaceDE w:val="0"/>
        <w:autoSpaceDN w:val="0"/>
        <w:adjustRightInd w:val="0"/>
        <w:snapToGrid w:val="0"/>
        <w:rPr>
          <w:rFonts w:eastAsia="Times New Roman" w:cs="Times New Roman"/>
          <w:szCs w:val="24"/>
        </w:rPr>
      </w:pPr>
    </w:p>
    <w:p w:rsidR="00610DDA" w:rsidRDefault="00610DDA" w:rsidP="00610DDA">
      <w:pPr>
        <w:autoSpaceDE w:val="0"/>
        <w:autoSpaceDN w:val="0"/>
        <w:adjustRightInd w:val="0"/>
        <w:snapToGrid w:val="0"/>
        <w:rPr>
          <w:rFonts w:eastAsia="Times New Roman" w:cs="Times New Roman"/>
          <w:szCs w:val="24"/>
        </w:rPr>
      </w:pPr>
    </w:p>
    <w:p w:rsidR="00610DDA" w:rsidRDefault="00610DDA" w:rsidP="00610DDA"/>
    <w:p w:rsidR="00610DDA" w:rsidRDefault="00610DDA">
      <w:pPr>
        <w:rPr>
          <w:rFonts w:ascii="Cambria Math" w:hAnsi="Cambria Math"/>
        </w:rPr>
      </w:pPr>
    </w:p>
    <w:p w:rsidR="00610DDA" w:rsidRPr="00610DDA" w:rsidRDefault="00610DDA" w:rsidP="00610DDA">
      <w:pPr>
        <w:rPr>
          <w:rFonts w:ascii="Cambria Math" w:hAnsi="Cambria Math"/>
        </w:rPr>
      </w:pPr>
    </w:p>
    <w:p w:rsidR="00610DDA" w:rsidRPr="00610DDA" w:rsidRDefault="00610DDA" w:rsidP="00610DDA">
      <w:pPr>
        <w:rPr>
          <w:rFonts w:ascii="Cambria Math" w:hAnsi="Cambria Math"/>
        </w:rPr>
      </w:pPr>
    </w:p>
    <w:p w:rsidR="00610DDA" w:rsidRPr="00610DDA" w:rsidRDefault="00610DDA" w:rsidP="00610DDA">
      <w:pPr>
        <w:rPr>
          <w:rFonts w:ascii="Cambria Math" w:hAnsi="Cambria Math"/>
        </w:rPr>
      </w:pPr>
    </w:p>
    <w:p w:rsidR="00610DDA" w:rsidRPr="00610DDA" w:rsidRDefault="00610DDA" w:rsidP="00610DDA">
      <w:pPr>
        <w:rPr>
          <w:rFonts w:ascii="Cambria Math" w:hAnsi="Cambria Math"/>
        </w:rPr>
      </w:pPr>
    </w:p>
    <w:p w:rsidR="00610DDA" w:rsidRPr="00610DDA" w:rsidRDefault="00610DDA" w:rsidP="00610DDA">
      <w:pPr>
        <w:rPr>
          <w:rFonts w:ascii="Cambria Math" w:hAnsi="Cambria Math"/>
        </w:rPr>
      </w:pPr>
    </w:p>
    <w:p w:rsidR="00610DDA" w:rsidRPr="00610DDA" w:rsidRDefault="00610DDA" w:rsidP="00610DDA">
      <w:pPr>
        <w:rPr>
          <w:rFonts w:ascii="Cambria Math" w:hAnsi="Cambria Math"/>
        </w:rPr>
      </w:pPr>
    </w:p>
    <w:p w:rsidR="00610DDA" w:rsidRPr="00610DDA" w:rsidRDefault="00610DDA" w:rsidP="00610DDA">
      <w:pPr>
        <w:rPr>
          <w:rFonts w:ascii="Cambria Math" w:hAnsi="Cambria Math"/>
        </w:rPr>
      </w:pPr>
    </w:p>
    <w:p w:rsidR="00610DDA" w:rsidRPr="00610DDA" w:rsidRDefault="00610DDA" w:rsidP="00610DDA">
      <w:pPr>
        <w:rPr>
          <w:rFonts w:ascii="Cambria Math" w:hAnsi="Cambria Math"/>
        </w:rPr>
      </w:pPr>
    </w:p>
    <w:p w:rsidR="00610DDA" w:rsidRPr="00610DDA" w:rsidRDefault="00610DDA" w:rsidP="00610DDA">
      <w:pPr>
        <w:rPr>
          <w:rFonts w:ascii="Cambria Math" w:hAnsi="Cambria Math"/>
        </w:rPr>
      </w:pPr>
    </w:p>
    <w:p w:rsidR="00610DDA" w:rsidRPr="00610DDA" w:rsidRDefault="00610DDA" w:rsidP="00610DDA">
      <w:pPr>
        <w:rPr>
          <w:rFonts w:ascii="Cambria Math" w:hAnsi="Cambria Math"/>
        </w:rPr>
      </w:pPr>
    </w:p>
    <w:p w:rsidR="00610DDA" w:rsidRPr="00610DDA" w:rsidRDefault="00610DDA" w:rsidP="00610DDA">
      <w:pPr>
        <w:rPr>
          <w:rFonts w:ascii="Cambria Math" w:hAnsi="Cambria Math"/>
        </w:rPr>
      </w:pPr>
    </w:p>
    <w:p w:rsidR="00610DDA" w:rsidRPr="00610DDA" w:rsidRDefault="00610DDA" w:rsidP="00610DDA">
      <w:pPr>
        <w:rPr>
          <w:rFonts w:ascii="Cambria Math" w:hAnsi="Cambria Math"/>
        </w:rPr>
      </w:pPr>
    </w:p>
    <w:p w:rsidR="00610DDA" w:rsidRPr="00610DDA" w:rsidRDefault="00610DDA" w:rsidP="00610DDA">
      <w:pPr>
        <w:rPr>
          <w:rFonts w:ascii="Cambria Math" w:hAnsi="Cambria Math"/>
        </w:rPr>
      </w:pPr>
    </w:p>
    <w:p w:rsidR="00610DDA" w:rsidRPr="00610DDA" w:rsidRDefault="00610DDA" w:rsidP="00610DDA">
      <w:pPr>
        <w:rPr>
          <w:rFonts w:ascii="Cambria Math" w:hAnsi="Cambria Math"/>
        </w:rPr>
      </w:pPr>
    </w:p>
    <w:p w:rsidR="00610DDA" w:rsidRPr="00610DDA" w:rsidRDefault="00610DDA" w:rsidP="00610DDA">
      <w:pPr>
        <w:rPr>
          <w:rFonts w:ascii="Cambria Math" w:hAnsi="Cambria Math"/>
        </w:rPr>
      </w:pPr>
    </w:p>
    <w:p w:rsidR="00610DDA" w:rsidRPr="00610DDA" w:rsidRDefault="00610DDA" w:rsidP="00610DDA">
      <w:pPr>
        <w:rPr>
          <w:rFonts w:ascii="Cambria Math" w:hAnsi="Cambria Math"/>
        </w:rPr>
      </w:pPr>
    </w:p>
    <w:p w:rsidR="00610DDA" w:rsidRPr="00610DDA" w:rsidRDefault="00610DDA" w:rsidP="00610DDA">
      <w:pPr>
        <w:rPr>
          <w:rFonts w:ascii="Cambria Math" w:hAnsi="Cambria Math"/>
        </w:rPr>
      </w:pPr>
    </w:p>
    <w:p w:rsidR="00610DDA" w:rsidRPr="00610DDA" w:rsidRDefault="00610DDA" w:rsidP="00610DDA">
      <w:pPr>
        <w:rPr>
          <w:rFonts w:ascii="Cambria Math" w:hAnsi="Cambria Math"/>
        </w:rPr>
      </w:pPr>
    </w:p>
    <w:p w:rsidR="00610DDA" w:rsidRPr="00610DDA" w:rsidRDefault="00610DDA" w:rsidP="00610DDA">
      <w:pPr>
        <w:rPr>
          <w:rFonts w:ascii="Cambria Math" w:hAnsi="Cambria Math"/>
        </w:rPr>
      </w:pPr>
    </w:p>
    <w:p w:rsidR="00610DDA" w:rsidRPr="00610DDA" w:rsidRDefault="00610DDA" w:rsidP="00610DDA">
      <w:pPr>
        <w:rPr>
          <w:rFonts w:ascii="Cambria Math" w:hAnsi="Cambria Math"/>
        </w:rPr>
      </w:pPr>
    </w:p>
    <w:p w:rsidR="00610DDA" w:rsidRPr="00610DDA" w:rsidRDefault="00610DDA" w:rsidP="00610DDA">
      <w:pPr>
        <w:rPr>
          <w:rFonts w:ascii="Cambria Math" w:hAnsi="Cambria Math"/>
        </w:rPr>
      </w:pPr>
    </w:p>
    <w:p w:rsidR="00610DDA" w:rsidRDefault="00610DDA" w:rsidP="00610DDA">
      <w:pPr>
        <w:rPr>
          <w:rFonts w:ascii="Cambria Math" w:hAnsi="Cambria Math"/>
        </w:rPr>
      </w:pPr>
    </w:p>
    <w:p w:rsidR="00610DDA" w:rsidRDefault="00610DDA" w:rsidP="00610DDA">
      <w:pPr>
        <w:rPr>
          <w:rFonts w:ascii="Cambria Math" w:hAnsi="Cambria Math"/>
        </w:rPr>
        <w:sectPr w:rsidR="00610DDA" w:rsidSect="00751138">
          <w:footerReference w:type="default" r:id="rId235"/>
          <w:pgSz w:w="12242" w:h="15842" w:code="1"/>
          <w:pgMar w:top="1440" w:right="1440" w:bottom="1440" w:left="1440" w:header="709" w:footer="709" w:gutter="0"/>
          <w:cols w:space="708"/>
          <w:docGrid w:linePitch="360"/>
        </w:sectPr>
      </w:pPr>
    </w:p>
    <w:p w:rsidR="00610DDA" w:rsidRPr="00A864AC" w:rsidRDefault="00E914E8" w:rsidP="00610DDA">
      <w:pPr>
        <w:snapToGrid w:val="0"/>
        <w:rPr>
          <w:rFonts w:ascii="Cambria Math" w:hAnsi="Cambria Math" w:cs="Times New Roman"/>
        </w:rPr>
      </w:pPr>
      <w:r>
        <w:rPr>
          <w:rFonts w:ascii="Cambria Math" w:hAnsi="Cambria Math" w:cs="Times New Roman"/>
          <w:noProof/>
          <w:lang w:val="en-US"/>
        </w:rPr>
        <w:lastRenderedPageBreak/>
        <mc:AlternateContent>
          <mc:Choice Requires="wps">
            <w:drawing>
              <wp:anchor distT="0" distB="0" distL="114300" distR="114300" simplePos="0" relativeHeight="251680768" behindDoc="0" locked="0" layoutInCell="1" allowOverlap="1">
                <wp:simplePos x="0" y="0"/>
                <wp:positionH relativeFrom="column">
                  <wp:posOffset>-146957</wp:posOffset>
                </wp:positionH>
                <wp:positionV relativeFrom="paragraph">
                  <wp:posOffset>-125186</wp:posOffset>
                </wp:positionV>
                <wp:extent cx="8643257" cy="5431972"/>
                <wp:effectExtent l="0" t="0" r="24765" b="16510"/>
                <wp:wrapNone/>
                <wp:docPr id="8" name="Rectangle 8"/>
                <wp:cNvGraphicFramePr/>
                <a:graphic xmlns:a="http://schemas.openxmlformats.org/drawingml/2006/main">
                  <a:graphicData uri="http://schemas.microsoft.com/office/word/2010/wordprocessingShape">
                    <wps:wsp>
                      <wps:cNvSpPr/>
                      <wps:spPr>
                        <a:xfrm>
                          <a:off x="0" y="0"/>
                          <a:ext cx="8643257" cy="543197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3DA8C7" id="Rectangle 8" o:spid="_x0000_s1026" style="position:absolute;margin-left:-11.55pt;margin-top:-9.85pt;width:680.55pt;height:427.7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" filled="f" strokecolor="black [3213]" strokeweight="1pt"/>
            </w:pict>
          </mc:Fallback>
        </mc:AlternateContent>
      </w:r>
    </w:p>
    <w:p w:rsidR="00610DDA" w:rsidRDefault="00C95983" w:rsidP="00610DDA">
      <w:pPr>
        <w:snapToGrid w:val="0"/>
        <w:jc w:val="center"/>
        <w:rPr>
          <w:rFonts w:ascii="Cambria Math" w:hAnsi="Cambria Math" w:cs="Times New Roman"/>
          <w:b/>
        </w:rPr>
      </w:pPr>
      <w:r>
        <w:rPr>
          <w:rFonts w:ascii="Cambria Math" w:hAnsi="Cambria Math" w:cs="Times New Roman"/>
          <w:noProof/>
          <w:lang w:val="en-US"/>
        </w:rPr>
        <w:drawing>
          <wp:inline distT="0" distB="0" distL="0" distR="0">
            <wp:extent cx="8230870" cy="48863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igure 1 Revised.JPG"/>
                    <pic:cNvPicPr/>
                  </pic:nvPicPr>
                  <pic:blipFill>
                    <a:blip r:embed="rId236">
                      <a:extLst>
                        <a:ext uri="{28A0092B-C50C-407E-A947-70E740481C1C}">
                          <a14:useLocalDpi xmlns:a14="http://schemas.microsoft.com/office/drawing/2010/main" val="0"/>
                        </a:ext>
                      </a:extLst>
                    </a:blip>
                    <a:stretch>
                      <a:fillRect/>
                    </a:stretch>
                  </pic:blipFill>
                  <pic:spPr>
                    <a:xfrm>
                      <a:off x="0" y="0"/>
                      <a:ext cx="8230870" cy="4886325"/>
                    </a:xfrm>
                    <a:prstGeom prst="rect">
                      <a:avLst/>
                    </a:prstGeom>
                  </pic:spPr>
                </pic:pic>
              </a:graphicData>
            </a:graphic>
          </wp:inline>
        </w:drawing>
      </w:r>
    </w:p>
    <w:p w:rsidR="00610DDA" w:rsidRDefault="00610DDA" w:rsidP="00610DDA">
      <w:pPr>
        <w:snapToGrid w:val="0"/>
        <w:jc w:val="center"/>
        <w:rPr>
          <w:rFonts w:ascii="Cambria Math" w:hAnsi="Cambria Math" w:cs="Times New Roman"/>
          <w:b/>
        </w:rPr>
      </w:pPr>
    </w:p>
    <w:p w:rsidR="00610DDA" w:rsidRPr="00610DDA" w:rsidRDefault="00610DDA" w:rsidP="00610DDA">
      <w:pPr>
        <w:snapToGrid w:val="0"/>
        <w:spacing w:before="120"/>
        <w:jc w:val="center"/>
        <w:rPr>
          <w:rFonts w:eastAsiaTheme="minorEastAsia" w:cs="Times New Roman"/>
          <w:b/>
          <w:lang w:eastAsia="zh-TW"/>
        </w:rPr>
      </w:pPr>
      <w:r>
        <w:rPr>
          <w:rFonts w:cs="Times New Roman"/>
          <w:b/>
        </w:rPr>
        <w:t>Figure 1.</w:t>
      </w:r>
      <w:r w:rsidRPr="002B1992">
        <w:rPr>
          <w:rFonts w:cs="Times New Roman"/>
          <w:b/>
        </w:rPr>
        <w:t xml:space="preserve"> The Environment-People Interactions Framework</w:t>
      </w:r>
    </w:p>
    <w:sectPr w:rsidR="00610DDA" w:rsidRPr="00610DDA" w:rsidSect="00610DDA">
      <w:pgSz w:w="15842" w:h="12242" w:orient="landscape"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4F7" w:rsidRDefault="005944F7" w:rsidP="00751138">
      <w:r>
        <w:separator/>
      </w:r>
    </w:p>
  </w:endnote>
  <w:endnote w:type="continuationSeparator" w:id="0">
    <w:p w:rsidR="005944F7" w:rsidRDefault="005944F7" w:rsidP="00751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ngXian">
    <w:altName w:val="等线"/>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MT-Extra">
    <w:altName w:val="微軟正黑體"/>
    <w:panose1 w:val="00000000000000000000"/>
    <w:charset w:val="88"/>
    <w:family w:val="auto"/>
    <w:notTrueType/>
    <w:pitch w:val="default"/>
    <w:sig w:usb0="00000001" w:usb1="08080000" w:usb2="00000010" w:usb3="00000000" w:csb0="00100000" w:csb1="00000000"/>
  </w:font>
  <w:font w:name="CharisSIL">
    <w:altName w:val="MS Gothic"/>
    <w:panose1 w:val="00000000000000000000"/>
    <w:charset w:val="80"/>
    <w:family w:val="swiss"/>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4F7" w:rsidRDefault="005944F7" w:rsidP="005944F7">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3289719"/>
      <w:docPartObj>
        <w:docPartGallery w:val="Page Numbers (Bottom of Page)"/>
        <w:docPartUnique/>
      </w:docPartObj>
    </w:sdtPr>
    <w:sdtEndPr>
      <w:rPr>
        <w:rFonts w:ascii="Times New Roman" w:hAnsi="Times New Roman" w:cs="Times New Roman"/>
        <w:noProof/>
      </w:rPr>
    </w:sdtEndPr>
    <w:sdtContent>
      <w:p w:rsidR="005944F7" w:rsidRPr="00A2305B" w:rsidRDefault="005944F7" w:rsidP="005944F7">
        <w:pPr>
          <w:pStyle w:val="Footer"/>
          <w:jc w:val="center"/>
          <w:rPr>
            <w:rFonts w:ascii="Times New Roman" w:hAnsi="Times New Roman" w:cs="Times New Roman"/>
          </w:rPr>
        </w:pPr>
        <w:r w:rsidRPr="00A2305B">
          <w:rPr>
            <w:rFonts w:ascii="Times New Roman" w:hAnsi="Times New Roman" w:cs="Times New Roman"/>
          </w:rPr>
          <w:fldChar w:fldCharType="begin"/>
        </w:r>
        <w:r w:rsidRPr="00A2305B">
          <w:rPr>
            <w:rFonts w:ascii="Times New Roman" w:hAnsi="Times New Roman" w:cs="Times New Roman"/>
          </w:rPr>
          <w:instrText xml:space="preserve"> PAGE   \* MERGEFORMAT </w:instrText>
        </w:r>
        <w:r w:rsidRPr="00A2305B">
          <w:rPr>
            <w:rFonts w:ascii="Times New Roman" w:hAnsi="Times New Roman" w:cs="Times New Roman"/>
          </w:rPr>
          <w:fldChar w:fldCharType="separate"/>
        </w:r>
        <w:r w:rsidR="00F54198">
          <w:rPr>
            <w:rFonts w:ascii="Times New Roman" w:hAnsi="Times New Roman" w:cs="Times New Roman"/>
            <w:noProof/>
          </w:rPr>
          <w:t>20</w:t>
        </w:r>
        <w:r w:rsidRPr="00A2305B">
          <w:rPr>
            <w:rFonts w:ascii="Times New Roman" w:hAnsi="Times New Roman" w:cs="Times New Roman"/>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8053673"/>
      <w:docPartObj>
        <w:docPartGallery w:val="Page Numbers (Bottom of Page)"/>
        <w:docPartUnique/>
      </w:docPartObj>
    </w:sdtPr>
    <w:sdtEndPr>
      <w:rPr>
        <w:rFonts w:ascii="Times New Roman" w:hAnsi="Times New Roman" w:cs="Times New Roman"/>
        <w:noProof/>
      </w:rPr>
    </w:sdtEndPr>
    <w:sdtContent>
      <w:p w:rsidR="005944F7" w:rsidRPr="00751138" w:rsidRDefault="005944F7">
        <w:pPr>
          <w:pStyle w:val="Footer"/>
          <w:jc w:val="center"/>
          <w:rPr>
            <w:rFonts w:ascii="Times New Roman" w:hAnsi="Times New Roman" w:cs="Times New Roman"/>
          </w:rPr>
        </w:pPr>
        <w:r w:rsidRPr="00751138">
          <w:rPr>
            <w:rFonts w:ascii="Times New Roman" w:hAnsi="Times New Roman" w:cs="Times New Roman"/>
          </w:rPr>
          <w:fldChar w:fldCharType="begin"/>
        </w:r>
        <w:r w:rsidRPr="00751138">
          <w:rPr>
            <w:rFonts w:ascii="Times New Roman" w:hAnsi="Times New Roman" w:cs="Times New Roman"/>
          </w:rPr>
          <w:instrText xml:space="preserve"> PAGE   \* MERGEFORMAT </w:instrText>
        </w:r>
        <w:r w:rsidRPr="00751138">
          <w:rPr>
            <w:rFonts w:ascii="Times New Roman" w:hAnsi="Times New Roman" w:cs="Times New Roman"/>
          </w:rPr>
          <w:fldChar w:fldCharType="separate"/>
        </w:r>
        <w:r w:rsidR="00FF26AA">
          <w:rPr>
            <w:rFonts w:ascii="Times New Roman" w:hAnsi="Times New Roman" w:cs="Times New Roman"/>
            <w:noProof/>
          </w:rPr>
          <w:t>39</w:t>
        </w:r>
        <w:r w:rsidRPr="00751138">
          <w:rPr>
            <w:rFonts w:ascii="Times New Roman" w:hAnsi="Times New Roman" w:cs="Times New Roman"/>
            <w:noProof/>
          </w:rPr>
          <w:fldChar w:fldCharType="end"/>
        </w:r>
      </w:p>
    </w:sdtContent>
  </w:sdt>
  <w:p w:rsidR="005944F7" w:rsidRDefault="005944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4F7" w:rsidRDefault="005944F7" w:rsidP="00751138">
      <w:r>
        <w:separator/>
      </w:r>
    </w:p>
  </w:footnote>
  <w:footnote w:type="continuationSeparator" w:id="0">
    <w:p w:rsidR="005944F7" w:rsidRDefault="005944F7" w:rsidP="00751138">
      <w:r>
        <w:continuationSeparator/>
      </w:r>
    </w:p>
  </w:footnote>
  <w:footnote w:id="1">
    <w:p w:rsidR="005944F7" w:rsidRPr="0069617D" w:rsidRDefault="005944F7" w:rsidP="00751138">
      <w:pPr>
        <w:spacing w:after="60"/>
        <w:jc w:val="both"/>
        <w:rPr>
          <w:rFonts w:cs="Times New Roman"/>
        </w:rPr>
      </w:pPr>
      <w:r w:rsidRPr="0069617D">
        <w:rPr>
          <w:rStyle w:val="FootnoteReference"/>
          <w:rFonts w:cs="Times New Roman"/>
          <w:sz w:val="20"/>
          <w:szCs w:val="20"/>
          <w:vertAlign w:val="superscript"/>
        </w:rPr>
        <w:footnoteRef/>
      </w:r>
      <w:r w:rsidRPr="0069617D">
        <w:rPr>
          <w:rFonts w:cs="Times New Roman"/>
          <w:sz w:val="20"/>
          <w:szCs w:val="20"/>
          <w:vertAlign w:val="superscript"/>
        </w:rPr>
        <w:t xml:space="preserve"> </w:t>
      </w:r>
      <w:r w:rsidRPr="0069617D">
        <w:rPr>
          <w:rFonts w:cs="Times New Roman"/>
          <w:sz w:val="20"/>
          <w:szCs w:val="20"/>
        </w:rPr>
        <w:t>Tertiary planning unit (TPU) boundaries are drawn by the Planning Department of the HK Government, and they cover the whole territory of Hong Kong. There are 289 TPUs as demarcated in the most recent Census in 2011, and population density was calculated based on that year.</w:t>
      </w:r>
    </w:p>
  </w:footnote>
  <w:footnote w:id="2">
    <w:p w:rsidR="005944F7" w:rsidRPr="0069617D" w:rsidRDefault="005944F7" w:rsidP="00751138">
      <w:pPr>
        <w:autoSpaceDE w:val="0"/>
        <w:autoSpaceDN w:val="0"/>
        <w:adjustRightInd w:val="0"/>
        <w:jc w:val="both"/>
        <w:rPr>
          <w:rFonts w:cs="Times New Roman"/>
          <w:sz w:val="20"/>
          <w:szCs w:val="20"/>
        </w:rPr>
      </w:pPr>
      <w:r w:rsidRPr="0069617D">
        <w:rPr>
          <w:rStyle w:val="FootnoteReference"/>
          <w:rFonts w:cs="Times New Roman"/>
          <w:sz w:val="20"/>
          <w:szCs w:val="20"/>
          <w:vertAlign w:val="superscript"/>
        </w:rPr>
        <w:footnoteRef/>
      </w:r>
      <w:r w:rsidRPr="0069617D">
        <w:rPr>
          <w:rFonts w:cs="Times New Roman"/>
          <w:sz w:val="20"/>
          <w:szCs w:val="20"/>
          <w:vertAlign w:val="superscript"/>
        </w:rPr>
        <w:t xml:space="preserve"> </w:t>
      </w:r>
      <w:r w:rsidRPr="0069617D">
        <w:rPr>
          <w:rFonts w:cs="Times New Roman"/>
          <w:sz w:val="20"/>
          <w:szCs w:val="20"/>
        </w:rPr>
        <w:t xml:space="preserve">While the built environment can comprise many other neighbourhood attributes, residential density is a measure that is easy to quantify, understand, and interpret. </w:t>
      </w:r>
      <w:bookmarkStart w:id="4" w:name="_Hlk500951790"/>
      <w:r w:rsidRPr="0069617D">
        <w:rPr>
          <w:rFonts w:cs="Times New Roman"/>
          <w:sz w:val="20"/>
          <w:szCs w:val="20"/>
        </w:rPr>
        <w:t xml:space="preserve">Thus, while other measures such as walkability index, pedestrian-friendliness, transit connectivity and service, land use diversity, and access to destinations may be appealing, they are not as easily defined. Besides, there is ample evidence that the many measures of land-use are highly correlated with density (see, for example, </w:t>
      </w:r>
      <w:proofErr w:type="spellStart"/>
      <w:r w:rsidRPr="0069617D">
        <w:rPr>
          <w:rFonts w:cs="Times New Roman"/>
          <w:sz w:val="20"/>
          <w:szCs w:val="20"/>
        </w:rPr>
        <w:t>Badoe</w:t>
      </w:r>
      <w:proofErr w:type="spellEnd"/>
      <w:r w:rsidRPr="0069617D">
        <w:rPr>
          <w:rFonts w:cs="Times New Roman"/>
          <w:sz w:val="20"/>
          <w:szCs w:val="20"/>
        </w:rPr>
        <w:t xml:space="preserve"> and Miller, 2000 and Brownstone and Fang, 2014), leading to the extensive (and sole) use of density to characterize the built environment in many earlier studies (</w:t>
      </w:r>
      <w:r w:rsidRPr="00E461B4">
        <w:rPr>
          <w:rFonts w:cs="Times New Roman"/>
          <w:i/>
          <w:sz w:val="20"/>
          <w:szCs w:val="20"/>
        </w:rPr>
        <w:t>e.g.</w:t>
      </w:r>
      <w:r w:rsidRPr="0069617D">
        <w:rPr>
          <w:rFonts w:cs="Times New Roman"/>
          <w:sz w:val="20"/>
          <w:szCs w:val="20"/>
        </w:rPr>
        <w:t xml:space="preserve">, Kim and Brownstone, 2013; </w:t>
      </w:r>
      <w:proofErr w:type="spellStart"/>
      <w:r w:rsidRPr="0069617D">
        <w:rPr>
          <w:rFonts w:cs="Times New Roman"/>
          <w:sz w:val="20"/>
          <w:szCs w:val="20"/>
        </w:rPr>
        <w:t>Paleti</w:t>
      </w:r>
      <w:proofErr w:type="spellEnd"/>
      <w:r w:rsidRPr="0069617D">
        <w:rPr>
          <w:rFonts w:cs="Times New Roman"/>
          <w:sz w:val="20"/>
          <w:szCs w:val="20"/>
        </w:rPr>
        <w:t xml:space="preserve"> et al., 2013; Cao and Fan, 2012; Bhat et al., 2016)</w:t>
      </w:r>
      <w:bookmarkEnd w:id="4"/>
      <w:r w:rsidRPr="0069617D">
        <w:rPr>
          <w:rFonts w:cs="Times New Roman"/>
          <w:sz w:val="20"/>
          <w:szCs w:val="20"/>
        </w:rPr>
        <w:t>.</w:t>
      </w:r>
    </w:p>
    <w:p w:rsidR="005944F7" w:rsidRDefault="005944F7" w:rsidP="00751138">
      <w:pPr>
        <w:pStyle w:val="FootnoteText"/>
      </w:pPr>
    </w:p>
  </w:footnote>
  <w:footnote w:id="3">
    <w:p w:rsidR="005944F7" w:rsidRPr="00DC1466" w:rsidRDefault="005944F7" w:rsidP="00751138">
      <w:pPr>
        <w:pStyle w:val="FootnoteText"/>
        <w:keepLines/>
        <w:jc w:val="both"/>
      </w:pPr>
      <w:r w:rsidRPr="005C6A9B">
        <w:rPr>
          <w:rStyle w:val="FootnoteReference"/>
          <w:vertAlign w:val="superscript"/>
        </w:rPr>
        <w:footnoteRef/>
      </w:r>
      <w:r>
        <w:t xml:space="preserve"> </w:t>
      </w:r>
      <w:r w:rsidRPr="00DC5772">
        <w:t>The activity categories were chosen such that they provide sufficient amount of detail and variety in defining activities, while ensuring adequate sample sizes</w:t>
      </w:r>
      <w:r w:rsidRPr="00DC1466">
        <w:t xml:space="preserve"> </w:t>
      </w:r>
      <w:r w:rsidRPr="00DC5772">
        <w:t>in each of the categories for model estimation.</w:t>
      </w:r>
    </w:p>
  </w:footnote>
  <w:footnote w:id="4">
    <w:p w:rsidR="005944F7" w:rsidRPr="00DC7906" w:rsidRDefault="005944F7" w:rsidP="00751138">
      <w:pPr>
        <w:pStyle w:val="FootnoteText"/>
        <w:jc w:val="both"/>
      </w:pPr>
      <w:r w:rsidRPr="005D722F">
        <w:rPr>
          <w:rStyle w:val="FootnoteReference"/>
          <w:rFonts w:eastAsia="MS Mincho"/>
          <w:vertAlign w:val="superscript"/>
        </w:rPr>
        <w:footnoteRef/>
      </w:r>
      <w:r w:rsidRPr="005D722F">
        <w:rPr>
          <w:vertAlign w:val="superscript"/>
        </w:rPr>
        <w:t xml:space="preserve"> </w:t>
      </w:r>
      <w:r w:rsidRPr="00DC7906">
        <w:t xml:space="preserve">In particular, assume that the variance of </w:t>
      </w:r>
      <w:r w:rsidRPr="00DC7906">
        <w:rPr>
          <w:position w:val="-14"/>
        </w:rPr>
        <w:object w:dxaOrig="380" w:dyaOrig="420">
          <v:shape id="_x0000_i1146" type="#_x0000_t75" style="width:15.75pt;height:18.75pt" o:ole="" o:preferrelative="f">
            <v:imagedata r:id="rId1" o:title=""/>
          </v:shape>
          <o:OLEObject Type="Embed" ProgID="Equation.DSMT4" ShapeID="_x0000_i1146" DrawAspect="Content" ObjectID="_1612165147" r:id="rId2"/>
        </w:object>
      </w:r>
      <w:r w:rsidRPr="00DC7906">
        <w:t xml:space="preserve"> is 0.5. Then, to normalize </w:t>
      </w:r>
      <w:r w:rsidRPr="00DC7906">
        <w:rPr>
          <w:position w:val="-10"/>
        </w:rPr>
        <w:object w:dxaOrig="400" w:dyaOrig="340">
          <v:shape id="_x0000_i1148" type="#_x0000_t75" style="width:16.5pt;height:15pt" o:ole="" o:preferrelative="f">
            <v:imagedata r:id="rId3" o:title=""/>
          </v:shape>
          <o:OLEObject Type="Embed" ProgID="Equation.3" ShapeID="_x0000_i1148" DrawAspect="Content" ObjectID="_1612165148" r:id="rId4"/>
        </w:object>
      </w:r>
      <w:r w:rsidRPr="00DC7906">
        <w:t xml:space="preserve"> to one, we should have that the variance of </w:t>
      </w:r>
      <w:r w:rsidRPr="00DC7906">
        <w:rPr>
          <w:position w:val="-14"/>
        </w:rPr>
        <w:object w:dxaOrig="320" w:dyaOrig="420">
          <v:shape id="_x0000_i1150" type="#_x0000_t75" style="width:12.75pt;height:17.25pt" o:ole="" o:preferrelative="f">
            <v:imagedata r:id="rId5" o:title=""/>
          </v:shape>
          <o:OLEObject Type="Embed" ProgID="Equation.DSMT4" ShapeID="_x0000_i1150" DrawAspect="Content" ObjectID="_1612165149" r:id="rId6"/>
        </w:object>
      </w:r>
      <w:r w:rsidRPr="00DC7906">
        <w:t xml:space="preserve"> is also 0.5. Let the variance of </w:t>
      </w:r>
      <w:r w:rsidRPr="00DC7906">
        <w:rPr>
          <w:position w:val="-14"/>
        </w:rPr>
        <w:object w:dxaOrig="1280" w:dyaOrig="420">
          <v:shape id="_x0000_i1152" type="#_x0000_t75" style="width:53.25pt;height:18.75pt" o:ole="" o:preferrelative="f">
            <v:imagedata r:id="rId7" o:title=""/>
          </v:shape>
          <o:OLEObject Type="Embed" ProgID="Equation.DSMT4" ShapeID="_x0000_i1152" DrawAspect="Content" ObjectID="_1612165150" r:id="rId8"/>
        </w:object>
      </w:r>
      <w:r w:rsidRPr="00DC7906">
        <w:t xml:space="preserve"> be </w:t>
      </w:r>
      <w:r w:rsidRPr="00DC7906">
        <w:rPr>
          <w:position w:val="-12"/>
        </w:rPr>
        <w:object w:dxaOrig="320" w:dyaOrig="380">
          <v:shape id="_x0000_i1154" type="#_x0000_t75" style="width:13.5pt;height:16.5pt" o:ole="" o:preferrelative="f">
            <v:imagedata r:id="rId9" o:title=""/>
          </v:shape>
          <o:OLEObject Type="Embed" ProgID="Equation.3" ShapeID="_x0000_i1154" DrawAspect="Content" ObjectID="_1612165151" r:id="rId10"/>
        </w:object>
      </w:r>
      <w:r w:rsidRPr="00DC7906">
        <w:t xml:space="preserve"> and the covariance between </w:t>
      </w:r>
      <w:r w:rsidRPr="00DC7906">
        <w:rPr>
          <w:position w:val="-12"/>
        </w:rPr>
        <w:object w:dxaOrig="260" w:dyaOrig="400">
          <v:shape id="_x0000_i1156" type="#_x0000_t75" style="width:9.75pt;height:16.5pt" o:ole="" o:preferrelative="f">
            <v:imagedata r:id="rId11" o:title=""/>
          </v:shape>
          <o:OLEObject Type="Embed" ProgID="Equation.DSMT4" ShapeID="_x0000_i1156" DrawAspect="Content" ObjectID="_1612165152" r:id="rId12"/>
        </w:object>
      </w:r>
      <w:r w:rsidRPr="00DC7906">
        <w:t xml:space="preserve"> and  </w:t>
      </w:r>
      <w:r w:rsidRPr="00DC7906">
        <w:rPr>
          <w:position w:val="-12"/>
        </w:rPr>
        <w:object w:dxaOrig="3260" w:dyaOrig="400">
          <v:shape id="_x0000_i1158" type="#_x0000_t75" style="width:138pt;height:16.5pt" o:ole="" o:preferrelative="f">
            <v:imagedata r:id="rId13" o:title=""/>
          </v:shape>
          <o:OLEObject Type="Embed" ProgID="Equation.DSMT4" ShapeID="_x0000_i1158" DrawAspect="Content" ObjectID="_1612165153" r:id="rId14"/>
        </w:object>
      </w:r>
      <w:r w:rsidRPr="00DC7906">
        <w:t xml:space="preserve"> </w:t>
      </w:r>
      <w:proofErr w:type="gramStart"/>
      <w:r w:rsidRPr="00DC7906">
        <w:t xml:space="preserve">be </w:t>
      </w:r>
      <w:proofErr w:type="gramEnd"/>
      <w:r w:rsidRPr="00DC7906">
        <w:rPr>
          <w:position w:val="-12"/>
        </w:rPr>
        <w:object w:dxaOrig="400" w:dyaOrig="360">
          <v:shape id="_x0000_i1160" type="#_x0000_t75" style="width:17.25pt;height:15pt" o:ole="" o:preferrelative="f">
            <v:imagedata r:id="rId15" o:title=""/>
          </v:shape>
          <o:OLEObject Type="Embed" ProgID="Equation.3" ShapeID="_x0000_i1160" DrawAspect="Content" ObjectID="_1612165154" r:id="rId16"/>
        </w:object>
      </w:r>
      <w:r w:rsidRPr="00DC7906">
        <w:t xml:space="preserve">. Then, the matrix </w:t>
      </w:r>
      <w:r w:rsidRPr="00DC7906">
        <w:rPr>
          <w:position w:val="-4"/>
        </w:rPr>
        <w:object w:dxaOrig="260" w:dyaOrig="260">
          <v:shape id="_x0000_i1162" type="#_x0000_t75" style="width:10.5pt;height:10.5pt" o:ole="" o:preferrelative="f">
            <v:imagedata r:id="rId17" o:title=""/>
          </v:shape>
          <o:OLEObject Type="Embed" ProgID="Equation.3" ShapeID="_x0000_i1162" DrawAspect="Content" ObjectID="_1612165155" r:id="rId18"/>
        </w:object>
      </w:r>
      <w:r w:rsidRPr="00DC7906">
        <w:t xml:space="preserve"> of the error differences </w:t>
      </w:r>
      <w:r w:rsidRPr="00DC7906">
        <w:rPr>
          <w:position w:val="-14"/>
        </w:rPr>
        <w:object w:dxaOrig="1579" w:dyaOrig="420">
          <v:shape id="_x0000_i1164" type="#_x0000_t75" style="width:68.25pt;height:18.75pt" o:ole="" o:preferrelative="f">
            <v:imagedata r:id="rId19" o:title=""/>
          </v:shape>
          <o:OLEObject Type="Embed" ProgID="Equation.DSMT4" ShapeID="_x0000_i1164" DrawAspect="Content" ObjectID="_1612165156" r:id="rId20"/>
        </w:object>
      </w:r>
      <w:r w:rsidRPr="00DC7906">
        <w:t xml:space="preserve"> is:</w:t>
      </w:r>
    </w:p>
    <w:p w:rsidR="005944F7" w:rsidRPr="00DC7906" w:rsidRDefault="005944F7" w:rsidP="00751138">
      <w:pPr>
        <w:pStyle w:val="FootnoteText"/>
      </w:pPr>
      <w:r w:rsidRPr="00DC7906">
        <w:rPr>
          <w:position w:val="-86"/>
        </w:rPr>
        <w:object w:dxaOrig="6000" w:dyaOrig="1840">
          <v:shape id="_x0000_i1166" type="#_x0000_t75" style="width:256.5pt;height:78.75pt" o:ole="" o:preferrelative="f">
            <v:imagedata r:id="rId21" o:title=""/>
          </v:shape>
          <o:OLEObject Type="Embed" ProgID="Equation.3" ShapeID="_x0000_i1166" DrawAspect="Content" ObjectID="_1612165157" r:id="rId22"/>
        </w:object>
      </w:r>
      <w:r w:rsidRPr="00DC7906">
        <w:t xml:space="preserve"> </w:t>
      </w:r>
    </w:p>
  </w:footnote>
  <w:footnote w:id="5">
    <w:p w:rsidR="005944F7" w:rsidRPr="00A23994" w:rsidRDefault="005944F7" w:rsidP="00751138">
      <w:pPr>
        <w:spacing w:after="60"/>
        <w:jc w:val="both"/>
        <w:rPr>
          <w:rFonts w:cs="Times New Roman"/>
          <w:sz w:val="20"/>
          <w:szCs w:val="20"/>
        </w:rPr>
      </w:pPr>
      <w:r w:rsidRPr="00A23994">
        <w:rPr>
          <w:rStyle w:val="FootnoteReference"/>
          <w:rFonts w:cs="Times New Roman"/>
          <w:sz w:val="20"/>
          <w:szCs w:val="20"/>
          <w:vertAlign w:val="superscript"/>
        </w:rPr>
        <w:footnoteRef/>
      </w:r>
      <w:r w:rsidRPr="00A23994">
        <w:rPr>
          <w:rFonts w:cs="Times New Roman"/>
          <w:sz w:val="20"/>
          <w:szCs w:val="20"/>
          <w:vertAlign w:val="superscript"/>
        </w:rPr>
        <w:t xml:space="preserve"> </w:t>
      </w:r>
      <w:r w:rsidRPr="00A23994">
        <w:rPr>
          <w:rFonts w:cs="Times New Roman"/>
          <w:sz w:val="20"/>
          <w:szCs w:val="20"/>
        </w:rPr>
        <w:t xml:space="preserve">The ATEs for all the four extra-curricular activity purposes (and both the independent and joint models) are highly statistically significant. The t-statistics for testing the differences in the ATE estimates between the two models are in the range of 1.7-2.2. Overall, the results show that, if self-selection effects are ignored, the result is exaggerated effects of densification. </w:t>
      </w:r>
    </w:p>
  </w:footnote>
  <w:footnote w:id="6">
    <w:p w:rsidR="005944F7" w:rsidRPr="00A23994" w:rsidRDefault="005944F7" w:rsidP="00751138">
      <w:pPr>
        <w:jc w:val="both"/>
        <w:rPr>
          <w:rFonts w:cs="Times New Roman"/>
          <w:sz w:val="20"/>
          <w:szCs w:val="20"/>
        </w:rPr>
      </w:pPr>
      <w:r w:rsidRPr="00A23994">
        <w:rPr>
          <w:rStyle w:val="FootnoteReference"/>
          <w:rFonts w:cs="Times New Roman"/>
          <w:sz w:val="20"/>
          <w:szCs w:val="20"/>
          <w:vertAlign w:val="superscript"/>
        </w:rPr>
        <w:footnoteRef/>
      </w:r>
      <w:r w:rsidRPr="00A23994">
        <w:rPr>
          <w:rFonts w:cs="Times New Roman"/>
          <w:sz w:val="20"/>
          <w:szCs w:val="20"/>
          <w:vertAlign w:val="superscript"/>
        </w:rPr>
        <w:t xml:space="preserve"> </w:t>
      </w:r>
      <w:r w:rsidRPr="00A23994">
        <w:rPr>
          <w:rFonts w:cs="Times New Roman"/>
          <w:sz w:val="20"/>
          <w:szCs w:val="20"/>
        </w:rPr>
        <w:t xml:space="preserve">The ATEs again are </w:t>
      </w:r>
      <w:r>
        <w:rPr>
          <w:rFonts w:cs="Times New Roman"/>
          <w:sz w:val="20"/>
          <w:szCs w:val="20"/>
        </w:rPr>
        <w:t xml:space="preserve">all statistically significant. </w:t>
      </w:r>
      <w:r w:rsidRPr="00A23994">
        <w:rPr>
          <w:rFonts w:cs="Times New Roman"/>
          <w:sz w:val="20"/>
          <w:szCs w:val="20"/>
        </w:rPr>
        <w:t xml:space="preserve">The </w:t>
      </w:r>
      <w:r w:rsidRPr="00473034">
        <w:rPr>
          <w:rFonts w:cs="Times New Roman"/>
          <w:sz w:val="20"/>
          <w:szCs w:val="20"/>
        </w:rPr>
        <w:t>t-</w:t>
      </w:r>
      <w:r w:rsidRPr="00A23994">
        <w:rPr>
          <w:rFonts w:cs="Times New Roman"/>
          <w:sz w:val="20"/>
          <w:szCs w:val="20"/>
        </w:rPr>
        <w:t xml:space="preserve">statistics for testing the differences in the ATE estimates between the two models are in the range of 1.5-2.0. </w:t>
      </w:r>
    </w:p>
  </w:footnote>
  <w:footnote w:id="7">
    <w:p w:rsidR="005944F7" w:rsidRDefault="005944F7" w:rsidP="00610DDA">
      <w:pPr>
        <w:pStyle w:val="FootnoteText"/>
      </w:pPr>
      <w:r>
        <w:rPr>
          <w:rStyle w:val="FootnoteReference"/>
          <w:vertAlign w:val="superscript"/>
        </w:rPr>
        <w:footnoteRef/>
      </w:r>
      <w:r>
        <w:t xml:space="preserve"> Obtained from Hong Kong’s 2016 Population by-census (CSD, 2018), unless otherwise specified.</w:t>
      </w:r>
    </w:p>
  </w:footnote>
  <w:footnote w:id="8">
    <w:p w:rsidR="005944F7" w:rsidRDefault="005944F7" w:rsidP="00610DDA">
      <w:pPr>
        <w:pStyle w:val="FootnoteText"/>
        <w:spacing w:after="120"/>
      </w:pPr>
      <w:r>
        <w:rPr>
          <w:rStyle w:val="FootnoteReference"/>
          <w:vertAlign w:val="superscript"/>
        </w:rPr>
        <w:footnoteRef/>
      </w:r>
      <w:r>
        <w:t xml:space="preserve"> Percentages across rows in the column do not sum to 100% because some individuals participate in more than one activity type.</w:t>
      </w:r>
    </w:p>
  </w:footnote>
  <w:footnote w:id="9">
    <w:p w:rsidR="005944F7" w:rsidRDefault="005944F7" w:rsidP="00610DDA">
      <w:pPr>
        <w:pStyle w:val="FootnoteText"/>
      </w:pPr>
      <w:r>
        <w:rPr>
          <w:rStyle w:val="FootnoteReference"/>
          <w:vertAlign w:val="superscript"/>
        </w:rPr>
        <w:footnoteRef/>
      </w:r>
      <w:r>
        <w:t xml:space="preserve"> Percentages sum to 100% for each row across the two columns, since the percentages are with respect to the total number of individuals participating in each activity type (the second column in the table).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71pt;height:96pt;visibility:visible" o:bullet="t">
        <v:imagedata r:id="rId1" o:title=""/>
        <o:lock v:ext="edit" aspectratio="f"/>
      </v:shape>
    </w:pict>
  </w:numPicBullet>
  <w:abstractNum w:abstractNumId="0" w15:restartNumberingAfterBreak="0">
    <w:nsid w:val="030A3584"/>
    <w:multiLevelType w:val="hybridMultilevel"/>
    <w:tmpl w:val="9CB41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67123"/>
    <w:multiLevelType w:val="hybridMultilevel"/>
    <w:tmpl w:val="CCD81382"/>
    <w:lvl w:ilvl="0" w:tplc="3C090011">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 w15:restartNumberingAfterBreak="0">
    <w:nsid w:val="082D5CEA"/>
    <w:multiLevelType w:val="hybridMultilevel"/>
    <w:tmpl w:val="6608BA4A"/>
    <w:lvl w:ilvl="0" w:tplc="20164C2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41C47"/>
    <w:multiLevelType w:val="hybridMultilevel"/>
    <w:tmpl w:val="F3F48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22D7B"/>
    <w:multiLevelType w:val="hybridMultilevel"/>
    <w:tmpl w:val="E9DC4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350F76"/>
    <w:multiLevelType w:val="hybridMultilevel"/>
    <w:tmpl w:val="AAEA6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710CBE"/>
    <w:multiLevelType w:val="hybridMultilevel"/>
    <w:tmpl w:val="1C123E74"/>
    <w:lvl w:ilvl="0" w:tplc="DB24AE6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0631D0"/>
    <w:multiLevelType w:val="hybridMultilevel"/>
    <w:tmpl w:val="844AA5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D902EC"/>
    <w:multiLevelType w:val="hybridMultilevel"/>
    <w:tmpl w:val="EAEAC41C"/>
    <w:lvl w:ilvl="0" w:tplc="1EC01548">
      <w:start w:val="1"/>
      <w:numFmt w:val="bullet"/>
      <w:lvlText w:val=""/>
      <w:lvlJc w:val="left"/>
      <w:pPr>
        <w:ind w:left="480" w:hanging="480"/>
      </w:pPr>
      <w:rPr>
        <w:rFonts w:ascii="Wingdings" w:hAnsi="Wingdings" w:hint="default"/>
        <w:sz w:val="14"/>
        <w:szCs w:val="14"/>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 w15:restartNumberingAfterBreak="0">
    <w:nsid w:val="3EF574C3"/>
    <w:multiLevelType w:val="hybridMultilevel"/>
    <w:tmpl w:val="64E4E2B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6A64C3"/>
    <w:multiLevelType w:val="hybridMultilevel"/>
    <w:tmpl w:val="971E0386"/>
    <w:lvl w:ilvl="0" w:tplc="C2860476">
      <w:start w:val="1"/>
      <w:numFmt w:val="bullet"/>
      <w:lvlText w:val=""/>
      <w:lvlJc w:val="left"/>
      <w:pPr>
        <w:ind w:left="360" w:hanging="360"/>
      </w:pPr>
      <w:rPr>
        <w:rFonts w:ascii="Wingdings" w:hAnsi="Wingdings" w:hint="default"/>
        <w:sz w:val="14"/>
      </w:rPr>
    </w:lvl>
    <w:lvl w:ilvl="1" w:tplc="72C437EA">
      <w:start w:val="1"/>
      <w:numFmt w:val="bullet"/>
      <w:lvlText w:val=""/>
      <w:lvlJc w:val="left"/>
      <w:pPr>
        <w:ind w:left="960" w:hanging="480"/>
      </w:pPr>
      <w:rPr>
        <w:rFonts w:ascii="Wingdings" w:hAnsi="Wingdings" w:hint="default"/>
        <w:sz w:val="14"/>
      </w:rPr>
    </w:lvl>
    <w:lvl w:ilvl="2" w:tplc="65107C92">
      <w:start w:val="1"/>
      <w:numFmt w:val="bullet"/>
      <w:lvlText w:val=""/>
      <w:lvlJc w:val="left"/>
      <w:pPr>
        <w:ind w:left="1440" w:hanging="480"/>
      </w:pPr>
      <w:rPr>
        <w:rFonts w:ascii="Wingdings" w:hAnsi="Wingdings" w:hint="default"/>
        <w:sz w:val="14"/>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1" w15:restartNumberingAfterBreak="0">
    <w:nsid w:val="4CF35AE0"/>
    <w:multiLevelType w:val="multilevel"/>
    <w:tmpl w:val="333A91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22A57E1"/>
    <w:multiLevelType w:val="hybridMultilevel"/>
    <w:tmpl w:val="1368D18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CD5182"/>
    <w:multiLevelType w:val="hybridMultilevel"/>
    <w:tmpl w:val="87D46390"/>
    <w:lvl w:ilvl="0" w:tplc="3C090011">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4" w15:restartNumberingAfterBreak="0">
    <w:nsid w:val="58155584"/>
    <w:multiLevelType w:val="hybridMultilevel"/>
    <w:tmpl w:val="0670342E"/>
    <w:lvl w:ilvl="0" w:tplc="1E9A54F4">
      <w:start w:val="1"/>
      <w:numFmt w:val="bullet"/>
      <w:lvlText w:val=""/>
      <w:lvlPicBulletId w:val="0"/>
      <w:lvlJc w:val="left"/>
      <w:pPr>
        <w:tabs>
          <w:tab w:val="num" w:pos="720"/>
        </w:tabs>
        <w:ind w:left="720" w:hanging="360"/>
      </w:pPr>
      <w:rPr>
        <w:rFonts w:ascii="Symbol" w:hAnsi="Symbol" w:hint="default"/>
      </w:rPr>
    </w:lvl>
    <w:lvl w:ilvl="1" w:tplc="AE465E48" w:tentative="1">
      <w:start w:val="1"/>
      <w:numFmt w:val="bullet"/>
      <w:lvlText w:val=""/>
      <w:lvlJc w:val="left"/>
      <w:pPr>
        <w:tabs>
          <w:tab w:val="num" w:pos="1440"/>
        </w:tabs>
        <w:ind w:left="1440" w:hanging="360"/>
      </w:pPr>
      <w:rPr>
        <w:rFonts w:ascii="Symbol" w:hAnsi="Symbol" w:hint="default"/>
      </w:rPr>
    </w:lvl>
    <w:lvl w:ilvl="2" w:tplc="80DE382A" w:tentative="1">
      <w:start w:val="1"/>
      <w:numFmt w:val="bullet"/>
      <w:lvlText w:val=""/>
      <w:lvlJc w:val="left"/>
      <w:pPr>
        <w:tabs>
          <w:tab w:val="num" w:pos="2160"/>
        </w:tabs>
        <w:ind w:left="2160" w:hanging="360"/>
      </w:pPr>
      <w:rPr>
        <w:rFonts w:ascii="Symbol" w:hAnsi="Symbol" w:hint="default"/>
      </w:rPr>
    </w:lvl>
    <w:lvl w:ilvl="3" w:tplc="ED80E5F8" w:tentative="1">
      <w:start w:val="1"/>
      <w:numFmt w:val="bullet"/>
      <w:lvlText w:val=""/>
      <w:lvlJc w:val="left"/>
      <w:pPr>
        <w:tabs>
          <w:tab w:val="num" w:pos="2880"/>
        </w:tabs>
        <w:ind w:left="2880" w:hanging="360"/>
      </w:pPr>
      <w:rPr>
        <w:rFonts w:ascii="Symbol" w:hAnsi="Symbol" w:hint="default"/>
      </w:rPr>
    </w:lvl>
    <w:lvl w:ilvl="4" w:tplc="061E0292" w:tentative="1">
      <w:start w:val="1"/>
      <w:numFmt w:val="bullet"/>
      <w:lvlText w:val=""/>
      <w:lvlJc w:val="left"/>
      <w:pPr>
        <w:tabs>
          <w:tab w:val="num" w:pos="3600"/>
        </w:tabs>
        <w:ind w:left="3600" w:hanging="360"/>
      </w:pPr>
      <w:rPr>
        <w:rFonts w:ascii="Symbol" w:hAnsi="Symbol" w:hint="default"/>
      </w:rPr>
    </w:lvl>
    <w:lvl w:ilvl="5" w:tplc="DD2EDE28" w:tentative="1">
      <w:start w:val="1"/>
      <w:numFmt w:val="bullet"/>
      <w:lvlText w:val=""/>
      <w:lvlJc w:val="left"/>
      <w:pPr>
        <w:tabs>
          <w:tab w:val="num" w:pos="4320"/>
        </w:tabs>
        <w:ind w:left="4320" w:hanging="360"/>
      </w:pPr>
      <w:rPr>
        <w:rFonts w:ascii="Symbol" w:hAnsi="Symbol" w:hint="default"/>
      </w:rPr>
    </w:lvl>
    <w:lvl w:ilvl="6" w:tplc="66006DAA" w:tentative="1">
      <w:start w:val="1"/>
      <w:numFmt w:val="bullet"/>
      <w:lvlText w:val=""/>
      <w:lvlJc w:val="left"/>
      <w:pPr>
        <w:tabs>
          <w:tab w:val="num" w:pos="5040"/>
        </w:tabs>
        <w:ind w:left="5040" w:hanging="360"/>
      </w:pPr>
      <w:rPr>
        <w:rFonts w:ascii="Symbol" w:hAnsi="Symbol" w:hint="default"/>
      </w:rPr>
    </w:lvl>
    <w:lvl w:ilvl="7" w:tplc="8DB87672" w:tentative="1">
      <w:start w:val="1"/>
      <w:numFmt w:val="bullet"/>
      <w:lvlText w:val=""/>
      <w:lvlJc w:val="left"/>
      <w:pPr>
        <w:tabs>
          <w:tab w:val="num" w:pos="5760"/>
        </w:tabs>
        <w:ind w:left="5760" w:hanging="360"/>
      </w:pPr>
      <w:rPr>
        <w:rFonts w:ascii="Symbol" w:hAnsi="Symbol" w:hint="default"/>
      </w:rPr>
    </w:lvl>
    <w:lvl w:ilvl="8" w:tplc="9850E43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AD723E1"/>
    <w:multiLevelType w:val="hybridMultilevel"/>
    <w:tmpl w:val="01047368"/>
    <w:lvl w:ilvl="0" w:tplc="3E4AFB08">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F57203"/>
    <w:multiLevelType w:val="hybridMultilevel"/>
    <w:tmpl w:val="5FA0E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524965"/>
    <w:multiLevelType w:val="hybridMultilevel"/>
    <w:tmpl w:val="BB7C1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A6505D"/>
    <w:multiLevelType w:val="hybridMultilevel"/>
    <w:tmpl w:val="61D0EDFE"/>
    <w:lvl w:ilvl="0" w:tplc="3600F82C">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172812"/>
    <w:multiLevelType w:val="hybridMultilevel"/>
    <w:tmpl w:val="D2628A8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15"/>
  </w:num>
  <w:num w:numId="4">
    <w:abstractNumId w:val="9"/>
  </w:num>
  <w:num w:numId="5">
    <w:abstractNumId w:val="19"/>
  </w:num>
  <w:num w:numId="6">
    <w:abstractNumId w:val="4"/>
  </w:num>
  <w:num w:numId="7">
    <w:abstractNumId w:val="5"/>
  </w:num>
  <w:num w:numId="8">
    <w:abstractNumId w:val="7"/>
  </w:num>
  <w:num w:numId="9">
    <w:abstractNumId w:val="3"/>
  </w:num>
  <w:num w:numId="10">
    <w:abstractNumId w:val="16"/>
  </w:num>
  <w:num w:numId="11">
    <w:abstractNumId w:val="0"/>
  </w:num>
  <w:num w:numId="12">
    <w:abstractNumId w:val="6"/>
  </w:num>
  <w:num w:numId="13">
    <w:abstractNumId w:val="17"/>
  </w:num>
  <w:num w:numId="14">
    <w:abstractNumId w:val="12"/>
  </w:num>
  <w:num w:numId="15">
    <w:abstractNumId w:val="13"/>
  </w:num>
  <w:num w:numId="16">
    <w:abstractNumId w:val="8"/>
  </w:num>
  <w:num w:numId="17">
    <w:abstractNumId w:val="10"/>
  </w:num>
  <w:num w:numId="18">
    <w:abstractNumId w:val="14"/>
  </w:num>
  <w:num w:numId="19">
    <w:abstractNumId w:val="1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6" w:nlCheck="1" w:checkStyle="0"/>
  <w:activeWritingStyle w:appName="MSWord" w:lang="en-US" w:vendorID="64" w:dllVersion="6" w:nlCheck="1" w:checkStyle="1"/>
  <w:activeWritingStyle w:appName="MSWord" w:lang="es-CL" w:vendorID="64" w:dllVersion="6" w:nlCheck="1" w:checkStyle="0"/>
  <w:activeWritingStyle w:appName="MSWord" w:lang="en-GB" w:vendorID="64" w:dllVersion="6" w:nlCheck="1" w:checkStyle="1"/>
  <w:activeWritingStyle w:appName="MSWord" w:lang="en-GB" w:vendorID="64" w:dllVersion="131078" w:nlCheck="1" w:checkStyle="1"/>
  <w:activeWritingStyle w:appName="MSWord" w:lang="fr-FR" w:vendorID="64" w:dllVersion="131078" w:nlCheck="1" w:checkStyle="1"/>
  <w:activeWritingStyle w:appName="MSWord" w:lang="es-CL"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38"/>
    <w:rsid w:val="00005B44"/>
    <w:rsid w:val="00051658"/>
    <w:rsid w:val="00071913"/>
    <w:rsid w:val="00073B10"/>
    <w:rsid w:val="00075389"/>
    <w:rsid w:val="000963DD"/>
    <w:rsid w:val="000A15FC"/>
    <w:rsid w:val="000A73D4"/>
    <w:rsid w:val="000B45AB"/>
    <w:rsid w:val="001077ED"/>
    <w:rsid w:val="00120E43"/>
    <w:rsid w:val="0014521C"/>
    <w:rsid w:val="00146E1E"/>
    <w:rsid w:val="001474DB"/>
    <w:rsid w:val="001748DD"/>
    <w:rsid w:val="00180856"/>
    <w:rsid w:val="00184C57"/>
    <w:rsid w:val="00194FEF"/>
    <w:rsid w:val="001A00E2"/>
    <w:rsid w:val="001A36B6"/>
    <w:rsid w:val="001B0922"/>
    <w:rsid w:val="001C0CE8"/>
    <w:rsid w:val="001D704B"/>
    <w:rsid w:val="001F668B"/>
    <w:rsid w:val="002106B5"/>
    <w:rsid w:val="00237402"/>
    <w:rsid w:val="00260DC3"/>
    <w:rsid w:val="00265B2E"/>
    <w:rsid w:val="00271046"/>
    <w:rsid w:val="00292F69"/>
    <w:rsid w:val="002B3546"/>
    <w:rsid w:val="002D3731"/>
    <w:rsid w:val="002F5950"/>
    <w:rsid w:val="00325CF1"/>
    <w:rsid w:val="003403FC"/>
    <w:rsid w:val="0034072B"/>
    <w:rsid w:val="00350B29"/>
    <w:rsid w:val="0035399C"/>
    <w:rsid w:val="00363B1D"/>
    <w:rsid w:val="00374F07"/>
    <w:rsid w:val="00393504"/>
    <w:rsid w:val="003E76BE"/>
    <w:rsid w:val="004036F4"/>
    <w:rsid w:val="00424A5C"/>
    <w:rsid w:val="00426C52"/>
    <w:rsid w:val="0043193F"/>
    <w:rsid w:val="00467652"/>
    <w:rsid w:val="00481771"/>
    <w:rsid w:val="00491D32"/>
    <w:rsid w:val="004F19FF"/>
    <w:rsid w:val="004F4926"/>
    <w:rsid w:val="00504588"/>
    <w:rsid w:val="005275C9"/>
    <w:rsid w:val="00536411"/>
    <w:rsid w:val="00540EA8"/>
    <w:rsid w:val="00545745"/>
    <w:rsid w:val="005458B5"/>
    <w:rsid w:val="005817EA"/>
    <w:rsid w:val="00593077"/>
    <w:rsid w:val="005944F7"/>
    <w:rsid w:val="0059639E"/>
    <w:rsid w:val="005A07F3"/>
    <w:rsid w:val="005A0CFB"/>
    <w:rsid w:val="005A2479"/>
    <w:rsid w:val="005B77C5"/>
    <w:rsid w:val="005D4864"/>
    <w:rsid w:val="00610DDA"/>
    <w:rsid w:val="00624301"/>
    <w:rsid w:val="00636163"/>
    <w:rsid w:val="00646BDA"/>
    <w:rsid w:val="00650BD8"/>
    <w:rsid w:val="00652195"/>
    <w:rsid w:val="00652BC6"/>
    <w:rsid w:val="00660B29"/>
    <w:rsid w:val="006669A5"/>
    <w:rsid w:val="006A204D"/>
    <w:rsid w:val="006A23F9"/>
    <w:rsid w:val="006C303E"/>
    <w:rsid w:val="007062EE"/>
    <w:rsid w:val="00707232"/>
    <w:rsid w:val="00747722"/>
    <w:rsid w:val="00751138"/>
    <w:rsid w:val="007610C4"/>
    <w:rsid w:val="0076222E"/>
    <w:rsid w:val="007709FE"/>
    <w:rsid w:val="007837EA"/>
    <w:rsid w:val="00797C8E"/>
    <w:rsid w:val="007A774B"/>
    <w:rsid w:val="007B106C"/>
    <w:rsid w:val="007B550C"/>
    <w:rsid w:val="007B59DD"/>
    <w:rsid w:val="007C69C5"/>
    <w:rsid w:val="007D53BD"/>
    <w:rsid w:val="0081064B"/>
    <w:rsid w:val="0084028C"/>
    <w:rsid w:val="0084355E"/>
    <w:rsid w:val="00845494"/>
    <w:rsid w:val="00853F4F"/>
    <w:rsid w:val="00855AF6"/>
    <w:rsid w:val="008574FA"/>
    <w:rsid w:val="00861CFD"/>
    <w:rsid w:val="0087107F"/>
    <w:rsid w:val="008762DD"/>
    <w:rsid w:val="00896391"/>
    <w:rsid w:val="008A3CFB"/>
    <w:rsid w:val="008B6160"/>
    <w:rsid w:val="008C0CB6"/>
    <w:rsid w:val="008C5D3D"/>
    <w:rsid w:val="008D16DF"/>
    <w:rsid w:val="008E6C88"/>
    <w:rsid w:val="008F20CE"/>
    <w:rsid w:val="008F2F13"/>
    <w:rsid w:val="00913192"/>
    <w:rsid w:val="00921055"/>
    <w:rsid w:val="00923A9D"/>
    <w:rsid w:val="009537B1"/>
    <w:rsid w:val="00977E4D"/>
    <w:rsid w:val="009A15D7"/>
    <w:rsid w:val="009A5B62"/>
    <w:rsid w:val="009C6655"/>
    <w:rsid w:val="009C6AA1"/>
    <w:rsid w:val="009E49A0"/>
    <w:rsid w:val="00A0211C"/>
    <w:rsid w:val="00A02EF9"/>
    <w:rsid w:val="00A062CB"/>
    <w:rsid w:val="00A07151"/>
    <w:rsid w:val="00A2305B"/>
    <w:rsid w:val="00A5494E"/>
    <w:rsid w:val="00A60A7C"/>
    <w:rsid w:val="00A64C61"/>
    <w:rsid w:val="00A66C76"/>
    <w:rsid w:val="00A8052A"/>
    <w:rsid w:val="00AE14CF"/>
    <w:rsid w:val="00AE565B"/>
    <w:rsid w:val="00AF71B3"/>
    <w:rsid w:val="00B662AF"/>
    <w:rsid w:val="00B81784"/>
    <w:rsid w:val="00B841E5"/>
    <w:rsid w:val="00B87C48"/>
    <w:rsid w:val="00B97A25"/>
    <w:rsid w:val="00BB1BEC"/>
    <w:rsid w:val="00BC58C0"/>
    <w:rsid w:val="00BD3F43"/>
    <w:rsid w:val="00C43064"/>
    <w:rsid w:val="00C75665"/>
    <w:rsid w:val="00C829C2"/>
    <w:rsid w:val="00C95983"/>
    <w:rsid w:val="00CB2C63"/>
    <w:rsid w:val="00CE4A77"/>
    <w:rsid w:val="00CE6A86"/>
    <w:rsid w:val="00CF0E69"/>
    <w:rsid w:val="00CF6820"/>
    <w:rsid w:val="00D1273D"/>
    <w:rsid w:val="00D23FAD"/>
    <w:rsid w:val="00D31383"/>
    <w:rsid w:val="00D31815"/>
    <w:rsid w:val="00D45007"/>
    <w:rsid w:val="00D54C9A"/>
    <w:rsid w:val="00DB031F"/>
    <w:rsid w:val="00DB076C"/>
    <w:rsid w:val="00DC111F"/>
    <w:rsid w:val="00DC366F"/>
    <w:rsid w:val="00DD045C"/>
    <w:rsid w:val="00DD34F1"/>
    <w:rsid w:val="00E06811"/>
    <w:rsid w:val="00E33495"/>
    <w:rsid w:val="00E414B8"/>
    <w:rsid w:val="00E44A5C"/>
    <w:rsid w:val="00E51876"/>
    <w:rsid w:val="00E60678"/>
    <w:rsid w:val="00E6077C"/>
    <w:rsid w:val="00E64BC5"/>
    <w:rsid w:val="00E65154"/>
    <w:rsid w:val="00E7028F"/>
    <w:rsid w:val="00E842DD"/>
    <w:rsid w:val="00E854B4"/>
    <w:rsid w:val="00E914E8"/>
    <w:rsid w:val="00E97C47"/>
    <w:rsid w:val="00EC5022"/>
    <w:rsid w:val="00EE52C0"/>
    <w:rsid w:val="00EE564A"/>
    <w:rsid w:val="00F06D88"/>
    <w:rsid w:val="00F5109F"/>
    <w:rsid w:val="00F519E8"/>
    <w:rsid w:val="00F54198"/>
    <w:rsid w:val="00FA3D1D"/>
    <w:rsid w:val="00FA6693"/>
    <w:rsid w:val="00FC17F3"/>
    <w:rsid w:val="00FF26AA"/>
  </w:rsids>
  <m:mathPr>
    <m:mathFont m:val="Cambria Math"/>
    <m:brkBin m:val="before"/>
    <m:brkBinSub m:val="--"/>
    <m:smallFrac m:val="0"/>
    <m:dispDef/>
    <m:lMargin m:val="0"/>
    <m:rMargin m:val="0"/>
    <m:defJc m:val="centerGroup"/>
    <m:wrapIndent m:val="1440"/>
    <m:intLim m:val="subSup"/>
    <m:naryLim m:val="undOvr"/>
  </m:mathPr>
  <w:themeFontLang w:val="en-HK" w:eastAsia="zh-H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81E8D4-CDB5-4C1B-B154-51002C5E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138"/>
    <w:pPr>
      <w:spacing w:after="0" w:line="240" w:lineRule="auto"/>
    </w:pPr>
    <w:rPr>
      <w:rFonts w:ascii="Times New Roman" w:eastAsiaTheme="minorHAnsi" w:hAnsi="Times New Roman" w:cs="Calibri"/>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1138"/>
    <w:pPr>
      <w:spacing w:after="0" w:line="240"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51138"/>
    <w:pPr>
      <w:spacing w:after="160" w:line="259" w:lineRule="auto"/>
      <w:ind w:left="720"/>
      <w:contextualSpacing/>
    </w:pPr>
    <w:rPr>
      <w:rFonts w:asciiTheme="minorHAnsi" w:eastAsia="SimSun" w:hAnsiTheme="minorHAnsi" w:cstheme="minorBidi"/>
    </w:rPr>
  </w:style>
  <w:style w:type="character" w:styleId="FootnoteReference">
    <w:name w:val="footnote reference"/>
    <w:uiPriority w:val="99"/>
    <w:semiHidden/>
    <w:rsid w:val="00751138"/>
  </w:style>
  <w:style w:type="paragraph" w:styleId="FootnoteText">
    <w:name w:val="footnote text"/>
    <w:basedOn w:val="Normal"/>
    <w:link w:val="FootnoteTextChar"/>
    <w:uiPriority w:val="99"/>
    <w:rsid w:val="00751138"/>
    <w:pPr>
      <w:autoSpaceDE w:val="0"/>
      <w:autoSpaceDN w:val="0"/>
      <w:adjustRightInd w:val="0"/>
    </w:pPr>
    <w:rPr>
      <w:rFonts w:eastAsia="Times New Roman" w:cs="Times New Roman"/>
      <w:sz w:val="20"/>
      <w:szCs w:val="20"/>
    </w:rPr>
  </w:style>
  <w:style w:type="character" w:customStyle="1" w:styleId="FootnoteTextChar">
    <w:name w:val="Footnote Text Char"/>
    <w:basedOn w:val="DefaultParagraphFont"/>
    <w:link w:val="FootnoteText"/>
    <w:uiPriority w:val="99"/>
    <w:rsid w:val="00751138"/>
    <w:rPr>
      <w:rFonts w:ascii="Times New Roman" w:eastAsia="Times New Roman" w:hAnsi="Times New Roman" w:cs="Times New Roman"/>
      <w:sz w:val="20"/>
      <w:szCs w:val="20"/>
      <w:lang w:val="en-US" w:eastAsia="en-US"/>
    </w:rPr>
  </w:style>
  <w:style w:type="paragraph" w:styleId="Header">
    <w:name w:val="header"/>
    <w:basedOn w:val="Normal"/>
    <w:link w:val="HeaderChar"/>
    <w:uiPriority w:val="99"/>
    <w:unhideWhenUsed/>
    <w:rsid w:val="00751138"/>
    <w:pPr>
      <w:tabs>
        <w:tab w:val="center" w:pos="4680"/>
        <w:tab w:val="right" w:pos="9360"/>
      </w:tabs>
    </w:pPr>
    <w:rPr>
      <w:rFonts w:asciiTheme="minorHAnsi" w:eastAsia="SimSun" w:hAnsiTheme="minorHAnsi" w:cstheme="minorBidi"/>
    </w:rPr>
  </w:style>
  <w:style w:type="character" w:customStyle="1" w:styleId="HeaderChar">
    <w:name w:val="Header Char"/>
    <w:basedOn w:val="DefaultParagraphFont"/>
    <w:link w:val="Header"/>
    <w:uiPriority w:val="99"/>
    <w:rsid w:val="00751138"/>
    <w:rPr>
      <w:rFonts w:eastAsia="SimSun"/>
      <w:sz w:val="24"/>
      <w:lang w:val="en-US" w:eastAsia="en-US"/>
    </w:rPr>
  </w:style>
  <w:style w:type="paragraph" w:styleId="Footer">
    <w:name w:val="footer"/>
    <w:basedOn w:val="Normal"/>
    <w:link w:val="FooterChar"/>
    <w:uiPriority w:val="99"/>
    <w:unhideWhenUsed/>
    <w:rsid w:val="00751138"/>
    <w:pPr>
      <w:tabs>
        <w:tab w:val="center" w:pos="4680"/>
        <w:tab w:val="right" w:pos="9360"/>
      </w:tabs>
    </w:pPr>
    <w:rPr>
      <w:rFonts w:asciiTheme="minorHAnsi" w:eastAsia="SimSun" w:hAnsiTheme="minorHAnsi" w:cstheme="minorBidi"/>
    </w:rPr>
  </w:style>
  <w:style w:type="character" w:customStyle="1" w:styleId="FooterChar">
    <w:name w:val="Footer Char"/>
    <w:basedOn w:val="DefaultParagraphFont"/>
    <w:link w:val="Footer"/>
    <w:uiPriority w:val="99"/>
    <w:rsid w:val="00751138"/>
    <w:rPr>
      <w:rFonts w:eastAsia="SimSun"/>
      <w:sz w:val="24"/>
      <w:lang w:val="en-US" w:eastAsia="en-US"/>
    </w:rPr>
  </w:style>
  <w:style w:type="table" w:customStyle="1" w:styleId="TableGrid1">
    <w:name w:val="Table Grid1"/>
    <w:basedOn w:val="TableNormal"/>
    <w:next w:val="TableGrid"/>
    <w:uiPriority w:val="39"/>
    <w:rsid w:val="00751138"/>
    <w:pPr>
      <w:spacing w:after="0" w:line="240" w:lineRule="auto"/>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51138"/>
    <w:rPr>
      <w:color w:val="808080"/>
    </w:rPr>
  </w:style>
  <w:style w:type="character" w:styleId="CommentReference">
    <w:name w:val="annotation reference"/>
    <w:basedOn w:val="DefaultParagraphFont"/>
    <w:uiPriority w:val="99"/>
    <w:semiHidden/>
    <w:unhideWhenUsed/>
    <w:rsid w:val="00751138"/>
    <w:rPr>
      <w:sz w:val="16"/>
      <w:szCs w:val="16"/>
    </w:rPr>
  </w:style>
  <w:style w:type="paragraph" w:styleId="CommentText">
    <w:name w:val="annotation text"/>
    <w:basedOn w:val="Normal"/>
    <w:link w:val="CommentTextChar"/>
    <w:uiPriority w:val="99"/>
    <w:semiHidden/>
    <w:unhideWhenUsed/>
    <w:rsid w:val="00751138"/>
    <w:rPr>
      <w:sz w:val="20"/>
      <w:szCs w:val="20"/>
    </w:rPr>
  </w:style>
  <w:style w:type="character" w:customStyle="1" w:styleId="CommentTextChar">
    <w:name w:val="Comment Text Char"/>
    <w:basedOn w:val="DefaultParagraphFont"/>
    <w:link w:val="CommentText"/>
    <w:uiPriority w:val="99"/>
    <w:semiHidden/>
    <w:rsid w:val="00751138"/>
    <w:rPr>
      <w:rFonts w:ascii="Times New Roman" w:eastAsiaTheme="minorHAnsi" w:hAnsi="Times New Roman" w:cs="Calibri"/>
      <w:sz w:val="20"/>
      <w:szCs w:val="20"/>
      <w:lang w:val="en-US" w:eastAsia="en-US"/>
    </w:rPr>
  </w:style>
  <w:style w:type="paragraph" w:styleId="CommentSubject">
    <w:name w:val="annotation subject"/>
    <w:basedOn w:val="CommentText"/>
    <w:next w:val="CommentText"/>
    <w:link w:val="CommentSubjectChar"/>
    <w:uiPriority w:val="99"/>
    <w:semiHidden/>
    <w:unhideWhenUsed/>
    <w:rsid w:val="00751138"/>
    <w:rPr>
      <w:b/>
      <w:bCs/>
    </w:rPr>
  </w:style>
  <w:style w:type="character" w:customStyle="1" w:styleId="CommentSubjectChar">
    <w:name w:val="Comment Subject Char"/>
    <w:basedOn w:val="CommentTextChar"/>
    <w:link w:val="CommentSubject"/>
    <w:uiPriority w:val="99"/>
    <w:semiHidden/>
    <w:rsid w:val="00751138"/>
    <w:rPr>
      <w:rFonts w:ascii="Times New Roman" w:eastAsiaTheme="minorHAnsi" w:hAnsi="Times New Roman" w:cs="Calibri"/>
      <w:b/>
      <w:bCs/>
      <w:sz w:val="20"/>
      <w:szCs w:val="20"/>
      <w:lang w:val="en-US" w:eastAsia="en-US"/>
    </w:rPr>
  </w:style>
  <w:style w:type="paragraph" w:styleId="BalloonText">
    <w:name w:val="Balloon Text"/>
    <w:basedOn w:val="Normal"/>
    <w:link w:val="BalloonTextChar"/>
    <w:uiPriority w:val="99"/>
    <w:semiHidden/>
    <w:unhideWhenUsed/>
    <w:rsid w:val="00751138"/>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751138"/>
    <w:rPr>
      <w:rFonts w:ascii="Segoe UI" w:eastAsia="SimSun" w:hAnsi="Segoe UI" w:cs="Segoe UI"/>
      <w:sz w:val="18"/>
      <w:szCs w:val="18"/>
      <w:lang w:val="en-US" w:eastAsia="en-US"/>
    </w:rPr>
  </w:style>
  <w:style w:type="character" w:styleId="Hyperlink">
    <w:name w:val="Hyperlink"/>
    <w:basedOn w:val="DefaultParagraphFont"/>
    <w:uiPriority w:val="99"/>
    <w:unhideWhenUsed/>
    <w:rsid w:val="00751138"/>
    <w:rPr>
      <w:color w:val="0563C1" w:themeColor="hyperlink"/>
      <w:u w:val="single"/>
    </w:rPr>
  </w:style>
  <w:style w:type="character" w:customStyle="1" w:styleId="UnresolvedMention1">
    <w:name w:val="Unresolved Mention1"/>
    <w:basedOn w:val="DefaultParagraphFont"/>
    <w:uiPriority w:val="99"/>
    <w:semiHidden/>
    <w:unhideWhenUsed/>
    <w:rsid w:val="00751138"/>
    <w:rPr>
      <w:color w:val="808080"/>
      <w:shd w:val="clear" w:color="auto" w:fill="E6E6E6"/>
    </w:rPr>
  </w:style>
  <w:style w:type="table" w:customStyle="1" w:styleId="TableGrid2">
    <w:name w:val="Table Grid2"/>
    <w:basedOn w:val="TableNormal"/>
    <w:next w:val="TableGrid"/>
    <w:uiPriority w:val="59"/>
    <w:rsid w:val="00751138"/>
    <w:pPr>
      <w:spacing w:after="0" w:line="240"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751138"/>
    <w:rPr>
      <w:color w:val="808080"/>
      <w:shd w:val="clear" w:color="auto" w:fill="E6E6E6"/>
    </w:rPr>
  </w:style>
  <w:style w:type="character" w:customStyle="1" w:styleId="UnresolvedMention3">
    <w:name w:val="Unresolved Mention3"/>
    <w:basedOn w:val="DefaultParagraphFont"/>
    <w:uiPriority w:val="99"/>
    <w:semiHidden/>
    <w:unhideWhenUsed/>
    <w:rsid w:val="00751138"/>
    <w:rPr>
      <w:color w:val="808080"/>
      <w:shd w:val="clear" w:color="auto" w:fill="E6E6E6"/>
    </w:rPr>
  </w:style>
  <w:style w:type="paragraph" w:styleId="NormalWeb">
    <w:name w:val="Normal (Web)"/>
    <w:basedOn w:val="Normal"/>
    <w:unhideWhenUsed/>
    <w:rsid w:val="00751138"/>
    <w:pPr>
      <w:spacing w:before="100" w:beforeAutospacing="1" w:after="100" w:afterAutospacing="1"/>
    </w:pPr>
    <w:rPr>
      <w:rFonts w:ascii="Arial Unicode MS" w:eastAsia="Arial Unicode MS" w:hAnsi="Arial Unicode MS" w:cs="Arial Unicode MS"/>
      <w:szCs w:val="24"/>
    </w:rPr>
  </w:style>
  <w:style w:type="character" w:customStyle="1" w:styleId="FootnoteTextChar1">
    <w:name w:val="Footnote Text Char1"/>
    <w:basedOn w:val="DefaultParagraphFont"/>
    <w:uiPriority w:val="99"/>
    <w:rsid w:val="00751138"/>
    <w:rPr>
      <w:rFonts w:ascii="Calibri" w:eastAsia="Calibri" w:hAnsi="Calibri" w:cs="Times New Roman"/>
      <w:sz w:val="20"/>
      <w:szCs w:val="20"/>
      <w:lang w:val="x-none" w:eastAsia="x-none"/>
    </w:rPr>
  </w:style>
  <w:style w:type="character" w:styleId="FollowedHyperlink">
    <w:name w:val="FollowedHyperlink"/>
    <w:basedOn w:val="DefaultParagraphFont"/>
    <w:uiPriority w:val="99"/>
    <w:semiHidden/>
    <w:unhideWhenUsed/>
    <w:rsid w:val="00751138"/>
    <w:rPr>
      <w:color w:val="954F72" w:themeColor="followedHyperlink"/>
      <w:u w:val="single"/>
    </w:rPr>
  </w:style>
  <w:style w:type="character" w:customStyle="1" w:styleId="textChar">
    <w:name w:val="text Char"/>
    <w:aliases w:val="t Char"/>
    <w:basedOn w:val="DefaultParagraphFont"/>
    <w:link w:val="text"/>
    <w:locked/>
    <w:rsid w:val="00751138"/>
    <w:rPr>
      <w:rFonts w:ascii="Times" w:hAnsi="Times" w:cs="Times"/>
      <w:sz w:val="24"/>
    </w:rPr>
  </w:style>
  <w:style w:type="paragraph" w:customStyle="1" w:styleId="text">
    <w:name w:val="text"/>
    <w:aliases w:val="t"/>
    <w:basedOn w:val="Normal"/>
    <w:link w:val="textChar"/>
    <w:rsid w:val="00751138"/>
    <w:pPr>
      <w:overflowPunct w:val="0"/>
      <w:autoSpaceDE w:val="0"/>
      <w:autoSpaceDN w:val="0"/>
      <w:adjustRightInd w:val="0"/>
      <w:spacing w:line="480" w:lineRule="atLeast"/>
      <w:ind w:firstLine="720"/>
      <w:jc w:val="both"/>
    </w:pPr>
    <w:rPr>
      <w:rFonts w:ascii="Times" w:eastAsiaTheme="minorEastAsia" w:hAnsi="Times" w:cs="Times"/>
      <w:lang w:val="en-HK" w:eastAsia="zh-CN"/>
    </w:rPr>
  </w:style>
  <w:style w:type="character" w:customStyle="1" w:styleId="UnresolvedMention4">
    <w:name w:val="Unresolved Mention4"/>
    <w:basedOn w:val="DefaultParagraphFont"/>
    <w:uiPriority w:val="99"/>
    <w:semiHidden/>
    <w:unhideWhenUsed/>
    <w:rsid w:val="00751138"/>
    <w:rPr>
      <w:color w:val="808080"/>
      <w:shd w:val="clear" w:color="auto" w:fill="E6E6E6"/>
    </w:rPr>
  </w:style>
  <w:style w:type="paragraph" w:styleId="Revision">
    <w:name w:val="Revision"/>
    <w:hidden/>
    <w:uiPriority w:val="99"/>
    <w:semiHidden/>
    <w:rsid w:val="00751138"/>
    <w:pPr>
      <w:spacing w:after="0" w:line="240" w:lineRule="auto"/>
    </w:pPr>
    <w:rPr>
      <w:rFonts w:ascii="Calibri" w:eastAsiaTheme="minorHAnsi" w:hAnsi="Calibri" w:cs="Calibri"/>
      <w:lang w:val="en-US" w:eastAsia="en-US"/>
    </w:rPr>
  </w:style>
  <w:style w:type="character" w:customStyle="1" w:styleId="UnresolvedMention5">
    <w:name w:val="Unresolved Mention5"/>
    <w:basedOn w:val="DefaultParagraphFont"/>
    <w:uiPriority w:val="99"/>
    <w:semiHidden/>
    <w:unhideWhenUsed/>
    <w:rsid w:val="00751138"/>
    <w:rPr>
      <w:color w:val="808080"/>
      <w:shd w:val="clear" w:color="auto" w:fill="E6E6E6"/>
    </w:rPr>
  </w:style>
  <w:style w:type="character" w:customStyle="1" w:styleId="UnresolvedMention6">
    <w:name w:val="Unresolved Mention6"/>
    <w:basedOn w:val="DefaultParagraphFont"/>
    <w:uiPriority w:val="99"/>
    <w:semiHidden/>
    <w:unhideWhenUsed/>
    <w:rsid w:val="0075113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600201">
      <w:bodyDiv w:val="1"/>
      <w:marLeft w:val="0"/>
      <w:marRight w:val="0"/>
      <w:marTop w:val="0"/>
      <w:marBottom w:val="0"/>
      <w:divBdr>
        <w:top w:val="none" w:sz="0" w:space="0" w:color="auto"/>
        <w:left w:val="none" w:sz="0" w:space="0" w:color="auto"/>
        <w:bottom w:val="none" w:sz="0" w:space="0" w:color="auto"/>
        <w:right w:val="none" w:sz="0" w:space="0" w:color="auto"/>
      </w:divBdr>
      <w:divsChild>
        <w:div w:id="956716826">
          <w:marLeft w:val="0"/>
          <w:marRight w:val="0"/>
          <w:marTop w:val="0"/>
          <w:marBottom w:val="0"/>
          <w:divBdr>
            <w:top w:val="none" w:sz="0" w:space="0" w:color="auto"/>
            <w:left w:val="none" w:sz="0" w:space="0" w:color="auto"/>
            <w:bottom w:val="none" w:sz="0" w:space="0" w:color="auto"/>
            <w:right w:val="none" w:sz="0" w:space="0" w:color="auto"/>
          </w:divBdr>
        </w:div>
        <w:div w:id="524713888">
          <w:marLeft w:val="0"/>
          <w:marRight w:val="0"/>
          <w:marTop w:val="0"/>
          <w:marBottom w:val="0"/>
          <w:divBdr>
            <w:top w:val="none" w:sz="0" w:space="0" w:color="auto"/>
            <w:left w:val="none" w:sz="0" w:space="0" w:color="auto"/>
            <w:bottom w:val="none" w:sz="0" w:space="0" w:color="auto"/>
            <w:right w:val="none" w:sz="0" w:space="0" w:color="auto"/>
          </w:divBdr>
        </w:div>
        <w:div w:id="1151095543">
          <w:marLeft w:val="0"/>
          <w:marRight w:val="0"/>
          <w:marTop w:val="0"/>
          <w:marBottom w:val="0"/>
          <w:divBdr>
            <w:top w:val="none" w:sz="0" w:space="0" w:color="auto"/>
            <w:left w:val="none" w:sz="0" w:space="0" w:color="auto"/>
            <w:bottom w:val="none" w:sz="0" w:space="0" w:color="auto"/>
            <w:right w:val="none" w:sz="0" w:space="0" w:color="auto"/>
          </w:divBdr>
        </w:div>
        <w:div w:id="1957248642">
          <w:marLeft w:val="0"/>
          <w:marRight w:val="0"/>
          <w:marTop w:val="0"/>
          <w:marBottom w:val="0"/>
          <w:divBdr>
            <w:top w:val="none" w:sz="0" w:space="0" w:color="auto"/>
            <w:left w:val="none" w:sz="0" w:space="0" w:color="auto"/>
            <w:bottom w:val="none" w:sz="0" w:space="0" w:color="auto"/>
            <w:right w:val="none" w:sz="0" w:space="0" w:color="auto"/>
          </w:divBdr>
        </w:div>
        <w:div w:id="155003465">
          <w:marLeft w:val="0"/>
          <w:marRight w:val="0"/>
          <w:marTop w:val="0"/>
          <w:marBottom w:val="0"/>
          <w:divBdr>
            <w:top w:val="none" w:sz="0" w:space="0" w:color="auto"/>
            <w:left w:val="none" w:sz="0" w:space="0" w:color="auto"/>
            <w:bottom w:val="none" w:sz="0" w:space="0" w:color="auto"/>
            <w:right w:val="none" w:sz="0" w:space="0" w:color="auto"/>
          </w:divBdr>
        </w:div>
        <w:div w:id="1076823384">
          <w:marLeft w:val="0"/>
          <w:marRight w:val="0"/>
          <w:marTop w:val="0"/>
          <w:marBottom w:val="0"/>
          <w:divBdr>
            <w:top w:val="none" w:sz="0" w:space="0" w:color="auto"/>
            <w:left w:val="none" w:sz="0" w:space="0" w:color="auto"/>
            <w:bottom w:val="none" w:sz="0" w:space="0" w:color="auto"/>
            <w:right w:val="none" w:sz="0" w:space="0" w:color="auto"/>
          </w:divBdr>
        </w:div>
        <w:div w:id="2099015362">
          <w:marLeft w:val="0"/>
          <w:marRight w:val="0"/>
          <w:marTop w:val="0"/>
          <w:marBottom w:val="0"/>
          <w:divBdr>
            <w:top w:val="none" w:sz="0" w:space="0" w:color="auto"/>
            <w:left w:val="none" w:sz="0" w:space="0" w:color="auto"/>
            <w:bottom w:val="none" w:sz="0" w:space="0" w:color="auto"/>
            <w:right w:val="none" w:sz="0" w:space="0" w:color="auto"/>
          </w:divBdr>
        </w:div>
        <w:div w:id="995181570">
          <w:marLeft w:val="0"/>
          <w:marRight w:val="0"/>
          <w:marTop w:val="0"/>
          <w:marBottom w:val="0"/>
          <w:divBdr>
            <w:top w:val="none" w:sz="0" w:space="0" w:color="auto"/>
            <w:left w:val="none" w:sz="0" w:space="0" w:color="auto"/>
            <w:bottom w:val="none" w:sz="0" w:space="0" w:color="auto"/>
            <w:right w:val="none" w:sz="0" w:space="0" w:color="auto"/>
          </w:divBdr>
        </w:div>
      </w:divsChild>
    </w:div>
    <w:div w:id="472139991">
      <w:bodyDiv w:val="1"/>
      <w:marLeft w:val="0"/>
      <w:marRight w:val="0"/>
      <w:marTop w:val="0"/>
      <w:marBottom w:val="0"/>
      <w:divBdr>
        <w:top w:val="none" w:sz="0" w:space="0" w:color="auto"/>
        <w:left w:val="none" w:sz="0" w:space="0" w:color="auto"/>
        <w:bottom w:val="none" w:sz="0" w:space="0" w:color="auto"/>
        <w:right w:val="none" w:sz="0" w:space="0" w:color="auto"/>
      </w:divBdr>
    </w:div>
    <w:div w:id="828060584">
      <w:bodyDiv w:val="1"/>
      <w:marLeft w:val="0"/>
      <w:marRight w:val="0"/>
      <w:marTop w:val="0"/>
      <w:marBottom w:val="0"/>
      <w:divBdr>
        <w:top w:val="none" w:sz="0" w:space="0" w:color="auto"/>
        <w:left w:val="none" w:sz="0" w:space="0" w:color="auto"/>
        <w:bottom w:val="none" w:sz="0" w:space="0" w:color="auto"/>
        <w:right w:val="none" w:sz="0" w:space="0" w:color="auto"/>
      </w:divBdr>
    </w:div>
    <w:div w:id="1779986851">
      <w:bodyDiv w:val="1"/>
      <w:marLeft w:val="0"/>
      <w:marRight w:val="0"/>
      <w:marTop w:val="0"/>
      <w:marBottom w:val="0"/>
      <w:divBdr>
        <w:top w:val="none" w:sz="0" w:space="0" w:color="auto"/>
        <w:left w:val="none" w:sz="0" w:space="0" w:color="auto"/>
        <w:bottom w:val="none" w:sz="0" w:space="0" w:color="auto"/>
        <w:right w:val="none" w:sz="0" w:space="0" w:color="auto"/>
      </w:divBdr>
      <w:divsChild>
        <w:div w:id="1342317149">
          <w:marLeft w:val="0"/>
          <w:marRight w:val="0"/>
          <w:marTop w:val="0"/>
          <w:marBottom w:val="0"/>
          <w:divBdr>
            <w:top w:val="none" w:sz="0" w:space="0" w:color="auto"/>
            <w:left w:val="none" w:sz="0" w:space="0" w:color="auto"/>
            <w:bottom w:val="none" w:sz="0" w:space="0" w:color="auto"/>
            <w:right w:val="none" w:sz="0" w:space="0" w:color="auto"/>
          </w:divBdr>
          <w:divsChild>
            <w:div w:id="1841579018">
              <w:marLeft w:val="0"/>
              <w:marRight w:val="0"/>
              <w:marTop w:val="0"/>
              <w:marBottom w:val="0"/>
              <w:divBdr>
                <w:top w:val="none" w:sz="0" w:space="0" w:color="auto"/>
                <w:left w:val="none" w:sz="0" w:space="0" w:color="auto"/>
                <w:bottom w:val="none" w:sz="0" w:space="0" w:color="auto"/>
                <w:right w:val="none" w:sz="0" w:space="0" w:color="auto"/>
              </w:divBdr>
            </w:div>
            <w:div w:id="1374846036">
              <w:marLeft w:val="0"/>
              <w:marRight w:val="0"/>
              <w:marTop w:val="0"/>
              <w:marBottom w:val="0"/>
              <w:divBdr>
                <w:top w:val="none" w:sz="0" w:space="0" w:color="auto"/>
                <w:left w:val="none" w:sz="0" w:space="0" w:color="auto"/>
                <w:bottom w:val="none" w:sz="0" w:space="0" w:color="auto"/>
                <w:right w:val="none" w:sz="0" w:space="0" w:color="auto"/>
              </w:divBdr>
            </w:div>
          </w:divsChild>
        </w:div>
        <w:div w:id="1358434691">
          <w:marLeft w:val="0"/>
          <w:marRight w:val="0"/>
          <w:marTop w:val="0"/>
          <w:marBottom w:val="0"/>
          <w:divBdr>
            <w:top w:val="none" w:sz="0" w:space="0" w:color="auto"/>
            <w:left w:val="none" w:sz="0" w:space="0" w:color="auto"/>
            <w:bottom w:val="none" w:sz="0" w:space="0" w:color="auto"/>
            <w:right w:val="none" w:sz="0" w:space="0" w:color="auto"/>
          </w:divBdr>
          <w:divsChild>
            <w:div w:id="356544185">
              <w:marLeft w:val="0"/>
              <w:marRight w:val="0"/>
              <w:marTop w:val="0"/>
              <w:marBottom w:val="0"/>
              <w:divBdr>
                <w:top w:val="none" w:sz="0" w:space="0" w:color="auto"/>
                <w:left w:val="none" w:sz="0" w:space="0" w:color="auto"/>
                <w:bottom w:val="none" w:sz="0" w:space="0" w:color="auto"/>
                <w:right w:val="none" w:sz="0" w:space="0" w:color="auto"/>
              </w:divBdr>
              <w:divsChild>
                <w:div w:id="1020396792">
                  <w:marLeft w:val="0"/>
                  <w:marRight w:val="0"/>
                  <w:marTop w:val="0"/>
                  <w:marBottom w:val="0"/>
                  <w:divBdr>
                    <w:top w:val="none" w:sz="0" w:space="0" w:color="auto"/>
                    <w:left w:val="none" w:sz="0" w:space="0" w:color="auto"/>
                    <w:bottom w:val="none" w:sz="0" w:space="0" w:color="auto"/>
                    <w:right w:val="none" w:sz="0" w:space="0" w:color="auto"/>
                  </w:divBdr>
                  <w:divsChild>
                    <w:div w:id="122402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94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image" Target="media/image6.wmf"/><Relationship Id="rId42" Type="http://schemas.openxmlformats.org/officeDocument/2006/relationships/oleObject" Target="embeddings/oleObject15.bin"/><Relationship Id="rId63" Type="http://schemas.openxmlformats.org/officeDocument/2006/relationships/image" Target="media/image27.wmf"/><Relationship Id="rId84" Type="http://schemas.openxmlformats.org/officeDocument/2006/relationships/oleObject" Target="embeddings/oleObject36.bin"/><Relationship Id="rId138" Type="http://schemas.openxmlformats.org/officeDocument/2006/relationships/image" Target="media/image59.wmf"/><Relationship Id="rId159" Type="http://schemas.openxmlformats.org/officeDocument/2006/relationships/oleObject" Target="embeddings/oleObject79.bin"/><Relationship Id="rId170" Type="http://schemas.openxmlformats.org/officeDocument/2006/relationships/image" Target="media/image75.wmf"/><Relationship Id="rId191" Type="http://schemas.openxmlformats.org/officeDocument/2006/relationships/oleObject" Target="embeddings/oleObject110.bin"/><Relationship Id="rId205" Type="http://schemas.openxmlformats.org/officeDocument/2006/relationships/oleObject" Target="embeddings/oleObject118.bin"/><Relationship Id="rId226" Type="http://schemas.openxmlformats.org/officeDocument/2006/relationships/hyperlink" Target="https://www.bycensus2016.gov.hk/en/index.html" TargetMode="External"/><Relationship Id="rId107" Type="http://schemas.openxmlformats.org/officeDocument/2006/relationships/oleObject" Target="embeddings/oleObject48.bin"/><Relationship Id="rId11" Type="http://schemas.openxmlformats.org/officeDocument/2006/relationships/hyperlink" Target="mailto:bhat@mail.utexas.edu" TargetMode="External"/><Relationship Id="rId32" Type="http://schemas.openxmlformats.org/officeDocument/2006/relationships/oleObject" Target="embeddings/oleObject10.bin"/><Relationship Id="rId53" Type="http://schemas.openxmlformats.org/officeDocument/2006/relationships/image" Target="media/image22.wmf"/><Relationship Id="rId74" Type="http://schemas.openxmlformats.org/officeDocument/2006/relationships/oleObject" Target="embeddings/oleObject31.bin"/><Relationship Id="rId128" Type="http://schemas.openxmlformats.org/officeDocument/2006/relationships/oleObject" Target="embeddings/oleObject62.bin"/><Relationship Id="rId149" Type="http://schemas.openxmlformats.org/officeDocument/2006/relationships/oleObject" Target="embeddings/oleObject74.bin"/><Relationship Id="rId5" Type="http://schemas.openxmlformats.org/officeDocument/2006/relationships/webSettings" Target="webSettings.xml"/><Relationship Id="rId95" Type="http://schemas.openxmlformats.org/officeDocument/2006/relationships/oleObject" Target="embeddings/oleObject42.bin"/><Relationship Id="rId160" Type="http://schemas.openxmlformats.org/officeDocument/2006/relationships/image" Target="media/image70.wmf"/><Relationship Id="rId181" Type="http://schemas.openxmlformats.org/officeDocument/2006/relationships/oleObject" Target="embeddings/oleObject101.bin"/><Relationship Id="rId216" Type="http://schemas.openxmlformats.org/officeDocument/2006/relationships/oleObject" Target="embeddings/oleObject125.bin"/><Relationship Id="rId237" Type="http://schemas.openxmlformats.org/officeDocument/2006/relationships/fontTable" Target="fontTable.xml"/><Relationship Id="rId22" Type="http://schemas.openxmlformats.org/officeDocument/2006/relationships/oleObject" Target="embeddings/oleObject5.bin"/><Relationship Id="rId43" Type="http://schemas.openxmlformats.org/officeDocument/2006/relationships/image" Target="media/image17.wmf"/><Relationship Id="rId64" Type="http://schemas.openxmlformats.org/officeDocument/2006/relationships/oleObject" Target="embeddings/oleObject26.bin"/><Relationship Id="rId118" Type="http://schemas.openxmlformats.org/officeDocument/2006/relationships/oleObject" Target="embeddings/oleObject54.bin"/><Relationship Id="rId139" Type="http://schemas.openxmlformats.org/officeDocument/2006/relationships/oleObject" Target="embeddings/oleObject69.bin"/><Relationship Id="rId80" Type="http://schemas.openxmlformats.org/officeDocument/2006/relationships/oleObject" Target="embeddings/oleObject34.bin"/><Relationship Id="rId85" Type="http://schemas.openxmlformats.org/officeDocument/2006/relationships/image" Target="media/image38.wmf"/><Relationship Id="rId150" Type="http://schemas.openxmlformats.org/officeDocument/2006/relationships/image" Target="media/image65.wmf"/><Relationship Id="rId155" Type="http://schemas.openxmlformats.org/officeDocument/2006/relationships/oleObject" Target="embeddings/oleObject77.bin"/><Relationship Id="rId171" Type="http://schemas.openxmlformats.org/officeDocument/2006/relationships/oleObject" Target="embeddings/oleObject85.bin"/><Relationship Id="rId176" Type="http://schemas.openxmlformats.org/officeDocument/2006/relationships/image" Target="media/image88.wmf"/><Relationship Id="rId192" Type="http://schemas.openxmlformats.org/officeDocument/2006/relationships/oleObject" Target="embeddings/oleObject111.bin"/><Relationship Id="rId197" Type="http://schemas.openxmlformats.org/officeDocument/2006/relationships/image" Target="media/image94.wmf"/><Relationship Id="rId206" Type="http://schemas.openxmlformats.org/officeDocument/2006/relationships/image" Target="media/image98.wmf"/><Relationship Id="rId227" Type="http://schemas.openxmlformats.org/officeDocument/2006/relationships/hyperlink" Target="http://www.edb.gov.hk/en/curriculum-development/major-level-of-edu/life-wide-learning/jc-fund/index.html" TargetMode="External"/><Relationship Id="rId201" Type="http://schemas.openxmlformats.org/officeDocument/2006/relationships/oleObject" Target="embeddings/oleObject116.bin"/><Relationship Id="rId222" Type="http://schemas.openxmlformats.org/officeDocument/2006/relationships/oleObject" Target="embeddings/oleObject128.bin"/><Relationship Id="rId12" Type="http://schemas.openxmlformats.org/officeDocument/2006/relationships/footer" Target="footer1.xml"/><Relationship Id="rId17" Type="http://schemas.openxmlformats.org/officeDocument/2006/relationships/image" Target="media/image4.wmf"/><Relationship Id="rId33" Type="http://schemas.openxmlformats.org/officeDocument/2006/relationships/image" Target="media/image12.wmf"/><Relationship Id="rId38" Type="http://schemas.openxmlformats.org/officeDocument/2006/relationships/oleObject" Target="embeddings/oleObject13.bin"/><Relationship Id="rId59" Type="http://schemas.openxmlformats.org/officeDocument/2006/relationships/image" Target="media/image25.wmf"/><Relationship Id="rId103" Type="http://schemas.openxmlformats.org/officeDocument/2006/relationships/oleObject" Target="embeddings/oleObject46.bin"/><Relationship Id="rId108" Type="http://schemas.openxmlformats.org/officeDocument/2006/relationships/image" Target="media/image49.wmf"/><Relationship Id="rId124" Type="http://schemas.openxmlformats.org/officeDocument/2006/relationships/image" Target="media/image54.wmf"/><Relationship Id="rId129" Type="http://schemas.openxmlformats.org/officeDocument/2006/relationships/image" Target="media/image56.wmf"/><Relationship Id="rId54" Type="http://schemas.openxmlformats.org/officeDocument/2006/relationships/oleObject" Target="embeddings/oleObject21.bin"/><Relationship Id="rId70" Type="http://schemas.openxmlformats.org/officeDocument/2006/relationships/oleObject" Target="embeddings/oleObject29.bin"/><Relationship Id="rId75" Type="http://schemas.openxmlformats.org/officeDocument/2006/relationships/image" Target="media/image33.wmf"/><Relationship Id="rId91" Type="http://schemas.openxmlformats.org/officeDocument/2006/relationships/image" Target="media/image41.wmf"/><Relationship Id="rId96" Type="http://schemas.openxmlformats.org/officeDocument/2006/relationships/image" Target="media/image43.wmf"/><Relationship Id="rId140" Type="http://schemas.openxmlformats.org/officeDocument/2006/relationships/image" Target="media/image60.wmf"/><Relationship Id="rId145" Type="http://schemas.openxmlformats.org/officeDocument/2006/relationships/oleObject" Target="embeddings/oleObject72.bin"/><Relationship Id="rId161" Type="http://schemas.openxmlformats.org/officeDocument/2006/relationships/oleObject" Target="embeddings/oleObject80.bin"/><Relationship Id="rId166" Type="http://schemas.openxmlformats.org/officeDocument/2006/relationships/image" Target="media/image73.wmf"/><Relationship Id="rId182" Type="http://schemas.openxmlformats.org/officeDocument/2006/relationships/oleObject" Target="embeddings/oleObject102.bin"/><Relationship Id="rId187" Type="http://schemas.openxmlformats.org/officeDocument/2006/relationships/oleObject" Target="embeddings/oleObject107.bin"/><Relationship Id="rId217" Type="http://schemas.openxmlformats.org/officeDocument/2006/relationships/image" Target="media/image102.w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123.bin"/><Relationship Id="rId233" Type="http://schemas.openxmlformats.org/officeDocument/2006/relationships/hyperlink" Target="http://www.walkingschoolbus.org/" TargetMode="External"/><Relationship Id="rId238" Type="http://schemas.openxmlformats.org/officeDocument/2006/relationships/theme" Target="theme/theme1.xml"/><Relationship Id="rId23" Type="http://schemas.openxmlformats.org/officeDocument/2006/relationships/image" Target="media/image7.wmf"/><Relationship Id="rId28" Type="http://schemas.openxmlformats.org/officeDocument/2006/relationships/oleObject" Target="embeddings/oleObject8.bin"/><Relationship Id="rId49" Type="http://schemas.openxmlformats.org/officeDocument/2006/relationships/image" Target="media/image20.wmf"/><Relationship Id="rId114" Type="http://schemas.openxmlformats.org/officeDocument/2006/relationships/oleObject" Target="embeddings/oleObject52.bin"/><Relationship Id="rId119" Type="http://schemas.openxmlformats.org/officeDocument/2006/relationships/oleObject" Target="embeddings/oleObject55.bin"/><Relationship Id="rId44" Type="http://schemas.openxmlformats.org/officeDocument/2006/relationships/oleObject" Target="embeddings/oleObject16.bin"/><Relationship Id="rId60" Type="http://schemas.openxmlformats.org/officeDocument/2006/relationships/oleObject" Target="embeddings/oleObject24.bin"/><Relationship Id="rId65" Type="http://schemas.openxmlformats.org/officeDocument/2006/relationships/image" Target="media/image28.wmf"/><Relationship Id="rId81" Type="http://schemas.openxmlformats.org/officeDocument/2006/relationships/image" Target="media/image36.wmf"/><Relationship Id="rId86" Type="http://schemas.openxmlformats.org/officeDocument/2006/relationships/oleObject" Target="embeddings/oleObject37.bin"/><Relationship Id="rId130" Type="http://schemas.openxmlformats.org/officeDocument/2006/relationships/oleObject" Target="embeddings/oleObject63.bin"/><Relationship Id="rId135" Type="http://schemas.openxmlformats.org/officeDocument/2006/relationships/oleObject" Target="embeddings/oleObject67.bin"/><Relationship Id="rId151" Type="http://schemas.openxmlformats.org/officeDocument/2006/relationships/oleObject" Target="embeddings/oleObject75.bin"/><Relationship Id="rId156" Type="http://schemas.openxmlformats.org/officeDocument/2006/relationships/image" Target="media/image68.wmf"/><Relationship Id="rId177" Type="http://schemas.openxmlformats.org/officeDocument/2006/relationships/oleObject" Target="embeddings/oleObject99.bin"/><Relationship Id="rId198" Type="http://schemas.openxmlformats.org/officeDocument/2006/relationships/oleObject" Target="embeddings/oleObject114.bin"/><Relationship Id="rId172" Type="http://schemas.openxmlformats.org/officeDocument/2006/relationships/image" Target="media/image76.wmf"/><Relationship Id="rId193" Type="http://schemas.openxmlformats.org/officeDocument/2006/relationships/image" Target="media/image92.wmf"/><Relationship Id="rId202" Type="http://schemas.openxmlformats.org/officeDocument/2006/relationships/image" Target="media/image96.wmf"/><Relationship Id="rId207" Type="http://schemas.openxmlformats.org/officeDocument/2006/relationships/oleObject" Target="embeddings/oleObject119.bin"/><Relationship Id="rId223" Type="http://schemas.openxmlformats.org/officeDocument/2006/relationships/oleObject" Target="embeddings/oleObject129.bin"/><Relationship Id="rId228" Type="http://schemas.openxmlformats.org/officeDocument/2006/relationships/hyperlink" Target="http://c4e.hkcss.org.hk/user/child201307.pdf" TargetMode="External"/><Relationship Id="rId13" Type="http://schemas.openxmlformats.org/officeDocument/2006/relationships/image" Target="media/image2.wmf"/><Relationship Id="rId18" Type="http://schemas.openxmlformats.org/officeDocument/2006/relationships/oleObject" Target="embeddings/oleObject3.bin"/><Relationship Id="rId39" Type="http://schemas.openxmlformats.org/officeDocument/2006/relationships/image" Target="media/image15.wmf"/><Relationship Id="rId109" Type="http://schemas.openxmlformats.org/officeDocument/2006/relationships/oleObject" Target="embeddings/oleObject49.bin"/><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23.wmf"/><Relationship Id="rId76" Type="http://schemas.openxmlformats.org/officeDocument/2006/relationships/oleObject" Target="embeddings/oleObject32.bin"/><Relationship Id="rId97" Type="http://schemas.openxmlformats.org/officeDocument/2006/relationships/oleObject" Target="embeddings/oleObject43.bin"/><Relationship Id="rId104" Type="http://schemas.openxmlformats.org/officeDocument/2006/relationships/image" Target="media/image47.wmf"/><Relationship Id="rId120" Type="http://schemas.openxmlformats.org/officeDocument/2006/relationships/oleObject" Target="embeddings/oleObject56.bin"/><Relationship Id="rId125" Type="http://schemas.openxmlformats.org/officeDocument/2006/relationships/oleObject" Target="embeddings/oleObject60.bin"/><Relationship Id="rId141" Type="http://schemas.openxmlformats.org/officeDocument/2006/relationships/oleObject" Target="embeddings/oleObject70.bin"/><Relationship Id="rId146" Type="http://schemas.openxmlformats.org/officeDocument/2006/relationships/image" Target="media/image63.wmf"/><Relationship Id="rId167" Type="http://schemas.openxmlformats.org/officeDocument/2006/relationships/oleObject" Target="embeddings/oleObject83.bin"/><Relationship Id="rId188" Type="http://schemas.openxmlformats.org/officeDocument/2006/relationships/oleObject" Target="embeddings/oleObject108.bin"/><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oleObject" Target="embeddings/oleObject40.bin"/><Relationship Id="rId162" Type="http://schemas.openxmlformats.org/officeDocument/2006/relationships/image" Target="media/image71.wmf"/><Relationship Id="rId183" Type="http://schemas.openxmlformats.org/officeDocument/2006/relationships/oleObject" Target="embeddings/oleObject103.bin"/><Relationship Id="rId213" Type="http://schemas.openxmlformats.org/officeDocument/2006/relationships/image" Target="media/image100.wmf"/><Relationship Id="rId218" Type="http://schemas.openxmlformats.org/officeDocument/2006/relationships/oleObject" Target="embeddings/oleObject126.bin"/><Relationship Id="rId234" Type="http://schemas.openxmlformats.org/officeDocument/2006/relationships/footer" Target="footer2.xml"/><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18.wmf"/><Relationship Id="rId66" Type="http://schemas.openxmlformats.org/officeDocument/2006/relationships/oleObject" Target="embeddings/oleObject27.bin"/><Relationship Id="rId87" Type="http://schemas.openxmlformats.org/officeDocument/2006/relationships/image" Target="media/image39.wmf"/><Relationship Id="rId110" Type="http://schemas.openxmlformats.org/officeDocument/2006/relationships/oleObject" Target="embeddings/oleObject50.bin"/><Relationship Id="rId115" Type="http://schemas.openxmlformats.org/officeDocument/2006/relationships/image" Target="media/image52.wmf"/><Relationship Id="rId131" Type="http://schemas.openxmlformats.org/officeDocument/2006/relationships/oleObject" Target="embeddings/oleObject64.bin"/><Relationship Id="rId136" Type="http://schemas.openxmlformats.org/officeDocument/2006/relationships/image" Target="media/image58.wmf"/><Relationship Id="rId157" Type="http://schemas.openxmlformats.org/officeDocument/2006/relationships/oleObject" Target="embeddings/oleObject78.bin"/><Relationship Id="rId178" Type="http://schemas.openxmlformats.org/officeDocument/2006/relationships/image" Target="media/image89.wmf"/><Relationship Id="rId61" Type="http://schemas.openxmlformats.org/officeDocument/2006/relationships/image" Target="media/image26.wmf"/><Relationship Id="rId82" Type="http://schemas.openxmlformats.org/officeDocument/2006/relationships/oleObject" Target="embeddings/oleObject35.bin"/><Relationship Id="rId152" Type="http://schemas.openxmlformats.org/officeDocument/2006/relationships/image" Target="media/image66.wmf"/><Relationship Id="rId173" Type="http://schemas.openxmlformats.org/officeDocument/2006/relationships/oleObject" Target="embeddings/oleObject86.bin"/><Relationship Id="rId194" Type="http://schemas.openxmlformats.org/officeDocument/2006/relationships/oleObject" Target="embeddings/oleObject112.bin"/><Relationship Id="rId199" Type="http://schemas.openxmlformats.org/officeDocument/2006/relationships/image" Target="media/image95.wmf"/><Relationship Id="rId203" Type="http://schemas.openxmlformats.org/officeDocument/2006/relationships/oleObject" Target="embeddings/oleObject117.bin"/><Relationship Id="rId208" Type="http://schemas.openxmlformats.org/officeDocument/2006/relationships/oleObject" Target="embeddings/oleObject120.bin"/><Relationship Id="rId229" Type="http://schemas.openxmlformats.org/officeDocument/2006/relationships/hyperlink" Target="http://paper.takungpao.com/resfile/PDF/20151112/PDF/b21_screen.pdf" TargetMode="External"/><Relationship Id="rId19" Type="http://schemas.openxmlformats.org/officeDocument/2006/relationships/image" Target="media/image5.wmf"/><Relationship Id="rId224" Type="http://schemas.openxmlformats.org/officeDocument/2006/relationships/image" Target="media/image105.wmf"/><Relationship Id="rId14" Type="http://schemas.openxmlformats.org/officeDocument/2006/relationships/oleObject" Target="embeddings/oleObject1.bin"/><Relationship Id="rId30" Type="http://schemas.openxmlformats.org/officeDocument/2006/relationships/oleObject" Target="embeddings/oleObject9.bin"/><Relationship Id="rId35" Type="http://schemas.openxmlformats.org/officeDocument/2006/relationships/image" Target="media/image13.wmf"/><Relationship Id="rId56" Type="http://schemas.openxmlformats.org/officeDocument/2006/relationships/oleObject" Target="embeddings/oleObject22.bin"/><Relationship Id="rId77" Type="http://schemas.openxmlformats.org/officeDocument/2006/relationships/image" Target="media/image34.wmf"/><Relationship Id="rId100" Type="http://schemas.openxmlformats.org/officeDocument/2006/relationships/image" Target="media/image45.wmf"/><Relationship Id="rId105" Type="http://schemas.openxmlformats.org/officeDocument/2006/relationships/oleObject" Target="embeddings/oleObject47.bin"/><Relationship Id="rId126" Type="http://schemas.openxmlformats.org/officeDocument/2006/relationships/image" Target="media/image55.wmf"/><Relationship Id="rId147" Type="http://schemas.openxmlformats.org/officeDocument/2006/relationships/oleObject" Target="embeddings/oleObject73.bin"/><Relationship Id="rId168" Type="http://schemas.openxmlformats.org/officeDocument/2006/relationships/image" Target="media/image74.wmf"/><Relationship Id="rId8" Type="http://schemas.openxmlformats.org/officeDocument/2006/relationships/hyperlink" Target="mailto:k.leungyk@hku.hk" TargetMode="External"/><Relationship Id="rId51" Type="http://schemas.openxmlformats.org/officeDocument/2006/relationships/image" Target="media/image21.wmf"/><Relationship Id="rId72" Type="http://schemas.openxmlformats.org/officeDocument/2006/relationships/oleObject" Target="embeddings/oleObject30.bin"/><Relationship Id="rId93" Type="http://schemas.openxmlformats.org/officeDocument/2006/relationships/oleObject" Target="embeddings/oleObject41.bin"/><Relationship Id="rId98" Type="http://schemas.openxmlformats.org/officeDocument/2006/relationships/image" Target="media/image44.wmf"/><Relationship Id="rId121" Type="http://schemas.openxmlformats.org/officeDocument/2006/relationships/oleObject" Target="embeddings/oleObject57.bin"/><Relationship Id="rId142" Type="http://schemas.openxmlformats.org/officeDocument/2006/relationships/image" Target="media/image61.wmf"/><Relationship Id="rId163" Type="http://schemas.openxmlformats.org/officeDocument/2006/relationships/oleObject" Target="embeddings/oleObject81.bin"/><Relationship Id="rId184" Type="http://schemas.openxmlformats.org/officeDocument/2006/relationships/oleObject" Target="embeddings/oleObject104.bin"/><Relationship Id="rId189" Type="http://schemas.openxmlformats.org/officeDocument/2006/relationships/image" Target="media/image91.wmf"/><Relationship Id="rId219" Type="http://schemas.openxmlformats.org/officeDocument/2006/relationships/image" Target="media/image103.wmf"/><Relationship Id="rId3" Type="http://schemas.openxmlformats.org/officeDocument/2006/relationships/styles" Target="styles.xml"/><Relationship Id="rId214" Type="http://schemas.openxmlformats.org/officeDocument/2006/relationships/oleObject" Target="embeddings/oleObject124.bin"/><Relationship Id="rId230" Type="http://schemas.openxmlformats.org/officeDocument/2006/relationships/hyperlink" Target="https://civicyouth.org/wp-content/uploads/2014/03/WP_80_KawashimaGinsberg.pdf" TargetMode="External"/><Relationship Id="rId235" Type="http://schemas.openxmlformats.org/officeDocument/2006/relationships/footer" Target="footer3.xml"/><Relationship Id="rId25" Type="http://schemas.openxmlformats.org/officeDocument/2006/relationships/image" Target="media/image8.wmf"/><Relationship Id="rId46" Type="http://schemas.openxmlformats.org/officeDocument/2006/relationships/oleObject" Target="embeddings/oleObject17.bin"/><Relationship Id="rId67" Type="http://schemas.openxmlformats.org/officeDocument/2006/relationships/image" Target="media/image29.wmf"/><Relationship Id="rId116" Type="http://schemas.openxmlformats.org/officeDocument/2006/relationships/oleObject" Target="embeddings/oleObject53.bin"/><Relationship Id="rId137" Type="http://schemas.openxmlformats.org/officeDocument/2006/relationships/oleObject" Target="embeddings/oleObject68.bin"/><Relationship Id="rId158" Type="http://schemas.openxmlformats.org/officeDocument/2006/relationships/image" Target="media/image69.wmf"/><Relationship Id="rId20" Type="http://schemas.openxmlformats.org/officeDocument/2006/relationships/oleObject" Target="embeddings/oleObject4.bin"/><Relationship Id="rId41" Type="http://schemas.openxmlformats.org/officeDocument/2006/relationships/image" Target="media/image16.wmf"/><Relationship Id="rId62" Type="http://schemas.openxmlformats.org/officeDocument/2006/relationships/oleObject" Target="embeddings/oleObject25.bin"/><Relationship Id="rId83" Type="http://schemas.openxmlformats.org/officeDocument/2006/relationships/image" Target="media/image37.wmf"/><Relationship Id="rId88" Type="http://schemas.openxmlformats.org/officeDocument/2006/relationships/oleObject" Target="embeddings/oleObject38.bin"/><Relationship Id="rId111" Type="http://schemas.openxmlformats.org/officeDocument/2006/relationships/image" Target="media/image50.wmf"/><Relationship Id="rId132" Type="http://schemas.openxmlformats.org/officeDocument/2006/relationships/oleObject" Target="embeddings/oleObject65.bin"/><Relationship Id="rId153" Type="http://schemas.openxmlformats.org/officeDocument/2006/relationships/oleObject" Target="embeddings/oleObject76.bin"/><Relationship Id="rId174" Type="http://schemas.openxmlformats.org/officeDocument/2006/relationships/image" Target="media/image87.wmf"/><Relationship Id="rId179" Type="http://schemas.openxmlformats.org/officeDocument/2006/relationships/oleObject" Target="embeddings/oleObject100.bin"/><Relationship Id="rId195" Type="http://schemas.openxmlformats.org/officeDocument/2006/relationships/image" Target="media/image93.wmf"/><Relationship Id="rId209" Type="http://schemas.openxmlformats.org/officeDocument/2006/relationships/oleObject" Target="embeddings/oleObject121.bin"/><Relationship Id="rId190" Type="http://schemas.openxmlformats.org/officeDocument/2006/relationships/oleObject" Target="embeddings/oleObject109.bin"/><Relationship Id="rId204" Type="http://schemas.openxmlformats.org/officeDocument/2006/relationships/image" Target="media/image97.wmf"/><Relationship Id="rId220" Type="http://schemas.openxmlformats.org/officeDocument/2006/relationships/oleObject" Target="embeddings/oleObject127.bin"/><Relationship Id="rId225" Type="http://schemas.openxmlformats.org/officeDocument/2006/relationships/oleObject" Target="embeddings/oleObject130.bin"/><Relationship Id="rId15" Type="http://schemas.openxmlformats.org/officeDocument/2006/relationships/image" Target="media/image3.wmf"/><Relationship Id="rId36" Type="http://schemas.openxmlformats.org/officeDocument/2006/relationships/oleObject" Target="embeddings/oleObject12.bin"/><Relationship Id="rId57" Type="http://schemas.openxmlformats.org/officeDocument/2006/relationships/image" Target="media/image24.wmf"/><Relationship Id="rId106" Type="http://schemas.openxmlformats.org/officeDocument/2006/relationships/image" Target="media/image48.wmf"/><Relationship Id="rId127" Type="http://schemas.openxmlformats.org/officeDocument/2006/relationships/oleObject" Target="embeddings/oleObject61.bin"/><Relationship Id="rId10" Type="http://schemas.openxmlformats.org/officeDocument/2006/relationships/hyperlink" Target="mailto:bpyloo@hku.hk" TargetMode="External"/><Relationship Id="rId31" Type="http://schemas.openxmlformats.org/officeDocument/2006/relationships/image" Target="media/image11.wmf"/><Relationship Id="rId52" Type="http://schemas.openxmlformats.org/officeDocument/2006/relationships/oleObject" Target="embeddings/oleObject20.bin"/><Relationship Id="rId73" Type="http://schemas.openxmlformats.org/officeDocument/2006/relationships/image" Target="media/image32.wmf"/><Relationship Id="rId78" Type="http://schemas.openxmlformats.org/officeDocument/2006/relationships/oleObject" Target="embeddings/oleObject33.bin"/><Relationship Id="rId94" Type="http://schemas.openxmlformats.org/officeDocument/2006/relationships/image" Target="media/image42.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oleObject" Target="embeddings/oleObject58.bin"/><Relationship Id="rId143" Type="http://schemas.openxmlformats.org/officeDocument/2006/relationships/oleObject" Target="embeddings/oleObject71.bin"/><Relationship Id="rId148" Type="http://schemas.openxmlformats.org/officeDocument/2006/relationships/image" Target="media/image64.wmf"/><Relationship Id="rId164" Type="http://schemas.openxmlformats.org/officeDocument/2006/relationships/image" Target="media/image72.wmf"/><Relationship Id="rId169" Type="http://schemas.openxmlformats.org/officeDocument/2006/relationships/oleObject" Target="embeddings/oleObject84.bin"/><Relationship Id="rId185" Type="http://schemas.openxmlformats.org/officeDocument/2006/relationships/oleObject" Target="embeddings/oleObject105.bin"/><Relationship Id="rId4" Type="http://schemas.openxmlformats.org/officeDocument/2006/relationships/settings" Target="settings.xml"/><Relationship Id="rId9" Type="http://schemas.openxmlformats.org/officeDocument/2006/relationships/hyperlink" Target="mailto:sastroza@utexas.edu" TargetMode="External"/><Relationship Id="rId180" Type="http://schemas.openxmlformats.org/officeDocument/2006/relationships/image" Target="media/image90.wmf"/><Relationship Id="rId210" Type="http://schemas.openxmlformats.org/officeDocument/2006/relationships/oleObject" Target="embeddings/oleObject122.bin"/><Relationship Id="rId215" Type="http://schemas.openxmlformats.org/officeDocument/2006/relationships/image" Target="media/image101.wmf"/><Relationship Id="rId236" Type="http://schemas.openxmlformats.org/officeDocument/2006/relationships/image" Target="media/image106.JPG"/><Relationship Id="rId26" Type="http://schemas.openxmlformats.org/officeDocument/2006/relationships/oleObject" Target="embeddings/oleObject7.bin"/><Relationship Id="rId231" Type="http://schemas.openxmlformats.org/officeDocument/2006/relationships/hyperlink" Target="http://www.pewsocialtrends.org/2015/12/17/5-childrens-extracurricular-activities/" TargetMode="External"/><Relationship Id="rId47" Type="http://schemas.openxmlformats.org/officeDocument/2006/relationships/image" Target="media/image19.wmf"/><Relationship Id="rId68" Type="http://schemas.openxmlformats.org/officeDocument/2006/relationships/oleObject" Target="embeddings/oleObject28.bin"/><Relationship Id="rId89" Type="http://schemas.openxmlformats.org/officeDocument/2006/relationships/image" Target="media/image40.wmf"/><Relationship Id="rId112" Type="http://schemas.openxmlformats.org/officeDocument/2006/relationships/oleObject" Target="embeddings/oleObject51.bin"/><Relationship Id="rId133" Type="http://schemas.openxmlformats.org/officeDocument/2006/relationships/image" Target="media/image57.wmf"/><Relationship Id="rId154" Type="http://schemas.openxmlformats.org/officeDocument/2006/relationships/image" Target="media/image67.wmf"/><Relationship Id="rId175" Type="http://schemas.openxmlformats.org/officeDocument/2006/relationships/oleObject" Target="embeddings/oleObject98.bin"/><Relationship Id="rId196" Type="http://schemas.openxmlformats.org/officeDocument/2006/relationships/oleObject" Target="embeddings/oleObject113.bin"/><Relationship Id="rId200" Type="http://schemas.openxmlformats.org/officeDocument/2006/relationships/oleObject" Target="embeddings/oleObject115.bin"/><Relationship Id="rId16" Type="http://schemas.openxmlformats.org/officeDocument/2006/relationships/oleObject" Target="embeddings/oleObject2.bin"/><Relationship Id="rId221" Type="http://schemas.openxmlformats.org/officeDocument/2006/relationships/image" Target="media/image104.wmf"/><Relationship Id="rId37" Type="http://schemas.openxmlformats.org/officeDocument/2006/relationships/image" Target="media/image14.wmf"/><Relationship Id="rId58" Type="http://schemas.openxmlformats.org/officeDocument/2006/relationships/oleObject" Target="embeddings/oleObject23.bin"/><Relationship Id="rId79" Type="http://schemas.openxmlformats.org/officeDocument/2006/relationships/image" Target="media/image35.wmf"/><Relationship Id="rId102" Type="http://schemas.openxmlformats.org/officeDocument/2006/relationships/image" Target="media/image46.wmf"/><Relationship Id="rId123" Type="http://schemas.openxmlformats.org/officeDocument/2006/relationships/oleObject" Target="embeddings/oleObject59.bin"/><Relationship Id="rId144" Type="http://schemas.openxmlformats.org/officeDocument/2006/relationships/image" Target="media/image62.wmf"/><Relationship Id="rId90" Type="http://schemas.openxmlformats.org/officeDocument/2006/relationships/oleObject" Target="embeddings/oleObject39.bin"/><Relationship Id="rId165" Type="http://schemas.openxmlformats.org/officeDocument/2006/relationships/oleObject" Target="embeddings/oleObject82.bin"/><Relationship Id="rId186" Type="http://schemas.openxmlformats.org/officeDocument/2006/relationships/oleObject" Target="embeddings/oleObject106.bin"/><Relationship Id="rId211" Type="http://schemas.openxmlformats.org/officeDocument/2006/relationships/image" Target="media/image99.wmf"/><Relationship Id="rId232" Type="http://schemas.openxmlformats.org/officeDocument/2006/relationships/hyperlink" Target="https://www.saferoutespartnership.org/healthy-communities/101/about" TargetMode="External"/><Relationship Id="rId27" Type="http://schemas.openxmlformats.org/officeDocument/2006/relationships/image" Target="media/image9.wmf"/><Relationship Id="rId48" Type="http://schemas.openxmlformats.org/officeDocument/2006/relationships/oleObject" Target="embeddings/oleObject18.bin"/><Relationship Id="rId69" Type="http://schemas.openxmlformats.org/officeDocument/2006/relationships/image" Target="media/image30.wmf"/><Relationship Id="rId113" Type="http://schemas.openxmlformats.org/officeDocument/2006/relationships/image" Target="media/image51.wmf"/><Relationship Id="rId134" Type="http://schemas.openxmlformats.org/officeDocument/2006/relationships/oleObject" Target="embeddings/oleObject66.bin"/></Relationships>
</file>

<file path=word/_rels/footnotes.xml.rels><?xml version="1.0" encoding="UTF-8" standalone="yes"?>
<Relationships xmlns="http://schemas.openxmlformats.org/package/2006/relationships"><Relationship Id="rId8" Type="http://schemas.openxmlformats.org/officeDocument/2006/relationships/oleObject" Target="embeddings/oleObject90.bin"/><Relationship Id="rId13" Type="http://schemas.openxmlformats.org/officeDocument/2006/relationships/image" Target="media/image82.wmf"/><Relationship Id="rId18" Type="http://schemas.openxmlformats.org/officeDocument/2006/relationships/oleObject" Target="embeddings/oleObject95.bin"/><Relationship Id="rId3" Type="http://schemas.openxmlformats.org/officeDocument/2006/relationships/image" Target="media/image74.wmf"/><Relationship Id="rId21" Type="http://schemas.openxmlformats.org/officeDocument/2006/relationships/image" Target="media/image86.wmf"/><Relationship Id="rId7" Type="http://schemas.openxmlformats.org/officeDocument/2006/relationships/image" Target="media/image79.wmf"/><Relationship Id="rId12" Type="http://schemas.openxmlformats.org/officeDocument/2006/relationships/oleObject" Target="embeddings/oleObject92.bin"/><Relationship Id="rId17" Type="http://schemas.openxmlformats.org/officeDocument/2006/relationships/image" Target="media/image84.wmf"/><Relationship Id="rId2" Type="http://schemas.openxmlformats.org/officeDocument/2006/relationships/oleObject" Target="embeddings/oleObject87.bin"/><Relationship Id="rId16" Type="http://schemas.openxmlformats.org/officeDocument/2006/relationships/oleObject" Target="embeddings/oleObject94.bin"/><Relationship Id="rId20" Type="http://schemas.openxmlformats.org/officeDocument/2006/relationships/oleObject" Target="embeddings/oleObject96.bin"/><Relationship Id="rId1" Type="http://schemas.openxmlformats.org/officeDocument/2006/relationships/image" Target="media/image77.wmf"/><Relationship Id="rId6" Type="http://schemas.openxmlformats.org/officeDocument/2006/relationships/oleObject" Target="embeddings/oleObject89.bin"/><Relationship Id="rId11" Type="http://schemas.openxmlformats.org/officeDocument/2006/relationships/image" Target="media/image81.wmf"/><Relationship Id="rId5" Type="http://schemas.openxmlformats.org/officeDocument/2006/relationships/image" Target="media/image78.wmf"/><Relationship Id="rId15" Type="http://schemas.openxmlformats.org/officeDocument/2006/relationships/image" Target="media/image83.wmf"/><Relationship Id="rId10" Type="http://schemas.openxmlformats.org/officeDocument/2006/relationships/oleObject" Target="embeddings/oleObject91.bin"/><Relationship Id="rId19" Type="http://schemas.openxmlformats.org/officeDocument/2006/relationships/image" Target="media/image85.wmf"/><Relationship Id="rId4" Type="http://schemas.openxmlformats.org/officeDocument/2006/relationships/oleObject" Target="embeddings/oleObject88.bin"/><Relationship Id="rId9" Type="http://schemas.openxmlformats.org/officeDocument/2006/relationships/image" Target="media/image80.wmf"/><Relationship Id="rId14" Type="http://schemas.openxmlformats.org/officeDocument/2006/relationships/oleObject" Target="embeddings/oleObject93.bin"/><Relationship Id="rId22" Type="http://schemas.openxmlformats.org/officeDocument/2006/relationships/oleObject" Target="embeddings/oleObject97.bin"/></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C1131-B6B2-4569-AD6D-8B9F9F425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19598</Words>
  <Characters>111714</Characters>
  <Application>Microsoft Office Word</Application>
  <DocSecurity>0</DocSecurity>
  <Lines>930</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Macias, Lisa J</cp:lastModifiedBy>
  <cp:revision>2</cp:revision>
  <dcterms:created xsi:type="dcterms:W3CDTF">2019-02-20T16:44:00Z</dcterms:created>
  <dcterms:modified xsi:type="dcterms:W3CDTF">2019-02-20T16:44:00Z</dcterms:modified>
</cp:coreProperties>
</file>