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D957A" w14:textId="77777777" w:rsidR="00232689" w:rsidRDefault="00232689" w:rsidP="00232689">
      <w:pPr>
        <w:jc w:val="both"/>
        <w:rPr>
          <w:color w:val="000000"/>
        </w:rPr>
      </w:pPr>
    </w:p>
    <w:p w14:paraId="2E711A0F" w14:textId="77777777" w:rsidR="003329B4" w:rsidRDefault="003329B4" w:rsidP="00232689">
      <w:pPr>
        <w:jc w:val="center"/>
        <w:rPr>
          <w:b/>
          <w:bCs/>
          <w:color w:val="000000"/>
        </w:rPr>
      </w:pPr>
    </w:p>
    <w:p w14:paraId="09BF6DC4" w14:textId="77777777" w:rsidR="003329B4" w:rsidRDefault="003329B4" w:rsidP="00232689">
      <w:pPr>
        <w:jc w:val="center"/>
        <w:rPr>
          <w:b/>
          <w:bCs/>
          <w:color w:val="000000"/>
        </w:rPr>
      </w:pPr>
    </w:p>
    <w:p w14:paraId="59EC4315" w14:textId="440187B1" w:rsidR="00232689" w:rsidRPr="00F01655" w:rsidRDefault="00232689" w:rsidP="00232689">
      <w:pPr>
        <w:jc w:val="center"/>
        <w:rPr>
          <w:b/>
          <w:bCs/>
          <w:color w:val="000000"/>
        </w:rPr>
      </w:pPr>
      <w:r w:rsidRPr="00F01655">
        <w:rPr>
          <w:b/>
          <w:bCs/>
          <w:color w:val="000000"/>
        </w:rPr>
        <w:t xml:space="preserve">An Investigation of </w:t>
      </w:r>
      <w:r w:rsidR="007033D3">
        <w:rPr>
          <w:b/>
          <w:bCs/>
          <w:color w:val="000000"/>
        </w:rPr>
        <w:t>Dissonance in Telework Frequency</w:t>
      </w:r>
    </w:p>
    <w:p w14:paraId="57D66DB2" w14:textId="77777777" w:rsidR="00232689" w:rsidRPr="00F01655" w:rsidRDefault="00232689" w:rsidP="00232689">
      <w:pPr>
        <w:jc w:val="center"/>
        <w:rPr>
          <w:b/>
          <w:bCs/>
          <w:color w:val="000000"/>
        </w:rPr>
      </w:pPr>
    </w:p>
    <w:p w14:paraId="583B232C" w14:textId="0FE2B13A" w:rsidR="00232689" w:rsidRDefault="00232689" w:rsidP="00232689">
      <w:pPr>
        <w:jc w:val="center"/>
        <w:rPr>
          <w:b/>
          <w:bCs/>
          <w:color w:val="000000"/>
        </w:rPr>
      </w:pPr>
    </w:p>
    <w:p w14:paraId="06B5BA51" w14:textId="77777777" w:rsidR="003329B4" w:rsidRPr="00F01655" w:rsidRDefault="003329B4" w:rsidP="00232689">
      <w:pPr>
        <w:jc w:val="center"/>
        <w:rPr>
          <w:b/>
          <w:bCs/>
          <w:color w:val="000000"/>
        </w:rPr>
      </w:pPr>
    </w:p>
    <w:p w14:paraId="6FC14332" w14:textId="77777777" w:rsidR="00232689" w:rsidRPr="00F01655" w:rsidRDefault="00232689" w:rsidP="00232689">
      <w:pPr>
        <w:jc w:val="center"/>
        <w:rPr>
          <w:b/>
          <w:bCs/>
          <w:color w:val="000000"/>
        </w:rPr>
      </w:pPr>
    </w:p>
    <w:p w14:paraId="643BCACD" w14:textId="654ADED8" w:rsidR="00232689" w:rsidRPr="00F01655" w:rsidRDefault="00232689" w:rsidP="00232689">
      <w:pPr>
        <w:jc w:val="center"/>
        <w:rPr>
          <w:b/>
          <w:bCs/>
          <w:color w:val="000000"/>
        </w:rPr>
      </w:pPr>
      <w:r w:rsidRPr="00F01655">
        <w:rPr>
          <w:b/>
          <w:bCs/>
          <w:color w:val="000000"/>
        </w:rPr>
        <w:t xml:space="preserve">Samantha </w:t>
      </w:r>
      <w:r w:rsidR="00971968" w:rsidRPr="00F01655">
        <w:rPr>
          <w:b/>
          <w:bCs/>
          <w:color w:val="000000"/>
        </w:rPr>
        <w:t xml:space="preserve">M. </w:t>
      </w:r>
      <w:r w:rsidRPr="00F01655">
        <w:rPr>
          <w:b/>
          <w:bCs/>
          <w:color w:val="000000"/>
        </w:rPr>
        <w:t>Anderson</w:t>
      </w:r>
    </w:p>
    <w:p w14:paraId="64DFFB34" w14:textId="77777777" w:rsidR="00232689" w:rsidRPr="00F01655" w:rsidRDefault="00232689" w:rsidP="00232689">
      <w:pPr>
        <w:jc w:val="center"/>
        <w:rPr>
          <w:color w:val="000000"/>
        </w:rPr>
      </w:pPr>
      <w:r w:rsidRPr="00F01655">
        <w:rPr>
          <w:color w:val="000000"/>
        </w:rPr>
        <w:t>The University of Texas at Austin</w:t>
      </w:r>
    </w:p>
    <w:p w14:paraId="7FB4E6D5" w14:textId="77777777" w:rsidR="00232689" w:rsidRPr="00F01655" w:rsidRDefault="00232689" w:rsidP="00232689">
      <w:pPr>
        <w:jc w:val="center"/>
        <w:rPr>
          <w:color w:val="000000"/>
        </w:rPr>
      </w:pPr>
      <w:r w:rsidRPr="00F01655">
        <w:rPr>
          <w:color w:val="000000"/>
        </w:rPr>
        <w:t>Department of Civil, Architectural and Environmental Engineering</w:t>
      </w:r>
    </w:p>
    <w:p w14:paraId="5A087DA0" w14:textId="77777777" w:rsidR="00232689" w:rsidRPr="00F01655" w:rsidRDefault="00232689" w:rsidP="00232689">
      <w:pPr>
        <w:jc w:val="center"/>
        <w:rPr>
          <w:color w:val="000000"/>
        </w:rPr>
      </w:pPr>
      <w:r w:rsidRPr="00F01655">
        <w:rPr>
          <w:color w:val="000000"/>
        </w:rPr>
        <w:t>301 E. Dean Keeton St. Stop C1761, Austin TX 78712, USA</w:t>
      </w:r>
    </w:p>
    <w:p w14:paraId="12C853E5" w14:textId="77777777" w:rsidR="00232689" w:rsidRPr="00F01655" w:rsidRDefault="00232689" w:rsidP="00232689">
      <w:pPr>
        <w:jc w:val="center"/>
        <w:rPr>
          <w:color w:val="000000"/>
        </w:rPr>
      </w:pPr>
      <w:r w:rsidRPr="00F01655">
        <w:rPr>
          <w:color w:val="000000"/>
        </w:rPr>
        <w:t xml:space="preserve">Email: </w:t>
      </w:r>
      <w:hyperlink r:id="rId8" w:history="1">
        <w:r w:rsidRPr="00F01655">
          <w:rPr>
            <w:rStyle w:val="Hyperlink"/>
          </w:rPr>
          <w:t>samanders@utexas.edu</w:t>
        </w:r>
      </w:hyperlink>
    </w:p>
    <w:p w14:paraId="2A4739D5" w14:textId="77777777" w:rsidR="00232689" w:rsidRPr="00F01655" w:rsidRDefault="00232689" w:rsidP="00232689">
      <w:pPr>
        <w:jc w:val="center"/>
        <w:rPr>
          <w:color w:val="000000"/>
        </w:rPr>
      </w:pPr>
    </w:p>
    <w:p w14:paraId="1032111E" w14:textId="77777777" w:rsidR="00971968" w:rsidRPr="00F01655" w:rsidRDefault="00971968" w:rsidP="00971968">
      <w:pPr>
        <w:jc w:val="center"/>
        <w:rPr>
          <w:b/>
        </w:rPr>
      </w:pPr>
      <w:r w:rsidRPr="00F01655">
        <w:rPr>
          <w:b/>
        </w:rPr>
        <w:t>Katherine E. Asmussen</w:t>
      </w:r>
    </w:p>
    <w:p w14:paraId="6BC7570E" w14:textId="77777777" w:rsidR="00971968" w:rsidRPr="00F01655" w:rsidRDefault="00971968" w:rsidP="00971968">
      <w:pPr>
        <w:jc w:val="center"/>
        <w:rPr>
          <w:bCs/>
        </w:rPr>
      </w:pPr>
      <w:r w:rsidRPr="00F01655">
        <w:rPr>
          <w:bCs/>
        </w:rPr>
        <w:t>The University of Texas at Austin</w:t>
      </w:r>
    </w:p>
    <w:p w14:paraId="5963A5E7" w14:textId="77777777" w:rsidR="00971968" w:rsidRPr="00F01655" w:rsidRDefault="00971968" w:rsidP="00971968">
      <w:pPr>
        <w:jc w:val="center"/>
        <w:rPr>
          <w:bCs/>
        </w:rPr>
      </w:pPr>
      <w:r w:rsidRPr="00F01655">
        <w:rPr>
          <w:bCs/>
        </w:rPr>
        <w:t>Department of Civil, Architectural and Environmental Engineering</w:t>
      </w:r>
    </w:p>
    <w:p w14:paraId="5EE06575" w14:textId="77777777" w:rsidR="00971968" w:rsidRPr="00F01655" w:rsidRDefault="00971968" w:rsidP="00971968">
      <w:pPr>
        <w:jc w:val="center"/>
        <w:rPr>
          <w:bCs/>
        </w:rPr>
      </w:pPr>
      <w:r w:rsidRPr="00F01655">
        <w:rPr>
          <w:bCs/>
        </w:rPr>
        <w:t>301 E. Dean Keeton St. Stop C1761, Austin TX 78712, USA</w:t>
      </w:r>
    </w:p>
    <w:p w14:paraId="61A131D6" w14:textId="77777777" w:rsidR="00971968" w:rsidRPr="00F01655" w:rsidRDefault="00971968" w:rsidP="00971968">
      <w:pPr>
        <w:jc w:val="center"/>
        <w:rPr>
          <w:bCs/>
        </w:rPr>
      </w:pPr>
      <w:r w:rsidRPr="00F01655">
        <w:rPr>
          <w:bCs/>
        </w:rPr>
        <w:t xml:space="preserve">Email: </w:t>
      </w:r>
      <w:hyperlink r:id="rId9" w:history="1">
        <w:r w:rsidRPr="00F01655">
          <w:rPr>
            <w:rStyle w:val="Hyperlink"/>
            <w:rFonts w:eastAsiaTheme="majorEastAsia"/>
            <w:bCs/>
          </w:rPr>
          <w:t>kasmussen29@utexas.edu</w:t>
        </w:r>
      </w:hyperlink>
      <w:r w:rsidRPr="00F01655">
        <w:rPr>
          <w:bCs/>
        </w:rPr>
        <w:t xml:space="preserve"> </w:t>
      </w:r>
    </w:p>
    <w:p w14:paraId="0982585B" w14:textId="6B5171E6" w:rsidR="00232689" w:rsidRPr="00F01655" w:rsidRDefault="00232689" w:rsidP="00232689">
      <w:pPr>
        <w:jc w:val="center"/>
        <w:rPr>
          <w:color w:val="000000"/>
        </w:rPr>
      </w:pPr>
    </w:p>
    <w:p w14:paraId="55494290" w14:textId="77777777" w:rsidR="00971968" w:rsidRPr="00F01655" w:rsidRDefault="00971968" w:rsidP="00971968">
      <w:pPr>
        <w:jc w:val="center"/>
        <w:rPr>
          <w:b/>
        </w:rPr>
      </w:pPr>
      <w:r w:rsidRPr="00F01655">
        <w:rPr>
          <w:b/>
        </w:rPr>
        <w:t>Shobhit Saxena</w:t>
      </w:r>
    </w:p>
    <w:p w14:paraId="238D083E" w14:textId="77777777" w:rsidR="00971968" w:rsidRPr="00F01655" w:rsidRDefault="00971968" w:rsidP="00971968">
      <w:pPr>
        <w:jc w:val="center"/>
        <w:rPr>
          <w:bCs/>
        </w:rPr>
      </w:pPr>
      <w:r w:rsidRPr="00F01655">
        <w:rPr>
          <w:bCs/>
        </w:rPr>
        <w:t>The University of Texas at Austin</w:t>
      </w:r>
    </w:p>
    <w:p w14:paraId="7481FF2C" w14:textId="77777777" w:rsidR="00971968" w:rsidRPr="00F01655" w:rsidRDefault="00971968" w:rsidP="00971968">
      <w:pPr>
        <w:jc w:val="center"/>
        <w:rPr>
          <w:bCs/>
        </w:rPr>
      </w:pPr>
      <w:r w:rsidRPr="00F01655">
        <w:rPr>
          <w:bCs/>
        </w:rPr>
        <w:t>Department of Civil, Architectural and Environmental Engineering</w:t>
      </w:r>
    </w:p>
    <w:p w14:paraId="3A273438" w14:textId="77777777" w:rsidR="00971968" w:rsidRPr="00F01655" w:rsidRDefault="00971968" w:rsidP="00971968">
      <w:pPr>
        <w:jc w:val="center"/>
        <w:rPr>
          <w:bCs/>
        </w:rPr>
      </w:pPr>
      <w:r w:rsidRPr="00F01655">
        <w:rPr>
          <w:bCs/>
        </w:rPr>
        <w:t>301 E. Dean Keeton St. Stop C1761, Austin TX 78712, USA</w:t>
      </w:r>
    </w:p>
    <w:p w14:paraId="27517CC1" w14:textId="4633D19E" w:rsidR="00971968" w:rsidRPr="00F01655" w:rsidRDefault="00971968" w:rsidP="00971968">
      <w:pPr>
        <w:jc w:val="center"/>
      </w:pPr>
      <w:r w:rsidRPr="00F01655">
        <w:t xml:space="preserve">Email: </w:t>
      </w:r>
      <w:hyperlink r:id="rId10" w:history="1">
        <w:r w:rsidR="009D1B9E" w:rsidRPr="00AD5DB0">
          <w:rPr>
            <w:rStyle w:val="Hyperlink"/>
          </w:rPr>
          <w:t>shobhit.saxena@austin.utexas.edu</w:t>
        </w:r>
      </w:hyperlink>
    </w:p>
    <w:p w14:paraId="2427A479" w14:textId="77777777" w:rsidR="00971968" w:rsidRPr="00F01655" w:rsidRDefault="00971968" w:rsidP="003B730B">
      <w:pPr>
        <w:rPr>
          <w:color w:val="000000"/>
        </w:rPr>
      </w:pPr>
    </w:p>
    <w:p w14:paraId="29D81DFD" w14:textId="77777777" w:rsidR="00E838D0" w:rsidRPr="00F01655" w:rsidRDefault="00E838D0" w:rsidP="00E838D0">
      <w:pPr>
        <w:jc w:val="center"/>
        <w:rPr>
          <w:rFonts w:eastAsia="Calibri"/>
          <w:b/>
        </w:rPr>
      </w:pPr>
      <w:r w:rsidRPr="00F01655">
        <w:rPr>
          <w:rFonts w:eastAsia="Calibri"/>
          <w:b/>
        </w:rPr>
        <w:t>Irfan Batur</w:t>
      </w:r>
    </w:p>
    <w:p w14:paraId="4858E2D7" w14:textId="77777777" w:rsidR="003329B4" w:rsidRDefault="00E838D0" w:rsidP="00E838D0">
      <w:pPr>
        <w:jc w:val="center"/>
        <w:rPr>
          <w:rFonts w:eastAsia="Calibri"/>
        </w:rPr>
      </w:pPr>
      <w:r w:rsidRPr="00F01655">
        <w:rPr>
          <w:rFonts w:eastAsia="Calibri"/>
        </w:rPr>
        <w:t>Arizona State University</w:t>
      </w:r>
    </w:p>
    <w:p w14:paraId="63032F9A" w14:textId="33BBD7F7" w:rsidR="00E838D0" w:rsidRPr="00F01655" w:rsidRDefault="00E838D0" w:rsidP="00E838D0">
      <w:pPr>
        <w:jc w:val="center"/>
        <w:rPr>
          <w:rFonts w:eastAsia="Calibri"/>
        </w:rPr>
      </w:pPr>
      <w:r w:rsidRPr="00F01655">
        <w:rPr>
          <w:rFonts w:eastAsia="Calibri"/>
        </w:rPr>
        <w:t>School of Sustainable Engineering and the Built Environment</w:t>
      </w:r>
    </w:p>
    <w:p w14:paraId="0C4605BC" w14:textId="04EEA7DB" w:rsidR="00E838D0" w:rsidRPr="00F01655" w:rsidRDefault="00E838D0" w:rsidP="00E838D0">
      <w:pPr>
        <w:jc w:val="center"/>
        <w:rPr>
          <w:rFonts w:eastAsia="Calibri"/>
        </w:rPr>
      </w:pPr>
      <w:r w:rsidRPr="00F01655">
        <w:rPr>
          <w:rFonts w:eastAsia="Calibri"/>
        </w:rPr>
        <w:t>660 S. College Avenue, Tempe, AZ 85287-3005</w:t>
      </w:r>
      <w:r w:rsidR="009D1B9E">
        <w:rPr>
          <w:rFonts w:eastAsia="Calibri"/>
        </w:rPr>
        <w:t>, USA</w:t>
      </w:r>
    </w:p>
    <w:p w14:paraId="7556A827" w14:textId="360611A6" w:rsidR="00E838D0" w:rsidRPr="00F01655" w:rsidRDefault="00E838D0" w:rsidP="00E838D0">
      <w:pPr>
        <w:jc w:val="center"/>
        <w:rPr>
          <w:rFonts w:eastAsia="Calibri"/>
          <w:color w:val="0563C1"/>
          <w:u w:val="single"/>
        </w:rPr>
      </w:pPr>
      <w:r w:rsidRPr="00F01655">
        <w:rPr>
          <w:rFonts w:eastAsia="Calibri"/>
        </w:rPr>
        <w:t xml:space="preserve">Email: </w:t>
      </w:r>
      <w:hyperlink r:id="rId11" w:history="1">
        <w:r w:rsidRPr="00F01655">
          <w:rPr>
            <w:rFonts w:eastAsia="Calibri"/>
            <w:color w:val="0563C1"/>
            <w:u w:val="single"/>
          </w:rPr>
          <w:t>ibatur@asu.edu</w:t>
        </w:r>
      </w:hyperlink>
    </w:p>
    <w:p w14:paraId="68844278" w14:textId="5AE63805" w:rsidR="00232689" w:rsidRPr="00F01655" w:rsidRDefault="00232689" w:rsidP="00E838D0">
      <w:pPr>
        <w:jc w:val="center"/>
        <w:rPr>
          <w:b/>
          <w:bCs/>
          <w:color w:val="000000"/>
        </w:rPr>
      </w:pPr>
    </w:p>
    <w:p w14:paraId="11BAF35A" w14:textId="1A3111F2" w:rsidR="00E838D0" w:rsidRPr="00F01655" w:rsidRDefault="00E838D0" w:rsidP="00E838D0">
      <w:pPr>
        <w:jc w:val="center"/>
        <w:rPr>
          <w:b/>
        </w:rPr>
      </w:pPr>
      <w:r w:rsidRPr="00F01655">
        <w:rPr>
          <w:b/>
        </w:rPr>
        <w:t>Ram M. Pendyala</w:t>
      </w:r>
    </w:p>
    <w:p w14:paraId="060602E3" w14:textId="77777777" w:rsidR="003329B4" w:rsidRDefault="00E838D0" w:rsidP="00E838D0">
      <w:pPr>
        <w:jc w:val="center"/>
      </w:pPr>
      <w:r w:rsidRPr="00F01655">
        <w:t>Arizona State University</w:t>
      </w:r>
    </w:p>
    <w:p w14:paraId="4C168CC0" w14:textId="3DFF4BA6" w:rsidR="00E838D0" w:rsidRPr="00F01655" w:rsidRDefault="00E838D0" w:rsidP="00E838D0">
      <w:pPr>
        <w:jc w:val="center"/>
      </w:pPr>
      <w:r w:rsidRPr="00F01655">
        <w:t>School of Sustainable Engineering and the Built Environment</w:t>
      </w:r>
    </w:p>
    <w:p w14:paraId="18227F6A" w14:textId="04DD39FB" w:rsidR="00E838D0" w:rsidRPr="00F01655" w:rsidRDefault="00E838D0" w:rsidP="00E838D0">
      <w:pPr>
        <w:jc w:val="center"/>
      </w:pPr>
      <w:r w:rsidRPr="00F01655">
        <w:t>660 S. College Avenue, Tempe, AZ 85287-3005</w:t>
      </w:r>
      <w:r w:rsidR="009D1B9E">
        <w:t>, USA</w:t>
      </w:r>
    </w:p>
    <w:p w14:paraId="7E7EBAEE" w14:textId="21DFE160" w:rsidR="00E838D0" w:rsidRPr="00F01655" w:rsidRDefault="00E838D0" w:rsidP="00E838D0">
      <w:pPr>
        <w:jc w:val="center"/>
      </w:pPr>
      <w:r w:rsidRPr="00F01655">
        <w:t xml:space="preserve">Email: </w:t>
      </w:r>
      <w:hyperlink r:id="rId12" w:history="1">
        <w:r w:rsidRPr="00F01655">
          <w:rPr>
            <w:color w:val="0563C1"/>
            <w:u w:val="single"/>
          </w:rPr>
          <w:t>ram.pendyala@asu.edu</w:t>
        </w:r>
      </w:hyperlink>
    </w:p>
    <w:p w14:paraId="4CFFF4CD" w14:textId="77777777" w:rsidR="00E838D0" w:rsidRPr="00F01655" w:rsidRDefault="00E838D0" w:rsidP="00232689">
      <w:pPr>
        <w:rPr>
          <w:b/>
          <w:bCs/>
          <w:color w:val="000000"/>
        </w:rPr>
      </w:pPr>
    </w:p>
    <w:p w14:paraId="70EC9219" w14:textId="77777777" w:rsidR="003B730B" w:rsidRPr="00F01655" w:rsidRDefault="003B730B" w:rsidP="003B730B">
      <w:pPr>
        <w:jc w:val="center"/>
        <w:rPr>
          <w:b/>
          <w:lang w:val="fr-FR"/>
        </w:rPr>
      </w:pPr>
      <w:r w:rsidRPr="00F01655">
        <w:rPr>
          <w:b/>
        </w:rPr>
        <w:t>Chandra R. Bhat (corresponding author)</w:t>
      </w:r>
    </w:p>
    <w:p w14:paraId="3EADC730" w14:textId="77777777" w:rsidR="003B730B" w:rsidRPr="00F01655" w:rsidRDefault="003B730B" w:rsidP="003B730B">
      <w:pPr>
        <w:jc w:val="center"/>
      </w:pPr>
      <w:r w:rsidRPr="00F01655">
        <w:t>The University of Texas at Austin</w:t>
      </w:r>
    </w:p>
    <w:p w14:paraId="2BBF4AE4" w14:textId="77777777" w:rsidR="003B730B" w:rsidRPr="00F01655" w:rsidRDefault="003B730B" w:rsidP="003B730B">
      <w:pPr>
        <w:jc w:val="center"/>
      </w:pPr>
      <w:r w:rsidRPr="00F01655">
        <w:t>Department of Civil, Architectural and Environmental Engineering</w:t>
      </w:r>
    </w:p>
    <w:p w14:paraId="64A8C71F" w14:textId="77777777" w:rsidR="003B730B" w:rsidRPr="00F01655" w:rsidRDefault="003B730B" w:rsidP="003B730B">
      <w:pPr>
        <w:jc w:val="center"/>
      </w:pPr>
      <w:r w:rsidRPr="00F01655">
        <w:t>301 E. Dean Keeton St. Stop C1761, Austin TX 78712</w:t>
      </w:r>
      <w:r>
        <w:t>, USA</w:t>
      </w:r>
    </w:p>
    <w:p w14:paraId="39EBD63D" w14:textId="77777777" w:rsidR="003B730B" w:rsidRPr="00F01655" w:rsidRDefault="003B730B" w:rsidP="003B730B">
      <w:pPr>
        <w:jc w:val="center"/>
        <w:rPr>
          <w:rStyle w:val="Hyperlink"/>
          <w:rFonts w:eastAsiaTheme="majorEastAsia"/>
          <w:color w:val="auto"/>
        </w:rPr>
      </w:pPr>
      <w:r w:rsidRPr="00F01655">
        <w:t xml:space="preserve">Tel: 1-512-471-4535; Email: </w:t>
      </w:r>
      <w:hyperlink r:id="rId13" w:history="1">
        <w:r w:rsidRPr="00F01655">
          <w:rPr>
            <w:rStyle w:val="Hyperlink"/>
            <w:rFonts w:eastAsiaTheme="majorEastAsia"/>
          </w:rPr>
          <w:t>bhat@mail.utexas.edu</w:t>
        </w:r>
      </w:hyperlink>
      <w:r w:rsidRPr="00F01655">
        <w:t xml:space="preserve"> </w:t>
      </w:r>
    </w:p>
    <w:p w14:paraId="6A0E7913" w14:textId="4847C4D0" w:rsidR="00E838D0" w:rsidRPr="00F01655" w:rsidRDefault="00E838D0" w:rsidP="00232689">
      <w:pPr>
        <w:rPr>
          <w:b/>
          <w:bCs/>
          <w:color w:val="000000"/>
        </w:rPr>
      </w:pPr>
    </w:p>
    <w:p w14:paraId="04564385" w14:textId="7C6904A1" w:rsidR="00E838D0" w:rsidRPr="00F01655" w:rsidRDefault="00E838D0">
      <w:pPr>
        <w:rPr>
          <w:b/>
          <w:bCs/>
          <w:color w:val="000000"/>
        </w:rPr>
      </w:pPr>
      <w:r w:rsidRPr="00F01655">
        <w:rPr>
          <w:b/>
          <w:bCs/>
          <w:color w:val="000000"/>
        </w:rPr>
        <w:br w:type="page"/>
      </w:r>
    </w:p>
    <w:p w14:paraId="34F6E444" w14:textId="77777777" w:rsidR="00232689" w:rsidRPr="003329B4" w:rsidRDefault="00232689" w:rsidP="00232689">
      <w:pPr>
        <w:rPr>
          <w:b/>
          <w:bCs/>
          <w:color w:val="000000"/>
        </w:rPr>
      </w:pPr>
      <w:r w:rsidRPr="003329B4">
        <w:rPr>
          <w:b/>
          <w:bCs/>
          <w:color w:val="000000"/>
        </w:rPr>
        <w:lastRenderedPageBreak/>
        <w:t>ABSTRACT</w:t>
      </w:r>
    </w:p>
    <w:p w14:paraId="7F56540C" w14:textId="6AF708F3" w:rsidR="00971968" w:rsidRPr="003329B4" w:rsidRDefault="00FA6CCC" w:rsidP="009028CC">
      <w:pPr>
        <w:jc w:val="both"/>
        <w:rPr>
          <w:rStyle w:val="eop"/>
          <w:shd w:val="clear" w:color="auto" w:fill="FFFFFF"/>
        </w:rPr>
      </w:pPr>
      <w:r w:rsidRPr="003329B4">
        <w:t xml:space="preserve">The remote work arrangement trend engendered by the pandemic continues to be prevalent today in most work sectors. </w:t>
      </w:r>
      <w:r w:rsidRPr="003329B4">
        <w:rPr>
          <w:rStyle w:val="normaltextrun"/>
          <w:rFonts w:eastAsiaTheme="majorEastAsia"/>
          <w:color w:val="000000"/>
          <w:shd w:val="clear" w:color="auto" w:fill="FFFFFF"/>
        </w:rPr>
        <w:t xml:space="preserve">But </w:t>
      </w:r>
      <w:r w:rsidR="00B718EB" w:rsidRPr="003329B4">
        <w:rPr>
          <w:rStyle w:val="normaltextrun"/>
          <w:rFonts w:eastAsiaTheme="majorEastAsia"/>
          <w:color w:val="000000"/>
          <w:shd w:val="clear" w:color="auto" w:fill="FFFFFF"/>
        </w:rPr>
        <w:t>some employers have reverted to an all in-person office workday system</w:t>
      </w:r>
      <w:r w:rsidRPr="003329B4">
        <w:rPr>
          <w:rStyle w:val="normaltextrun"/>
          <w:rFonts w:eastAsiaTheme="majorEastAsia"/>
          <w:color w:val="000000"/>
          <w:shd w:val="clear" w:color="auto" w:fill="FFFFFF"/>
        </w:rPr>
        <w:t xml:space="preserve"> recently</w:t>
      </w:r>
      <w:r w:rsidR="00B718EB" w:rsidRPr="003329B4">
        <w:rPr>
          <w:rStyle w:val="normaltextrun"/>
          <w:rFonts w:eastAsiaTheme="majorEastAsia"/>
          <w:color w:val="000000"/>
          <w:shd w:val="clear" w:color="auto" w:fill="FFFFFF"/>
        </w:rPr>
        <w:t>, with no allowance for remote work</w:t>
      </w:r>
      <w:r w:rsidR="000A2446" w:rsidRPr="003329B4">
        <w:rPr>
          <w:rStyle w:val="normaltextrun"/>
          <w:rFonts w:eastAsiaTheme="majorEastAsia"/>
          <w:color w:val="000000"/>
          <w:shd w:val="clear" w:color="auto" w:fill="FFFFFF"/>
        </w:rPr>
        <w:t xml:space="preserve"> despite their employees’ desire for such flexibility</w:t>
      </w:r>
      <w:r w:rsidR="00B718EB" w:rsidRPr="003329B4">
        <w:rPr>
          <w:rStyle w:val="normaltextrun"/>
          <w:rFonts w:eastAsiaTheme="majorEastAsia"/>
          <w:color w:val="000000"/>
          <w:shd w:val="clear" w:color="auto" w:fill="FFFFFF"/>
        </w:rPr>
        <w:t xml:space="preserve">. </w:t>
      </w:r>
      <w:r w:rsidRPr="003329B4">
        <w:rPr>
          <w:rStyle w:val="normaltextrun"/>
          <w:rFonts w:eastAsiaTheme="majorEastAsia"/>
          <w:color w:val="000000"/>
          <w:shd w:val="clear" w:color="auto" w:fill="FFFFFF"/>
        </w:rPr>
        <w:t>At the same time</w:t>
      </w:r>
      <w:r w:rsidR="00B718EB" w:rsidRPr="003329B4">
        <w:rPr>
          <w:rStyle w:val="normaltextrun"/>
          <w:rFonts w:eastAsiaTheme="majorEastAsia"/>
          <w:color w:val="000000"/>
          <w:shd w:val="clear" w:color="auto" w:fill="FFFFFF"/>
        </w:rPr>
        <w:t xml:space="preserve">, some </w:t>
      </w:r>
      <w:r w:rsidRPr="003329B4">
        <w:rPr>
          <w:rStyle w:val="normaltextrun"/>
          <w:rFonts w:eastAsiaTheme="majorEastAsia"/>
          <w:color w:val="000000"/>
          <w:shd w:val="clear" w:color="auto" w:fill="FFFFFF"/>
        </w:rPr>
        <w:t>employees</w:t>
      </w:r>
      <w:r w:rsidR="00B718EB" w:rsidRPr="003329B4">
        <w:rPr>
          <w:rStyle w:val="normaltextrun"/>
          <w:rFonts w:eastAsiaTheme="majorEastAsia"/>
          <w:color w:val="000000"/>
          <w:shd w:val="clear" w:color="auto" w:fill="FFFFFF"/>
        </w:rPr>
        <w:t xml:space="preserve"> may prefer more office-based workdays than what their employe</w:t>
      </w:r>
      <w:r w:rsidRPr="003329B4">
        <w:rPr>
          <w:rStyle w:val="normaltextrun"/>
          <w:rFonts w:eastAsiaTheme="majorEastAsia"/>
          <w:color w:val="000000"/>
          <w:shd w:val="clear" w:color="auto" w:fill="FFFFFF"/>
        </w:rPr>
        <w:t xml:space="preserve">r is able </w:t>
      </w:r>
      <w:r w:rsidR="00B718EB" w:rsidRPr="003329B4">
        <w:rPr>
          <w:rStyle w:val="normaltextrun"/>
          <w:rFonts w:eastAsiaTheme="majorEastAsia"/>
          <w:color w:val="000000"/>
          <w:shd w:val="clear" w:color="auto" w:fill="FFFFFF"/>
        </w:rPr>
        <w:t xml:space="preserve">to offer </w:t>
      </w:r>
      <w:r w:rsidRPr="003329B4">
        <w:rPr>
          <w:rStyle w:val="normaltextrun"/>
          <w:rFonts w:eastAsiaTheme="majorEastAsia"/>
          <w:color w:val="000000"/>
          <w:shd w:val="clear" w:color="auto" w:fill="FFFFFF"/>
        </w:rPr>
        <w:t xml:space="preserve">today </w:t>
      </w:r>
      <w:r w:rsidR="00B718EB" w:rsidRPr="003329B4">
        <w:rPr>
          <w:rStyle w:val="normaltextrun"/>
          <w:rFonts w:eastAsiaTheme="majorEastAsia"/>
          <w:color w:val="000000"/>
          <w:shd w:val="clear" w:color="auto" w:fill="FFFFFF"/>
        </w:rPr>
        <w:t xml:space="preserve">based on office rotation schemes and office downsizing. </w:t>
      </w:r>
      <w:r w:rsidR="000A2446" w:rsidRPr="003329B4">
        <w:rPr>
          <w:rStyle w:val="normaltextrun"/>
          <w:rFonts w:eastAsiaTheme="majorEastAsia"/>
          <w:color w:val="000000"/>
          <w:shd w:val="clear" w:color="auto" w:fill="FFFFFF"/>
        </w:rPr>
        <w:t>The</w:t>
      </w:r>
      <w:r w:rsidR="00B718EB" w:rsidRPr="003329B4">
        <w:rPr>
          <w:rStyle w:val="normaltextrun"/>
          <w:rFonts w:eastAsiaTheme="majorEastAsia"/>
          <w:color w:val="000000"/>
          <w:shd w:val="clear" w:color="auto" w:fill="FFFFFF"/>
        </w:rPr>
        <w:t xml:space="preserve"> </w:t>
      </w:r>
      <w:r w:rsidRPr="003329B4">
        <w:rPr>
          <w:rStyle w:val="normaltextrun"/>
          <w:rFonts w:eastAsiaTheme="majorEastAsia"/>
          <w:color w:val="000000"/>
          <w:shd w:val="clear" w:color="auto" w:fill="FFFFFF"/>
        </w:rPr>
        <w:t>challenge</w:t>
      </w:r>
      <w:r w:rsidR="00B718EB" w:rsidRPr="003329B4">
        <w:rPr>
          <w:rStyle w:val="normaltextrun"/>
          <w:rFonts w:eastAsiaTheme="majorEastAsia"/>
          <w:color w:val="000000"/>
          <w:shd w:val="clear" w:color="auto" w:fill="FFFFFF"/>
        </w:rPr>
        <w:t xml:space="preserve"> to find </w:t>
      </w:r>
      <w:r w:rsidRPr="003329B4">
        <w:rPr>
          <w:rStyle w:val="normaltextrun"/>
          <w:rFonts w:eastAsiaTheme="majorEastAsia"/>
          <w:color w:val="000000"/>
          <w:shd w:val="clear" w:color="auto" w:fill="FFFFFF"/>
        </w:rPr>
        <w:t>a</w:t>
      </w:r>
      <w:r w:rsidR="000A2446" w:rsidRPr="003329B4">
        <w:rPr>
          <w:rStyle w:val="normaltextrun"/>
          <w:rFonts w:eastAsiaTheme="majorEastAsia"/>
          <w:color w:val="000000"/>
          <w:shd w:val="clear" w:color="auto" w:fill="FFFFFF"/>
        </w:rPr>
        <w:t xml:space="preserve"> harmonious</w:t>
      </w:r>
      <w:r w:rsidR="00B718EB" w:rsidRPr="003329B4">
        <w:rPr>
          <w:rStyle w:val="normaltextrun"/>
          <w:rFonts w:eastAsiaTheme="majorEastAsia"/>
          <w:color w:val="000000"/>
          <w:shd w:val="clear" w:color="auto" w:fill="FFFFFF"/>
        </w:rPr>
        <w:t xml:space="preserve"> balance between employee and employer preferences </w:t>
      </w:r>
      <w:r w:rsidRPr="003329B4">
        <w:rPr>
          <w:rStyle w:val="normaltextrun"/>
          <w:rFonts w:eastAsiaTheme="majorEastAsia"/>
          <w:color w:val="000000"/>
          <w:shd w:val="clear" w:color="auto" w:fill="FFFFFF"/>
        </w:rPr>
        <w:t xml:space="preserve">and perceptions regarding telework raises the issue of </w:t>
      </w:r>
      <w:r w:rsidR="007A0521" w:rsidRPr="003329B4">
        <w:rPr>
          <w:rStyle w:val="normaltextrun"/>
          <w:rFonts w:eastAsiaTheme="majorEastAsia"/>
          <w:color w:val="000000"/>
          <w:shd w:val="clear" w:color="auto" w:fill="FFFFFF"/>
        </w:rPr>
        <w:t>telework frequency dissonance (TFD)</w:t>
      </w:r>
      <w:r w:rsidR="00B718EB" w:rsidRPr="003329B4">
        <w:rPr>
          <w:rStyle w:val="normaltextrun"/>
          <w:rFonts w:eastAsiaTheme="majorEastAsia"/>
          <w:color w:val="000000"/>
          <w:shd w:val="clear" w:color="auto" w:fill="FFFFFF"/>
        </w:rPr>
        <w:t xml:space="preserve">. The purpose of this study is to investigate </w:t>
      </w:r>
      <w:r w:rsidR="00C0079F" w:rsidRPr="003329B4">
        <w:rPr>
          <w:rStyle w:val="normaltextrun"/>
          <w:rFonts w:eastAsiaTheme="majorEastAsia"/>
          <w:color w:val="000000"/>
          <w:shd w:val="clear" w:color="auto" w:fill="FFFFFF"/>
        </w:rPr>
        <w:t>th</w:t>
      </w:r>
      <w:r w:rsidRPr="003329B4">
        <w:rPr>
          <w:rStyle w:val="normaltextrun"/>
          <w:rFonts w:eastAsiaTheme="majorEastAsia"/>
          <w:color w:val="000000"/>
          <w:shd w:val="clear" w:color="auto" w:fill="FFFFFF"/>
        </w:rPr>
        <w:t>is</w:t>
      </w:r>
      <w:r w:rsidR="00C0079F" w:rsidRPr="003329B4">
        <w:rPr>
          <w:rStyle w:val="normaltextrun"/>
          <w:rFonts w:eastAsiaTheme="majorEastAsia"/>
          <w:color w:val="000000"/>
          <w:shd w:val="clear" w:color="auto" w:fill="FFFFFF"/>
        </w:rPr>
        <w:t xml:space="preserve"> </w:t>
      </w:r>
      <w:r w:rsidR="00B718EB" w:rsidRPr="003329B4">
        <w:rPr>
          <w:rStyle w:val="normaltextrun"/>
          <w:rFonts w:eastAsiaTheme="majorEastAsia"/>
          <w:color w:val="000000"/>
          <w:shd w:val="clear" w:color="auto" w:fill="FFFFFF"/>
        </w:rPr>
        <w:t xml:space="preserve">pandemic-induced </w:t>
      </w:r>
      <w:r w:rsidR="007A0521" w:rsidRPr="003329B4">
        <w:rPr>
          <w:rStyle w:val="normaltextrun"/>
          <w:rFonts w:eastAsiaTheme="majorEastAsia"/>
          <w:color w:val="000000"/>
          <w:shd w:val="clear" w:color="auto" w:fill="FFFFFF"/>
        </w:rPr>
        <w:t>TFD</w:t>
      </w:r>
      <w:r w:rsidR="00B718EB" w:rsidRPr="003329B4">
        <w:rPr>
          <w:rStyle w:val="normaltextrun"/>
          <w:rFonts w:eastAsiaTheme="majorEastAsia"/>
          <w:color w:val="000000"/>
          <w:shd w:val="clear" w:color="auto" w:fill="FFFFFF"/>
        </w:rPr>
        <w:t xml:space="preserve">. The data for our study is </w:t>
      </w:r>
      <w:r w:rsidR="0074162A" w:rsidRPr="003329B4">
        <w:rPr>
          <w:rStyle w:val="normaltextrun"/>
          <w:rFonts w:eastAsiaTheme="majorEastAsia"/>
          <w:color w:val="000000"/>
          <w:shd w:val="clear" w:color="auto" w:fill="FFFFFF"/>
        </w:rPr>
        <w:t xml:space="preserve">derived from </w:t>
      </w:r>
      <w:r w:rsidR="00B718EB" w:rsidRPr="003329B4">
        <w:rPr>
          <w:rStyle w:val="normaltextrun"/>
          <w:rFonts w:eastAsiaTheme="majorEastAsia"/>
          <w:color w:val="000000"/>
          <w:shd w:val="clear" w:color="auto" w:fill="FFFFFF"/>
        </w:rPr>
        <w:t>the</w:t>
      </w:r>
      <w:r w:rsidR="00C0079F" w:rsidRPr="003329B4">
        <w:rPr>
          <w:rStyle w:val="normaltextrun"/>
          <w:rFonts w:eastAsiaTheme="majorEastAsia"/>
          <w:color w:val="000000"/>
          <w:shd w:val="clear" w:color="auto" w:fill="FFFFFF"/>
        </w:rPr>
        <w:t xml:space="preserve"> third wave of</w:t>
      </w:r>
      <w:r w:rsidR="00B718EB" w:rsidRPr="003329B4">
        <w:rPr>
          <w:rStyle w:val="normaltextrun"/>
          <w:rFonts w:eastAsiaTheme="majorEastAsia"/>
          <w:color w:val="000000"/>
          <w:shd w:val="clear" w:color="auto" w:fill="FFFFFF"/>
        </w:rPr>
        <w:t xml:space="preserve"> </w:t>
      </w:r>
      <w:r w:rsidR="0074162A" w:rsidRPr="003329B4">
        <w:rPr>
          <w:rStyle w:val="normaltextrun"/>
          <w:rFonts w:eastAsiaTheme="majorEastAsia"/>
          <w:color w:val="000000"/>
          <w:shd w:val="clear" w:color="auto" w:fill="FFFFFF"/>
        </w:rPr>
        <w:t xml:space="preserve">the </w:t>
      </w:r>
      <w:r w:rsidR="00B718EB" w:rsidRPr="003329B4">
        <w:rPr>
          <w:rStyle w:val="normaltextrun"/>
          <w:rFonts w:eastAsiaTheme="majorEastAsia"/>
          <w:color w:val="000000"/>
          <w:shd w:val="clear" w:color="auto" w:fill="FFFFFF"/>
        </w:rPr>
        <w:t xml:space="preserve">COVID Future Panel Survey which was deployed across the United States in </w:t>
      </w:r>
      <w:r w:rsidR="00900A11" w:rsidRPr="003329B4">
        <w:rPr>
          <w:rStyle w:val="normaltextrun"/>
          <w:rFonts w:eastAsiaTheme="majorEastAsia"/>
          <w:color w:val="000000"/>
          <w:shd w:val="clear" w:color="auto" w:fill="FFFFFF"/>
        </w:rPr>
        <w:t xml:space="preserve">the Fall of </w:t>
      </w:r>
      <w:r w:rsidR="00B718EB" w:rsidRPr="003329B4">
        <w:rPr>
          <w:rStyle w:val="normaltextrun"/>
          <w:rFonts w:eastAsiaTheme="majorEastAsia"/>
          <w:color w:val="000000"/>
          <w:shd w:val="clear" w:color="auto" w:fill="FFFFFF"/>
        </w:rPr>
        <w:t xml:space="preserve">2021. The survey includes information regarding employees' </w:t>
      </w:r>
      <w:r w:rsidR="007A0521" w:rsidRPr="003329B4">
        <w:rPr>
          <w:rStyle w:val="normaltextrun"/>
          <w:rFonts w:eastAsiaTheme="majorEastAsia"/>
          <w:color w:val="000000"/>
          <w:shd w:val="clear" w:color="auto" w:fill="FFFFFF"/>
        </w:rPr>
        <w:t xml:space="preserve">existing </w:t>
      </w:r>
      <w:r w:rsidR="00B718EB" w:rsidRPr="003329B4">
        <w:rPr>
          <w:rStyle w:val="normaltextrun"/>
          <w:rFonts w:eastAsiaTheme="majorEastAsia"/>
          <w:color w:val="000000"/>
          <w:shd w:val="clear" w:color="auto" w:fill="FFFFFF"/>
        </w:rPr>
        <w:t xml:space="preserve">telework frequency </w:t>
      </w:r>
      <w:r w:rsidR="007A0521" w:rsidRPr="003329B4">
        <w:rPr>
          <w:rStyle w:val="normaltextrun"/>
          <w:rFonts w:eastAsiaTheme="majorEastAsia"/>
          <w:color w:val="000000"/>
          <w:shd w:val="clear" w:color="auto" w:fill="FFFFFF"/>
        </w:rPr>
        <w:t xml:space="preserve">(ETF) </w:t>
      </w:r>
      <w:r w:rsidR="00B718EB" w:rsidRPr="003329B4">
        <w:rPr>
          <w:rStyle w:val="normaltextrun"/>
          <w:rFonts w:eastAsiaTheme="majorEastAsia"/>
          <w:color w:val="000000"/>
          <w:shd w:val="clear" w:color="auto" w:fill="FFFFFF"/>
        </w:rPr>
        <w:t>and</w:t>
      </w:r>
      <w:r w:rsidR="007A0521" w:rsidRPr="003329B4">
        <w:rPr>
          <w:rStyle w:val="normaltextrun"/>
          <w:rFonts w:eastAsiaTheme="majorEastAsia"/>
          <w:color w:val="000000"/>
          <w:shd w:val="clear" w:color="auto" w:fill="FFFFFF"/>
        </w:rPr>
        <w:t xml:space="preserve"> ideal</w:t>
      </w:r>
      <w:r w:rsidR="00B718EB" w:rsidRPr="003329B4">
        <w:rPr>
          <w:rStyle w:val="normaltextrun"/>
          <w:rFonts w:eastAsiaTheme="majorEastAsia"/>
          <w:color w:val="000000"/>
          <w:shd w:val="clear" w:color="auto" w:fill="FFFFFF"/>
        </w:rPr>
        <w:t xml:space="preserve"> telework frequency</w:t>
      </w:r>
      <w:r w:rsidR="007A0521" w:rsidRPr="003329B4">
        <w:rPr>
          <w:rStyle w:val="normaltextrun"/>
          <w:rFonts w:eastAsiaTheme="majorEastAsia"/>
          <w:color w:val="000000"/>
          <w:shd w:val="clear" w:color="auto" w:fill="FFFFFF"/>
        </w:rPr>
        <w:t xml:space="preserve"> (ITF)</w:t>
      </w:r>
      <w:r w:rsidR="00B718EB" w:rsidRPr="003329B4">
        <w:rPr>
          <w:rStyle w:val="normaltextrun"/>
          <w:rFonts w:eastAsiaTheme="majorEastAsia"/>
          <w:color w:val="000000"/>
          <w:shd w:val="clear" w:color="auto" w:fill="FFFFFF"/>
        </w:rPr>
        <w:t xml:space="preserve">. These two dimensions </w:t>
      </w:r>
      <w:r w:rsidRPr="003329B4">
        <w:rPr>
          <w:rStyle w:val="normaltextrun"/>
          <w:rFonts w:eastAsiaTheme="majorEastAsia"/>
          <w:color w:val="000000"/>
          <w:shd w:val="clear" w:color="auto" w:fill="FFFFFF"/>
        </w:rPr>
        <w:t>are</w:t>
      </w:r>
      <w:r w:rsidR="00B718EB" w:rsidRPr="003329B4">
        <w:rPr>
          <w:rStyle w:val="normaltextrun"/>
          <w:rFonts w:eastAsiaTheme="majorEastAsia"/>
          <w:color w:val="000000"/>
          <w:shd w:val="clear" w:color="auto" w:fill="FFFFFF"/>
        </w:rPr>
        <w:t xml:space="preserve"> jointly modeled </w:t>
      </w:r>
      <w:r w:rsidR="00FA35FC" w:rsidRPr="003329B4">
        <w:rPr>
          <w:rStyle w:val="normaltextrun"/>
          <w:rFonts w:eastAsiaTheme="majorEastAsia"/>
          <w:color w:val="000000"/>
          <w:shd w:val="clear" w:color="auto" w:fill="FFFFFF"/>
        </w:rPr>
        <w:t xml:space="preserve">as a function of </w:t>
      </w:r>
      <w:r w:rsidR="00B718EB" w:rsidRPr="003329B4">
        <w:rPr>
          <w:rStyle w:val="normaltextrun"/>
          <w:rFonts w:eastAsiaTheme="majorEastAsia"/>
          <w:color w:val="000000"/>
          <w:shd w:val="clear" w:color="auto" w:fill="FFFFFF"/>
        </w:rPr>
        <w:t xml:space="preserve">socioeconomic and demographic explanatory variables. The findings from this study provide important insights regarding how best to balance employee and employer preferences </w:t>
      </w:r>
      <w:r w:rsidR="00FA35FC" w:rsidRPr="003329B4">
        <w:rPr>
          <w:rStyle w:val="normaltextrun"/>
          <w:rFonts w:eastAsiaTheme="majorEastAsia"/>
          <w:color w:val="000000"/>
          <w:shd w:val="clear" w:color="auto" w:fill="FFFFFF"/>
        </w:rPr>
        <w:t>regarding work arrangements</w:t>
      </w:r>
      <w:r w:rsidR="00B718EB" w:rsidRPr="003329B4">
        <w:rPr>
          <w:rStyle w:val="normaltextrun"/>
          <w:rFonts w:eastAsiaTheme="majorEastAsia"/>
          <w:color w:val="000000"/>
          <w:shd w:val="clear" w:color="auto" w:fill="FFFFFF"/>
        </w:rPr>
        <w:t xml:space="preserve">. </w:t>
      </w:r>
      <w:r w:rsidR="00FA35FC" w:rsidRPr="003329B4">
        <w:rPr>
          <w:rStyle w:val="normaltextrun"/>
          <w:rFonts w:eastAsiaTheme="majorEastAsia"/>
          <w:color w:val="000000"/>
          <w:shd w:val="clear" w:color="auto" w:fill="FFFFFF"/>
        </w:rPr>
        <w:t>Given the important effects of work arrangements on commute and non-commute travel</w:t>
      </w:r>
      <w:r w:rsidR="00B718EB" w:rsidRPr="003329B4">
        <w:rPr>
          <w:rStyle w:val="normaltextrun"/>
          <w:rFonts w:eastAsiaTheme="majorEastAsia"/>
          <w:color w:val="000000"/>
          <w:shd w:val="clear" w:color="auto" w:fill="FFFFFF"/>
        </w:rPr>
        <w:t xml:space="preserve">, the findings </w:t>
      </w:r>
      <w:r w:rsidR="00FA35FC" w:rsidRPr="003329B4">
        <w:rPr>
          <w:rStyle w:val="normaltextrun"/>
          <w:rFonts w:eastAsiaTheme="majorEastAsia"/>
          <w:color w:val="000000"/>
          <w:shd w:val="clear" w:color="auto" w:fill="FFFFFF"/>
        </w:rPr>
        <w:t xml:space="preserve">from our study should </w:t>
      </w:r>
      <w:r w:rsidR="00900A11" w:rsidRPr="003329B4">
        <w:rPr>
          <w:rStyle w:val="normaltextrun"/>
          <w:rFonts w:eastAsiaTheme="majorEastAsia"/>
          <w:color w:val="000000"/>
          <w:shd w:val="clear" w:color="auto" w:fill="FFFFFF"/>
        </w:rPr>
        <w:t>help inform</w:t>
      </w:r>
      <w:r w:rsidR="00B718EB" w:rsidRPr="003329B4">
        <w:rPr>
          <w:rStyle w:val="normaltextrun"/>
          <w:rFonts w:eastAsiaTheme="majorEastAsia"/>
          <w:shd w:val="clear" w:color="auto" w:fill="FFFFFF"/>
        </w:rPr>
        <w:t xml:space="preserve"> land use and travel models regarding</w:t>
      </w:r>
      <w:r w:rsidR="00FA35FC" w:rsidRPr="003329B4">
        <w:rPr>
          <w:rStyle w:val="normaltextrun"/>
          <w:rFonts w:eastAsiaTheme="majorEastAsia"/>
          <w:shd w:val="clear" w:color="auto" w:fill="FFFFFF"/>
        </w:rPr>
        <w:t xml:space="preserve"> predicting our transportation </w:t>
      </w:r>
      <w:r w:rsidR="00B718EB" w:rsidRPr="003329B4">
        <w:rPr>
          <w:rStyle w:val="normaltextrun"/>
          <w:rFonts w:eastAsiaTheme="majorEastAsia"/>
          <w:shd w:val="clear" w:color="auto" w:fill="FFFFFF"/>
        </w:rPr>
        <w:t>future.</w:t>
      </w:r>
      <w:r w:rsidR="00B718EB" w:rsidRPr="003329B4">
        <w:rPr>
          <w:rStyle w:val="eop"/>
          <w:shd w:val="clear" w:color="auto" w:fill="FFFFFF"/>
        </w:rPr>
        <w:t> </w:t>
      </w:r>
    </w:p>
    <w:p w14:paraId="1B1ABEA9" w14:textId="77777777" w:rsidR="009028CC" w:rsidRPr="003329B4" w:rsidRDefault="009028CC" w:rsidP="0041433B">
      <w:pPr>
        <w:jc w:val="both"/>
        <w:rPr>
          <w:b/>
          <w:bCs/>
          <w:color w:val="000000"/>
        </w:rPr>
      </w:pPr>
    </w:p>
    <w:p w14:paraId="520A5BA1" w14:textId="4D117E69" w:rsidR="00232689" w:rsidRPr="003329B4" w:rsidRDefault="00232689" w:rsidP="00814124">
      <w:pPr>
        <w:jc w:val="both"/>
        <w:rPr>
          <w:color w:val="000000"/>
        </w:rPr>
      </w:pPr>
      <w:r w:rsidRPr="003329B4">
        <w:rPr>
          <w:b/>
          <w:bCs/>
          <w:color w:val="000000"/>
        </w:rPr>
        <w:t xml:space="preserve">Keywords: </w:t>
      </w:r>
      <w:r w:rsidRPr="003329B4">
        <w:rPr>
          <w:color w:val="000000"/>
        </w:rPr>
        <w:t>Dissonance, Consonance, Tele</w:t>
      </w:r>
      <w:r w:rsidR="00B718EB" w:rsidRPr="003329B4">
        <w:rPr>
          <w:color w:val="000000"/>
        </w:rPr>
        <w:t>work Frequency, Telework Preferences</w:t>
      </w:r>
      <w:r w:rsidRPr="003329B4">
        <w:rPr>
          <w:color w:val="000000"/>
        </w:rPr>
        <w:t xml:space="preserve">, </w:t>
      </w:r>
      <w:r w:rsidR="00FA35FC" w:rsidRPr="003329B4">
        <w:rPr>
          <w:color w:val="000000"/>
        </w:rPr>
        <w:t xml:space="preserve">Travel Demand, </w:t>
      </w:r>
      <w:r w:rsidRPr="003329B4">
        <w:rPr>
          <w:color w:val="000000"/>
        </w:rPr>
        <w:t>Remote Work, Work from Home, COVID Impacts</w:t>
      </w:r>
    </w:p>
    <w:p w14:paraId="726A1936" w14:textId="77777777" w:rsidR="00232689" w:rsidRPr="003329B4" w:rsidRDefault="00232689" w:rsidP="00232689">
      <w:pPr>
        <w:rPr>
          <w:color w:val="000000"/>
        </w:rPr>
      </w:pPr>
    </w:p>
    <w:p w14:paraId="6B5611C5" w14:textId="77777777" w:rsidR="00232689" w:rsidRPr="003329B4" w:rsidRDefault="00232689" w:rsidP="00232689">
      <w:pPr>
        <w:tabs>
          <w:tab w:val="left" w:pos="3289"/>
        </w:tabs>
      </w:pPr>
      <w:r w:rsidRPr="003329B4">
        <w:tab/>
      </w:r>
    </w:p>
    <w:p w14:paraId="5FF494CC" w14:textId="77777777" w:rsidR="00232689" w:rsidRPr="003329B4" w:rsidRDefault="00232689" w:rsidP="00232689">
      <w:pPr>
        <w:rPr>
          <w:rFonts w:eastAsiaTheme="majorEastAsia"/>
          <w:b/>
          <w:bCs/>
          <w:color w:val="000000" w:themeColor="text1"/>
          <w:sz w:val="32"/>
          <w:szCs w:val="32"/>
        </w:rPr>
      </w:pPr>
      <w:r w:rsidRPr="003329B4">
        <w:rPr>
          <w:b/>
          <w:bCs/>
          <w:color w:val="000000" w:themeColor="text1"/>
        </w:rPr>
        <w:br w:type="page"/>
      </w:r>
    </w:p>
    <w:p w14:paraId="3D1B7E45" w14:textId="77777777" w:rsidR="003329B4" w:rsidRDefault="003329B4" w:rsidP="00232689">
      <w:pPr>
        <w:pStyle w:val="Heading1"/>
        <w:numPr>
          <w:ilvl w:val="0"/>
          <w:numId w:val="1"/>
        </w:numPr>
        <w:tabs>
          <w:tab w:val="num" w:pos="360"/>
        </w:tabs>
        <w:ind w:left="0" w:firstLine="0"/>
        <w:rPr>
          <w:rFonts w:ascii="Times New Roman" w:hAnsi="Times New Roman" w:cs="Times New Roman"/>
          <w:b/>
          <w:bCs/>
          <w:color w:val="000000" w:themeColor="text1"/>
          <w:sz w:val="24"/>
          <w:szCs w:val="24"/>
        </w:rPr>
        <w:sectPr w:rsidR="003329B4" w:rsidSect="003329B4">
          <w:footerReference w:type="default" r:id="rId14"/>
          <w:pgSz w:w="12240" w:h="15840"/>
          <w:pgMar w:top="1440" w:right="1440" w:bottom="1440" w:left="1440" w:header="720" w:footer="720" w:gutter="0"/>
          <w:cols w:space="720"/>
          <w:docGrid w:linePitch="360"/>
        </w:sectPr>
      </w:pPr>
    </w:p>
    <w:p w14:paraId="44FD350B" w14:textId="4FF9CC32" w:rsidR="00232689" w:rsidRPr="00F01655" w:rsidRDefault="00232689" w:rsidP="002966B2">
      <w:pPr>
        <w:pStyle w:val="Heading1"/>
        <w:numPr>
          <w:ilvl w:val="0"/>
          <w:numId w:val="1"/>
        </w:numPr>
        <w:tabs>
          <w:tab w:val="num" w:pos="360"/>
        </w:tabs>
        <w:spacing w:before="0"/>
        <w:ind w:left="0" w:firstLine="0"/>
        <w:rPr>
          <w:rFonts w:ascii="Times New Roman" w:hAnsi="Times New Roman" w:cs="Times New Roman"/>
          <w:b/>
          <w:bCs/>
          <w:color w:val="000000" w:themeColor="text1"/>
          <w:sz w:val="24"/>
          <w:szCs w:val="24"/>
        </w:rPr>
      </w:pPr>
      <w:r w:rsidRPr="00F01655">
        <w:rPr>
          <w:rFonts w:ascii="Times New Roman" w:hAnsi="Times New Roman" w:cs="Times New Roman"/>
          <w:b/>
          <w:bCs/>
          <w:color w:val="000000" w:themeColor="text1"/>
          <w:sz w:val="24"/>
          <w:szCs w:val="24"/>
        </w:rPr>
        <w:lastRenderedPageBreak/>
        <w:t>INTRODUCTION</w:t>
      </w:r>
    </w:p>
    <w:p w14:paraId="1666675F" w14:textId="4770E729" w:rsidR="001B3E6E" w:rsidRPr="003329B4" w:rsidRDefault="00232689" w:rsidP="003329B4">
      <w:pPr>
        <w:jc w:val="both"/>
      </w:pPr>
      <w:r w:rsidRPr="00F01655">
        <w:t xml:space="preserve">The outbreak of COVID-19 has led to many challenges and changes to our society, including a significant shift in workplace locations. At the start of the pandemic, most employees were forced to work </w:t>
      </w:r>
      <w:r w:rsidR="003A7631" w:rsidRPr="00F01655">
        <w:t xml:space="preserve">remotely </w:t>
      </w:r>
      <w:r w:rsidRPr="00F01655">
        <w:t>from home</w:t>
      </w:r>
      <w:r w:rsidR="003A7631" w:rsidRPr="00F01655">
        <w:t xml:space="preserve"> </w:t>
      </w:r>
      <w:r w:rsidRPr="00F01655">
        <w:t>as a result of lockdowns and social distancing measures as a means to contain the spread of the virus. Many individuals who never worked from home before experienced this new work modality</w:t>
      </w:r>
      <w:r w:rsidR="004608CF" w:rsidRPr="00F01655">
        <w:t>, while</w:t>
      </w:r>
      <w:r w:rsidRPr="00F01655">
        <w:t xml:space="preserve"> those who were able to telework </w:t>
      </w:r>
      <w:r w:rsidR="004608CF" w:rsidRPr="00F01655">
        <w:t xml:space="preserve">only </w:t>
      </w:r>
      <w:r w:rsidRPr="00F01655">
        <w:t>for a few days a month before the pandemic</w:t>
      </w:r>
      <w:r w:rsidR="004608CF" w:rsidRPr="00F01655">
        <w:t xml:space="preserve"> experienced more remote work</w:t>
      </w:r>
      <w:r w:rsidR="003A7631" w:rsidRPr="00F01655">
        <w:t xml:space="preserve"> from home </w:t>
      </w:r>
      <w:r w:rsidR="00960B28" w:rsidRPr="00F01655">
        <w:t>and other non-office locations</w:t>
      </w:r>
      <w:r w:rsidR="004608CF" w:rsidRPr="00F01655">
        <w:t xml:space="preserve">. </w:t>
      </w:r>
      <w:r w:rsidRPr="00F01655">
        <w:t xml:space="preserve">At the same time, </w:t>
      </w:r>
      <w:r w:rsidR="00B844CC" w:rsidRPr="00F01655">
        <w:t xml:space="preserve">because of the increased </w:t>
      </w:r>
      <w:r w:rsidR="00B844CC" w:rsidRPr="003329B4">
        <w:t xml:space="preserve">remote work during the pandemic, </w:t>
      </w:r>
      <w:r w:rsidR="00897637" w:rsidRPr="003329B4">
        <w:t xml:space="preserve">many </w:t>
      </w:r>
      <w:r w:rsidRPr="003329B4">
        <w:t>employers also witnessed benefits</w:t>
      </w:r>
      <w:r w:rsidR="004608CF" w:rsidRPr="003329B4">
        <w:t xml:space="preserve">, </w:t>
      </w:r>
      <w:r w:rsidRPr="003329B4">
        <w:t>such as lower real estate and operating costs (Sweet a</w:t>
      </w:r>
      <w:r w:rsidR="00B9290A" w:rsidRPr="003329B4">
        <w:t>nd</w:t>
      </w:r>
      <w:r w:rsidRPr="003329B4">
        <w:t xml:space="preserve"> Scott, 2022; Boland et al., 2020; </w:t>
      </w:r>
      <w:proofErr w:type="spellStart"/>
      <w:r w:rsidRPr="003329B4">
        <w:t>Türkes</w:t>
      </w:r>
      <w:proofErr w:type="spellEnd"/>
      <w:r w:rsidRPr="003329B4">
        <w:t xml:space="preserve"> and </w:t>
      </w:r>
      <w:proofErr w:type="spellStart"/>
      <w:r w:rsidRPr="003329B4">
        <w:t>Vuta</w:t>
      </w:r>
      <w:proofErr w:type="spellEnd"/>
      <w:r w:rsidRPr="003329B4">
        <w:t xml:space="preserve">, 2022). </w:t>
      </w:r>
    </w:p>
    <w:p w14:paraId="443127CE" w14:textId="68706C51" w:rsidR="004850CB" w:rsidRPr="003329B4" w:rsidRDefault="00232689" w:rsidP="003329B4">
      <w:pPr>
        <w:ind w:firstLine="720"/>
        <w:jc w:val="both"/>
      </w:pPr>
      <w:r w:rsidRPr="003329B4">
        <w:t>Th</w:t>
      </w:r>
      <w:r w:rsidR="001B3E6E" w:rsidRPr="003329B4">
        <w:t>e</w:t>
      </w:r>
      <w:r w:rsidRPr="003329B4">
        <w:t xml:space="preserve"> remote work arrangement trend engendered by the pandemic continues to </w:t>
      </w:r>
      <w:r w:rsidR="0063487E" w:rsidRPr="003329B4">
        <w:t>be prevalent</w:t>
      </w:r>
      <w:r w:rsidRPr="003329B4">
        <w:t xml:space="preserve"> even after wide dissemination of COVID vaccinations and other drug treatments</w:t>
      </w:r>
      <w:r w:rsidR="004608CF" w:rsidRPr="003329B4">
        <w:t xml:space="preserve">, due to a number of employee- and employer-related reasons. </w:t>
      </w:r>
      <w:r w:rsidR="004608CF" w:rsidRPr="003329B4">
        <w:rPr>
          <w:u w:val="single"/>
        </w:rPr>
        <w:t xml:space="preserve">From </w:t>
      </w:r>
      <w:r w:rsidR="0063487E" w:rsidRPr="003329B4">
        <w:rPr>
          <w:u w:val="single"/>
        </w:rPr>
        <w:t xml:space="preserve">an </w:t>
      </w:r>
      <w:r w:rsidR="004608CF" w:rsidRPr="003329B4">
        <w:rPr>
          <w:u w:val="single"/>
        </w:rPr>
        <w:t xml:space="preserve">employee </w:t>
      </w:r>
      <w:r w:rsidR="0063487E" w:rsidRPr="003329B4">
        <w:rPr>
          <w:u w:val="single"/>
        </w:rPr>
        <w:t>perspective</w:t>
      </w:r>
      <w:r w:rsidR="004608CF" w:rsidRPr="003329B4">
        <w:t xml:space="preserve">, for many workers, remote work </w:t>
      </w:r>
      <w:r w:rsidR="003A7631" w:rsidRPr="003329B4">
        <w:t xml:space="preserve">(which we will also refer to as telework, and which was predominantly from home) </w:t>
      </w:r>
      <w:r w:rsidR="004608CF" w:rsidRPr="003329B4">
        <w:t>offers a level of flexibility that increases their work-life balanc</w:t>
      </w:r>
      <w:r w:rsidR="00643BB9" w:rsidRPr="003329B4">
        <w:t>e (</w:t>
      </w:r>
      <w:r w:rsidR="007917BC" w:rsidRPr="003329B4">
        <w:t>Sweet and Scott, 2022</w:t>
      </w:r>
      <w:r w:rsidR="00643BB9" w:rsidRPr="003329B4">
        <w:t xml:space="preserve">), enhances mental well-being and happiness </w:t>
      </w:r>
      <w:r w:rsidR="007917BC" w:rsidRPr="003329B4">
        <w:t>(Owl Labs, 2021</w:t>
      </w:r>
      <w:r w:rsidR="00643BB9" w:rsidRPr="003329B4">
        <w:t xml:space="preserve">), reduces financial cost-outlays of working from the office (for example, investment in clothing/attire and formal day care facilities for children; see Thompson et al., 2022 and </w:t>
      </w:r>
      <w:proofErr w:type="spellStart"/>
      <w:r w:rsidR="00643BB9" w:rsidRPr="003329B4">
        <w:t>Bjursell</w:t>
      </w:r>
      <w:proofErr w:type="spellEnd"/>
      <w:r w:rsidR="00643BB9" w:rsidRPr="003329B4">
        <w:t xml:space="preserve"> et al., 2021), and lowers time/emotional stress (for instance, due to the long and tiresome </w:t>
      </w:r>
      <w:r w:rsidR="00643BB9" w:rsidRPr="00BB08CC">
        <w:t xml:space="preserve">commutes; see </w:t>
      </w:r>
      <w:r w:rsidR="000D77D9" w:rsidRPr="00BB08CC">
        <w:t xml:space="preserve">Beck and </w:t>
      </w:r>
      <w:proofErr w:type="spellStart"/>
      <w:r w:rsidR="000D77D9" w:rsidRPr="00BB08CC">
        <w:t>Hensher</w:t>
      </w:r>
      <w:proofErr w:type="spellEnd"/>
      <w:r w:rsidR="000D77D9" w:rsidRPr="00BB08CC">
        <w:t>, 2022 and</w:t>
      </w:r>
      <w:r w:rsidR="000D77D9">
        <w:t xml:space="preserve"> </w:t>
      </w:r>
      <w:r w:rsidR="00643BB9" w:rsidRPr="003329B4">
        <w:t xml:space="preserve">Nguyen, 2021). </w:t>
      </w:r>
      <w:r w:rsidR="001B3E6E" w:rsidRPr="003329B4">
        <w:t xml:space="preserve">Besides, the newfound flexibility to </w:t>
      </w:r>
      <w:r w:rsidR="00960B28" w:rsidRPr="003329B4">
        <w:t>telework</w:t>
      </w:r>
      <w:r w:rsidR="001B3E6E" w:rsidRPr="003329B4">
        <w:t xml:space="preserve"> caused by the pandemic</w:t>
      </w:r>
      <w:r w:rsidR="00236977" w:rsidRPr="003329B4">
        <w:t>, and the pandemic itself,</w:t>
      </w:r>
      <w:r w:rsidR="001B3E6E" w:rsidRPr="003329B4">
        <w:t xml:space="preserve"> encouraged many employees to move farther away from their offices to less dense and remote residential locations for reasons that ranged from reducing </w:t>
      </w:r>
      <w:r w:rsidR="00FE317E" w:rsidRPr="003329B4">
        <w:t xml:space="preserve">in-person contact </w:t>
      </w:r>
      <w:r w:rsidR="001B3E6E" w:rsidRPr="003329B4">
        <w:t>to saving on housing costs to enjoying more desirable housing attributes (</w:t>
      </w:r>
      <w:proofErr w:type="spellStart"/>
      <w:r w:rsidR="001B3E6E" w:rsidRPr="003329B4">
        <w:t>Caldarola</w:t>
      </w:r>
      <w:proofErr w:type="spellEnd"/>
      <w:r w:rsidR="001B3E6E" w:rsidRPr="003329B4">
        <w:t xml:space="preserve"> and Sorrell, 2022). </w:t>
      </w:r>
      <w:r w:rsidR="0063487E" w:rsidRPr="003329B4">
        <w:t xml:space="preserve">For such individuals, the resulting increased distances </w:t>
      </w:r>
      <w:r w:rsidR="003A7631" w:rsidRPr="003329B4">
        <w:t xml:space="preserve">between their homes and regular office locations naturally </w:t>
      </w:r>
      <w:r w:rsidR="0063487E" w:rsidRPr="003329B4">
        <w:t xml:space="preserve">heightens the preference for remote work. </w:t>
      </w:r>
      <w:r w:rsidR="001B3E6E" w:rsidRPr="003329B4">
        <w:t xml:space="preserve">Also, individuals who </w:t>
      </w:r>
      <w:r w:rsidR="0063487E" w:rsidRPr="003329B4">
        <w:t xml:space="preserve">added new </w:t>
      </w:r>
      <w:r w:rsidR="001B3E6E" w:rsidRPr="003329B4">
        <w:t xml:space="preserve">family </w:t>
      </w:r>
      <w:r w:rsidR="0063487E" w:rsidRPr="003329B4">
        <w:t>members during the pandemic</w:t>
      </w:r>
      <w:r w:rsidR="003A7631" w:rsidRPr="003329B4">
        <w:t>,</w:t>
      </w:r>
      <w:r w:rsidR="0063487E" w:rsidRPr="003329B4">
        <w:t xml:space="preserve"> </w:t>
      </w:r>
      <w:r w:rsidR="001B3E6E" w:rsidRPr="003329B4">
        <w:t>a</w:t>
      </w:r>
      <w:r w:rsidR="0063487E" w:rsidRPr="003329B4">
        <w:t>nd became accustomed to</w:t>
      </w:r>
      <w:r w:rsidR="00960B28" w:rsidRPr="003329B4">
        <w:t xml:space="preserve"> telework </w:t>
      </w:r>
      <w:r w:rsidR="0063487E" w:rsidRPr="003329B4">
        <w:t>during the pandemic</w:t>
      </w:r>
      <w:r w:rsidR="003A7631" w:rsidRPr="003329B4">
        <w:t>,</w:t>
      </w:r>
      <w:r w:rsidR="0063487E" w:rsidRPr="003329B4">
        <w:t xml:space="preserve"> are naturally </w:t>
      </w:r>
      <w:r w:rsidR="003A7631" w:rsidRPr="003329B4">
        <w:t xml:space="preserve">going to be </w:t>
      </w:r>
      <w:r w:rsidR="0063487E" w:rsidRPr="003329B4">
        <w:t>reticent to return back to</w:t>
      </w:r>
      <w:r w:rsidR="002F288D" w:rsidRPr="003329B4">
        <w:t xml:space="preserve"> the </w:t>
      </w:r>
      <w:r w:rsidR="0063487E" w:rsidRPr="003329B4">
        <w:t xml:space="preserve">work </w:t>
      </w:r>
      <w:r w:rsidR="002F288D" w:rsidRPr="003329B4">
        <w:t xml:space="preserve">office </w:t>
      </w:r>
      <w:r w:rsidR="003A7631" w:rsidRPr="003329B4">
        <w:t xml:space="preserve">on a regular basis </w:t>
      </w:r>
      <w:r w:rsidR="0063487E" w:rsidRPr="003329B4">
        <w:t xml:space="preserve">(especially on a full-time basis, even if that was the norm for their jobs before the pandemic). </w:t>
      </w:r>
      <w:r w:rsidR="003A7631" w:rsidRPr="003329B4">
        <w:t xml:space="preserve">More generally, telework has been known to provide employees with a higher level of autonomy (associated with freedom, independence, and ability to make decisions) on how job-related tasks </w:t>
      </w:r>
      <w:r w:rsidR="00897637" w:rsidRPr="003329B4">
        <w:t xml:space="preserve">are </w:t>
      </w:r>
      <w:r w:rsidR="003A7631" w:rsidRPr="003329B4">
        <w:t>completed</w:t>
      </w:r>
      <w:r w:rsidR="00C7464E" w:rsidRPr="003329B4">
        <w:t>, which, in turn, elevates job satisfaction for most individuals</w:t>
      </w:r>
      <w:r w:rsidR="003A7631" w:rsidRPr="003329B4">
        <w:t xml:space="preserve"> (</w:t>
      </w:r>
      <w:r w:rsidR="00C7464E" w:rsidRPr="003329B4">
        <w:t xml:space="preserve">see </w:t>
      </w:r>
      <w:r w:rsidR="003A7631" w:rsidRPr="003329B4">
        <w:t xml:space="preserve">Allen et al., 2015). </w:t>
      </w:r>
      <w:r w:rsidR="00C7464E" w:rsidRPr="003329B4">
        <w:rPr>
          <w:u w:val="single"/>
        </w:rPr>
        <w:t>From an employer perspective</w:t>
      </w:r>
      <w:r w:rsidR="00C7464E" w:rsidRPr="003329B4">
        <w:t>, many</w:t>
      </w:r>
      <w:r w:rsidR="00643BB9" w:rsidRPr="003329B4">
        <w:t xml:space="preserve"> employers </w:t>
      </w:r>
      <w:r w:rsidR="004850CB" w:rsidRPr="003329B4">
        <w:t>downsized</w:t>
      </w:r>
      <w:r w:rsidR="00643BB9" w:rsidRPr="003329B4">
        <w:t xml:space="preserve"> office space </w:t>
      </w:r>
      <w:r w:rsidR="004850CB" w:rsidRPr="003329B4">
        <w:t xml:space="preserve">or completely abandoned physical offices </w:t>
      </w:r>
      <w:r w:rsidR="00643BB9" w:rsidRPr="003329B4">
        <w:t xml:space="preserve">to save on real-estate costs </w:t>
      </w:r>
      <w:r w:rsidR="004850CB" w:rsidRPr="003329B4">
        <w:t xml:space="preserve">and other unnecessary business expenses </w:t>
      </w:r>
      <w:r w:rsidR="00C7464E" w:rsidRPr="003329B4">
        <w:t>during the pandemic</w:t>
      </w:r>
      <w:r w:rsidR="004850CB" w:rsidRPr="003329B4">
        <w:t xml:space="preserve"> (see Boland et al., 2020 and </w:t>
      </w:r>
      <w:proofErr w:type="spellStart"/>
      <w:r w:rsidR="004850CB" w:rsidRPr="003329B4">
        <w:t>Türkes</w:t>
      </w:r>
      <w:proofErr w:type="spellEnd"/>
      <w:r w:rsidR="004850CB" w:rsidRPr="003329B4">
        <w:t xml:space="preserve"> and </w:t>
      </w:r>
      <w:proofErr w:type="spellStart"/>
      <w:r w:rsidR="004850CB" w:rsidRPr="003329B4">
        <w:t>Vuta</w:t>
      </w:r>
      <w:proofErr w:type="spellEnd"/>
      <w:r w:rsidR="004850CB" w:rsidRPr="003329B4">
        <w:t xml:space="preserve">, 2022). A study by Owl Labs (2021) found that 22% of employers have closed the office, 22% have reduced office space, and 18% have implemented hot desking since the start of the pandemic. </w:t>
      </w:r>
      <w:r w:rsidR="00EC46E9" w:rsidRPr="003329B4">
        <w:t xml:space="preserve">This was particularly the case for small (1 to 50 employees) and large employers (more than 10,000 employees), though a third of </w:t>
      </w:r>
      <w:r w:rsidR="004850CB" w:rsidRPr="003329B4">
        <w:t xml:space="preserve">medium-sized employers (500 to 1,000 employees) </w:t>
      </w:r>
      <w:r w:rsidR="00EC46E9" w:rsidRPr="003329B4">
        <w:t xml:space="preserve">also </w:t>
      </w:r>
      <w:r w:rsidR="004850CB" w:rsidRPr="003329B4">
        <w:t xml:space="preserve">reduced their office space. </w:t>
      </w:r>
      <w:r w:rsidR="00EC46E9" w:rsidRPr="003329B4">
        <w:t>T</w:t>
      </w:r>
      <w:r w:rsidR="00643BB9" w:rsidRPr="003329B4">
        <w:t xml:space="preserve">he resulting cost savings </w:t>
      </w:r>
      <w:r w:rsidR="00EC46E9" w:rsidRPr="003329B4">
        <w:t xml:space="preserve">to employers have been </w:t>
      </w:r>
      <w:r w:rsidR="00C7464E" w:rsidRPr="003329B4">
        <w:t xml:space="preserve">palpable and </w:t>
      </w:r>
      <w:r w:rsidR="00EC46E9" w:rsidRPr="003329B4">
        <w:t xml:space="preserve">clearly </w:t>
      </w:r>
      <w:r w:rsidR="00643BB9" w:rsidRPr="003329B4">
        <w:t xml:space="preserve">offer a substantial incentive </w:t>
      </w:r>
      <w:r w:rsidR="00EC46E9" w:rsidRPr="003329B4">
        <w:t xml:space="preserve">for such employers </w:t>
      </w:r>
      <w:r w:rsidR="00643BB9" w:rsidRPr="003329B4">
        <w:t xml:space="preserve">to </w:t>
      </w:r>
      <w:r w:rsidR="004850CB" w:rsidRPr="003329B4">
        <w:t xml:space="preserve">continue to </w:t>
      </w:r>
      <w:r w:rsidR="00643BB9" w:rsidRPr="003329B4">
        <w:t xml:space="preserve">retain </w:t>
      </w:r>
      <w:r w:rsidR="00C7464E" w:rsidRPr="003329B4">
        <w:t>tele</w:t>
      </w:r>
      <w:r w:rsidR="00643BB9" w:rsidRPr="003329B4">
        <w:t>work policies either partially or fully. Besides</w:t>
      </w:r>
      <w:r w:rsidRPr="003329B4">
        <w:t xml:space="preserve">, during a period dubbed in the popular press as the era of the “great resignation”, employers </w:t>
      </w:r>
      <w:r w:rsidR="004850CB" w:rsidRPr="003329B4">
        <w:t xml:space="preserve">have </w:t>
      </w:r>
      <w:r w:rsidRPr="003329B4">
        <w:t>bec</w:t>
      </w:r>
      <w:r w:rsidR="004850CB" w:rsidRPr="003329B4">
        <w:t>o</w:t>
      </w:r>
      <w:r w:rsidRPr="003329B4">
        <w:t xml:space="preserve">me increasingly aware of the need to </w:t>
      </w:r>
      <w:r w:rsidR="004850CB" w:rsidRPr="003329B4">
        <w:t xml:space="preserve">continue to </w:t>
      </w:r>
      <w:r w:rsidRPr="003329B4">
        <w:t>provide work flexibility as a means to attract new employees and retain experienced employees (</w:t>
      </w:r>
      <w:proofErr w:type="spellStart"/>
      <w:r w:rsidRPr="003329B4">
        <w:t>Dua</w:t>
      </w:r>
      <w:proofErr w:type="spellEnd"/>
      <w:r w:rsidRPr="003329B4">
        <w:t xml:space="preserve"> et al., 2022; Mission</w:t>
      </w:r>
      <w:r w:rsidR="00424B1F" w:rsidRPr="003329B4">
        <w:t xml:space="preserve"> </w:t>
      </w:r>
      <w:r w:rsidRPr="003329B4">
        <w:t xml:space="preserve">Square Research Institute, 2022). </w:t>
      </w:r>
    </w:p>
    <w:p w14:paraId="3D06BA3B" w14:textId="221F52DB" w:rsidR="00232689" w:rsidRPr="003329B4" w:rsidRDefault="00EC46E9" w:rsidP="003329B4">
      <w:pPr>
        <w:ind w:firstLine="720"/>
        <w:jc w:val="both"/>
      </w:pPr>
      <w:r w:rsidRPr="003329B4">
        <w:t xml:space="preserve">While telework is still deeply entrenched in the work arrangements of most employees, the fact that the worst of the pandemic is in the </w:t>
      </w:r>
      <w:r w:rsidR="007917BC" w:rsidRPr="003329B4">
        <w:t>rear-view</w:t>
      </w:r>
      <w:r w:rsidRPr="003329B4">
        <w:t xml:space="preserve"> mirror has led to an increasing chorus of </w:t>
      </w:r>
      <w:r w:rsidR="00232689" w:rsidRPr="003329B4">
        <w:t>employer</w:t>
      </w:r>
      <w:r w:rsidR="00820C39" w:rsidRPr="003329B4">
        <w:t xml:space="preserve"> voices starting to </w:t>
      </w:r>
      <w:r w:rsidR="00232689" w:rsidRPr="003329B4">
        <w:t xml:space="preserve">express concerns about </w:t>
      </w:r>
      <w:r w:rsidR="00897637" w:rsidRPr="003329B4">
        <w:t xml:space="preserve">continuing with extensive telework </w:t>
      </w:r>
      <w:r w:rsidR="00897637" w:rsidRPr="003329B4">
        <w:lastRenderedPageBreak/>
        <w:t xml:space="preserve">arrangements. These employers are worried about the inability to </w:t>
      </w:r>
      <w:r w:rsidR="00820C39" w:rsidRPr="003329B4">
        <w:t>maintain a distinctive brand of corporate culture</w:t>
      </w:r>
      <w:r w:rsidR="00B81258" w:rsidRPr="003329B4">
        <w:t xml:space="preserve"> and</w:t>
      </w:r>
      <w:r w:rsidR="00232689" w:rsidRPr="003329B4">
        <w:t xml:space="preserve"> </w:t>
      </w:r>
      <w:r w:rsidR="00897637" w:rsidRPr="003329B4">
        <w:t>high</w:t>
      </w:r>
      <w:r w:rsidR="00B81258" w:rsidRPr="003329B4">
        <w:t xml:space="preserve"> productivity/performance levels, </w:t>
      </w:r>
      <w:r w:rsidR="00232689" w:rsidRPr="003329B4">
        <w:t>as well as the potential deleterious effects of the lack of in-person collaborations for community</w:t>
      </w:r>
      <w:r w:rsidR="00820C39" w:rsidRPr="003329B4">
        <w:t xml:space="preserve"> and</w:t>
      </w:r>
      <w:r w:rsidR="00232689" w:rsidRPr="003329B4">
        <w:t xml:space="preserve"> team building</w:t>
      </w:r>
      <w:r w:rsidR="00820C39" w:rsidRPr="003329B4">
        <w:t xml:space="preserve">. </w:t>
      </w:r>
      <w:r w:rsidR="00B81258" w:rsidRPr="003329B4">
        <w:t>In fact, a</w:t>
      </w:r>
      <w:r w:rsidR="00820C39" w:rsidRPr="003329B4">
        <w:t xml:space="preserve"> study conducted after the widespread availability of vaccines in Spring 2021 </w:t>
      </w:r>
      <w:r w:rsidR="00CD13B3" w:rsidRPr="003329B4">
        <w:t xml:space="preserve">(for ease, we will refer to this period after Spring 2021 as the post-COVID period) </w:t>
      </w:r>
      <w:r w:rsidR="00B81258" w:rsidRPr="003329B4">
        <w:t xml:space="preserve">determined that 68% of company executives prefer their employees to return to office-based work at least three days a week to maintain their distinctive brand of corporate culture. Additionally, 65% of company executives believe that office-based work is imperative for increasing employee productivity levels. Further, over half of the executives believe that employee collaboration is an important component of office-based work as it provides meeting spaces for clients and facilitates team building </w:t>
      </w:r>
      <w:r w:rsidR="00232689" w:rsidRPr="003329B4">
        <w:t xml:space="preserve">(PWC, 2021). </w:t>
      </w:r>
      <w:r w:rsidR="003C49AD" w:rsidRPr="003329B4">
        <w:t>A number of employers also see office-based work as an essential ingredient for mentoring young and new employees. As a result, several</w:t>
      </w:r>
      <w:r w:rsidR="00232689" w:rsidRPr="003329B4">
        <w:t xml:space="preserve"> employers </w:t>
      </w:r>
      <w:r w:rsidR="003C49AD" w:rsidRPr="003329B4">
        <w:t xml:space="preserve">have </w:t>
      </w:r>
      <w:r w:rsidR="004A669E" w:rsidRPr="003329B4">
        <w:t>explicitly declare</w:t>
      </w:r>
      <w:r w:rsidR="003C49AD" w:rsidRPr="003329B4">
        <w:t>d</w:t>
      </w:r>
      <w:r w:rsidR="004A669E" w:rsidRPr="003329B4">
        <w:t xml:space="preserve"> that the telework wave brought on during the height of the pandemic </w:t>
      </w:r>
      <w:r w:rsidR="003C49AD" w:rsidRPr="003329B4">
        <w:t xml:space="preserve">will not constitute a new normal and have strongly encouraged </w:t>
      </w:r>
      <w:r w:rsidR="002E36A3" w:rsidRPr="003329B4">
        <w:t>office</w:t>
      </w:r>
      <w:r w:rsidR="003C49AD" w:rsidRPr="003329B4">
        <w:t>-based work</w:t>
      </w:r>
      <w:r w:rsidR="00232689" w:rsidRPr="003329B4">
        <w:t xml:space="preserve">, either </w:t>
      </w:r>
      <w:r w:rsidR="003C49AD" w:rsidRPr="003329B4">
        <w:t xml:space="preserve">on all days of the week </w:t>
      </w:r>
      <w:r w:rsidR="00232689" w:rsidRPr="003329B4">
        <w:t xml:space="preserve">or with limited flexibility to work remotely. The net result of this is a move toward </w:t>
      </w:r>
      <w:r w:rsidR="00232689" w:rsidRPr="003329B4">
        <w:rPr>
          <w:color w:val="000000"/>
        </w:rPr>
        <w:t xml:space="preserve">workplace hybridization, splitting the work week between working in-person and </w:t>
      </w:r>
      <w:r w:rsidR="002E36A3" w:rsidRPr="003329B4">
        <w:rPr>
          <w:color w:val="000000"/>
        </w:rPr>
        <w:t>remotely</w:t>
      </w:r>
      <w:r w:rsidR="00232689" w:rsidRPr="003329B4">
        <w:rPr>
          <w:color w:val="000000"/>
        </w:rPr>
        <w:t xml:space="preserve">, which is ostensibly a happy medium between employer </w:t>
      </w:r>
      <w:r w:rsidR="00572175" w:rsidRPr="003329B4">
        <w:rPr>
          <w:color w:val="000000"/>
        </w:rPr>
        <w:t xml:space="preserve">and employee </w:t>
      </w:r>
      <w:r w:rsidR="00232689" w:rsidRPr="003329B4">
        <w:rPr>
          <w:color w:val="000000"/>
        </w:rPr>
        <w:t xml:space="preserve">preferences. </w:t>
      </w:r>
    </w:p>
    <w:p w14:paraId="3BD1189C" w14:textId="5148913E" w:rsidR="007B4784" w:rsidRPr="003329B4" w:rsidRDefault="00232689" w:rsidP="003329B4">
      <w:pPr>
        <w:autoSpaceDE w:val="0"/>
        <w:autoSpaceDN w:val="0"/>
        <w:adjustRightInd w:val="0"/>
        <w:ind w:firstLine="720"/>
        <w:jc w:val="both"/>
      </w:pPr>
      <w:r w:rsidRPr="003329B4">
        <w:rPr>
          <w:color w:val="000000"/>
        </w:rPr>
        <w:t>Yet, for many employees, their current</w:t>
      </w:r>
      <w:r w:rsidR="00BA384F" w:rsidRPr="003329B4">
        <w:rPr>
          <w:color w:val="000000"/>
        </w:rPr>
        <w:t xml:space="preserve"> and future expected</w:t>
      </w:r>
      <w:r w:rsidRPr="003329B4">
        <w:rPr>
          <w:color w:val="000000"/>
        </w:rPr>
        <w:t xml:space="preserve"> work arrangement</w:t>
      </w:r>
      <w:r w:rsidR="00572175" w:rsidRPr="003329B4">
        <w:rPr>
          <w:color w:val="000000"/>
        </w:rPr>
        <w:t xml:space="preserve"> </w:t>
      </w:r>
      <w:r w:rsidRPr="003329B4">
        <w:rPr>
          <w:color w:val="000000"/>
        </w:rPr>
        <w:t xml:space="preserve">may still be influenced by </w:t>
      </w:r>
      <w:r w:rsidRPr="003329B4">
        <w:t xml:space="preserve">employer pressure/expectation to be at the office, </w:t>
      </w:r>
      <w:r w:rsidR="00572175" w:rsidRPr="003329B4">
        <w:t xml:space="preserve">due to job security concerns (especially so amidst an economic outlook that is not necessarily one of optimism). </w:t>
      </w:r>
      <w:r w:rsidR="00DF002D" w:rsidRPr="003329B4">
        <w:t>For instance, a survey of U</w:t>
      </w:r>
      <w:r w:rsidR="00926E20">
        <w:t>.</w:t>
      </w:r>
      <w:r w:rsidR="00DF002D" w:rsidRPr="003329B4">
        <w:t>S</w:t>
      </w:r>
      <w:r w:rsidR="00926E20">
        <w:t>.</w:t>
      </w:r>
      <w:r w:rsidR="00DF002D" w:rsidRPr="003329B4">
        <w:t xml:space="preserve"> workers conducted in July 2022 indicated that 62% believed they were more productive when working remotely, but about half of them also felt that upper management viewed those coming into the office on a regular basis as being “harder working and more trustworthy” (Owl</w:t>
      </w:r>
      <w:r w:rsidR="003566EF" w:rsidRPr="003329B4">
        <w:t xml:space="preserve"> Labs</w:t>
      </w:r>
      <w:r w:rsidR="00DF002D" w:rsidRPr="003329B4">
        <w:t xml:space="preserve">, 2022). </w:t>
      </w:r>
      <w:r w:rsidR="00103F0F" w:rsidRPr="003329B4">
        <w:t xml:space="preserve">Also, about half of the respondents to the survey were worried </w:t>
      </w:r>
      <w:r w:rsidR="00570770" w:rsidRPr="003329B4">
        <w:t xml:space="preserve">that not going into the office often would make them less </w:t>
      </w:r>
      <w:r w:rsidR="00103F0F" w:rsidRPr="003329B4">
        <w:t xml:space="preserve">visible </w:t>
      </w:r>
      <w:r w:rsidR="00570770" w:rsidRPr="003329B4">
        <w:t>(not just literally, but also from a career advancement perspective) t</w:t>
      </w:r>
      <w:r w:rsidR="00103F0F" w:rsidRPr="003329B4">
        <w:t>o upper management</w:t>
      </w:r>
      <w:r w:rsidR="00570770" w:rsidRPr="003329B4">
        <w:t xml:space="preserve">. </w:t>
      </w:r>
      <w:r w:rsidR="00DF002D" w:rsidRPr="003329B4">
        <w:t>Such</w:t>
      </w:r>
      <w:r w:rsidR="00570770" w:rsidRPr="003329B4">
        <w:t xml:space="preserve"> </w:t>
      </w:r>
      <w:r w:rsidR="00DF002D" w:rsidRPr="003329B4">
        <w:t xml:space="preserve">feelings, justified or not, </w:t>
      </w:r>
      <w:r w:rsidR="00572175" w:rsidRPr="003329B4">
        <w:t xml:space="preserve">would </w:t>
      </w:r>
      <w:r w:rsidRPr="003329B4">
        <w:t>impl</w:t>
      </w:r>
      <w:r w:rsidR="00572175" w:rsidRPr="003329B4">
        <w:t>y</w:t>
      </w:r>
      <w:r w:rsidRPr="003329B4">
        <w:t xml:space="preserve"> </w:t>
      </w:r>
      <w:r w:rsidR="00570770" w:rsidRPr="003329B4">
        <w:t xml:space="preserve">that employees might </w:t>
      </w:r>
      <w:r w:rsidR="00572175" w:rsidRPr="003329B4">
        <w:t xml:space="preserve">go into the office </w:t>
      </w:r>
      <w:r w:rsidRPr="003329B4">
        <w:t xml:space="preserve">more days than </w:t>
      </w:r>
      <w:r w:rsidR="00572175" w:rsidRPr="003329B4">
        <w:t xml:space="preserve">if the choice were completely </w:t>
      </w:r>
      <w:r w:rsidR="00DF002D" w:rsidRPr="003329B4">
        <w:t xml:space="preserve">left to </w:t>
      </w:r>
      <w:r w:rsidR="00572175" w:rsidRPr="003329B4">
        <w:t>the</w:t>
      </w:r>
      <w:r w:rsidR="00570770" w:rsidRPr="003329B4">
        <w:t xml:space="preserve">mselves. </w:t>
      </w:r>
      <w:r w:rsidR="007B4784" w:rsidRPr="003329B4">
        <w:t xml:space="preserve">Of course, it is also possible that some individuals may prefer more office workdays (due to a need for more professional-social interactions and a perceived higher productivity level at the office with fewer distractions) than what their employer may be able to offer based on office rotation schemes and office downsizing, but the </w:t>
      </w:r>
      <w:r w:rsidR="00897637" w:rsidRPr="003329B4">
        <w:t xml:space="preserve">general trend is </w:t>
      </w:r>
      <w:r w:rsidR="007B4784" w:rsidRPr="003329B4">
        <w:t>that such employe</w:t>
      </w:r>
      <w:r w:rsidR="00FC281B" w:rsidRPr="003329B4">
        <w:t>e</w:t>
      </w:r>
      <w:r w:rsidR="007B4784" w:rsidRPr="003329B4">
        <w:t>s</w:t>
      </w:r>
      <w:r w:rsidR="00897637" w:rsidRPr="003329B4">
        <w:t xml:space="preserve"> </w:t>
      </w:r>
      <w:r w:rsidR="007B4784" w:rsidRPr="003329B4">
        <w:t xml:space="preserve">constitute a </w:t>
      </w:r>
      <w:r w:rsidR="00FC281B" w:rsidRPr="003329B4">
        <w:t xml:space="preserve">very </w:t>
      </w:r>
      <w:r w:rsidR="007B4784" w:rsidRPr="003329B4">
        <w:t xml:space="preserve">small fraction of all employees. </w:t>
      </w:r>
    </w:p>
    <w:p w14:paraId="525A5553" w14:textId="0C6B005E" w:rsidR="00F00601" w:rsidRDefault="007B4784" w:rsidP="00CF0E6D">
      <w:pPr>
        <w:ind w:firstLine="720"/>
        <w:jc w:val="both"/>
        <w:rPr>
          <w:color w:val="FF0000"/>
        </w:rPr>
      </w:pPr>
      <w:r w:rsidRPr="003329B4">
        <w:t xml:space="preserve">The discussion </w:t>
      </w:r>
      <w:r w:rsidR="003701F6" w:rsidRPr="003329B4">
        <w:t xml:space="preserve">above </w:t>
      </w:r>
      <w:r w:rsidR="00F00601">
        <w:t xml:space="preserve">relates to the </w:t>
      </w:r>
      <w:r w:rsidR="00B90D4D" w:rsidRPr="003329B4">
        <w:t xml:space="preserve">potential </w:t>
      </w:r>
      <w:r w:rsidR="00232689" w:rsidRPr="003329B4">
        <w:t xml:space="preserve">disconnect between </w:t>
      </w:r>
      <w:r w:rsidR="0083519F" w:rsidRPr="003329B4">
        <w:t xml:space="preserve">the existing </w:t>
      </w:r>
      <w:r w:rsidRPr="003329B4">
        <w:t xml:space="preserve">telework arrangements </w:t>
      </w:r>
      <w:r w:rsidR="0083519F" w:rsidRPr="003329B4">
        <w:t xml:space="preserve">of </w:t>
      </w:r>
      <w:r w:rsidRPr="003329B4">
        <w:t xml:space="preserve">employees (as influenced, in large part, by employer preferences/requirements) and what </w:t>
      </w:r>
      <w:r w:rsidR="00232689" w:rsidRPr="003329B4">
        <w:t xml:space="preserve">employees </w:t>
      </w:r>
      <w:r w:rsidRPr="003329B4">
        <w:t xml:space="preserve">would </w:t>
      </w:r>
      <w:r w:rsidR="00232689" w:rsidRPr="003329B4">
        <w:t>prefer</w:t>
      </w:r>
      <w:r w:rsidR="00C927EC" w:rsidRPr="003329B4">
        <w:t xml:space="preserve"> if the choice w</w:t>
      </w:r>
      <w:r w:rsidR="0083519F" w:rsidRPr="003329B4">
        <w:t>ere</w:t>
      </w:r>
      <w:r w:rsidR="00C927EC" w:rsidRPr="003329B4">
        <w:t xml:space="preserve"> totally up to them</w:t>
      </w:r>
      <w:r w:rsidR="00C70E2B">
        <w:t>.</w:t>
      </w:r>
      <w:r w:rsidR="00C70E2B">
        <w:rPr>
          <w:rStyle w:val="FootnoteReference"/>
          <w:color w:val="222222"/>
          <w:shd w:val="clear" w:color="auto" w:fill="FFFFFF"/>
        </w:rPr>
        <w:footnoteReference w:id="2"/>
      </w:r>
      <w:r w:rsidR="001D79AD">
        <w:t xml:space="preserve"> </w:t>
      </w:r>
      <w:r w:rsidR="00F00601">
        <w:t xml:space="preserve">This disconnect has been referred to in some earlier literature (see the next section for a review of studies on desired </w:t>
      </w:r>
      <w:r w:rsidR="005C0432">
        <w:t>versus actual telework arrangements</w:t>
      </w:r>
      <w:r w:rsidR="00F00601">
        <w:t xml:space="preserve">) as </w:t>
      </w:r>
      <w:r w:rsidR="00CF0E6D">
        <w:rPr>
          <w:color w:val="222222"/>
          <w:shd w:val="clear" w:color="auto" w:fill="FFFFFF"/>
        </w:rPr>
        <w:t>“</w:t>
      </w:r>
      <w:r w:rsidR="00F00601" w:rsidRPr="00A94A77">
        <w:rPr>
          <w:color w:val="222222"/>
          <w:shd w:val="clear" w:color="auto" w:fill="FFFFFF"/>
        </w:rPr>
        <w:t>discrepancies</w:t>
      </w:r>
      <w:r w:rsidR="00CF0E6D">
        <w:rPr>
          <w:color w:val="222222"/>
          <w:shd w:val="clear" w:color="auto" w:fill="FFFFFF"/>
        </w:rPr>
        <w:t>”</w:t>
      </w:r>
      <w:r w:rsidR="00F00601" w:rsidRPr="00A94A77">
        <w:rPr>
          <w:color w:val="222222"/>
          <w:shd w:val="clear" w:color="auto" w:fill="FFFFFF"/>
        </w:rPr>
        <w:t xml:space="preserve">, </w:t>
      </w:r>
      <w:r w:rsidR="00CF0E6D">
        <w:rPr>
          <w:color w:val="222222"/>
          <w:shd w:val="clear" w:color="auto" w:fill="FFFFFF"/>
        </w:rPr>
        <w:t>“</w:t>
      </w:r>
      <w:r w:rsidR="00F00601" w:rsidRPr="00A94A77">
        <w:rPr>
          <w:color w:val="222222"/>
          <w:shd w:val="clear" w:color="auto" w:fill="FFFFFF"/>
        </w:rPr>
        <w:t>differences</w:t>
      </w:r>
      <w:r w:rsidR="00CF0E6D">
        <w:rPr>
          <w:color w:val="222222"/>
          <w:shd w:val="clear" w:color="auto" w:fill="FFFFFF"/>
        </w:rPr>
        <w:t>”</w:t>
      </w:r>
      <w:r w:rsidR="00F00601" w:rsidRPr="00A94A77">
        <w:rPr>
          <w:color w:val="222222"/>
          <w:shd w:val="clear" w:color="auto" w:fill="FFFFFF"/>
        </w:rPr>
        <w:t xml:space="preserve">, </w:t>
      </w:r>
      <w:r w:rsidR="00F00601">
        <w:rPr>
          <w:color w:val="222222"/>
          <w:shd w:val="clear" w:color="auto" w:fill="FFFFFF"/>
        </w:rPr>
        <w:t>“divide</w:t>
      </w:r>
      <w:r w:rsidR="00CF0E6D">
        <w:rPr>
          <w:color w:val="222222"/>
          <w:shd w:val="clear" w:color="auto" w:fill="FFFFFF"/>
        </w:rPr>
        <w:t>”</w:t>
      </w:r>
      <w:r w:rsidR="00F00601">
        <w:rPr>
          <w:color w:val="222222"/>
          <w:shd w:val="clear" w:color="auto" w:fill="FFFFFF"/>
        </w:rPr>
        <w:t xml:space="preserve">, and </w:t>
      </w:r>
      <w:r w:rsidR="00CF0E6D">
        <w:rPr>
          <w:color w:val="222222"/>
          <w:shd w:val="clear" w:color="auto" w:fill="FFFFFF"/>
        </w:rPr>
        <w:t>“</w:t>
      </w:r>
      <w:r w:rsidR="00F00601" w:rsidRPr="00A94A77">
        <w:rPr>
          <w:color w:val="222222"/>
          <w:shd w:val="clear" w:color="auto" w:fill="FFFFFF"/>
        </w:rPr>
        <w:t>conflict</w:t>
      </w:r>
      <w:r w:rsidR="00CF0E6D">
        <w:rPr>
          <w:color w:val="222222"/>
          <w:shd w:val="clear" w:color="auto" w:fill="FFFFFF"/>
        </w:rPr>
        <w:t>”</w:t>
      </w:r>
      <w:r w:rsidR="00F00601">
        <w:rPr>
          <w:color w:val="222222"/>
          <w:shd w:val="clear" w:color="auto" w:fill="FFFFFF"/>
        </w:rPr>
        <w:t>. We label this disconnect, for the first time that we are aware of in the teleworking context, as “dissonance”.</w:t>
      </w:r>
      <w:r w:rsidR="00F00601" w:rsidRPr="00A94A77">
        <w:rPr>
          <w:color w:val="222222"/>
          <w:shd w:val="clear" w:color="auto" w:fill="FFFFFF"/>
        </w:rPr>
        <w:t xml:space="preserve"> </w:t>
      </w:r>
      <w:r w:rsidR="00232689" w:rsidRPr="003329B4">
        <w:t>According to Festinger</w:t>
      </w:r>
      <w:r w:rsidR="00B90D4D" w:rsidRPr="003329B4">
        <w:t xml:space="preserve"> (1975)</w:t>
      </w:r>
      <w:r w:rsidR="00232689" w:rsidRPr="003329B4">
        <w:t>, “dissonance</w:t>
      </w:r>
      <w:r w:rsidR="00503AEF" w:rsidRPr="003329B4">
        <w:t>”</w:t>
      </w:r>
      <w:r w:rsidR="00232689" w:rsidRPr="003329B4">
        <w:t xml:space="preserve"> and </w:t>
      </w:r>
      <w:r w:rsidR="00503AEF" w:rsidRPr="003329B4">
        <w:t>“</w:t>
      </w:r>
      <w:r w:rsidR="00232689" w:rsidRPr="003329B4">
        <w:t>consonance</w:t>
      </w:r>
      <w:r w:rsidR="00503AEF" w:rsidRPr="003329B4">
        <w:t>”</w:t>
      </w:r>
      <w:r w:rsidR="00232689" w:rsidRPr="003329B4">
        <w:t xml:space="preserve"> refer to the relations </w:t>
      </w:r>
      <w:r w:rsidR="00B90D4D" w:rsidRPr="003329B4">
        <w:t xml:space="preserve">that </w:t>
      </w:r>
      <w:r w:rsidR="00232689" w:rsidRPr="003329B4">
        <w:t xml:space="preserve">exist between pairs of </w:t>
      </w:r>
      <w:r w:rsidR="00503AEF" w:rsidRPr="003329B4">
        <w:t>“</w:t>
      </w:r>
      <w:r w:rsidR="00232689" w:rsidRPr="003329B4">
        <w:t>elements</w:t>
      </w:r>
      <w:r w:rsidR="00503AEF" w:rsidRPr="003329B4">
        <w:t>”</w:t>
      </w:r>
      <w:r w:rsidR="00B90D4D" w:rsidRPr="003329B4">
        <w:t xml:space="preserve">, wherein the elements refer to beliefs/attitudes (BA) on the </w:t>
      </w:r>
      <w:r w:rsidR="00B90D4D" w:rsidRPr="003329B4">
        <w:lastRenderedPageBreak/>
        <w:t xml:space="preserve">one hand and actual behavior (AB) on the other. </w:t>
      </w:r>
      <w:r w:rsidR="00232689" w:rsidRPr="003329B4">
        <w:t>Festinger proposed that dissonance arise</w:t>
      </w:r>
      <w:r w:rsidR="00B90D4D" w:rsidRPr="003329B4">
        <w:t>s</w:t>
      </w:r>
      <w:r w:rsidR="00232689" w:rsidRPr="003329B4">
        <w:t xml:space="preserve"> </w:t>
      </w:r>
      <w:r w:rsidR="00B90D4D" w:rsidRPr="003329B4">
        <w:t>when BA and AB are in opposition, while consonance</w:t>
      </w:r>
      <w:r w:rsidR="00897637" w:rsidRPr="003329B4">
        <w:t xml:space="preserve"> </w:t>
      </w:r>
      <w:r w:rsidR="00B90D4D" w:rsidRPr="003329B4">
        <w:t xml:space="preserve">arises </w:t>
      </w:r>
      <w:r w:rsidR="00897637" w:rsidRPr="003329B4">
        <w:t xml:space="preserve">when </w:t>
      </w:r>
      <w:r w:rsidR="00B90D4D" w:rsidRPr="003329B4">
        <w:t xml:space="preserve">BA and AB are </w:t>
      </w:r>
      <w:r w:rsidR="00232689" w:rsidRPr="003329B4">
        <w:t>in alignment</w:t>
      </w:r>
      <w:r w:rsidR="00232689" w:rsidRPr="00F01655">
        <w:t xml:space="preserve">. </w:t>
      </w:r>
      <w:r w:rsidR="00B90D4D" w:rsidRPr="00F01655">
        <w:t xml:space="preserve">Individuals feel uncomfortable </w:t>
      </w:r>
      <w:r w:rsidR="00C43CFA" w:rsidRPr="00F01655">
        <w:t xml:space="preserve">and psychologically </w:t>
      </w:r>
      <w:r w:rsidR="00C43CFA" w:rsidRPr="00D560F0">
        <w:t xml:space="preserve">stressed </w:t>
      </w:r>
      <w:r w:rsidR="00B90D4D" w:rsidRPr="00D560F0">
        <w:t xml:space="preserve">when in a state of dissonance and </w:t>
      </w:r>
      <w:r w:rsidR="00C43CFA" w:rsidRPr="00D560F0">
        <w:t xml:space="preserve">so </w:t>
      </w:r>
      <w:r w:rsidR="00B90D4D" w:rsidRPr="00D560F0">
        <w:t xml:space="preserve">strive toward consonance. </w:t>
      </w:r>
      <w:r w:rsidR="00C43CFA" w:rsidRPr="00D560F0">
        <w:t xml:space="preserve">Further, when in a state of dissonance, individuals, even if not completely able to bridge the dissonance gap, will do all it takes to at least avoid situations and information that increases the dissonance gap. </w:t>
      </w:r>
      <w:r w:rsidR="00DF7087" w:rsidRPr="00D560F0">
        <w:t>Zou et al. (2020) explain</w:t>
      </w:r>
      <w:r w:rsidR="00DF7087" w:rsidRPr="00CF0E6D">
        <w:t xml:space="preserve"> that dissonance can be reduced by three methods: (1) individual adjusts their BA towards their AB, (2) individual adjusts their AB in accordance with their BA, (3) individual justifies their AB. </w:t>
      </w:r>
    </w:p>
    <w:p w14:paraId="5865FBCB" w14:textId="2F530019" w:rsidR="00B73C21" w:rsidRPr="00CF0E6D" w:rsidRDefault="002047B8" w:rsidP="002047B8">
      <w:pPr>
        <w:ind w:firstLine="720"/>
        <w:jc w:val="both"/>
        <w:rPr>
          <w:color w:val="000000" w:themeColor="text1"/>
        </w:rPr>
      </w:pPr>
      <w:bookmarkStart w:id="1" w:name="_Hlk158312592"/>
      <w:r>
        <w:rPr>
          <w:color w:val="000000" w:themeColor="text1"/>
        </w:rPr>
        <w:t>To summarize, t</w:t>
      </w:r>
      <w:r w:rsidR="00F00601" w:rsidRPr="00CF0E6D">
        <w:rPr>
          <w:color w:val="000000" w:themeColor="text1"/>
        </w:rPr>
        <w:t xml:space="preserve">he concept of dissonance, as just discussed and originating from </w:t>
      </w:r>
      <w:r w:rsidR="00BD45F5" w:rsidRPr="00CF0E6D">
        <w:rPr>
          <w:color w:val="000000" w:themeColor="text1"/>
        </w:rPr>
        <w:t xml:space="preserve">Festinger’s (1975) </w:t>
      </w:r>
      <w:r w:rsidR="00F00601" w:rsidRPr="00CF0E6D">
        <w:rPr>
          <w:color w:val="000000" w:themeColor="text1"/>
        </w:rPr>
        <w:t>cognitive dissonance theory (C</w:t>
      </w:r>
      <w:r w:rsidR="00193E31">
        <w:rPr>
          <w:color w:val="000000" w:themeColor="text1"/>
        </w:rPr>
        <w:t>D</w:t>
      </w:r>
      <w:r w:rsidR="00F00601" w:rsidRPr="00CF0E6D">
        <w:rPr>
          <w:color w:val="000000" w:themeColor="text1"/>
        </w:rPr>
        <w:t>T)</w:t>
      </w:r>
      <w:r w:rsidR="00BD45F5" w:rsidRPr="00CF0E6D">
        <w:rPr>
          <w:color w:val="000000" w:themeColor="text1"/>
        </w:rPr>
        <w:t>,</w:t>
      </w:r>
      <w:r w:rsidR="00F00601" w:rsidRPr="00CF0E6D">
        <w:rPr>
          <w:color w:val="000000" w:themeColor="text1"/>
        </w:rPr>
        <w:t xml:space="preserve"> can be applied to</w:t>
      </w:r>
      <w:r w:rsidR="00BD45F5" w:rsidRPr="00CF0E6D">
        <w:rPr>
          <w:color w:val="000000" w:themeColor="text1"/>
        </w:rPr>
        <w:t xml:space="preserve"> </w:t>
      </w:r>
      <w:r w:rsidR="00F00601" w:rsidRPr="00CF0E6D">
        <w:rPr>
          <w:color w:val="000000" w:themeColor="text1"/>
        </w:rPr>
        <w:t>any context</w:t>
      </w:r>
      <w:r w:rsidR="00BD45F5" w:rsidRPr="00CF0E6D">
        <w:rPr>
          <w:color w:val="000000" w:themeColor="text1"/>
        </w:rPr>
        <w:t xml:space="preserve"> characterized by three states:</w:t>
      </w:r>
      <w:r w:rsidR="00F00601" w:rsidRPr="00CF0E6D">
        <w:rPr>
          <w:color w:val="000000" w:themeColor="text1"/>
        </w:rPr>
        <w:t xml:space="preserve"> (1) there are two “elements” that oppose one another, (2) feelings of discomfort or stress arise </w:t>
      </w:r>
      <w:r>
        <w:rPr>
          <w:color w:val="000000" w:themeColor="text1"/>
        </w:rPr>
        <w:t xml:space="preserve">because of </w:t>
      </w:r>
      <w:r w:rsidR="00BD45F5" w:rsidRPr="00CF0E6D">
        <w:rPr>
          <w:color w:val="000000" w:themeColor="text1"/>
        </w:rPr>
        <w:t>separation between the two “elements”</w:t>
      </w:r>
      <w:r w:rsidR="00F00601" w:rsidRPr="00CF0E6D">
        <w:rPr>
          <w:color w:val="000000" w:themeColor="text1"/>
        </w:rPr>
        <w:t>, and (3) the presence of</w:t>
      </w:r>
      <w:r w:rsidR="00BD45F5" w:rsidRPr="00CF0E6D">
        <w:rPr>
          <w:color w:val="000000" w:themeColor="text1"/>
        </w:rPr>
        <w:t xml:space="preserve"> separation in </w:t>
      </w:r>
      <w:r>
        <w:rPr>
          <w:color w:val="000000" w:themeColor="text1"/>
        </w:rPr>
        <w:t xml:space="preserve">the </w:t>
      </w:r>
      <w:r w:rsidR="00BD45F5" w:rsidRPr="00CF0E6D">
        <w:rPr>
          <w:color w:val="000000" w:themeColor="text1"/>
        </w:rPr>
        <w:t>“elements”</w:t>
      </w:r>
      <w:r w:rsidR="00F00601" w:rsidRPr="00CF0E6D">
        <w:rPr>
          <w:color w:val="000000" w:themeColor="text1"/>
        </w:rPr>
        <w:t xml:space="preserve"> cause</w:t>
      </w:r>
      <w:r w:rsidR="00BD45F5" w:rsidRPr="00CF0E6D">
        <w:rPr>
          <w:color w:val="000000" w:themeColor="text1"/>
        </w:rPr>
        <w:t>s</w:t>
      </w:r>
      <w:r w:rsidR="00F00601" w:rsidRPr="00CF0E6D">
        <w:rPr>
          <w:color w:val="000000" w:themeColor="text1"/>
        </w:rPr>
        <w:t xml:space="preserve"> individuals to seek to reduce the </w:t>
      </w:r>
      <w:r w:rsidR="00BD45F5" w:rsidRPr="00CF0E6D">
        <w:rPr>
          <w:color w:val="000000" w:themeColor="text1"/>
        </w:rPr>
        <w:t>separation</w:t>
      </w:r>
      <w:r w:rsidR="00F00601" w:rsidRPr="00CF0E6D">
        <w:rPr>
          <w:color w:val="000000" w:themeColor="text1"/>
        </w:rPr>
        <w:t xml:space="preserve">. </w:t>
      </w:r>
      <w:r w:rsidR="00504239" w:rsidRPr="00F01655">
        <w:t xml:space="preserve">This </w:t>
      </w:r>
      <w:r w:rsidR="00BD45F5">
        <w:t xml:space="preserve">naturally </w:t>
      </w:r>
      <w:r w:rsidR="00504239" w:rsidRPr="00F01655">
        <w:t>fits in</w:t>
      </w:r>
      <w:r w:rsidR="00BD45F5">
        <w:t xml:space="preserve"> </w:t>
      </w:r>
      <w:r w:rsidR="00504239" w:rsidRPr="00F01655">
        <w:t xml:space="preserve">with </w:t>
      </w:r>
      <w:r w:rsidR="00BD45F5">
        <w:t xml:space="preserve">the context of </w:t>
      </w:r>
      <w:r w:rsidR="00504239" w:rsidRPr="00F01655">
        <w:t xml:space="preserve">telework </w:t>
      </w:r>
      <w:r w:rsidR="007B1530" w:rsidRPr="00F01655">
        <w:t>frequency</w:t>
      </w:r>
      <w:r w:rsidR="00504239" w:rsidRPr="00F01655">
        <w:t xml:space="preserve">, with the </w:t>
      </w:r>
      <w:r w:rsidR="00BD45F5">
        <w:t xml:space="preserve">first state of </w:t>
      </w:r>
      <w:r w:rsidR="00504239" w:rsidRPr="00F01655">
        <w:t xml:space="preserve">two </w:t>
      </w:r>
      <w:r w:rsidR="00BD45F5">
        <w:t>“</w:t>
      </w:r>
      <w:r w:rsidR="00504239" w:rsidRPr="00F01655">
        <w:t>elements</w:t>
      </w:r>
      <w:r w:rsidR="00BD45F5">
        <w:t>”</w:t>
      </w:r>
      <w:r w:rsidR="00504239" w:rsidRPr="00F01655">
        <w:t xml:space="preserve"> representing </w:t>
      </w:r>
      <w:r w:rsidR="00FB4534" w:rsidRPr="00F01655">
        <w:t xml:space="preserve">the </w:t>
      </w:r>
      <w:r w:rsidRPr="00F01655">
        <w:t>ideal telework frequency (ITF) of an employee</w:t>
      </w:r>
      <w:r>
        <w:t xml:space="preserve"> (driven by employee beliefs/attitudes/life style preferences) and the </w:t>
      </w:r>
      <w:r w:rsidR="007B1530" w:rsidRPr="00F01655">
        <w:t>ex</w:t>
      </w:r>
      <w:r w:rsidR="00BA384F" w:rsidRPr="00F01655">
        <w:t>istin</w:t>
      </w:r>
      <w:r w:rsidR="0083519F" w:rsidRPr="00F01655">
        <w:t>g</w:t>
      </w:r>
      <w:r w:rsidR="00FB4534" w:rsidRPr="00F01655">
        <w:t xml:space="preserve"> </w:t>
      </w:r>
      <w:r w:rsidR="00504239" w:rsidRPr="00F01655">
        <w:t xml:space="preserve">telework frequency </w:t>
      </w:r>
      <w:r w:rsidR="00FB4534" w:rsidRPr="00F01655">
        <w:t xml:space="preserve">(ETF) </w:t>
      </w:r>
      <w:r>
        <w:t>(</w:t>
      </w:r>
      <w:r w:rsidR="00BD45F5">
        <w:t>being dictated</w:t>
      </w:r>
      <w:r>
        <w:t>,</w:t>
      </w:r>
      <w:r w:rsidR="00BD45F5">
        <w:t xml:space="preserve"> at least in part</w:t>
      </w:r>
      <w:r>
        <w:t>,</w:t>
      </w:r>
      <w:r w:rsidR="00BD45F5">
        <w:t xml:space="preserve"> by employer preferences/requirement</w:t>
      </w:r>
      <w:r w:rsidR="007C099E">
        <w:t>)</w:t>
      </w:r>
      <w:r w:rsidR="00504239" w:rsidRPr="00F01655">
        <w:t>.</w:t>
      </w:r>
      <w:r w:rsidR="007B1530" w:rsidRPr="00F01655">
        <w:t xml:space="preserve"> </w:t>
      </w:r>
      <w:r w:rsidR="00BD45F5">
        <w:t>Further</w:t>
      </w:r>
      <w:r w:rsidR="00FB4534" w:rsidRPr="00F01655">
        <w:t xml:space="preserve">, </w:t>
      </w:r>
      <w:r w:rsidR="00BD45F5">
        <w:t>concordant with the second state</w:t>
      </w:r>
      <w:r>
        <w:t xml:space="preserve"> needed for the application of C</w:t>
      </w:r>
      <w:r w:rsidR="00193E31">
        <w:t>D</w:t>
      </w:r>
      <w:r>
        <w:t>T</w:t>
      </w:r>
      <w:r w:rsidR="00BD45F5">
        <w:t xml:space="preserve">, </w:t>
      </w:r>
      <w:r w:rsidR="00365769" w:rsidRPr="00F01655">
        <w:t>empirical studies have</w:t>
      </w:r>
      <w:r w:rsidR="00BD45F5">
        <w:t xml:space="preserve"> established </w:t>
      </w:r>
      <w:r w:rsidR="00365769" w:rsidRPr="00F01655">
        <w:t xml:space="preserve">that </w:t>
      </w:r>
      <w:r w:rsidR="00B73C21" w:rsidRPr="00F01655">
        <w:t xml:space="preserve">employees </w:t>
      </w:r>
      <w:r w:rsidR="00FB4534" w:rsidRPr="00F01655">
        <w:t>who</w:t>
      </w:r>
      <w:r w:rsidR="00B73C21" w:rsidRPr="00F01655">
        <w:t xml:space="preserve"> </w:t>
      </w:r>
      <w:r w:rsidR="00FB4534" w:rsidRPr="00F01655">
        <w:t xml:space="preserve">feel pressure to work from their office </w:t>
      </w:r>
      <w:r w:rsidR="00FB4534" w:rsidRPr="003329B4">
        <w:t>more often than their ideal</w:t>
      </w:r>
      <w:r w:rsidR="00365769" w:rsidRPr="003329B4">
        <w:t xml:space="preserve"> (</w:t>
      </w:r>
      <w:r w:rsidR="00FB4534" w:rsidRPr="003329B4">
        <w:t>that is, ETF&lt;ITF</w:t>
      </w:r>
      <w:r w:rsidR="00365769" w:rsidRPr="003329B4">
        <w:t>, because</w:t>
      </w:r>
      <w:r w:rsidR="00FB4534" w:rsidRPr="003329B4">
        <w:t xml:space="preserve"> </w:t>
      </w:r>
      <w:r w:rsidR="00365769" w:rsidRPr="003329B4">
        <w:t xml:space="preserve">of </w:t>
      </w:r>
      <w:r w:rsidR="00FB4534" w:rsidRPr="003329B4">
        <w:t>a formal requirement of their employer</w:t>
      </w:r>
      <w:r w:rsidR="00365769" w:rsidRPr="003329B4">
        <w:t>,</w:t>
      </w:r>
      <w:r w:rsidR="00FB4534" w:rsidRPr="003329B4">
        <w:t xml:space="preserve"> or</w:t>
      </w:r>
      <w:r w:rsidR="00365769" w:rsidRPr="003329B4">
        <w:t xml:space="preserve"> the </w:t>
      </w:r>
      <w:r w:rsidR="00FB4534" w:rsidRPr="003329B4">
        <w:t>pressure they perceive</w:t>
      </w:r>
      <w:r w:rsidR="00365769" w:rsidRPr="003329B4">
        <w:t xml:space="preserve"> from their employer, </w:t>
      </w:r>
      <w:r w:rsidR="00365769" w:rsidRPr="00D560F0">
        <w:t>or other reasons)</w:t>
      </w:r>
      <w:r w:rsidR="00BD45F5" w:rsidRPr="00D560F0">
        <w:t xml:space="preserve">, </w:t>
      </w:r>
      <w:r w:rsidR="00365769" w:rsidRPr="00D560F0">
        <w:t xml:space="preserve">manifest their </w:t>
      </w:r>
      <w:r w:rsidR="00BD45F5" w:rsidRPr="00D560F0">
        <w:t>telework frequency dissonance (</w:t>
      </w:r>
      <w:r w:rsidR="00365769" w:rsidRPr="00D560F0">
        <w:t>TFD</w:t>
      </w:r>
      <w:r w:rsidR="00BD45F5" w:rsidRPr="00D560F0">
        <w:t>)</w:t>
      </w:r>
      <w:r w:rsidR="00365769" w:rsidRPr="00D560F0">
        <w:t xml:space="preserve">-related stress and discomfort through </w:t>
      </w:r>
      <w:r w:rsidR="00B73C21" w:rsidRPr="00D560F0">
        <w:t xml:space="preserve">lower levels of </w:t>
      </w:r>
      <w:r w:rsidR="007C099E" w:rsidRPr="00D560F0">
        <w:t>productivity/</w:t>
      </w:r>
      <w:r w:rsidR="00365769" w:rsidRPr="00D560F0">
        <w:t xml:space="preserve">work </w:t>
      </w:r>
      <w:r w:rsidR="00B73C21" w:rsidRPr="00D560F0">
        <w:t>engagemen</w:t>
      </w:r>
      <w:r w:rsidR="00365769" w:rsidRPr="00D560F0">
        <w:t>t/</w:t>
      </w:r>
      <w:r w:rsidR="00B73C21" w:rsidRPr="00D560F0">
        <w:t>well-being and higher levels of burnout</w:t>
      </w:r>
      <w:r w:rsidR="00365769" w:rsidRPr="00D560F0">
        <w:t xml:space="preserve"> </w:t>
      </w:r>
      <w:r w:rsidR="00B73C21" w:rsidRPr="00D560F0">
        <w:t>(</w:t>
      </w:r>
      <w:r w:rsidR="007C099E" w:rsidRPr="00D560F0">
        <w:t xml:space="preserve">Hackney et al., 2022; </w:t>
      </w:r>
      <w:proofErr w:type="spellStart"/>
      <w:r w:rsidR="00B73C21" w:rsidRPr="00D560F0">
        <w:t>Wigert</w:t>
      </w:r>
      <w:proofErr w:type="spellEnd"/>
      <w:r w:rsidR="00B73C21" w:rsidRPr="00D560F0">
        <w:t xml:space="preserve">, 2022; </w:t>
      </w:r>
      <w:proofErr w:type="spellStart"/>
      <w:r w:rsidR="00B73C21" w:rsidRPr="00D560F0">
        <w:t>Alrawadieh</w:t>
      </w:r>
      <w:proofErr w:type="spellEnd"/>
      <w:r w:rsidR="00B73C21" w:rsidRPr="00D560F0">
        <w:t xml:space="preserve"> and </w:t>
      </w:r>
      <w:proofErr w:type="spellStart"/>
      <w:r w:rsidR="00B73C21" w:rsidRPr="00D560F0">
        <w:t>Dincer</w:t>
      </w:r>
      <w:proofErr w:type="spellEnd"/>
      <w:r w:rsidR="00B73C21" w:rsidRPr="00D560F0">
        <w:t xml:space="preserve">, 2021). </w:t>
      </w:r>
      <w:r w:rsidR="00BD45F5" w:rsidRPr="00D560F0">
        <w:t>Finally</w:t>
      </w:r>
      <w:r w:rsidR="00B73C21" w:rsidRPr="00D560F0">
        <w:t xml:space="preserve">, </w:t>
      </w:r>
      <w:r w:rsidR="00BD45F5" w:rsidRPr="00D560F0">
        <w:t xml:space="preserve">completing the third state </w:t>
      </w:r>
      <w:r w:rsidRPr="00D560F0">
        <w:t xml:space="preserve">requirement </w:t>
      </w:r>
      <w:r w:rsidR="00BD45F5" w:rsidRPr="00D560F0">
        <w:t xml:space="preserve">for </w:t>
      </w:r>
      <w:r w:rsidRPr="00D560F0">
        <w:t xml:space="preserve">the </w:t>
      </w:r>
      <w:r w:rsidR="00BD45F5" w:rsidRPr="00D560F0">
        <w:t>application of the C</w:t>
      </w:r>
      <w:r w:rsidR="00193E31" w:rsidRPr="00D560F0">
        <w:t>D</w:t>
      </w:r>
      <w:r w:rsidR="00BD45F5" w:rsidRPr="00D560F0">
        <w:t xml:space="preserve">T, </w:t>
      </w:r>
      <w:r w:rsidR="00477175" w:rsidRPr="00D560F0">
        <w:t xml:space="preserve">earlier studies provide credence to the notion that </w:t>
      </w:r>
      <w:r w:rsidR="00365769" w:rsidRPr="00D560F0">
        <w:t>individual</w:t>
      </w:r>
      <w:r w:rsidR="00477175" w:rsidRPr="00D560F0">
        <w:t>s</w:t>
      </w:r>
      <w:r w:rsidR="00365769" w:rsidRPr="00D560F0">
        <w:t xml:space="preserve"> seek to </w:t>
      </w:r>
      <w:r w:rsidR="00B73C21" w:rsidRPr="00D560F0">
        <w:t xml:space="preserve">reduce </w:t>
      </w:r>
      <w:r w:rsidR="00365769" w:rsidRPr="00D560F0">
        <w:t xml:space="preserve">TFD </w:t>
      </w:r>
      <w:r w:rsidR="00B73C21" w:rsidRPr="00D560F0">
        <w:t xml:space="preserve">and </w:t>
      </w:r>
      <w:r w:rsidR="0092513C" w:rsidRPr="00D560F0">
        <w:t xml:space="preserve">certainly </w:t>
      </w:r>
      <w:r w:rsidR="00B73C21" w:rsidRPr="00D560F0">
        <w:t xml:space="preserve">avoid situations that increase </w:t>
      </w:r>
      <w:r w:rsidR="0092513C" w:rsidRPr="00D560F0">
        <w:t>it</w:t>
      </w:r>
      <w:r w:rsidR="00B73C21" w:rsidRPr="00D560F0">
        <w:t xml:space="preserve">. </w:t>
      </w:r>
      <w:bookmarkStart w:id="2" w:name="_Hlk167875671"/>
      <w:r w:rsidR="006F0006" w:rsidRPr="00D560F0">
        <w:t xml:space="preserve">This can be </w:t>
      </w:r>
      <w:r w:rsidR="00477175" w:rsidRPr="00D560F0">
        <w:t>through</w:t>
      </w:r>
      <w:r w:rsidR="006F0006" w:rsidRPr="00D560F0">
        <w:t xml:space="preserve"> increasing E</w:t>
      </w:r>
      <w:r w:rsidR="005E11C6" w:rsidRPr="00D560F0">
        <w:t>F</w:t>
      </w:r>
      <w:r w:rsidR="006F0006" w:rsidRPr="00D560F0">
        <w:t>T to get closer to ITF</w:t>
      </w:r>
      <w:r w:rsidR="00477175" w:rsidRPr="00D560F0">
        <w:t xml:space="preserve"> </w:t>
      </w:r>
      <w:r w:rsidR="006F0006" w:rsidRPr="00D560F0">
        <w:t xml:space="preserve">by </w:t>
      </w:r>
      <w:r w:rsidR="006D1D68" w:rsidRPr="00D560F0">
        <w:t xml:space="preserve">pursuing </w:t>
      </w:r>
      <w:r w:rsidR="006F0006" w:rsidRPr="00D560F0">
        <w:t xml:space="preserve">alternative positions </w:t>
      </w:r>
      <w:r w:rsidR="006D1D68" w:rsidRPr="00D560F0">
        <w:t>with the current employer</w:t>
      </w:r>
      <w:r w:rsidR="006F0006" w:rsidRPr="00D560F0">
        <w:t xml:space="preserve"> </w:t>
      </w:r>
      <w:r w:rsidR="00897637" w:rsidRPr="00D560F0">
        <w:t>(</w:t>
      </w:r>
      <w:r w:rsidR="006F0006" w:rsidRPr="00D560F0">
        <w:t>even if at the expense of a pay cut</w:t>
      </w:r>
      <w:r w:rsidR="00897637" w:rsidRPr="00D560F0">
        <w:t>),</w:t>
      </w:r>
      <w:r w:rsidR="006F0006" w:rsidRPr="00D560F0">
        <w:t xml:space="preserve"> or </w:t>
      </w:r>
      <w:r w:rsidR="005E11C6" w:rsidRPr="00D560F0">
        <w:t>“</w:t>
      </w:r>
      <w:proofErr w:type="gramStart"/>
      <w:r w:rsidR="005E11C6" w:rsidRPr="00D560F0">
        <w:t>Quiet</w:t>
      </w:r>
      <w:proofErr w:type="gramEnd"/>
      <w:r w:rsidR="005E11C6" w:rsidRPr="00D560F0">
        <w:t xml:space="preserve"> Quit” by </w:t>
      </w:r>
      <w:r w:rsidR="00AC5923" w:rsidRPr="00AC5923">
        <w:t>disengaging from their job and gradually withdrawing without formally resigning or informing their employer</w:t>
      </w:r>
      <w:r w:rsidR="00AC5923">
        <w:t xml:space="preserve">, or even “Loud Quit” by </w:t>
      </w:r>
      <w:r w:rsidR="006F0006" w:rsidRPr="00D560F0">
        <w:t>leaving the company to seek jobs elsewhere</w:t>
      </w:r>
      <w:r w:rsidR="00BD45F5" w:rsidRPr="00D560F0">
        <w:t xml:space="preserve"> that allow </w:t>
      </w:r>
      <w:r w:rsidR="005E11C6" w:rsidRPr="00D560F0">
        <w:t xml:space="preserve">more </w:t>
      </w:r>
      <w:r w:rsidR="00BD45F5" w:rsidRPr="00D560F0">
        <w:t>telework</w:t>
      </w:r>
      <w:r w:rsidR="006F0006" w:rsidRPr="00D560F0">
        <w:t xml:space="preserve"> or dropping out </w:t>
      </w:r>
      <w:r w:rsidR="00897637" w:rsidRPr="00D560F0">
        <w:t xml:space="preserve">entirely </w:t>
      </w:r>
      <w:r w:rsidR="006F0006" w:rsidRPr="00D560F0">
        <w:t xml:space="preserve">from the labor force </w:t>
      </w:r>
      <w:r w:rsidR="00477175" w:rsidRPr="00D560F0">
        <w:t>(Dowling et al., 2022</w:t>
      </w:r>
      <w:r w:rsidR="00AC5923">
        <w:t>; Kelly, 2023</w:t>
      </w:r>
      <w:r w:rsidR="00477175" w:rsidRPr="00D560F0">
        <w:t xml:space="preserve">). </w:t>
      </w:r>
      <w:bookmarkEnd w:id="2"/>
      <w:r w:rsidRPr="00D560F0">
        <w:t xml:space="preserve">Alternatively, employees may reduce </w:t>
      </w:r>
      <w:r w:rsidR="00DD3E2B" w:rsidRPr="00D560F0">
        <w:t xml:space="preserve">the TFD-caused stress </w:t>
      </w:r>
      <w:r w:rsidRPr="00D560F0">
        <w:t xml:space="preserve">by modifying (decreasing) ITF to bring it closer to ETF, for example, by convincing oneself that the ITF is simply not appropriate for the job, and one must be more reasonable in the ITF expectation, or moving closer to the office that can then reduce ITF to match more closely to the ETF (see Asmussen et al., </w:t>
      </w:r>
      <w:r w:rsidR="00620BD0">
        <w:t>2024a</w:t>
      </w:r>
      <w:r w:rsidRPr="00D560F0">
        <w:t xml:space="preserve">). </w:t>
      </w:r>
      <w:r w:rsidR="00774094" w:rsidRPr="00D560F0">
        <w:t>An</w:t>
      </w:r>
      <w:r w:rsidR="00336E8D" w:rsidRPr="00D560F0">
        <w:t xml:space="preserve"> </w:t>
      </w:r>
      <w:r w:rsidR="00774094" w:rsidRPr="00D560F0">
        <w:t xml:space="preserve">extreme </w:t>
      </w:r>
      <w:r w:rsidR="00336E8D" w:rsidRPr="00D560F0">
        <w:t xml:space="preserve">situation </w:t>
      </w:r>
      <w:r w:rsidR="00774094" w:rsidRPr="00D560F0">
        <w:t xml:space="preserve">of dissonance </w:t>
      </w:r>
      <w:r w:rsidR="00336E8D" w:rsidRPr="00D560F0">
        <w:t>is illustrated in Figure 1</w:t>
      </w:r>
      <w:r w:rsidR="005D2289" w:rsidRPr="00D560F0">
        <w:t>, where the employee would like to work full time from home, while the employer requires employe</w:t>
      </w:r>
      <w:r w:rsidR="007210E0" w:rsidRPr="00D560F0">
        <w:t xml:space="preserve">e </w:t>
      </w:r>
      <w:r w:rsidR="005D2289" w:rsidRPr="00D560F0">
        <w:t>to be at the work office every work day</w:t>
      </w:r>
      <w:r w:rsidR="00336E8D" w:rsidRPr="003329B4">
        <w:t xml:space="preserve">. </w:t>
      </w:r>
      <w:r>
        <w:t>As depicted, t</w:t>
      </w:r>
      <w:r w:rsidR="005D2289" w:rsidRPr="003329B4">
        <w:t xml:space="preserve">he resulting dissonance leads </w:t>
      </w:r>
      <w:r w:rsidR="00422EB8" w:rsidRPr="003329B4">
        <w:t>the</w:t>
      </w:r>
      <w:r w:rsidR="005D2289" w:rsidRPr="003329B4">
        <w:t xml:space="preserve"> individual </w:t>
      </w:r>
      <w:r w:rsidR="00422EB8" w:rsidRPr="003329B4">
        <w:t>to leave</w:t>
      </w:r>
      <w:r w:rsidR="005D2289" w:rsidRPr="003329B4">
        <w:t xml:space="preserve"> the current employer for another firm. </w:t>
      </w:r>
      <w:r w:rsidR="00FC281B" w:rsidRPr="003329B4">
        <w:t>As already indicated, some employees may also want to come in</w:t>
      </w:r>
      <w:r w:rsidR="00477175" w:rsidRPr="003329B4">
        <w:t>to the office</w:t>
      </w:r>
      <w:r w:rsidR="00FC281B" w:rsidRPr="003329B4">
        <w:t xml:space="preserve"> more often than possible (that is, ETF&gt;ITF)</w:t>
      </w:r>
      <w:r w:rsidR="0040780C" w:rsidRPr="003329B4">
        <w:t xml:space="preserve">, </w:t>
      </w:r>
      <w:r w:rsidR="00FC281B" w:rsidRPr="003329B4">
        <w:t xml:space="preserve">but </w:t>
      </w:r>
      <w:r w:rsidR="009976CE" w:rsidRPr="003329B4">
        <w:t>we expect the segment of employe</w:t>
      </w:r>
      <w:r w:rsidR="009976CE" w:rsidRPr="00F01655">
        <w:t xml:space="preserve">es falling in this category to be very small (as we will also note later in our study). </w:t>
      </w:r>
    </w:p>
    <w:bookmarkEnd w:id="1"/>
    <w:p w14:paraId="028DFE4E" w14:textId="77777777" w:rsidR="006E1036" w:rsidRDefault="006E1036" w:rsidP="00B05404">
      <w:pPr>
        <w:jc w:val="center"/>
      </w:pPr>
    </w:p>
    <w:p w14:paraId="5B79878A" w14:textId="463F3982" w:rsidR="00B73C21" w:rsidRPr="00F01655" w:rsidRDefault="00211036" w:rsidP="00B05404">
      <w:pPr>
        <w:jc w:val="center"/>
      </w:pPr>
      <w:r w:rsidRPr="00F01655">
        <w:rPr>
          <w:noProof/>
        </w:rPr>
        <w:lastRenderedPageBreak/>
        <w:drawing>
          <wp:inline distT="0" distB="0" distL="0" distR="0" wp14:anchorId="315E2B57" wp14:editId="440E2E00">
            <wp:extent cx="5469467" cy="3073400"/>
            <wp:effectExtent l="0" t="0" r="4445" b="0"/>
            <wp:docPr id="800282938" name="Picture 1"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82938" name="Picture 1" descr="A picture containing text, screenshot, font, line&#10;&#10;Description automatically generated"/>
                    <pic:cNvPicPr/>
                  </pic:nvPicPr>
                  <pic:blipFill rotWithShape="1">
                    <a:blip r:embed="rId15" cstate="print">
                      <a:extLst>
                        <a:ext uri="{28A0092B-C50C-407E-A947-70E740481C1C}">
                          <a14:useLocalDpi xmlns:a14="http://schemas.microsoft.com/office/drawing/2010/main" val="0"/>
                        </a:ext>
                      </a:extLst>
                    </a:blip>
                    <a:srcRect l="5840" t="3846" r="2137" b="3096"/>
                    <a:stretch/>
                  </pic:blipFill>
                  <pic:spPr bwMode="auto">
                    <a:xfrm>
                      <a:off x="0" y="0"/>
                      <a:ext cx="5469467" cy="3073400"/>
                    </a:xfrm>
                    <a:prstGeom prst="rect">
                      <a:avLst/>
                    </a:prstGeom>
                    <a:ln>
                      <a:noFill/>
                    </a:ln>
                    <a:extLst>
                      <a:ext uri="{53640926-AAD7-44D8-BBD7-CCE9431645EC}">
                        <a14:shadowObscured xmlns:a14="http://schemas.microsoft.com/office/drawing/2010/main"/>
                      </a:ext>
                    </a:extLst>
                  </pic:spPr>
                </pic:pic>
              </a:graphicData>
            </a:graphic>
          </wp:inline>
        </w:drawing>
      </w:r>
    </w:p>
    <w:p w14:paraId="18858584" w14:textId="6B6FA67D" w:rsidR="00B73C21" w:rsidRPr="00F01655" w:rsidRDefault="00B73C21" w:rsidP="00B73C21">
      <w:pPr>
        <w:spacing w:after="240"/>
        <w:ind w:firstLine="720"/>
        <w:jc w:val="both"/>
        <w:rPr>
          <w:b/>
          <w:bCs/>
          <w:color w:val="000000" w:themeColor="text1"/>
        </w:rPr>
      </w:pPr>
      <w:bookmarkStart w:id="3" w:name="_Ref125291074"/>
      <w:r w:rsidRPr="00F01655">
        <w:rPr>
          <w:b/>
          <w:bCs/>
          <w:color w:val="000000" w:themeColor="text1"/>
        </w:rPr>
        <w:t xml:space="preserve">Figure </w:t>
      </w:r>
      <w:r w:rsidRPr="00F01655">
        <w:rPr>
          <w:b/>
          <w:bCs/>
          <w:i/>
          <w:iCs/>
          <w:color w:val="000000" w:themeColor="text1"/>
        </w:rPr>
        <w:fldChar w:fldCharType="begin"/>
      </w:r>
      <w:r w:rsidRPr="00F01655">
        <w:rPr>
          <w:b/>
          <w:bCs/>
          <w:color w:val="000000" w:themeColor="text1"/>
        </w:rPr>
        <w:instrText xml:space="preserve"> SEQ Figure \* ARABIC </w:instrText>
      </w:r>
      <w:r w:rsidRPr="00F01655">
        <w:rPr>
          <w:b/>
          <w:bCs/>
          <w:i/>
          <w:iCs/>
          <w:color w:val="000000" w:themeColor="text1"/>
        </w:rPr>
        <w:fldChar w:fldCharType="separate"/>
      </w:r>
      <w:r w:rsidR="00FE0A45">
        <w:rPr>
          <w:b/>
          <w:bCs/>
          <w:noProof/>
          <w:color w:val="000000" w:themeColor="text1"/>
        </w:rPr>
        <w:t>1</w:t>
      </w:r>
      <w:r w:rsidRPr="00F01655">
        <w:rPr>
          <w:b/>
          <w:bCs/>
          <w:i/>
          <w:iCs/>
          <w:color w:val="000000" w:themeColor="text1"/>
        </w:rPr>
        <w:fldChar w:fldCharType="end"/>
      </w:r>
      <w:bookmarkEnd w:id="3"/>
      <w:r w:rsidRPr="00F01655">
        <w:rPr>
          <w:b/>
          <w:bCs/>
          <w:color w:val="000000" w:themeColor="text1"/>
        </w:rPr>
        <w:t xml:space="preserve">. Example of </w:t>
      </w:r>
      <w:r w:rsidR="005D2289" w:rsidRPr="00F01655">
        <w:rPr>
          <w:b/>
          <w:bCs/>
          <w:color w:val="000000" w:themeColor="text1"/>
        </w:rPr>
        <w:t xml:space="preserve">an Extreme </w:t>
      </w:r>
      <w:r w:rsidR="002047B8">
        <w:rPr>
          <w:b/>
          <w:bCs/>
          <w:color w:val="000000" w:themeColor="text1"/>
        </w:rPr>
        <w:t>Result</w:t>
      </w:r>
      <w:r w:rsidR="005D2289" w:rsidRPr="00F01655">
        <w:rPr>
          <w:b/>
          <w:bCs/>
          <w:color w:val="000000" w:themeColor="text1"/>
        </w:rPr>
        <w:t xml:space="preserve"> of </w:t>
      </w:r>
      <w:r w:rsidR="00336E8D" w:rsidRPr="00F01655">
        <w:rPr>
          <w:b/>
          <w:bCs/>
          <w:color w:val="000000" w:themeColor="text1"/>
        </w:rPr>
        <w:t xml:space="preserve">Telework </w:t>
      </w:r>
      <w:r w:rsidR="005D2289" w:rsidRPr="00F01655">
        <w:rPr>
          <w:b/>
          <w:bCs/>
          <w:color w:val="000000" w:themeColor="text1"/>
        </w:rPr>
        <w:t xml:space="preserve">Frequency </w:t>
      </w:r>
      <w:r w:rsidRPr="00F01655">
        <w:rPr>
          <w:b/>
          <w:bCs/>
          <w:color w:val="000000" w:themeColor="text1"/>
        </w:rPr>
        <w:t>Dissonance</w:t>
      </w:r>
      <w:r w:rsidR="005D2289" w:rsidRPr="00F01655">
        <w:rPr>
          <w:b/>
          <w:bCs/>
          <w:color w:val="000000" w:themeColor="text1"/>
        </w:rPr>
        <w:t xml:space="preserve"> (TFD)</w:t>
      </w:r>
      <w:r w:rsidR="00DF7087">
        <w:rPr>
          <w:rStyle w:val="FootnoteReference"/>
          <w:b/>
          <w:bCs/>
          <w:color w:val="000000" w:themeColor="text1"/>
        </w:rPr>
        <w:footnoteReference w:id="3"/>
      </w:r>
    </w:p>
    <w:p w14:paraId="5E44317A" w14:textId="56D649D4" w:rsidR="00232689" w:rsidRPr="003329B4" w:rsidRDefault="00082700" w:rsidP="00971968">
      <w:pPr>
        <w:ind w:firstLine="720"/>
        <w:jc w:val="both"/>
      </w:pPr>
      <w:r w:rsidRPr="00F01655">
        <w:t xml:space="preserve">In this paper, we take a deep dive into the issue of TFD. </w:t>
      </w:r>
      <w:r w:rsidR="00232689" w:rsidRPr="00F01655">
        <w:t xml:space="preserve">The data for our study is gathered through the </w:t>
      </w:r>
      <w:r w:rsidR="00232689" w:rsidRPr="00F01655">
        <w:rPr>
          <w:rFonts w:ascii="TimesNewRomanPSMT" w:hAnsi="TimesNewRomanPSMT"/>
        </w:rPr>
        <w:t xml:space="preserve">COVID </w:t>
      </w:r>
      <w:r w:rsidR="00232689" w:rsidRPr="003329B4">
        <w:rPr>
          <w:rFonts w:ascii="TimesNewRomanPSMT" w:hAnsi="TimesNewRomanPSMT"/>
        </w:rPr>
        <w:t>Future Panel Survey</w:t>
      </w:r>
      <w:r w:rsidRPr="003329B4">
        <w:rPr>
          <w:rFonts w:ascii="TimesNewRomanPSMT" w:hAnsi="TimesNewRomanPSMT"/>
        </w:rPr>
        <w:t xml:space="preserve"> </w:t>
      </w:r>
      <w:r w:rsidR="00582680" w:rsidRPr="003329B4">
        <w:rPr>
          <w:rFonts w:ascii="TimesNewRomanPSMT" w:hAnsi="TimesNewRomanPSMT"/>
        </w:rPr>
        <w:t xml:space="preserve">Wave 3, which was </w:t>
      </w:r>
      <w:r w:rsidR="00232689" w:rsidRPr="003329B4">
        <w:rPr>
          <w:rFonts w:ascii="TimesNewRomanPSMT" w:hAnsi="TimesNewRomanPSMT"/>
        </w:rPr>
        <w:t xml:space="preserve">deployed across the United States in </w:t>
      </w:r>
      <w:r w:rsidR="00502837" w:rsidRPr="003329B4">
        <w:rPr>
          <w:rFonts w:ascii="TimesNewRomanPSMT" w:hAnsi="TimesNewRomanPSMT"/>
        </w:rPr>
        <w:t>October</w:t>
      </w:r>
      <w:r w:rsidR="00582680" w:rsidRPr="003329B4">
        <w:rPr>
          <w:rFonts w:ascii="TimesNewRomanPSMT" w:hAnsi="TimesNewRomanPSMT"/>
        </w:rPr>
        <w:t xml:space="preserve">-November </w:t>
      </w:r>
      <w:r w:rsidR="00502837" w:rsidRPr="003329B4">
        <w:rPr>
          <w:rFonts w:ascii="TimesNewRomanPSMT" w:hAnsi="TimesNewRomanPSMT"/>
        </w:rPr>
        <w:t>2021</w:t>
      </w:r>
      <w:r w:rsidR="00582680" w:rsidRPr="003329B4">
        <w:rPr>
          <w:rFonts w:ascii="TimesNewRomanPSMT" w:hAnsi="TimesNewRomanPSMT"/>
        </w:rPr>
        <w:t xml:space="preserve"> </w:t>
      </w:r>
      <w:r w:rsidR="00232689" w:rsidRPr="003329B4">
        <w:rPr>
          <w:rFonts w:ascii="TimesNewRomanPSMT" w:hAnsi="TimesNewRomanPSMT"/>
        </w:rPr>
        <w:t>(Salon et al., 2022)</w:t>
      </w:r>
      <w:r w:rsidR="00232689" w:rsidRPr="003329B4">
        <w:t>. The</w:t>
      </w:r>
      <w:r w:rsidR="004E517A" w:rsidRPr="003329B4">
        <w:t xml:space="preserve"> survey data</w:t>
      </w:r>
      <w:r w:rsidR="00232689" w:rsidRPr="003329B4">
        <w:t xml:space="preserve"> includes information on </w:t>
      </w:r>
      <w:r w:rsidR="0083519F" w:rsidRPr="003329B4">
        <w:t xml:space="preserve">ETF and ITF. </w:t>
      </w:r>
      <w:r w:rsidR="00232689" w:rsidRPr="003329B4">
        <w:t>Both these dimensions are collected in six ordinal telework categories in the survey</w:t>
      </w:r>
      <w:r w:rsidR="00451213" w:rsidRPr="003329B4">
        <w:t>.</w:t>
      </w:r>
      <w:r w:rsidR="00232689" w:rsidRPr="003329B4">
        <w:t xml:space="preserve"> These two dimensions are modeled jointly in a bivariate ordered-response </w:t>
      </w:r>
      <w:proofErr w:type="spellStart"/>
      <w:r w:rsidR="00582680" w:rsidRPr="003329B4">
        <w:t>probit</w:t>
      </w:r>
      <w:proofErr w:type="spellEnd"/>
      <w:r w:rsidR="00582680" w:rsidRPr="003329B4">
        <w:t xml:space="preserve"> (BORP) </w:t>
      </w:r>
      <w:r w:rsidR="00232689" w:rsidRPr="003329B4">
        <w:t xml:space="preserve">system to recognize that </w:t>
      </w:r>
      <w:r w:rsidR="00582680" w:rsidRPr="003329B4">
        <w:t xml:space="preserve">unobserved </w:t>
      </w:r>
      <w:r w:rsidR="00232689" w:rsidRPr="003329B4">
        <w:t>individual</w:t>
      </w:r>
      <w:r w:rsidR="00582680" w:rsidRPr="003329B4">
        <w:t xml:space="preserve"> factors that </w:t>
      </w:r>
      <w:r w:rsidR="0083519F" w:rsidRPr="003329B4">
        <w:t xml:space="preserve">elevate ETF </w:t>
      </w:r>
      <w:r w:rsidR="00232689" w:rsidRPr="003329B4">
        <w:t xml:space="preserve">may also </w:t>
      </w:r>
      <w:r w:rsidR="00582680" w:rsidRPr="003329B4">
        <w:t xml:space="preserve">lead to the individual planning to </w:t>
      </w:r>
      <w:r w:rsidR="00232689" w:rsidRPr="003329B4">
        <w:t>telework more in their ideal choice situatio</w:t>
      </w:r>
      <w:r w:rsidR="00582680" w:rsidRPr="003329B4">
        <w:t>n</w:t>
      </w:r>
      <w:r w:rsidR="00232689" w:rsidRPr="003329B4">
        <w:t xml:space="preserve">. </w:t>
      </w:r>
      <w:r w:rsidR="00232689" w:rsidRPr="003329B4">
        <w:rPr>
          <w:color w:val="000000"/>
        </w:rPr>
        <w:t xml:space="preserve">A novel </w:t>
      </w:r>
      <w:r w:rsidR="00582680" w:rsidRPr="003329B4">
        <w:rPr>
          <w:color w:val="000000"/>
        </w:rPr>
        <w:t xml:space="preserve">and elegant heterogeneous thresholding </w:t>
      </w:r>
      <w:r w:rsidR="00232689" w:rsidRPr="003329B4">
        <w:rPr>
          <w:color w:val="000000"/>
        </w:rPr>
        <w:t>mechanism</w:t>
      </w:r>
      <w:r w:rsidR="00582680" w:rsidRPr="003329B4">
        <w:rPr>
          <w:color w:val="000000"/>
        </w:rPr>
        <w:t>, which we have not seen proposed</w:t>
      </w:r>
      <w:r w:rsidR="00CF4D82" w:rsidRPr="003329B4">
        <w:rPr>
          <w:color w:val="000000"/>
        </w:rPr>
        <w:t xml:space="preserve"> </w:t>
      </w:r>
      <w:r w:rsidR="00582680" w:rsidRPr="003329B4">
        <w:rPr>
          <w:color w:val="000000"/>
        </w:rPr>
        <w:t xml:space="preserve">in the econometric literature, </w:t>
      </w:r>
      <w:r w:rsidR="00232689" w:rsidRPr="003329B4">
        <w:rPr>
          <w:color w:val="000000"/>
        </w:rPr>
        <w:t xml:space="preserve">is </w:t>
      </w:r>
      <w:r w:rsidR="00CF4D82" w:rsidRPr="003329B4">
        <w:rPr>
          <w:color w:val="000000"/>
        </w:rPr>
        <w:t>employed</w:t>
      </w:r>
      <w:r w:rsidR="00232689" w:rsidRPr="003329B4">
        <w:rPr>
          <w:color w:val="000000"/>
        </w:rPr>
        <w:t xml:space="preserve"> </w:t>
      </w:r>
      <w:r w:rsidR="00582680" w:rsidRPr="003329B4">
        <w:rPr>
          <w:color w:val="000000"/>
        </w:rPr>
        <w:t xml:space="preserve">within the context of the BORP system to </w:t>
      </w:r>
      <w:r w:rsidR="0072333B" w:rsidRPr="003329B4">
        <w:rPr>
          <w:color w:val="000000"/>
        </w:rPr>
        <w:t xml:space="preserve">(a) </w:t>
      </w:r>
      <w:r w:rsidR="00582680" w:rsidRPr="003329B4">
        <w:rPr>
          <w:color w:val="000000"/>
        </w:rPr>
        <w:t xml:space="preserve">recognize that many individuals may in fact be in consonance (ITF=ETF), and </w:t>
      </w:r>
      <w:r w:rsidR="0072333B" w:rsidRPr="003329B4">
        <w:rPr>
          <w:color w:val="000000"/>
        </w:rPr>
        <w:t xml:space="preserve">(b) </w:t>
      </w:r>
      <w:r w:rsidR="00582680" w:rsidRPr="003329B4">
        <w:rPr>
          <w:color w:val="000000"/>
        </w:rPr>
        <w:t>identify</w:t>
      </w:r>
      <w:r w:rsidR="00C137C5" w:rsidRPr="003329B4">
        <w:rPr>
          <w:color w:val="000000"/>
        </w:rPr>
        <w:t xml:space="preserve"> </w:t>
      </w:r>
      <w:r w:rsidR="00582680" w:rsidRPr="003329B4">
        <w:rPr>
          <w:color w:val="000000"/>
        </w:rPr>
        <w:t xml:space="preserve">who such individuals are likely to be and </w:t>
      </w:r>
      <w:r w:rsidR="00C137C5" w:rsidRPr="003329B4">
        <w:rPr>
          <w:color w:val="000000"/>
        </w:rPr>
        <w:t xml:space="preserve">the </w:t>
      </w:r>
      <w:r w:rsidR="00582680" w:rsidRPr="003329B4">
        <w:rPr>
          <w:color w:val="000000"/>
        </w:rPr>
        <w:t>teleworking frequency</w:t>
      </w:r>
      <w:r w:rsidR="00C137C5" w:rsidRPr="003329B4">
        <w:rPr>
          <w:color w:val="000000"/>
        </w:rPr>
        <w:t xml:space="preserve"> level at which their consonance exists</w:t>
      </w:r>
      <w:r w:rsidR="00582680" w:rsidRPr="003329B4">
        <w:rPr>
          <w:color w:val="000000"/>
        </w:rPr>
        <w:t xml:space="preserve">. </w:t>
      </w:r>
      <w:r w:rsidR="00232689" w:rsidRPr="003329B4">
        <w:rPr>
          <w:color w:val="000000"/>
        </w:rPr>
        <w:t>The findings from this study provide important insights regarding how best to balance employee and employer preferences to improve overall workplace and life satisfaction. Additionally, this study contribute</w:t>
      </w:r>
      <w:r w:rsidR="00C137C5" w:rsidRPr="003329B4">
        <w:rPr>
          <w:color w:val="000000"/>
        </w:rPr>
        <w:t>s</w:t>
      </w:r>
      <w:r w:rsidR="00232689" w:rsidRPr="003329B4">
        <w:rPr>
          <w:color w:val="000000"/>
        </w:rPr>
        <w:t xml:space="preserve"> to future transportation and land-use </w:t>
      </w:r>
      <w:r w:rsidR="004E517A" w:rsidRPr="003329B4">
        <w:rPr>
          <w:color w:val="000000"/>
        </w:rPr>
        <w:t>modeling that needs to explicitly account for remote work preferences and arrangements</w:t>
      </w:r>
      <w:r w:rsidR="00232689" w:rsidRPr="003329B4">
        <w:rPr>
          <w:color w:val="000000"/>
        </w:rPr>
        <w:t>.</w:t>
      </w:r>
      <w:r w:rsidR="009452A7">
        <w:rPr>
          <w:color w:val="000000"/>
        </w:rPr>
        <w:t xml:space="preserve"> </w:t>
      </w:r>
    </w:p>
    <w:p w14:paraId="792B081B" w14:textId="570E8EDE" w:rsidR="00232689" w:rsidRPr="003329B4" w:rsidRDefault="00232689" w:rsidP="00971968">
      <w:pPr>
        <w:ind w:firstLine="720"/>
        <w:jc w:val="both"/>
        <w:rPr>
          <w:color w:val="000000"/>
        </w:rPr>
      </w:pPr>
      <w:r w:rsidRPr="003329B4">
        <w:rPr>
          <w:color w:val="000000"/>
        </w:rPr>
        <w:t>The rest of the paper is organized as follows. Section 2 provides a brief overview of previous literature that is relevant to understanding workplace location dissonance. Section 3 describes the survey data, sample description statistics, and the analytic framework. Section 4 presents the model estimation results and goodness of fit measures. Section 5 discusses policy implication</w:t>
      </w:r>
      <w:r w:rsidR="001C3743" w:rsidRPr="003329B4">
        <w:rPr>
          <w:color w:val="000000"/>
        </w:rPr>
        <w:t>s</w:t>
      </w:r>
      <w:r w:rsidRPr="003329B4">
        <w:rPr>
          <w:color w:val="000000"/>
        </w:rPr>
        <w:t xml:space="preserve">. Finally, Section 6 concludes the paper with a summary description and future research </w:t>
      </w:r>
      <w:r w:rsidR="001C3743" w:rsidRPr="003329B4">
        <w:rPr>
          <w:color w:val="000000"/>
        </w:rPr>
        <w:t>directions</w:t>
      </w:r>
      <w:r w:rsidRPr="003329B4">
        <w:rPr>
          <w:color w:val="000000"/>
        </w:rPr>
        <w:t>.</w:t>
      </w:r>
    </w:p>
    <w:p w14:paraId="35CE0F26" w14:textId="77777777" w:rsidR="009028CC" w:rsidRPr="003329B4" w:rsidRDefault="009028CC" w:rsidP="00971968">
      <w:pPr>
        <w:ind w:firstLine="720"/>
        <w:jc w:val="both"/>
        <w:rPr>
          <w:color w:val="000000"/>
        </w:rPr>
      </w:pPr>
    </w:p>
    <w:p w14:paraId="594A56BB" w14:textId="457B6EA8" w:rsidR="00232689" w:rsidRPr="003329B4" w:rsidRDefault="00232689" w:rsidP="0041433B">
      <w:pPr>
        <w:pStyle w:val="Heading1"/>
        <w:numPr>
          <w:ilvl w:val="0"/>
          <w:numId w:val="1"/>
        </w:numPr>
        <w:tabs>
          <w:tab w:val="num" w:pos="360"/>
        </w:tabs>
        <w:spacing w:before="0"/>
        <w:ind w:left="0" w:firstLine="0"/>
        <w:rPr>
          <w:rFonts w:ascii="Times New Roman" w:hAnsi="Times New Roman" w:cs="Times New Roman"/>
          <w:b/>
          <w:bCs/>
          <w:color w:val="000000" w:themeColor="text1"/>
          <w:sz w:val="24"/>
          <w:szCs w:val="24"/>
        </w:rPr>
      </w:pPr>
      <w:r w:rsidRPr="003329B4">
        <w:rPr>
          <w:rFonts w:ascii="Times New Roman" w:hAnsi="Times New Roman" w:cs="Times New Roman"/>
          <w:b/>
          <w:bCs/>
          <w:color w:val="000000" w:themeColor="text1"/>
          <w:sz w:val="24"/>
          <w:szCs w:val="24"/>
        </w:rPr>
        <w:lastRenderedPageBreak/>
        <w:t>LITERATURE</w:t>
      </w:r>
      <w:r w:rsidR="00236977" w:rsidRPr="003329B4">
        <w:rPr>
          <w:rFonts w:ascii="Times New Roman" w:hAnsi="Times New Roman" w:cs="Times New Roman"/>
          <w:b/>
          <w:bCs/>
          <w:color w:val="000000" w:themeColor="text1"/>
          <w:sz w:val="24"/>
          <w:szCs w:val="24"/>
        </w:rPr>
        <w:t xml:space="preserve"> OVERVIEW</w:t>
      </w:r>
    </w:p>
    <w:p w14:paraId="6858F445" w14:textId="7BC9963B" w:rsidR="00DF2CBE" w:rsidRPr="003329B4" w:rsidRDefault="00B5768E" w:rsidP="003329B4">
      <w:pPr>
        <w:jc w:val="both"/>
      </w:pPr>
      <w:r w:rsidRPr="003329B4">
        <w:t xml:space="preserve">The literature on ETF, </w:t>
      </w:r>
      <w:r w:rsidR="00DF2CBE" w:rsidRPr="003329B4">
        <w:t>investigated</w:t>
      </w:r>
      <w:r w:rsidRPr="003329B4">
        <w:t xml:space="preserve"> based on revealed preference </w:t>
      </w:r>
      <w:r w:rsidR="00DF2CBE" w:rsidRPr="003329B4">
        <w:t xml:space="preserve">survey </w:t>
      </w:r>
      <w:r w:rsidRPr="003329B4">
        <w:t xml:space="preserve">data, and the literature on ITF, </w:t>
      </w:r>
      <w:r w:rsidR="00DF2CBE" w:rsidRPr="003329B4">
        <w:t xml:space="preserve">examined </w:t>
      </w:r>
      <w:r w:rsidRPr="003329B4">
        <w:t>based on stated preference</w:t>
      </w:r>
      <w:r w:rsidR="008C6985" w:rsidRPr="003329B4">
        <w:t>/intention</w:t>
      </w:r>
      <w:r w:rsidRPr="003329B4">
        <w:t xml:space="preserve"> </w:t>
      </w:r>
      <w:r w:rsidR="00DF2CBE" w:rsidRPr="003329B4">
        <w:t xml:space="preserve">survey </w:t>
      </w:r>
      <w:r w:rsidRPr="003329B4">
        <w:t>data, has a long history that</w:t>
      </w:r>
      <w:r w:rsidR="00C72C91" w:rsidRPr="003329B4">
        <w:t xml:space="preserve"> can be categorized in terms of time of </w:t>
      </w:r>
      <w:r w:rsidRPr="003329B4">
        <w:t>survey</w:t>
      </w:r>
      <w:r w:rsidR="00DF2CBE" w:rsidRPr="003329B4">
        <w:t xml:space="preserve"> administration </w:t>
      </w:r>
      <w:r w:rsidR="00C72C91" w:rsidRPr="003329B4">
        <w:t xml:space="preserve">into four distinct periods: (i) </w:t>
      </w:r>
      <w:r w:rsidR="00C72C91" w:rsidRPr="003329B4">
        <w:rPr>
          <w:i/>
        </w:rPr>
        <w:t xml:space="preserve">Before </w:t>
      </w:r>
      <w:r w:rsidR="00C72C91" w:rsidRPr="003329B4">
        <w:t xml:space="preserve">COVID, (ii) </w:t>
      </w:r>
      <w:r w:rsidR="00C72C91" w:rsidRPr="003329B4">
        <w:rPr>
          <w:i/>
        </w:rPr>
        <w:t xml:space="preserve">During </w:t>
      </w:r>
      <w:r w:rsidR="00C72C91" w:rsidRPr="003329B4">
        <w:t xml:space="preserve">COVID, </w:t>
      </w:r>
      <w:r w:rsidRPr="003329B4">
        <w:t xml:space="preserve">and </w:t>
      </w:r>
      <w:r w:rsidR="00C72C91" w:rsidRPr="003329B4">
        <w:t xml:space="preserve">(iii) </w:t>
      </w:r>
      <w:r w:rsidRPr="003329B4">
        <w:rPr>
          <w:i/>
        </w:rPr>
        <w:t xml:space="preserve">Post </w:t>
      </w:r>
      <w:r w:rsidRPr="003329B4">
        <w:t xml:space="preserve">COVID. </w:t>
      </w:r>
      <w:r w:rsidR="00C72C91" w:rsidRPr="003329B4">
        <w:t xml:space="preserve">However, </w:t>
      </w:r>
      <w:r w:rsidR="00DF2CBE" w:rsidRPr="003329B4">
        <w:t xml:space="preserve">given </w:t>
      </w:r>
      <w:r w:rsidR="00C72C91" w:rsidRPr="003329B4">
        <w:t xml:space="preserve">the </w:t>
      </w:r>
      <w:r w:rsidR="00A85DC2" w:rsidRPr="003329B4">
        <w:t xml:space="preserve">objective </w:t>
      </w:r>
      <w:r w:rsidR="00C72C91" w:rsidRPr="003329B4">
        <w:t>of the current study,</w:t>
      </w:r>
      <w:r w:rsidR="00A85DC2" w:rsidRPr="003329B4">
        <w:t xml:space="preserve"> and the substantially COVID-altered work landscape,</w:t>
      </w:r>
      <w:r w:rsidR="00C72C91" w:rsidRPr="003329B4">
        <w:t xml:space="preserve"> our literature review will focus on the </w:t>
      </w:r>
      <w:r w:rsidRPr="003329B4">
        <w:rPr>
          <w:i/>
        </w:rPr>
        <w:t>Post</w:t>
      </w:r>
      <w:r w:rsidRPr="003329B4">
        <w:t xml:space="preserve"> COVID period. Good reviews of studies examining ITF and ETF in the Before COVID and During COVID periods are available in </w:t>
      </w:r>
      <w:bookmarkStart w:id="4" w:name="_Hlk167870597"/>
      <w:r w:rsidR="00DF2CBE" w:rsidRPr="003329B4">
        <w:t xml:space="preserve">Singh et al. (2013), </w:t>
      </w:r>
      <w:proofErr w:type="spellStart"/>
      <w:r w:rsidR="00DF2CBE" w:rsidRPr="003329B4">
        <w:rPr>
          <w:color w:val="000000" w:themeColor="text1"/>
        </w:rPr>
        <w:t>Shabanpour</w:t>
      </w:r>
      <w:proofErr w:type="spellEnd"/>
      <w:r w:rsidR="00DF2CBE" w:rsidRPr="003329B4">
        <w:rPr>
          <w:color w:val="000000" w:themeColor="text1"/>
        </w:rPr>
        <w:t xml:space="preserve"> et al. (2018), </w:t>
      </w:r>
      <w:proofErr w:type="spellStart"/>
      <w:r w:rsidR="00DF2CBE" w:rsidRPr="003329B4">
        <w:rPr>
          <w:color w:val="000000" w:themeColor="text1"/>
        </w:rPr>
        <w:t>Cerqueira</w:t>
      </w:r>
      <w:proofErr w:type="spellEnd"/>
      <w:r w:rsidR="00DF2CBE" w:rsidRPr="003329B4">
        <w:rPr>
          <w:color w:val="000000" w:themeColor="text1"/>
        </w:rPr>
        <w:t xml:space="preserve"> et al. (2020), </w:t>
      </w:r>
      <w:proofErr w:type="spellStart"/>
      <w:r w:rsidR="00DF2CBE" w:rsidRPr="003329B4">
        <w:rPr>
          <w:color w:val="000000" w:themeColor="text1"/>
        </w:rPr>
        <w:t>Hensher</w:t>
      </w:r>
      <w:proofErr w:type="spellEnd"/>
      <w:r w:rsidR="00DF2CBE" w:rsidRPr="003329B4">
        <w:rPr>
          <w:color w:val="000000" w:themeColor="text1"/>
        </w:rPr>
        <w:t xml:space="preserve"> et al. (2021), </w:t>
      </w:r>
      <w:r w:rsidR="0061500E" w:rsidRPr="003329B4">
        <w:rPr>
          <w:color w:val="000000" w:themeColor="text1"/>
        </w:rPr>
        <w:t xml:space="preserve">Sweet and Scott (2022), </w:t>
      </w:r>
      <w:proofErr w:type="spellStart"/>
      <w:r w:rsidRPr="003329B4">
        <w:t>Asgari</w:t>
      </w:r>
      <w:proofErr w:type="spellEnd"/>
      <w:r w:rsidRPr="003329B4">
        <w:t xml:space="preserve"> et al. (2023)</w:t>
      </w:r>
      <w:r w:rsidR="008F25E4" w:rsidRPr="003329B4">
        <w:t xml:space="preserve">, </w:t>
      </w:r>
      <w:r w:rsidR="00C70E2B">
        <w:t xml:space="preserve">Beck et al., (2024), </w:t>
      </w:r>
      <w:r w:rsidR="008F25E4" w:rsidRPr="003329B4">
        <w:t>and Asmussen et al. (</w:t>
      </w:r>
      <w:r w:rsidR="00620BD0">
        <w:t>2024a</w:t>
      </w:r>
      <w:r w:rsidR="008F25E4" w:rsidRPr="003329B4">
        <w:t>), among many other studies</w:t>
      </w:r>
      <w:r w:rsidR="00DF2CBE" w:rsidRPr="003329B4">
        <w:t xml:space="preserve">. </w:t>
      </w:r>
      <w:r w:rsidRPr="003329B4">
        <w:t xml:space="preserve"> </w:t>
      </w:r>
      <w:bookmarkEnd w:id="4"/>
    </w:p>
    <w:p w14:paraId="263BF0CD" w14:textId="77777777" w:rsidR="009028CC" w:rsidRPr="003329B4" w:rsidRDefault="009028CC" w:rsidP="0041433B">
      <w:pPr>
        <w:ind w:firstLine="720"/>
        <w:jc w:val="both"/>
      </w:pPr>
    </w:p>
    <w:p w14:paraId="440BFF3E" w14:textId="6B7CB8FB" w:rsidR="00B73C21" w:rsidRPr="003329B4" w:rsidRDefault="00960B28" w:rsidP="002966B2">
      <w:pPr>
        <w:pStyle w:val="Heading2"/>
        <w:numPr>
          <w:ilvl w:val="1"/>
          <w:numId w:val="1"/>
        </w:numPr>
        <w:ind w:left="540" w:hanging="540"/>
        <w:rPr>
          <w:rFonts w:ascii="Times New Roman" w:hAnsi="Times New Roman" w:cs="Times New Roman"/>
          <w:b/>
          <w:bCs/>
          <w:color w:val="000000" w:themeColor="text1"/>
          <w:sz w:val="24"/>
          <w:szCs w:val="24"/>
        </w:rPr>
      </w:pPr>
      <w:r w:rsidRPr="003329B4">
        <w:rPr>
          <w:rFonts w:ascii="Times New Roman" w:hAnsi="Times New Roman" w:cs="Times New Roman"/>
          <w:b/>
          <w:bCs/>
          <w:color w:val="000000" w:themeColor="text1"/>
          <w:sz w:val="24"/>
          <w:szCs w:val="24"/>
        </w:rPr>
        <w:t xml:space="preserve">Post-COVID Existing </w:t>
      </w:r>
      <w:r w:rsidR="00B73C21" w:rsidRPr="003329B4">
        <w:rPr>
          <w:rFonts w:ascii="Times New Roman" w:hAnsi="Times New Roman" w:cs="Times New Roman"/>
          <w:b/>
          <w:bCs/>
          <w:color w:val="000000" w:themeColor="text1"/>
          <w:sz w:val="24"/>
          <w:szCs w:val="24"/>
        </w:rPr>
        <w:t>Telework Frequency</w:t>
      </w:r>
      <w:r w:rsidR="000677BD" w:rsidRPr="003329B4">
        <w:rPr>
          <w:rFonts w:ascii="Times New Roman" w:hAnsi="Times New Roman" w:cs="Times New Roman"/>
          <w:b/>
          <w:bCs/>
          <w:color w:val="000000" w:themeColor="text1"/>
          <w:sz w:val="24"/>
          <w:szCs w:val="24"/>
        </w:rPr>
        <w:t xml:space="preserve"> (ETF)</w:t>
      </w:r>
    </w:p>
    <w:p w14:paraId="7E99F33C" w14:textId="13D83264" w:rsidR="00372E30" w:rsidRPr="003329B4" w:rsidRDefault="001A078D" w:rsidP="003329B4">
      <w:pPr>
        <w:jc w:val="both"/>
      </w:pPr>
      <w:r w:rsidRPr="003329B4">
        <w:t xml:space="preserve">A distinguishing feature of post-COVID studies relative to the Before-COVID studies is the </w:t>
      </w:r>
      <w:r w:rsidR="004E517A" w:rsidRPr="003329B4">
        <w:t>surge in the number of</w:t>
      </w:r>
      <w:r w:rsidRPr="003329B4">
        <w:t xml:space="preserve"> studies that consider not only telework adoption (whether an in</w:t>
      </w:r>
      <w:r w:rsidR="009E00D4" w:rsidRPr="003329B4">
        <w:t>di</w:t>
      </w:r>
      <w:r w:rsidRPr="003329B4">
        <w:t xml:space="preserve">vidual teleworks at all or not over a given time period, such as a week or a month), but also telework frequency over a given time period.  </w:t>
      </w:r>
      <w:r w:rsidRPr="003329B4">
        <w:rPr>
          <w:color w:val="000000" w:themeColor="text1"/>
        </w:rPr>
        <w:t xml:space="preserve">Examples of such studies include Zhang et al., 2020, </w:t>
      </w:r>
      <w:proofErr w:type="spellStart"/>
      <w:r w:rsidRPr="003329B4">
        <w:rPr>
          <w:color w:val="000000" w:themeColor="text1"/>
        </w:rPr>
        <w:t>Hensher</w:t>
      </w:r>
      <w:proofErr w:type="spellEnd"/>
      <w:r w:rsidRPr="003329B4">
        <w:rPr>
          <w:color w:val="000000" w:themeColor="text1"/>
        </w:rPr>
        <w:t xml:space="preserve"> et al., 2021, Mohammadi et al., 2022, Yamashita et al., 2022, Ton et al., 2022, and Asmussen et al., </w:t>
      </w:r>
      <w:r w:rsidR="00620BD0">
        <w:rPr>
          <w:color w:val="000000" w:themeColor="text1"/>
        </w:rPr>
        <w:t>2024a</w:t>
      </w:r>
      <w:r w:rsidRPr="003329B4">
        <w:rPr>
          <w:color w:val="000000" w:themeColor="text1"/>
        </w:rPr>
        <w:t xml:space="preserve">. These studies adopt a variety of methodological frameworks to relate demographic and work-related variables to telework frequency, ranging from simple descriptive analysis (Yamashita et al., 2022) to multivariate econometric methods such as ordinal or count or </w:t>
      </w:r>
      <w:r w:rsidR="008F25E4" w:rsidRPr="003329B4">
        <w:rPr>
          <w:color w:val="000000" w:themeColor="text1"/>
        </w:rPr>
        <w:t xml:space="preserve">joint discrete-count-nominal </w:t>
      </w:r>
      <w:r w:rsidRPr="003329B4">
        <w:rPr>
          <w:color w:val="000000" w:themeColor="text1"/>
        </w:rPr>
        <w:t>models (</w:t>
      </w:r>
      <w:proofErr w:type="spellStart"/>
      <w:r w:rsidRPr="003329B4">
        <w:rPr>
          <w:color w:val="000000" w:themeColor="text1"/>
        </w:rPr>
        <w:t>Shabanpour</w:t>
      </w:r>
      <w:proofErr w:type="spellEnd"/>
      <w:r w:rsidRPr="003329B4">
        <w:rPr>
          <w:color w:val="000000" w:themeColor="text1"/>
        </w:rPr>
        <w:t xml:space="preserve"> et al., 2018; Zhang et al., 2020; </w:t>
      </w:r>
      <w:proofErr w:type="spellStart"/>
      <w:r w:rsidRPr="003329B4">
        <w:rPr>
          <w:color w:val="000000" w:themeColor="text1"/>
        </w:rPr>
        <w:t>Heiden</w:t>
      </w:r>
      <w:proofErr w:type="spellEnd"/>
      <w:r w:rsidRPr="003329B4">
        <w:rPr>
          <w:color w:val="000000" w:themeColor="text1"/>
        </w:rPr>
        <w:t xml:space="preserve"> et al., 2021; </w:t>
      </w:r>
      <w:proofErr w:type="spellStart"/>
      <w:r w:rsidRPr="003329B4">
        <w:rPr>
          <w:color w:val="000000" w:themeColor="text1"/>
        </w:rPr>
        <w:t>Hensher</w:t>
      </w:r>
      <w:proofErr w:type="spellEnd"/>
      <w:r w:rsidRPr="003329B4">
        <w:rPr>
          <w:color w:val="000000" w:themeColor="text1"/>
        </w:rPr>
        <w:t xml:space="preserve"> et al., 2021; Ton et al., 2022; </w:t>
      </w:r>
      <w:proofErr w:type="spellStart"/>
      <w:r w:rsidR="00F315E9" w:rsidRPr="003329B4">
        <w:rPr>
          <w:color w:val="000000" w:themeColor="text1"/>
        </w:rPr>
        <w:t>Dua</w:t>
      </w:r>
      <w:proofErr w:type="spellEnd"/>
      <w:r w:rsidR="00F315E9" w:rsidRPr="003329B4">
        <w:rPr>
          <w:color w:val="000000" w:themeColor="text1"/>
        </w:rPr>
        <w:t xml:space="preserve"> et al., 2022; </w:t>
      </w:r>
      <w:r w:rsidRPr="003329B4">
        <w:rPr>
          <w:color w:val="000000" w:themeColor="text1"/>
        </w:rPr>
        <w:t xml:space="preserve">Asmussen et al., </w:t>
      </w:r>
      <w:r w:rsidR="00620BD0">
        <w:rPr>
          <w:color w:val="000000" w:themeColor="text1"/>
        </w:rPr>
        <w:t>2024a</w:t>
      </w:r>
      <w:r w:rsidRPr="003329B4">
        <w:rPr>
          <w:color w:val="000000" w:themeColor="text1"/>
        </w:rPr>
        <w:t>). The results from these studies</w:t>
      </w:r>
      <w:r w:rsidR="009E00D4" w:rsidRPr="003329B4">
        <w:rPr>
          <w:color w:val="000000" w:themeColor="text1"/>
        </w:rPr>
        <w:t xml:space="preserve"> generally suggest </w:t>
      </w:r>
      <w:r w:rsidR="00F315E9" w:rsidRPr="003329B4">
        <w:rPr>
          <w:color w:val="000000" w:themeColor="text1"/>
        </w:rPr>
        <w:t>three main categories of variables that influence ETF: (1) individual and household demographics, (2) job-related characteristics</w:t>
      </w:r>
      <w:r w:rsidR="003A1D5C" w:rsidRPr="003329B4">
        <w:rPr>
          <w:color w:val="000000" w:themeColor="text1"/>
        </w:rPr>
        <w:t xml:space="preserve"> (including employer size)</w:t>
      </w:r>
      <w:r w:rsidR="00F315E9" w:rsidRPr="003329B4">
        <w:rPr>
          <w:color w:val="000000" w:themeColor="text1"/>
        </w:rPr>
        <w:t xml:space="preserve">, and (3) residential </w:t>
      </w:r>
      <w:r w:rsidR="000677BD" w:rsidRPr="003329B4">
        <w:rPr>
          <w:color w:val="000000" w:themeColor="text1"/>
        </w:rPr>
        <w:t>attributes</w:t>
      </w:r>
      <w:r w:rsidR="00F315E9" w:rsidRPr="003329B4">
        <w:rPr>
          <w:color w:val="000000" w:themeColor="text1"/>
        </w:rPr>
        <w:t xml:space="preserve">. Within the category of </w:t>
      </w:r>
      <w:r w:rsidR="00F315E9" w:rsidRPr="003329B4">
        <w:rPr>
          <w:color w:val="000000" w:themeColor="text1"/>
          <w:u w:val="single"/>
        </w:rPr>
        <w:t>individual and household demographics</w:t>
      </w:r>
      <w:r w:rsidR="00F315E9" w:rsidRPr="003329B4">
        <w:rPr>
          <w:color w:val="000000" w:themeColor="text1"/>
        </w:rPr>
        <w:t xml:space="preserve">, the studies indicate that, in general, </w:t>
      </w:r>
      <w:r w:rsidRPr="003329B4">
        <w:rPr>
          <w:color w:val="000000" w:themeColor="text1"/>
        </w:rPr>
        <w:t>women (especially single women with children),</w:t>
      </w:r>
      <w:r w:rsidR="00FE361A" w:rsidRPr="003329B4">
        <w:rPr>
          <w:color w:val="000000" w:themeColor="text1"/>
        </w:rPr>
        <w:t xml:space="preserve"> </w:t>
      </w:r>
      <w:r w:rsidRPr="003329B4">
        <w:rPr>
          <w:color w:val="000000" w:themeColor="text1"/>
        </w:rPr>
        <w:t xml:space="preserve">young individuals, </w:t>
      </w:r>
      <w:r w:rsidR="00F315E9" w:rsidRPr="003329B4">
        <w:rPr>
          <w:color w:val="000000" w:themeColor="text1"/>
        </w:rPr>
        <w:t xml:space="preserve">those with a high formal education degree attainment, </w:t>
      </w:r>
      <w:r w:rsidR="00A2015F" w:rsidRPr="003329B4">
        <w:rPr>
          <w:color w:val="000000" w:themeColor="text1"/>
        </w:rPr>
        <w:t xml:space="preserve">and those in households with a higher number of motorized vehicles and with </w:t>
      </w:r>
      <w:r w:rsidRPr="003329B4">
        <w:rPr>
          <w:color w:val="000000" w:themeColor="text1"/>
        </w:rPr>
        <w:t>high</w:t>
      </w:r>
      <w:r w:rsidR="00A2015F" w:rsidRPr="003329B4">
        <w:rPr>
          <w:color w:val="000000" w:themeColor="text1"/>
        </w:rPr>
        <w:t xml:space="preserve"> </w:t>
      </w:r>
      <w:r w:rsidRPr="003329B4">
        <w:rPr>
          <w:color w:val="000000" w:themeColor="text1"/>
        </w:rPr>
        <w:t>income</w:t>
      </w:r>
      <w:r w:rsidR="00A2015F" w:rsidRPr="003329B4">
        <w:rPr>
          <w:color w:val="000000" w:themeColor="text1"/>
        </w:rPr>
        <w:t xml:space="preserve">s </w:t>
      </w:r>
      <w:r w:rsidR="009E00D4" w:rsidRPr="003329B4">
        <w:rPr>
          <w:color w:val="000000" w:themeColor="text1"/>
        </w:rPr>
        <w:t xml:space="preserve">are more </w:t>
      </w:r>
      <w:r w:rsidRPr="003329B4">
        <w:rPr>
          <w:color w:val="000000" w:themeColor="text1"/>
        </w:rPr>
        <w:t>likel</w:t>
      </w:r>
      <w:r w:rsidR="009E00D4" w:rsidRPr="003329B4">
        <w:rPr>
          <w:color w:val="000000" w:themeColor="text1"/>
        </w:rPr>
        <w:t xml:space="preserve">y </w:t>
      </w:r>
      <w:r w:rsidRPr="003329B4">
        <w:rPr>
          <w:color w:val="000000" w:themeColor="text1"/>
        </w:rPr>
        <w:t xml:space="preserve">to </w:t>
      </w:r>
      <w:r w:rsidR="009E00D4" w:rsidRPr="003329B4">
        <w:rPr>
          <w:color w:val="000000" w:themeColor="text1"/>
        </w:rPr>
        <w:t>tele</w:t>
      </w:r>
      <w:r w:rsidRPr="003329B4">
        <w:rPr>
          <w:color w:val="000000" w:themeColor="text1"/>
        </w:rPr>
        <w:t xml:space="preserve">work </w:t>
      </w:r>
      <w:r w:rsidR="009E00D4" w:rsidRPr="003329B4">
        <w:rPr>
          <w:color w:val="000000" w:themeColor="text1"/>
        </w:rPr>
        <w:t xml:space="preserve">than their peers. </w:t>
      </w:r>
      <w:r w:rsidR="007F54DE" w:rsidRPr="003329B4">
        <w:rPr>
          <w:color w:val="000000" w:themeColor="text1"/>
        </w:rPr>
        <w:t>Of course, the results are not always con</w:t>
      </w:r>
      <w:r w:rsidR="00A2015F" w:rsidRPr="003329B4">
        <w:rPr>
          <w:color w:val="000000" w:themeColor="text1"/>
        </w:rPr>
        <w:t>sistent across studies</w:t>
      </w:r>
      <w:r w:rsidR="007F54DE" w:rsidRPr="003329B4">
        <w:rPr>
          <w:color w:val="000000" w:themeColor="text1"/>
        </w:rPr>
        <w:t>. For example,</w:t>
      </w:r>
      <w:r w:rsidR="00B01853" w:rsidRPr="003329B4">
        <w:rPr>
          <w:color w:val="000000" w:themeColor="text1"/>
        </w:rPr>
        <w:t xml:space="preserve"> </w:t>
      </w:r>
      <w:r w:rsidR="00213124" w:rsidRPr="003329B4">
        <w:rPr>
          <w:color w:val="000000" w:themeColor="text1"/>
        </w:rPr>
        <w:t xml:space="preserve">Sweet and Scott (2022) and </w:t>
      </w:r>
      <w:r w:rsidR="00213124" w:rsidRPr="003329B4">
        <w:rPr>
          <w:color w:val="000000"/>
        </w:rPr>
        <w:t>Tahlyan et al. (2022</w:t>
      </w:r>
      <w:r w:rsidR="00885C4A" w:rsidRPr="003329B4">
        <w:rPr>
          <w:color w:val="000000"/>
        </w:rPr>
        <w:t>b</w:t>
      </w:r>
      <w:r w:rsidR="00213124" w:rsidRPr="003329B4">
        <w:rPr>
          <w:color w:val="000000"/>
        </w:rPr>
        <w:t>)</w:t>
      </w:r>
      <w:r w:rsidR="007F54DE" w:rsidRPr="003329B4">
        <w:rPr>
          <w:color w:val="000000" w:themeColor="text1"/>
        </w:rPr>
        <w:t xml:space="preserve"> find that it is the </w:t>
      </w:r>
      <w:r w:rsidR="007F54DE" w:rsidRPr="003329B4">
        <w:rPr>
          <w:color w:val="000000"/>
        </w:rPr>
        <w:t>middle-aged individuals who are most likely to telework, not the youngest segment of the working population</w:t>
      </w:r>
      <w:r w:rsidR="002F288D" w:rsidRPr="003329B4">
        <w:rPr>
          <w:color w:val="000000"/>
        </w:rPr>
        <w:t>, as has been reported in much of the</w:t>
      </w:r>
      <w:r w:rsidR="002F288D" w:rsidRPr="00F01655">
        <w:rPr>
          <w:color w:val="000000"/>
        </w:rPr>
        <w:t xml:space="preserve"> literature</w:t>
      </w:r>
      <w:r w:rsidR="007F54DE" w:rsidRPr="00F01655">
        <w:rPr>
          <w:color w:val="000000"/>
        </w:rPr>
        <w:t xml:space="preserve">. </w:t>
      </w:r>
      <w:r w:rsidR="003A1D5C" w:rsidRPr="00F01655">
        <w:rPr>
          <w:color w:val="000000" w:themeColor="text1"/>
        </w:rPr>
        <w:t xml:space="preserve">In the category of </w:t>
      </w:r>
      <w:r w:rsidR="003A1D5C" w:rsidRPr="00F01655">
        <w:rPr>
          <w:color w:val="000000" w:themeColor="text1"/>
          <w:u w:val="single"/>
        </w:rPr>
        <w:t>job-related characteristics</w:t>
      </w:r>
      <w:r w:rsidR="003A1D5C" w:rsidRPr="00F01655">
        <w:rPr>
          <w:color w:val="000000" w:themeColor="text1"/>
        </w:rPr>
        <w:t xml:space="preserve">, </w:t>
      </w:r>
      <w:r w:rsidR="00FE361A" w:rsidRPr="00F01655">
        <w:rPr>
          <w:color w:val="000000" w:themeColor="text1"/>
        </w:rPr>
        <w:t xml:space="preserve">results </w:t>
      </w:r>
      <w:r w:rsidR="004E517A" w:rsidRPr="00F01655">
        <w:rPr>
          <w:color w:val="000000" w:themeColor="text1"/>
        </w:rPr>
        <w:t xml:space="preserve">generally </w:t>
      </w:r>
      <w:r w:rsidR="00FE361A" w:rsidRPr="00F01655">
        <w:rPr>
          <w:color w:val="000000" w:themeColor="text1"/>
        </w:rPr>
        <w:t xml:space="preserve">suggest that those in </w:t>
      </w:r>
      <w:r w:rsidR="00A2015F" w:rsidRPr="00F01655">
        <w:rPr>
          <w:color w:val="000000" w:themeColor="text1"/>
        </w:rPr>
        <w:t>non-essential occupation sectors (such as in professional, management</w:t>
      </w:r>
      <w:r w:rsidR="00A2015F" w:rsidRPr="003329B4">
        <w:rPr>
          <w:color w:val="000000" w:themeColor="text1"/>
        </w:rPr>
        <w:t xml:space="preserve">, and technical jobs as opposed to in manufacturing, trade, construction, healthcare, and retail), </w:t>
      </w:r>
      <w:r w:rsidR="00BA0B04" w:rsidRPr="003329B4">
        <w:rPr>
          <w:color w:val="000000" w:themeColor="text1"/>
        </w:rPr>
        <w:t xml:space="preserve">part-time </w:t>
      </w:r>
      <w:r w:rsidR="00EC7495" w:rsidRPr="003329B4">
        <w:rPr>
          <w:color w:val="000000" w:themeColor="text1"/>
        </w:rPr>
        <w:t xml:space="preserve">and self-employed </w:t>
      </w:r>
      <w:r w:rsidR="00BA0B04" w:rsidRPr="003329B4">
        <w:rPr>
          <w:color w:val="000000" w:themeColor="text1"/>
        </w:rPr>
        <w:t xml:space="preserve">workers, </w:t>
      </w:r>
      <w:r w:rsidR="00BA0B04" w:rsidRPr="003329B4">
        <w:t xml:space="preserve">those residing far from their office locations, and those working in small-sized firms tend to telework more than other individuals (see, for example, </w:t>
      </w:r>
      <w:r w:rsidR="00382B44" w:rsidRPr="003329B4">
        <w:rPr>
          <w:shd w:val="clear" w:color="auto" w:fill="FFFFFF"/>
        </w:rPr>
        <w:t xml:space="preserve">Sweet and Scott (2022), </w:t>
      </w:r>
      <w:proofErr w:type="spellStart"/>
      <w:r w:rsidR="00382B44" w:rsidRPr="003329B4">
        <w:t>Asgari</w:t>
      </w:r>
      <w:proofErr w:type="spellEnd"/>
      <w:r w:rsidR="00382B44" w:rsidRPr="003329B4">
        <w:t xml:space="preserve"> et al. (2023), </w:t>
      </w:r>
      <w:proofErr w:type="spellStart"/>
      <w:r w:rsidR="00B245B2" w:rsidRPr="003329B4">
        <w:t>Caldarola</w:t>
      </w:r>
      <w:proofErr w:type="spellEnd"/>
      <w:r w:rsidR="00B245B2" w:rsidRPr="003329B4">
        <w:t xml:space="preserve"> and Sorrell (2022), and </w:t>
      </w:r>
      <w:r w:rsidR="00382B44" w:rsidRPr="003329B4">
        <w:t xml:space="preserve">Haider and Anwar (2023)). </w:t>
      </w:r>
      <w:r w:rsidR="00BA0B04" w:rsidRPr="003329B4">
        <w:t>Finally, in the category of residential attributes, those residing in high density urban areas and those who live closer to non-work and leisure activity opportunities have been found to be more frequent teleworkers</w:t>
      </w:r>
      <w:r w:rsidR="00977C7C" w:rsidRPr="003329B4">
        <w:t xml:space="preserve"> (see</w:t>
      </w:r>
      <w:r w:rsidR="002F288D" w:rsidRPr="003329B4">
        <w:t xml:space="preserve"> </w:t>
      </w:r>
      <w:r w:rsidR="00977C7C" w:rsidRPr="003329B4">
        <w:t>Haider and Anwar (2023)</w:t>
      </w:r>
      <w:r w:rsidR="00B67057" w:rsidRPr="003329B4">
        <w:t xml:space="preserve"> and Tahlyan et al. </w:t>
      </w:r>
      <w:r w:rsidR="00C44681" w:rsidRPr="003329B4">
        <w:t>(</w:t>
      </w:r>
      <w:r w:rsidR="00B67057" w:rsidRPr="003329B4">
        <w:t>2022</w:t>
      </w:r>
      <w:r w:rsidR="00885C4A" w:rsidRPr="003329B4">
        <w:t>a</w:t>
      </w:r>
      <w:r w:rsidR="00B67057" w:rsidRPr="003329B4">
        <w:t>))</w:t>
      </w:r>
      <w:r w:rsidR="00977C7C" w:rsidRPr="003329B4">
        <w:t>.</w:t>
      </w:r>
    </w:p>
    <w:p w14:paraId="4A8C02FB" w14:textId="2D418FAA" w:rsidR="00F315E9" w:rsidRPr="003329B4" w:rsidRDefault="00F315E9" w:rsidP="003329B4">
      <w:pPr>
        <w:jc w:val="both"/>
      </w:pPr>
    </w:p>
    <w:p w14:paraId="042DB317" w14:textId="311D1790" w:rsidR="000677BD" w:rsidRPr="003329B4" w:rsidRDefault="000677BD" w:rsidP="002966B2">
      <w:pPr>
        <w:pStyle w:val="Heading2"/>
        <w:spacing w:before="0"/>
        <w:ind w:left="540" w:hanging="540"/>
        <w:rPr>
          <w:b/>
          <w:bCs/>
          <w:color w:val="000000" w:themeColor="text1"/>
        </w:rPr>
      </w:pPr>
      <w:r w:rsidRPr="003329B4">
        <w:rPr>
          <w:rFonts w:ascii="Times New Roman" w:hAnsi="Times New Roman" w:cs="Times New Roman"/>
          <w:b/>
          <w:bCs/>
          <w:color w:val="000000" w:themeColor="text1"/>
          <w:sz w:val="24"/>
          <w:szCs w:val="24"/>
        </w:rPr>
        <w:t>2.2.</w:t>
      </w:r>
      <w:r w:rsidRPr="003329B4">
        <w:rPr>
          <w:rFonts w:ascii="Times New Roman" w:hAnsi="Times New Roman" w:cs="Times New Roman"/>
          <w:b/>
          <w:bCs/>
          <w:color w:val="000000" w:themeColor="text1"/>
          <w:sz w:val="24"/>
          <w:szCs w:val="24"/>
        </w:rPr>
        <w:tab/>
        <w:t>Post-COVID Ideal Telework Frequency (ITF)</w:t>
      </w:r>
    </w:p>
    <w:p w14:paraId="1964DF91" w14:textId="1E12D42D" w:rsidR="002F288D" w:rsidRPr="003329B4" w:rsidRDefault="00FE361A" w:rsidP="003329B4">
      <w:pPr>
        <w:jc w:val="both"/>
      </w:pPr>
      <w:r w:rsidRPr="003329B4">
        <w:rPr>
          <w:color w:val="000000" w:themeColor="text1"/>
        </w:rPr>
        <w:t xml:space="preserve">Several recent studies have examined </w:t>
      </w:r>
      <w:r w:rsidR="00A711D8" w:rsidRPr="003329B4">
        <w:rPr>
          <w:color w:val="000000" w:themeColor="text1"/>
        </w:rPr>
        <w:t xml:space="preserve">an outcome that gets close to </w:t>
      </w:r>
      <w:r w:rsidRPr="003329B4">
        <w:rPr>
          <w:color w:val="000000" w:themeColor="text1"/>
        </w:rPr>
        <w:t>ITF. A good review of such studies is available in Asmussen et al. (2023).</w:t>
      </w:r>
      <w:r w:rsidR="00A85DC2" w:rsidRPr="003329B4">
        <w:rPr>
          <w:color w:val="000000" w:themeColor="text1"/>
        </w:rPr>
        <w:t xml:space="preserve"> For example,</w:t>
      </w:r>
      <w:r w:rsidRPr="003329B4">
        <w:rPr>
          <w:color w:val="000000" w:themeColor="text1"/>
        </w:rPr>
        <w:t xml:space="preserve"> </w:t>
      </w:r>
      <w:r w:rsidR="00A85DC2" w:rsidRPr="003329B4">
        <w:t xml:space="preserve">Nayak and Pandit (2021) and Jain et al. (2022) study an employee’s </w:t>
      </w:r>
      <w:r w:rsidR="008C6985" w:rsidRPr="003329B4">
        <w:t xml:space="preserve">stated </w:t>
      </w:r>
      <w:r w:rsidR="00A85DC2" w:rsidRPr="003329B4">
        <w:t xml:space="preserve">intention to telework based on a direct question regarding stated intent in a future when “travel and other restrictions would be withdrawn after the </w:t>
      </w:r>
      <w:r w:rsidR="00A85DC2" w:rsidRPr="003329B4">
        <w:lastRenderedPageBreak/>
        <w:t xml:space="preserve">elimination or control of the pandemic” (Nayak and Pandit) or the virus is “gone” (Jain et al., 2022). Specifically, Nayak and Pandit elicit a binary response to whether the employee would be willing to telework in the future, while Jain et al. pose a question related to how much more likely (as collected on a seven-point Likert scale) would the respondent be to telework in the future compared to pre-COVID times. </w:t>
      </w:r>
      <w:r w:rsidR="00A711D8" w:rsidRPr="003329B4">
        <w:t xml:space="preserve">These studies are likely to capture what respondents expect or might be willing to do, given the COVID-related telework experience. </w:t>
      </w:r>
      <w:r w:rsidR="00A85DC2" w:rsidRPr="003329B4">
        <w:t xml:space="preserve">The </w:t>
      </w:r>
      <w:r w:rsidR="008C6985" w:rsidRPr="003329B4">
        <w:t xml:space="preserve">studies of </w:t>
      </w:r>
      <w:proofErr w:type="spellStart"/>
      <w:r w:rsidR="00017B3F" w:rsidRPr="003329B4">
        <w:t>Asgari</w:t>
      </w:r>
      <w:proofErr w:type="spellEnd"/>
      <w:r w:rsidR="00017B3F" w:rsidRPr="003329B4">
        <w:t xml:space="preserve"> et al. (2023), </w:t>
      </w:r>
      <w:r w:rsidR="008C6985" w:rsidRPr="003329B4">
        <w:rPr>
          <w:shd w:val="clear" w:color="auto" w:fill="FFFFFF"/>
        </w:rPr>
        <w:t>Appel-</w:t>
      </w:r>
      <w:proofErr w:type="spellStart"/>
      <w:r w:rsidR="008C6985" w:rsidRPr="003329B4">
        <w:rPr>
          <w:shd w:val="clear" w:color="auto" w:fill="FFFFFF"/>
        </w:rPr>
        <w:t>Meulenbroek</w:t>
      </w:r>
      <w:proofErr w:type="spellEnd"/>
      <w:r w:rsidR="008C6985" w:rsidRPr="003329B4">
        <w:t xml:space="preserve"> (AM) et al. (2022)</w:t>
      </w:r>
      <w:r w:rsidR="00017B3F" w:rsidRPr="003329B4">
        <w:t xml:space="preserve">, </w:t>
      </w:r>
      <w:r w:rsidR="008C6985" w:rsidRPr="003329B4">
        <w:t xml:space="preserve">and Asmussen et al. (2023), on the other hand, </w:t>
      </w:r>
      <w:r w:rsidR="00A711D8" w:rsidRPr="003329B4">
        <w:t xml:space="preserve">get </w:t>
      </w:r>
      <w:r w:rsidR="00B01853" w:rsidRPr="003329B4">
        <w:t xml:space="preserve">even </w:t>
      </w:r>
      <w:r w:rsidR="00A711D8" w:rsidRPr="003329B4">
        <w:t xml:space="preserve">closer to the ITF concept by </w:t>
      </w:r>
      <w:r w:rsidR="008C6985" w:rsidRPr="003329B4">
        <w:t>elicit</w:t>
      </w:r>
      <w:r w:rsidR="00A711D8" w:rsidRPr="003329B4">
        <w:t>ing</w:t>
      </w:r>
      <w:r w:rsidR="008C6985" w:rsidRPr="003329B4">
        <w:t xml:space="preserve"> the preferred telework arrangement</w:t>
      </w:r>
      <w:r w:rsidR="00A711D8" w:rsidRPr="003329B4">
        <w:t xml:space="preserve"> in a future where telework arrangements can be freely chosen by the respondent</w:t>
      </w:r>
      <w:r w:rsidR="008C6985" w:rsidRPr="003329B4">
        <w:t xml:space="preserve">. </w:t>
      </w:r>
      <w:r w:rsidR="00017B3F" w:rsidRPr="003329B4">
        <w:t xml:space="preserve">The </w:t>
      </w:r>
      <w:proofErr w:type="spellStart"/>
      <w:r w:rsidR="00017B3F" w:rsidRPr="003329B4">
        <w:t>Asgari</w:t>
      </w:r>
      <w:proofErr w:type="spellEnd"/>
      <w:r w:rsidR="00017B3F" w:rsidRPr="003329B4">
        <w:t xml:space="preserve"> et al. study </w:t>
      </w:r>
      <w:r w:rsidR="00FE715B" w:rsidRPr="003329B4">
        <w:t xml:space="preserve">modeled </w:t>
      </w:r>
      <w:r w:rsidR="00017B3F" w:rsidRPr="003329B4">
        <w:t xml:space="preserve">the preferred telework frequency </w:t>
      </w:r>
      <w:r w:rsidR="0080026F" w:rsidRPr="003329B4">
        <w:t xml:space="preserve">from home </w:t>
      </w:r>
      <w:r w:rsidR="00FE715B" w:rsidRPr="003329B4">
        <w:t xml:space="preserve">as elicited from respondents in a post-pandemic landscape, using an ordinal five-point Likert scale ranging from “never” to “daily or almost daily”. </w:t>
      </w:r>
      <w:r w:rsidR="00B83405" w:rsidRPr="003329B4">
        <w:t xml:space="preserve">They used the </w:t>
      </w:r>
      <w:r w:rsidR="000D5147" w:rsidRPr="003329B4">
        <w:t xml:space="preserve">telework frequency before the pandemic as an exogenous variable, and did not consider potential unobserved correlation effects between pre-pandemic teleworking and preferred telework frequency in a post-pandemic situation. </w:t>
      </w:r>
      <w:r w:rsidR="00FE715B" w:rsidRPr="003329B4">
        <w:t>Among their results</w:t>
      </w:r>
      <w:r w:rsidR="0080026F" w:rsidRPr="003329B4">
        <w:t xml:space="preserve"> was that attitudes formed during the pandemic, such as productivity change due to pandemic-spurred teleworking, appeared to shape preferred telework in a post-COVID landscape more so than demographic factors.</w:t>
      </w:r>
      <w:r w:rsidR="00B01853" w:rsidRPr="003329B4">
        <w:t xml:space="preserve"> With</w:t>
      </w:r>
      <w:r w:rsidR="000D5147" w:rsidRPr="003329B4">
        <w:t xml:space="preserve">in the group of limited demographic factors they tested, those with lower formal degrees (professional/associate degrees) and </w:t>
      </w:r>
      <w:r w:rsidR="00372E30" w:rsidRPr="003329B4">
        <w:t>low-income</w:t>
      </w:r>
      <w:r w:rsidR="000D5147" w:rsidRPr="003329B4">
        <w:t xml:space="preserve"> individuals desired higher levels of telecommuting in the future. Also, as expected, individuals preferred more teleworking in the future than in the pre-pandemic state. </w:t>
      </w:r>
    </w:p>
    <w:p w14:paraId="7A8E5DB6" w14:textId="53629345" w:rsidR="00814854" w:rsidRPr="003329B4" w:rsidRDefault="00FE715B" w:rsidP="003329B4">
      <w:pPr>
        <w:ind w:firstLine="720"/>
        <w:jc w:val="both"/>
      </w:pPr>
      <w:r w:rsidRPr="003329B4">
        <w:t>The AM et al. and Asmussen et al.</w:t>
      </w:r>
      <w:r w:rsidR="008C6985" w:rsidRPr="003329B4">
        <w:t xml:space="preserve"> studies </w:t>
      </w:r>
      <w:r w:rsidR="00A711D8" w:rsidRPr="003329B4">
        <w:t xml:space="preserve">use </w:t>
      </w:r>
      <w:r w:rsidR="00C74520" w:rsidRPr="003329B4">
        <w:t>stated choice experiments with specific design attributes</w:t>
      </w:r>
      <w:r w:rsidR="0080026F" w:rsidRPr="003329B4">
        <w:t xml:space="preserve"> to elicit telework preferences, rather than using a direct stated intention question</w:t>
      </w:r>
      <w:r w:rsidR="00C74520" w:rsidRPr="003329B4">
        <w:t xml:space="preserve">. </w:t>
      </w:r>
      <w:r w:rsidR="0080026F" w:rsidRPr="003329B4">
        <w:t xml:space="preserve">In particular, </w:t>
      </w:r>
      <w:r w:rsidR="00C74520" w:rsidRPr="003329B4">
        <w:t xml:space="preserve">AM </w:t>
      </w:r>
      <w:r w:rsidR="00A711D8" w:rsidRPr="003329B4">
        <w:t xml:space="preserve">et al. use a day as the analysis unit, and </w:t>
      </w:r>
      <w:r w:rsidR="00C74520" w:rsidRPr="003329B4">
        <w:t xml:space="preserve">present work environment attributes (such as noise levels, openness, space size, and crowdedness) and work activity day type attributes (whether the day will be with unplanned meetings and relatively little concentrated individual desk time, or </w:t>
      </w:r>
      <w:r w:rsidR="0079071B" w:rsidRPr="003329B4">
        <w:t xml:space="preserve">the day will be with few unplanned meetings and </w:t>
      </w:r>
      <w:r w:rsidR="00C74520" w:rsidRPr="003329B4">
        <w:t>concentrated individual desk time, or a hybrid of the two) in their experiments</w:t>
      </w:r>
      <w:r w:rsidR="00A711D8" w:rsidRPr="003329B4">
        <w:t>. They then</w:t>
      </w:r>
      <w:r w:rsidR="00C74520" w:rsidRPr="003329B4">
        <w:t xml:space="preserve"> elicit the preferred telework choice during </w:t>
      </w:r>
      <w:r w:rsidR="00A711D8" w:rsidRPr="003329B4">
        <w:t>the</w:t>
      </w:r>
      <w:r w:rsidR="00C74520" w:rsidRPr="003329B4">
        <w:t xml:space="preserve"> day (as a result, AM </w:t>
      </w:r>
      <w:r w:rsidR="00A711D8" w:rsidRPr="003329B4">
        <w:t>examine</w:t>
      </w:r>
      <w:r w:rsidR="00C74520" w:rsidRPr="003329B4">
        <w:t xml:space="preserve"> an outcome that is closer to what may be labeled as “ideal telework adoption”, </w:t>
      </w:r>
      <w:r w:rsidR="00A711D8" w:rsidRPr="003329B4">
        <w:t xml:space="preserve">not ITF). </w:t>
      </w:r>
      <w:r w:rsidR="008C6985" w:rsidRPr="003329B4">
        <w:t xml:space="preserve">Asmussen et al. (2023) investigate individual desires </w:t>
      </w:r>
      <w:r w:rsidR="00426A43" w:rsidRPr="003329B4">
        <w:t xml:space="preserve">(by way of frequencies) </w:t>
      </w:r>
      <w:r w:rsidR="008C6985" w:rsidRPr="003329B4">
        <w:t xml:space="preserve">for </w:t>
      </w:r>
      <w:r w:rsidR="00426A43" w:rsidRPr="003329B4">
        <w:t>tele</w:t>
      </w:r>
      <w:r w:rsidR="008C6985" w:rsidRPr="003329B4">
        <w:t xml:space="preserve">working </w:t>
      </w:r>
      <w:r w:rsidR="00281BE2" w:rsidRPr="003329B4">
        <w:t xml:space="preserve">by presenting respondents with, among other attributes, work environment (measures of distraction and crowding levels), commute times to the work office and a third workplace, and work timing flexibility. They then ask respondents to imagine they had 22 </w:t>
      </w:r>
      <w:r w:rsidR="00372E30" w:rsidRPr="003329B4">
        <w:t>workdays</w:t>
      </w:r>
      <w:r w:rsidR="00281BE2" w:rsidRPr="003329B4">
        <w:t xml:space="preserve"> in the month and allocate those days to telework from home, telework from a non-home location, and work from the office in response. </w:t>
      </w:r>
      <w:r w:rsidR="0080026F" w:rsidRPr="003329B4">
        <w:t>Both t</w:t>
      </w:r>
      <w:r w:rsidR="00281BE2" w:rsidRPr="003329B4">
        <w:t xml:space="preserve">hese studies highlight the importance of work environment attributes, </w:t>
      </w:r>
      <w:r w:rsidR="00794E73" w:rsidRPr="003329B4">
        <w:t xml:space="preserve">such as crowdedness and noise, in the choice of where to work from. </w:t>
      </w:r>
      <w:r w:rsidR="00EC7495" w:rsidRPr="003329B4">
        <w:t xml:space="preserve">Other results </w:t>
      </w:r>
      <w:r w:rsidR="00794E73" w:rsidRPr="003329B4">
        <w:t>are similar to those of ETF studies of the previous section, indicat</w:t>
      </w:r>
      <w:r w:rsidR="00EC7495" w:rsidRPr="003329B4">
        <w:t>ing</w:t>
      </w:r>
      <w:r w:rsidR="00794E73" w:rsidRPr="003329B4">
        <w:t xml:space="preserve"> </w:t>
      </w:r>
      <w:r w:rsidR="0019453E" w:rsidRPr="003329B4">
        <w:t xml:space="preserve">higher ITF among </w:t>
      </w:r>
      <w:r w:rsidR="00B01853" w:rsidRPr="003329B4">
        <w:t xml:space="preserve">(a) </w:t>
      </w:r>
      <w:r w:rsidR="00794E73" w:rsidRPr="003329B4">
        <w:t xml:space="preserve">single young women with young children </w:t>
      </w:r>
      <w:r w:rsidR="00EC7495" w:rsidRPr="003329B4">
        <w:t xml:space="preserve">and </w:t>
      </w:r>
      <w:r w:rsidR="00794E73" w:rsidRPr="003329B4">
        <w:t xml:space="preserve">those </w:t>
      </w:r>
      <w:r w:rsidR="00EC7495" w:rsidRPr="003329B4">
        <w:t xml:space="preserve">in households with high incomes (in the category of individual/household demographics), </w:t>
      </w:r>
      <w:r w:rsidR="00B01853" w:rsidRPr="003329B4">
        <w:t xml:space="preserve">(b) </w:t>
      </w:r>
      <w:r w:rsidR="00EC7495" w:rsidRPr="003329B4">
        <w:t xml:space="preserve">those in non-essential occupation sectors, </w:t>
      </w:r>
      <w:r w:rsidR="00530CD2" w:rsidRPr="003329B4">
        <w:t xml:space="preserve">part-time and self-employed workers, and </w:t>
      </w:r>
      <w:r w:rsidR="00EC7495" w:rsidRPr="003329B4">
        <w:t>those residing far from their office location</w:t>
      </w:r>
      <w:r w:rsidR="00530CD2" w:rsidRPr="003329B4">
        <w:t xml:space="preserve"> (in the category of job-related factors)</w:t>
      </w:r>
      <w:r w:rsidR="00EC7495" w:rsidRPr="003329B4">
        <w:t xml:space="preserve">, </w:t>
      </w:r>
      <w:r w:rsidR="00530CD2" w:rsidRPr="003329B4">
        <w:t xml:space="preserve">and </w:t>
      </w:r>
      <w:r w:rsidR="00B01853" w:rsidRPr="003329B4">
        <w:t xml:space="preserve">(c) </w:t>
      </w:r>
      <w:r w:rsidR="00530CD2" w:rsidRPr="003329B4">
        <w:t xml:space="preserve">those residing in dense urban areas </w:t>
      </w:r>
      <w:r w:rsidR="00B01853" w:rsidRPr="003329B4">
        <w:t>(in the category of residence attributes)</w:t>
      </w:r>
      <w:r w:rsidR="00530CD2" w:rsidRPr="003329B4">
        <w:t>.</w:t>
      </w:r>
    </w:p>
    <w:p w14:paraId="75B8AD52" w14:textId="77777777" w:rsidR="009028CC" w:rsidRPr="003329B4" w:rsidRDefault="009028CC" w:rsidP="00CF0E6D">
      <w:pPr>
        <w:ind w:firstLine="720"/>
        <w:jc w:val="both"/>
      </w:pPr>
    </w:p>
    <w:p w14:paraId="2B238D90" w14:textId="3B6749DF" w:rsidR="00530CD2" w:rsidRPr="003329B4" w:rsidRDefault="00D6168C" w:rsidP="002966B2">
      <w:pPr>
        <w:ind w:left="540" w:hanging="540"/>
        <w:jc w:val="both"/>
        <w:rPr>
          <w:b/>
        </w:rPr>
      </w:pPr>
      <w:r w:rsidRPr="003329B4">
        <w:rPr>
          <w:b/>
        </w:rPr>
        <w:t xml:space="preserve">2.3. </w:t>
      </w:r>
      <w:r w:rsidR="003329B4">
        <w:rPr>
          <w:b/>
        </w:rPr>
        <w:tab/>
      </w:r>
      <w:r w:rsidR="00530CD2" w:rsidRPr="003329B4">
        <w:rPr>
          <w:b/>
        </w:rPr>
        <w:t xml:space="preserve">The Sweet and Scott </w:t>
      </w:r>
      <w:r w:rsidR="00C51952" w:rsidRPr="003329B4">
        <w:rPr>
          <w:b/>
        </w:rPr>
        <w:t xml:space="preserve">(2022) </w:t>
      </w:r>
      <w:r w:rsidR="00530CD2" w:rsidRPr="003329B4">
        <w:rPr>
          <w:b/>
        </w:rPr>
        <w:t>Study</w:t>
      </w:r>
    </w:p>
    <w:p w14:paraId="098341D2" w14:textId="51EEB2A7" w:rsidR="009028CC" w:rsidRPr="00F01655" w:rsidRDefault="00530CD2" w:rsidP="003329B4">
      <w:pPr>
        <w:jc w:val="both"/>
        <w:rPr>
          <w:color w:val="000000" w:themeColor="text1"/>
        </w:rPr>
      </w:pPr>
      <w:r w:rsidRPr="003329B4">
        <w:rPr>
          <w:color w:val="000000" w:themeColor="text1"/>
        </w:rPr>
        <w:t xml:space="preserve">The studies of the previous two sections examine either post-COVID ETF or some </w:t>
      </w:r>
      <w:r w:rsidR="00C51952" w:rsidRPr="003329B4">
        <w:rPr>
          <w:color w:val="000000" w:themeColor="text1"/>
        </w:rPr>
        <w:t>measure</w:t>
      </w:r>
      <w:r w:rsidRPr="003329B4">
        <w:rPr>
          <w:color w:val="000000" w:themeColor="text1"/>
        </w:rPr>
        <w:t xml:space="preserve"> of post-COVID ITF, but do not examine both ETF and ITF </w:t>
      </w:r>
      <w:r w:rsidR="00DB2A5B" w:rsidRPr="003329B4">
        <w:rPr>
          <w:color w:val="000000" w:themeColor="text1"/>
        </w:rPr>
        <w:t>simultaneously</w:t>
      </w:r>
      <w:r w:rsidRPr="003329B4">
        <w:rPr>
          <w:color w:val="000000" w:themeColor="text1"/>
        </w:rPr>
        <w:t>. The study that comes clos</w:t>
      </w:r>
      <w:r w:rsidR="00C316EB" w:rsidRPr="003329B4">
        <w:rPr>
          <w:color w:val="000000" w:themeColor="text1"/>
        </w:rPr>
        <w:t>e</w:t>
      </w:r>
      <w:r w:rsidR="0080026F" w:rsidRPr="003329B4">
        <w:rPr>
          <w:color w:val="000000" w:themeColor="text1"/>
        </w:rPr>
        <w:t>st</w:t>
      </w:r>
      <w:r w:rsidRPr="003329B4">
        <w:rPr>
          <w:color w:val="000000" w:themeColor="text1"/>
        </w:rPr>
        <w:t xml:space="preserve"> to</w:t>
      </w:r>
      <w:r w:rsidR="00C316EB" w:rsidRPr="003329B4">
        <w:rPr>
          <w:color w:val="000000" w:themeColor="text1"/>
        </w:rPr>
        <w:t xml:space="preserve"> the current research </w:t>
      </w:r>
      <w:r w:rsidR="00C51952" w:rsidRPr="003329B4">
        <w:rPr>
          <w:color w:val="000000" w:themeColor="text1"/>
        </w:rPr>
        <w:t>is that of Sweet and Scott (2022)</w:t>
      </w:r>
      <w:r w:rsidR="0061500E" w:rsidRPr="003329B4">
        <w:rPr>
          <w:color w:val="000000" w:themeColor="text1"/>
        </w:rPr>
        <w:t xml:space="preserve">, who use data collected through a </w:t>
      </w:r>
      <w:r w:rsidR="0061500E" w:rsidRPr="003329B4">
        <w:rPr>
          <w:color w:val="000000" w:themeColor="text1"/>
        </w:rPr>
        <w:lastRenderedPageBreak/>
        <w:t>survey administered</w:t>
      </w:r>
      <w:r w:rsidR="002F288D" w:rsidRPr="003329B4">
        <w:rPr>
          <w:color w:val="000000" w:themeColor="text1"/>
        </w:rPr>
        <w:t xml:space="preserve"> </w:t>
      </w:r>
      <w:r w:rsidR="0061500E" w:rsidRPr="003329B4">
        <w:rPr>
          <w:color w:val="000000" w:themeColor="text1"/>
        </w:rPr>
        <w:t xml:space="preserve">in fall 2021 across six different metropolitan areas in Canada. The survey elicited information on telework frequency </w:t>
      </w:r>
      <w:r w:rsidR="00CE0465" w:rsidRPr="003329B4">
        <w:rPr>
          <w:color w:val="000000" w:themeColor="text1"/>
        </w:rPr>
        <w:t>at different points in time, including in fall 2021</w:t>
      </w:r>
      <w:r w:rsidR="0019453E" w:rsidRPr="003329B4">
        <w:rPr>
          <w:color w:val="000000" w:themeColor="text1"/>
        </w:rPr>
        <w:t xml:space="preserve"> </w:t>
      </w:r>
      <w:r w:rsidR="00CE0465" w:rsidRPr="003329B4">
        <w:rPr>
          <w:color w:val="000000" w:themeColor="text1"/>
        </w:rPr>
        <w:t xml:space="preserve">(that is, ETF in our terminology) and a post-COVID ideal state (that is ITF). </w:t>
      </w:r>
      <w:r w:rsidR="002E1D8A" w:rsidRPr="003329B4">
        <w:rPr>
          <w:color w:val="000000" w:themeColor="text1"/>
        </w:rPr>
        <w:t xml:space="preserve">ETF </w:t>
      </w:r>
      <w:r w:rsidR="00CE0465" w:rsidRPr="003329B4">
        <w:rPr>
          <w:color w:val="000000" w:themeColor="text1"/>
        </w:rPr>
        <w:t xml:space="preserve">was specifically defined as remote </w:t>
      </w:r>
      <w:r w:rsidR="00372E30" w:rsidRPr="003329B4">
        <w:rPr>
          <w:color w:val="000000" w:themeColor="text1"/>
        </w:rPr>
        <w:t>workdays</w:t>
      </w:r>
      <w:r w:rsidR="002E1D8A" w:rsidRPr="003329B4">
        <w:rPr>
          <w:color w:val="000000" w:themeColor="text1"/>
        </w:rPr>
        <w:t xml:space="preserve"> </w:t>
      </w:r>
      <w:r w:rsidR="00A95827" w:rsidRPr="003329B4">
        <w:rPr>
          <w:color w:val="000000" w:themeColor="text1"/>
        </w:rPr>
        <w:t xml:space="preserve">from home </w:t>
      </w:r>
      <w:r w:rsidR="002E1D8A" w:rsidRPr="003329B4">
        <w:rPr>
          <w:color w:val="000000" w:themeColor="text1"/>
        </w:rPr>
        <w:t>over the</w:t>
      </w:r>
      <w:r w:rsidR="00A95827" w:rsidRPr="003329B4">
        <w:rPr>
          <w:color w:val="000000" w:themeColor="text1"/>
        </w:rPr>
        <w:t xml:space="preserve"> past month</w:t>
      </w:r>
      <w:r w:rsidR="002E1D8A" w:rsidRPr="003329B4">
        <w:rPr>
          <w:color w:val="000000" w:themeColor="text1"/>
        </w:rPr>
        <w:t xml:space="preserve">, </w:t>
      </w:r>
      <w:r w:rsidR="00CE0465" w:rsidRPr="003329B4">
        <w:rPr>
          <w:color w:val="000000" w:themeColor="text1"/>
        </w:rPr>
        <w:t xml:space="preserve">obtained in the </w:t>
      </w:r>
      <w:r w:rsidR="002E1D8A" w:rsidRPr="003329B4">
        <w:rPr>
          <w:color w:val="000000" w:themeColor="text1"/>
        </w:rPr>
        <w:t>five</w:t>
      </w:r>
      <w:r w:rsidR="00CE0465" w:rsidRPr="003329B4">
        <w:rPr>
          <w:color w:val="000000" w:themeColor="text1"/>
        </w:rPr>
        <w:t xml:space="preserve"> ordinal categories of </w:t>
      </w:r>
      <w:r w:rsidR="002E1D8A" w:rsidRPr="003329B4">
        <w:rPr>
          <w:color w:val="000000" w:themeColor="text1"/>
        </w:rPr>
        <w:t>0 days, a few days</w:t>
      </w:r>
      <w:r w:rsidR="00A95827" w:rsidRPr="003329B4">
        <w:rPr>
          <w:color w:val="000000" w:themeColor="text1"/>
        </w:rPr>
        <w:t xml:space="preserve"> in the month</w:t>
      </w:r>
      <w:r w:rsidR="002E1D8A" w:rsidRPr="003329B4">
        <w:rPr>
          <w:color w:val="000000" w:themeColor="text1"/>
        </w:rPr>
        <w:t>, 1-2 days</w:t>
      </w:r>
      <w:r w:rsidR="00A95827" w:rsidRPr="003329B4">
        <w:rPr>
          <w:color w:val="000000" w:themeColor="text1"/>
        </w:rPr>
        <w:t xml:space="preserve"> per week</w:t>
      </w:r>
      <w:r w:rsidR="002E1D8A" w:rsidRPr="003329B4">
        <w:rPr>
          <w:color w:val="000000" w:themeColor="text1"/>
        </w:rPr>
        <w:t>, 3-4 days</w:t>
      </w:r>
      <w:r w:rsidR="00A95827" w:rsidRPr="003329B4">
        <w:rPr>
          <w:color w:val="000000" w:themeColor="text1"/>
        </w:rPr>
        <w:t xml:space="preserve"> per week</w:t>
      </w:r>
      <w:r w:rsidR="002E1D8A" w:rsidRPr="003329B4">
        <w:rPr>
          <w:color w:val="000000" w:themeColor="text1"/>
        </w:rPr>
        <w:t>, and 5 days or more</w:t>
      </w:r>
      <w:r w:rsidR="00A95827" w:rsidRPr="003329B4">
        <w:rPr>
          <w:color w:val="000000" w:themeColor="text1"/>
        </w:rPr>
        <w:t xml:space="preserve"> in the week</w:t>
      </w:r>
      <w:r w:rsidR="002E1D8A" w:rsidRPr="003329B4">
        <w:rPr>
          <w:color w:val="000000" w:themeColor="text1"/>
        </w:rPr>
        <w:t xml:space="preserve">. The ITF question was only asked of those who teleworked at least a few days based on </w:t>
      </w:r>
      <w:r w:rsidR="0019453E" w:rsidRPr="003329B4">
        <w:rPr>
          <w:color w:val="000000" w:themeColor="text1"/>
        </w:rPr>
        <w:t xml:space="preserve">the </w:t>
      </w:r>
      <w:r w:rsidR="002E1D8A" w:rsidRPr="003329B4">
        <w:rPr>
          <w:color w:val="000000" w:themeColor="text1"/>
        </w:rPr>
        <w:t xml:space="preserve">ETF response, </w:t>
      </w:r>
      <w:r w:rsidR="0019453E" w:rsidRPr="003329B4">
        <w:rPr>
          <w:color w:val="000000" w:themeColor="text1"/>
        </w:rPr>
        <w:t xml:space="preserve">assuming </w:t>
      </w:r>
      <w:r w:rsidR="002E1D8A" w:rsidRPr="003329B4">
        <w:rPr>
          <w:color w:val="000000" w:themeColor="text1"/>
        </w:rPr>
        <w:t xml:space="preserve">that those who responded with an ETF of “0 days per month” would have an ITF of “0 days per month”. The </w:t>
      </w:r>
      <w:r w:rsidR="0019453E" w:rsidRPr="003329B4">
        <w:rPr>
          <w:color w:val="000000" w:themeColor="text1"/>
        </w:rPr>
        <w:t xml:space="preserve">same five ordinal categories as for ETF were used to elicit ITF responses. The </w:t>
      </w:r>
      <w:r w:rsidR="002E1D8A" w:rsidRPr="003329B4">
        <w:rPr>
          <w:color w:val="000000" w:themeColor="text1"/>
        </w:rPr>
        <w:t xml:space="preserve">study descriptively examined aggregate differences between ETF and ITF, and then followed that up with independent ordered response models for each of ETF and ITF. </w:t>
      </w:r>
      <w:r w:rsidR="00B258AD" w:rsidRPr="003329B4">
        <w:rPr>
          <w:color w:val="000000" w:themeColor="text1"/>
        </w:rPr>
        <w:t>T</w:t>
      </w:r>
      <w:r w:rsidR="002E1D8A" w:rsidRPr="003329B4">
        <w:rPr>
          <w:color w:val="000000" w:themeColor="text1"/>
        </w:rPr>
        <w:t xml:space="preserve">he </w:t>
      </w:r>
      <w:r w:rsidR="00A95827" w:rsidRPr="003329B4">
        <w:rPr>
          <w:color w:val="000000" w:themeColor="text1"/>
        </w:rPr>
        <w:t>ETF (ITF) percentages</w:t>
      </w:r>
      <w:r w:rsidR="0019453E" w:rsidRPr="003329B4">
        <w:rPr>
          <w:color w:val="000000" w:themeColor="text1"/>
        </w:rPr>
        <w:t xml:space="preserve"> from their study a</w:t>
      </w:r>
      <w:r w:rsidR="00A95827" w:rsidRPr="003329B4">
        <w:rPr>
          <w:color w:val="000000" w:themeColor="text1"/>
        </w:rPr>
        <w:t>re as follows: 0 days – 54.1% (54.8%), a few days in the month – 4.1% (5.5%), 1-2 days per week – 10.8% (7.9%), 3-4 days per week – 9.1% (13.4%), and 5 days or more per week – 22% (18.4%)</w:t>
      </w:r>
      <w:r w:rsidR="000069DD" w:rsidRPr="003329B4">
        <w:rPr>
          <w:color w:val="000000" w:themeColor="text1"/>
        </w:rPr>
        <w:t xml:space="preserve">. Interestingly, these descriptive statistics suggest that the aggregate levels of ETF and ITF </w:t>
      </w:r>
      <w:r w:rsidR="0019453E" w:rsidRPr="003329B4">
        <w:rPr>
          <w:color w:val="000000" w:themeColor="text1"/>
        </w:rPr>
        <w:t>a</w:t>
      </w:r>
      <w:r w:rsidR="000069DD" w:rsidRPr="003329B4">
        <w:rPr>
          <w:color w:val="000000" w:themeColor="text1"/>
        </w:rPr>
        <w:t>re quite similar, though th</w:t>
      </w:r>
      <w:r w:rsidR="0019453E" w:rsidRPr="003329B4">
        <w:rPr>
          <w:color w:val="000000" w:themeColor="text1"/>
        </w:rPr>
        <w:t>ey</w:t>
      </w:r>
      <w:r w:rsidR="000069DD" w:rsidRPr="003329B4">
        <w:rPr>
          <w:color w:val="000000" w:themeColor="text1"/>
        </w:rPr>
        <w:t xml:space="preserve"> do not provide the ETF-ITF differences (and therefore the TFD) at the individual level. The independent ordered-response models for ETF and ITF also </w:t>
      </w:r>
      <w:r w:rsidR="0019453E" w:rsidRPr="003329B4">
        <w:rPr>
          <w:color w:val="000000" w:themeColor="text1"/>
        </w:rPr>
        <w:t xml:space="preserve">are </w:t>
      </w:r>
      <w:r w:rsidR="000069DD" w:rsidRPr="003329B4">
        <w:rPr>
          <w:color w:val="000000" w:themeColor="text1"/>
        </w:rPr>
        <w:t xml:space="preserve">surprisingly similar </w:t>
      </w:r>
      <w:r w:rsidR="0019453E" w:rsidRPr="003329B4">
        <w:rPr>
          <w:color w:val="000000" w:themeColor="text1"/>
        </w:rPr>
        <w:t xml:space="preserve">in </w:t>
      </w:r>
      <w:r w:rsidR="000069DD" w:rsidRPr="003329B4">
        <w:rPr>
          <w:color w:val="000000" w:themeColor="text1"/>
        </w:rPr>
        <w:t xml:space="preserve">results, though again these models do </w:t>
      </w:r>
      <w:r w:rsidR="00372E30" w:rsidRPr="003329B4">
        <w:rPr>
          <w:color w:val="000000" w:themeColor="text1"/>
        </w:rPr>
        <w:t>not provide</w:t>
      </w:r>
      <w:r w:rsidR="0019453E" w:rsidRPr="003329B4">
        <w:rPr>
          <w:color w:val="000000" w:themeColor="text1"/>
        </w:rPr>
        <w:t xml:space="preserve"> </w:t>
      </w:r>
      <w:r w:rsidR="000069DD" w:rsidRPr="003329B4">
        <w:rPr>
          <w:color w:val="000000" w:themeColor="text1"/>
        </w:rPr>
        <w:t xml:space="preserve">TFD at the individual level. </w:t>
      </w:r>
      <w:r w:rsidR="00C316EB" w:rsidRPr="003329B4">
        <w:rPr>
          <w:color w:val="000000" w:themeColor="text1"/>
        </w:rPr>
        <w:t>Overall, the results indicate that middle-aged individuals, women</w:t>
      </w:r>
      <w:r w:rsidR="002E5016" w:rsidRPr="003329B4">
        <w:rPr>
          <w:color w:val="000000" w:themeColor="text1"/>
        </w:rPr>
        <w:t xml:space="preserve"> working full-time and men working part-time</w:t>
      </w:r>
      <w:r w:rsidR="00C316EB" w:rsidRPr="003329B4">
        <w:rPr>
          <w:color w:val="000000" w:themeColor="text1"/>
        </w:rPr>
        <w:t xml:space="preserve">, </w:t>
      </w:r>
      <w:r w:rsidR="0019453E" w:rsidRPr="003329B4">
        <w:rPr>
          <w:color w:val="000000" w:themeColor="text1"/>
        </w:rPr>
        <w:t>employees</w:t>
      </w:r>
      <w:r w:rsidR="00C316EB" w:rsidRPr="003329B4">
        <w:rPr>
          <w:color w:val="000000" w:themeColor="text1"/>
        </w:rPr>
        <w:t xml:space="preserve"> with high formal education degrees</w:t>
      </w:r>
      <w:r w:rsidR="002E5016" w:rsidRPr="003329B4">
        <w:rPr>
          <w:color w:val="000000" w:themeColor="text1"/>
        </w:rPr>
        <w:t xml:space="preserve"> (especially if working full-time)</w:t>
      </w:r>
      <w:r w:rsidR="00C316EB" w:rsidRPr="003329B4">
        <w:rPr>
          <w:color w:val="000000" w:themeColor="text1"/>
        </w:rPr>
        <w:t xml:space="preserve">, </w:t>
      </w:r>
      <w:r w:rsidR="0019453E" w:rsidRPr="003329B4">
        <w:rPr>
          <w:color w:val="000000" w:themeColor="text1"/>
        </w:rPr>
        <w:t xml:space="preserve">full-time workers </w:t>
      </w:r>
      <w:r w:rsidR="00C316EB" w:rsidRPr="003329B4">
        <w:rPr>
          <w:color w:val="000000" w:themeColor="text1"/>
        </w:rPr>
        <w:t>with children in the household</w:t>
      </w:r>
      <w:r w:rsidR="0019453E" w:rsidRPr="003329B4">
        <w:rPr>
          <w:color w:val="000000" w:themeColor="text1"/>
        </w:rPr>
        <w:t xml:space="preserve">, part-time workers </w:t>
      </w:r>
      <w:r w:rsidR="00641733" w:rsidRPr="003329B4">
        <w:rPr>
          <w:color w:val="000000" w:themeColor="text1"/>
        </w:rPr>
        <w:t>without children in the household</w:t>
      </w:r>
      <w:r w:rsidR="00C316EB" w:rsidRPr="003329B4">
        <w:rPr>
          <w:color w:val="000000" w:themeColor="text1"/>
        </w:rPr>
        <w:t xml:space="preserve">, </w:t>
      </w:r>
      <w:r w:rsidR="0019453E" w:rsidRPr="003329B4">
        <w:rPr>
          <w:color w:val="000000" w:themeColor="text1"/>
        </w:rPr>
        <w:t xml:space="preserve">those </w:t>
      </w:r>
      <w:r w:rsidR="00C316EB" w:rsidRPr="003329B4">
        <w:rPr>
          <w:color w:val="000000" w:themeColor="text1"/>
        </w:rPr>
        <w:t xml:space="preserve">from high income households, and </w:t>
      </w:r>
      <w:r w:rsidR="009E5B38" w:rsidRPr="003329B4">
        <w:rPr>
          <w:color w:val="000000" w:themeColor="text1"/>
        </w:rPr>
        <w:t xml:space="preserve">individuals </w:t>
      </w:r>
      <w:r w:rsidR="00C316EB" w:rsidRPr="003329B4">
        <w:rPr>
          <w:color w:val="000000" w:themeColor="text1"/>
        </w:rPr>
        <w:t xml:space="preserve">in non-essential occupation sectors had both higher ETF and ITF, though the differences based on all of the variables just identified were more </w:t>
      </w:r>
      <w:r w:rsidR="00D83975" w:rsidRPr="003329B4">
        <w:rPr>
          <w:color w:val="000000" w:themeColor="text1"/>
        </w:rPr>
        <w:t>moderate</w:t>
      </w:r>
      <w:r w:rsidR="00C316EB" w:rsidRPr="003329B4">
        <w:rPr>
          <w:color w:val="000000" w:themeColor="text1"/>
        </w:rPr>
        <w:t xml:space="preserve"> for ITF than for ETF.</w:t>
      </w:r>
      <w:r w:rsidR="00641733" w:rsidRPr="003329B4">
        <w:rPr>
          <w:color w:val="000000" w:themeColor="text1"/>
        </w:rPr>
        <w:t xml:space="preserve"> </w:t>
      </w:r>
      <w:r w:rsidR="00C316EB" w:rsidRPr="003329B4">
        <w:rPr>
          <w:color w:val="000000" w:themeColor="text1"/>
        </w:rPr>
        <w:t xml:space="preserve">In our current paper, we use similar data as collected by </w:t>
      </w:r>
      <w:r w:rsidR="00D66ED5" w:rsidRPr="003329B4">
        <w:rPr>
          <w:color w:val="000000" w:themeColor="text1"/>
        </w:rPr>
        <w:t>Sweet and Scott, but</w:t>
      </w:r>
      <w:r w:rsidR="00D66ED5" w:rsidRPr="00F01655">
        <w:rPr>
          <w:color w:val="000000" w:themeColor="text1"/>
        </w:rPr>
        <w:t xml:space="preserve"> </w:t>
      </w:r>
      <w:r w:rsidR="00641733" w:rsidRPr="00F01655">
        <w:rPr>
          <w:color w:val="000000" w:themeColor="text1"/>
        </w:rPr>
        <w:t xml:space="preserve">analyze </w:t>
      </w:r>
      <w:r w:rsidR="00D66ED5" w:rsidRPr="00F01655">
        <w:rPr>
          <w:color w:val="000000" w:themeColor="text1"/>
        </w:rPr>
        <w:t>the data</w:t>
      </w:r>
      <w:r w:rsidR="009E5B38" w:rsidRPr="00F01655">
        <w:rPr>
          <w:color w:val="000000" w:themeColor="text1"/>
        </w:rPr>
        <w:t xml:space="preserve"> </w:t>
      </w:r>
      <w:r w:rsidR="00D66ED5" w:rsidRPr="00F01655">
        <w:rPr>
          <w:color w:val="000000" w:themeColor="text1"/>
        </w:rPr>
        <w:t xml:space="preserve">more rigorously </w:t>
      </w:r>
      <w:r w:rsidR="00641733" w:rsidRPr="00F01655">
        <w:rPr>
          <w:color w:val="000000" w:themeColor="text1"/>
        </w:rPr>
        <w:t xml:space="preserve">and </w:t>
      </w:r>
      <w:r w:rsidR="00D66ED5" w:rsidRPr="00F01655">
        <w:rPr>
          <w:color w:val="000000" w:themeColor="text1"/>
        </w:rPr>
        <w:t xml:space="preserve">study the bivariate distribution of ETF and ITF </w:t>
      </w:r>
      <w:r w:rsidR="00641733" w:rsidRPr="00F01655">
        <w:rPr>
          <w:color w:val="000000" w:themeColor="text1"/>
        </w:rPr>
        <w:t>to</w:t>
      </w:r>
      <w:r w:rsidR="00D66ED5" w:rsidRPr="00F01655">
        <w:rPr>
          <w:color w:val="000000" w:themeColor="text1"/>
        </w:rPr>
        <w:t xml:space="preserve"> identify TFD at the individual level </w:t>
      </w:r>
      <w:r w:rsidR="00727760" w:rsidRPr="00F01655">
        <w:rPr>
          <w:color w:val="000000" w:themeColor="text1"/>
        </w:rPr>
        <w:t>and as a function of a host of exogenous variables</w:t>
      </w:r>
      <w:r w:rsidR="00D66ED5" w:rsidRPr="00F01655">
        <w:rPr>
          <w:color w:val="000000" w:themeColor="text1"/>
        </w:rPr>
        <w:t>. We also study ETF and ITF for U</w:t>
      </w:r>
      <w:r w:rsidR="00926E20">
        <w:rPr>
          <w:color w:val="000000" w:themeColor="text1"/>
        </w:rPr>
        <w:t>.</w:t>
      </w:r>
      <w:r w:rsidR="00D66ED5" w:rsidRPr="00F01655">
        <w:rPr>
          <w:color w:val="000000" w:themeColor="text1"/>
        </w:rPr>
        <w:t>S</w:t>
      </w:r>
      <w:r w:rsidR="00926E20">
        <w:rPr>
          <w:color w:val="000000" w:themeColor="text1"/>
        </w:rPr>
        <w:t>.</w:t>
      </w:r>
      <w:r w:rsidR="00D66ED5" w:rsidRPr="00F01655">
        <w:rPr>
          <w:color w:val="000000" w:themeColor="text1"/>
        </w:rPr>
        <w:t xml:space="preserve"> workers rather than for Canadian workers. </w:t>
      </w:r>
    </w:p>
    <w:p w14:paraId="5645FE2F" w14:textId="77777777" w:rsidR="00D66ED5" w:rsidRPr="00F01655" w:rsidRDefault="00D66ED5" w:rsidP="00372E30">
      <w:pPr>
        <w:ind w:firstLine="720"/>
        <w:jc w:val="both"/>
        <w:rPr>
          <w:color w:val="000000" w:themeColor="text1"/>
        </w:rPr>
      </w:pPr>
    </w:p>
    <w:p w14:paraId="1C01A46C" w14:textId="77777777" w:rsidR="00232689" w:rsidRPr="00F01655" w:rsidRDefault="00232689" w:rsidP="002966B2">
      <w:pPr>
        <w:pStyle w:val="Heading2"/>
        <w:ind w:left="540" w:hanging="540"/>
        <w:rPr>
          <w:rFonts w:ascii="Times New Roman" w:hAnsi="Times New Roman" w:cs="Times New Roman"/>
          <w:b/>
          <w:bCs/>
          <w:color w:val="000000" w:themeColor="text1"/>
          <w:sz w:val="24"/>
          <w:szCs w:val="24"/>
        </w:rPr>
      </w:pPr>
      <w:r w:rsidRPr="00F01655">
        <w:rPr>
          <w:rFonts w:ascii="Times New Roman" w:hAnsi="Times New Roman" w:cs="Times New Roman"/>
          <w:b/>
          <w:bCs/>
          <w:color w:val="000000" w:themeColor="text1"/>
          <w:sz w:val="24"/>
          <w:szCs w:val="24"/>
        </w:rPr>
        <w:t>2.4.</w:t>
      </w:r>
      <w:r w:rsidRPr="00F01655">
        <w:rPr>
          <w:rFonts w:ascii="Times New Roman" w:hAnsi="Times New Roman" w:cs="Times New Roman"/>
          <w:b/>
          <w:bCs/>
          <w:color w:val="000000" w:themeColor="text1"/>
          <w:sz w:val="24"/>
          <w:szCs w:val="24"/>
        </w:rPr>
        <w:tab/>
        <w:t>Current Paper in Context</w:t>
      </w:r>
    </w:p>
    <w:p w14:paraId="060D96C9" w14:textId="72585602" w:rsidR="00232689" w:rsidRPr="003329B4" w:rsidRDefault="00232689" w:rsidP="003329B4">
      <w:pPr>
        <w:jc w:val="both"/>
      </w:pPr>
      <w:r w:rsidRPr="00F01655">
        <w:t xml:space="preserve">In the current paper, we </w:t>
      </w:r>
      <w:r w:rsidR="00D66ED5" w:rsidRPr="00F01655">
        <w:t xml:space="preserve">contribute to the teleworking </w:t>
      </w:r>
      <w:r w:rsidRPr="00F01655">
        <w:t xml:space="preserve">literature in multiple ways. </w:t>
      </w:r>
      <w:r w:rsidRPr="00F01655">
        <w:rPr>
          <w:u w:val="single"/>
        </w:rPr>
        <w:t>First</w:t>
      </w:r>
      <w:r w:rsidRPr="00F01655">
        <w:t xml:space="preserve">, we </w:t>
      </w:r>
      <w:r w:rsidR="00D66ED5" w:rsidRPr="00F01655">
        <w:t xml:space="preserve">examine the extent of the gulf between what workers would ideally like to do by way of teleworking frequency relative to what they </w:t>
      </w:r>
      <w:r w:rsidR="0080026F" w:rsidRPr="00F01655">
        <w:t xml:space="preserve">expect to do </w:t>
      </w:r>
      <w:r w:rsidR="009103FD" w:rsidRPr="00F01655">
        <w:t>“once society reaches a post-COVID new normal.” T</w:t>
      </w:r>
      <w:r w:rsidR="00D66ED5" w:rsidRPr="00F01655">
        <w:t xml:space="preserve">he </w:t>
      </w:r>
      <w:r w:rsidR="00C222B9" w:rsidRPr="00F01655">
        <w:t xml:space="preserve">intensity of </w:t>
      </w:r>
      <w:r w:rsidR="009103FD" w:rsidRPr="00F01655">
        <w:t xml:space="preserve">the gulf between ETF and ITF (that is, </w:t>
      </w:r>
      <w:r w:rsidR="00C222B9" w:rsidRPr="00F01655">
        <w:t>TFD</w:t>
      </w:r>
      <w:r w:rsidR="009103FD" w:rsidRPr="00F01655">
        <w:t>)</w:t>
      </w:r>
      <w:r w:rsidR="00C222B9" w:rsidRPr="00F01655">
        <w:t xml:space="preserve"> can provide a good indication to employers of the types of employees who may have the most TFD, which employers can use for future </w:t>
      </w:r>
      <w:r w:rsidR="00D83975" w:rsidRPr="00F01655">
        <w:t>corporate policy</w:t>
      </w:r>
      <w:r w:rsidR="00C222B9" w:rsidRPr="00F01655">
        <w:t xml:space="preserve"> planning, </w:t>
      </w:r>
      <w:r w:rsidR="009E5B38" w:rsidRPr="00F01655">
        <w:t xml:space="preserve">and </w:t>
      </w:r>
      <w:r w:rsidR="00C222B9" w:rsidRPr="003329B4">
        <w:t xml:space="preserve">recruitment </w:t>
      </w:r>
      <w:r w:rsidR="00D83975" w:rsidRPr="003329B4">
        <w:t>strategies</w:t>
      </w:r>
      <w:r w:rsidR="009E5B38" w:rsidRPr="003329B4">
        <w:t>.</w:t>
      </w:r>
      <w:r w:rsidR="00C222B9" w:rsidRPr="003329B4">
        <w:t xml:space="preserve"> Further, our analysis </w:t>
      </w:r>
      <w:r w:rsidR="00D83975" w:rsidRPr="003329B4">
        <w:t>helps inform</w:t>
      </w:r>
      <w:r w:rsidR="00C222B9" w:rsidRPr="003329B4">
        <w:t xml:space="preserve"> employers and land-use-transportation professionals to </w:t>
      </w:r>
      <w:r w:rsidR="00D83975" w:rsidRPr="003329B4">
        <w:t>plan</w:t>
      </w:r>
      <w:r w:rsidR="00C222B9" w:rsidRPr="003329B4">
        <w:t xml:space="preserve"> appropriately for the future</w:t>
      </w:r>
      <w:r w:rsidR="00D83975" w:rsidRPr="003329B4">
        <w:t>.</w:t>
      </w:r>
      <w:r w:rsidR="00C222B9" w:rsidRPr="003329B4">
        <w:t xml:space="preserve"> </w:t>
      </w:r>
      <w:r w:rsidR="00D83975" w:rsidRPr="003329B4">
        <w:t>Through an enhanced</w:t>
      </w:r>
      <w:r w:rsidR="00C222B9" w:rsidRPr="003329B4">
        <w:t xml:space="preserve"> understanding of </w:t>
      </w:r>
      <w:r w:rsidR="000D5147" w:rsidRPr="003329B4">
        <w:t xml:space="preserve">the work arrangements desired by the workforce </w:t>
      </w:r>
      <w:r w:rsidR="00AF1A6B" w:rsidRPr="003329B4">
        <w:t>(as d</w:t>
      </w:r>
      <w:r w:rsidR="00D83975" w:rsidRPr="003329B4">
        <w:t>enoted</w:t>
      </w:r>
      <w:r w:rsidR="00AF1A6B" w:rsidRPr="003329B4">
        <w:t xml:space="preserve"> by </w:t>
      </w:r>
      <w:r w:rsidR="00C222B9" w:rsidRPr="003329B4">
        <w:t>the ideal desired telework frequency of employ</w:t>
      </w:r>
      <w:r w:rsidR="00AF1A6B" w:rsidRPr="003329B4">
        <w:t>ees)</w:t>
      </w:r>
      <w:r w:rsidR="00D83975" w:rsidRPr="003329B4">
        <w:t>, employers can design</w:t>
      </w:r>
      <w:r w:rsidR="000D5147" w:rsidRPr="003329B4">
        <w:t xml:space="preserve"> customized telework policies and programs</w:t>
      </w:r>
      <w:r w:rsidR="00AF1A6B" w:rsidRPr="003329B4">
        <w:t>.</w:t>
      </w:r>
      <w:r w:rsidR="009452A7">
        <w:t xml:space="preserve"> </w:t>
      </w:r>
      <w:bookmarkStart w:id="5" w:name="_Hlk143263228"/>
      <w:r w:rsidR="00313541">
        <w:t>Additionally</w:t>
      </w:r>
      <w:r w:rsidR="009452A7">
        <w:t>,</w:t>
      </w:r>
      <w:r w:rsidR="009452A7" w:rsidRPr="009452A7">
        <w:t xml:space="preserve"> </w:t>
      </w:r>
      <w:r w:rsidR="009452A7">
        <w:t>t</w:t>
      </w:r>
      <w:r w:rsidR="009452A7" w:rsidRPr="009452A7">
        <w:t xml:space="preserve">eleworking has important implications in the planning, design, and operations of transportation systems and services, as should be evident from the substantial attention accorded to teleworking (and more generally, work arrangements) in the transportation literature (see </w:t>
      </w:r>
      <w:r w:rsidR="00CA6E36">
        <w:t>Salomon, 1998; Andreev et al., 2010</w:t>
      </w:r>
      <w:r w:rsidR="009452A7" w:rsidRPr="009452A7">
        <w:t>).</w:t>
      </w:r>
      <w:r w:rsidR="009452A7">
        <w:t xml:space="preserve"> Our analysis helps inform the stakeholders of such systems and services </w:t>
      </w:r>
      <w:r w:rsidR="007C1B88">
        <w:t xml:space="preserve">of </w:t>
      </w:r>
      <w:r w:rsidR="009452A7">
        <w:t>the travel behavior and transportation-related impacts of employees with heightened TFD</w:t>
      </w:r>
      <w:r w:rsidR="00AE181A">
        <w:t xml:space="preserve"> and whose travel demand may shift as they switch to jobs that </w:t>
      </w:r>
      <w:r w:rsidR="00DF7087" w:rsidRPr="00CF0E6D">
        <w:t>more closely align with</w:t>
      </w:r>
      <w:r w:rsidR="00DF7087" w:rsidRPr="00814854">
        <w:t xml:space="preserve"> </w:t>
      </w:r>
      <w:r w:rsidR="00AE181A">
        <w:t>their ITF</w:t>
      </w:r>
      <w:r w:rsidR="009452A7">
        <w:t xml:space="preserve">. </w:t>
      </w:r>
      <w:bookmarkEnd w:id="5"/>
      <w:r w:rsidR="00AF1A6B" w:rsidRPr="003329B4">
        <w:rPr>
          <w:u w:val="single"/>
        </w:rPr>
        <w:t>Second</w:t>
      </w:r>
      <w:r w:rsidR="00C77EA8" w:rsidRPr="003329B4">
        <w:t xml:space="preserve">, </w:t>
      </w:r>
      <w:r w:rsidR="00AF1A6B" w:rsidRPr="003329B4">
        <w:t xml:space="preserve">to our knowledge, the current study is the first to </w:t>
      </w:r>
      <w:r w:rsidRPr="003329B4">
        <w:t>investigat</w:t>
      </w:r>
      <w:r w:rsidR="00C77EA8" w:rsidRPr="003329B4">
        <w:t>e</w:t>
      </w:r>
      <w:r w:rsidRPr="003329B4">
        <w:t xml:space="preserve"> the </w:t>
      </w:r>
      <w:r w:rsidR="002C2659" w:rsidRPr="003329B4">
        <w:t>pandemic-induced</w:t>
      </w:r>
      <w:r w:rsidRPr="003329B4">
        <w:t xml:space="preserve"> dissonance and consonance from a </w:t>
      </w:r>
      <w:r w:rsidR="00AF1A6B" w:rsidRPr="003329B4">
        <w:t xml:space="preserve">telework </w:t>
      </w:r>
      <w:r w:rsidRPr="003329B4">
        <w:t xml:space="preserve">context. Previous literature has focused on applying </w:t>
      </w:r>
      <w:r w:rsidR="00AF1A6B" w:rsidRPr="003329B4">
        <w:t xml:space="preserve">cognitive dissonance theory </w:t>
      </w:r>
      <w:r w:rsidR="00AF1A6B" w:rsidRPr="003329B4">
        <w:rPr>
          <w:color w:val="000000" w:themeColor="text1"/>
        </w:rPr>
        <w:t xml:space="preserve">in other fields such as waste </w:t>
      </w:r>
      <w:r w:rsidR="00AF1A6B" w:rsidRPr="003329B4">
        <w:rPr>
          <w:color w:val="000000" w:themeColor="text1"/>
        </w:rPr>
        <w:lastRenderedPageBreak/>
        <w:t xml:space="preserve">management (Arriagada et al., 2022), workplace organizations (Zou et al., 2020; </w:t>
      </w:r>
      <w:proofErr w:type="spellStart"/>
      <w:r w:rsidR="00AF1A6B" w:rsidRPr="003329B4">
        <w:rPr>
          <w:color w:val="000000" w:themeColor="text1"/>
        </w:rPr>
        <w:t>Oduh</w:t>
      </w:r>
      <w:proofErr w:type="spellEnd"/>
      <w:r w:rsidR="00AF1A6B" w:rsidRPr="003329B4">
        <w:rPr>
          <w:color w:val="000000" w:themeColor="text1"/>
        </w:rPr>
        <w:t xml:space="preserve">, 2016), and kinesiology (Cooper and Feldman, 2020). </w:t>
      </w:r>
      <w:r w:rsidR="00AF1A6B" w:rsidRPr="003329B4">
        <w:t>W</w:t>
      </w:r>
      <w:r w:rsidR="00C0079F" w:rsidRPr="003329B4">
        <w:t xml:space="preserve">ithin the transportation field, the theory of cognitive dissonance has been applied to mode choice and residential location choices (see for example, </w:t>
      </w:r>
      <w:r w:rsidR="00AF1A6B" w:rsidRPr="003329B4">
        <w:t>De</w:t>
      </w:r>
      <w:r w:rsidR="00213124" w:rsidRPr="003329B4">
        <w:t xml:space="preserve"> </w:t>
      </w:r>
      <w:r w:rsidR="00C0079F" w:rsidRPr="003329B4">
        <w:rPr>
          <w:color w:val="000000"/>
        </w:rPr>
        <w:t xml:space="preserve">Vos (2018) and </w:t>
      </w:r>
      <w:r w:rsidR="00AF1A6B" w:rsidRPr="003329B4">
        <w:rPr>
          <w:color w:val="000000"/>
        </w:rPr>
        <w:t>De</w:t>
      </w:r>
      <w:r w:rsidR="00213124" w:rsidRPr="003329B4">
        <w:rPr>
          <w:color w:val="000000"/>
        </w:rPr>
        <w:t xml:space="preserve"> </w:t>
      </w:r>
      <w:r w:rsidR="00C0079F" w:rsidRPr="003329B4">
        <w:rPr>
          <w:color w:val="000000"/>
        </w:rPr>
        <w:t>Vos and Singleton (2020</w:t>
      </w:r>
      <w:r w:rsidR="00C44681" w:rsidRPr="003329B4">
        <w:rPr>
          <w:color w:val="000000"/>
        </w:rPr>
        <w:t>)</w:t>
      </w:r>
      <w:r w:rsidR="00C0079F" w:rsidRPr="003329B4">
        <w:rPr>
          <w:color w:val="000000"/>
        </w:rPr>
        <w:t>).</w:t>
      </w:r>
      <w:r w:rsidR="00C0079F" w:rsidRPr="003329B4">
        <w:t xml:space="preserve"> </w:t>
      </w:r>
      <w:r w:rsidRPr="003329B4">
        <w:t xml:space="preserve">However, to our knowledge, this social psychology theory has not been applied to </w:t>
      </w:r>
      <w:r w:rsidR="00AF1A6B" w:rsidRPr="003329B4">
        <w:t>telework choices</w:t>
      </w:r>
      <w:r w:rsidR="000E7E47" w:rsidRPr="003329B4">
        <w:t>.</w:t>
      </w:r>
      <w:r w:rsidRPr="003329B4">
        <w:t xml:space="preserve"> </w:t>
      </w:r>
      <w:r w:rsidR="00AF1A6B" w:rsidRPr="003329B4">
        <w:t>T</w:t>
      </w:r>
      <w:r w:rsidRPr="003329B4">
        <w:t xml:space="preserve">he application of this theory </w:t>
      </w:r>
      <w:r w:rsidR="00AF1A6B" w:rsidRPr="003329B4">
        <w:t>can help inform ways to reduce stress in the U</w:t>
      </w:r>
      <w:r w:rsidR="00926E20">
        <w:t>.</w:t>
      </w:r>
      <w:r w:rsidR="00AF1A6B" w:rsidRPr="003329B4">
        <w:t>S</w:t>
      </w:r>
      <w:r w:rsidR="00926E20">
        <w:t>.</w:t>
      </w:r>
      <w:r w:rsidR="00AF1A6B" w:rsidRPr="003329B4">
        <w:t xml:space="preserve"> workforce and reduce the high job quit rate that has been prevalent in the aftermath </w:t>
      </w:r>
      <w:r w:rsidR="009E5B38" w:rsidRPr="003329B4">
        <w:t>o</w:t>
      </w:r>
      <w:r w:rsidR="00AF1A6B" w:rsidRPr="003329B4">
        <w:t xml:space="preserve">f the pandemic </w:t>
      </w:r>
      <w:r w:rsidRPr="003329B4">
        <w:t>(</w:t>
      </w:r>
      <w:proofErr w:type="spellStart"/>
      <w:r w:rsidRPr="003329B4">
        <w:t>Barrero</w:t>
      </w:r>
      <w:proofErr w:type="spellEnd"/>
      <w:r w:rsidRPr="003329B4">
        <w:t xml:space="preserve"> et al., 2021). </w:t>
      </w:r>
      <w:r w:rsidR="005049EC" w:rsidRPr="003329B4">
        <w:rPr>
          <w:u w:val="single"/>
        </w:rPr>
        <w:t>Third</w:t>
      </w:r>
      <w:r w:rsidR="00220FD3" w:rsidRPr="003329B4">
        <w:t xml:space="preserve">, </w:t>
      </w:r>
      <w:r w:rsidR="00727760" w:rsidRPr="003329B4">
        <w:t>we consider a suite of individual/household demographics, job-related characteristics, and residential attributes in our analysis. In addition to including the attributes identified above, we also consider multi-way interactions among these attributes</w:t>
      </w:r>
      <w:r w:rsidR="00C17F4F" w:rsidRPr="003329B4">
        <w:t xml:space="preserve"> to examine, for example, gendered lifecycle effects</w:t>
      </w:r>
      <w:r w:rsidR="00727760" w:rsidRPr="003329B4">
        <w:t xml:space="preserve">. </w:t>
      </w:r>
      <w:r w:rsidR="00727760" w:rsidRPr="003329B4">
        <w:rPr>
          <w:u w:val="single"/>
        </w:rPr>
        <w:t>Fourth</w:t>
      </w:r>
      <w:r w:rsidR="00727760" w:rsidRPr="003329B4">
        <w:t xml:space="preserve">, we use a novel bivariate ordered-response </w:t>
      </w:r>
      <w:proofErr w:type="spellStart"/>
      <w:r w:rsidR="00727760" w:rsidRPr="003329B4">
        <w:t>probit</w:t>
      </w:r>
      <w:proofErr w:type="spellEnd"/>
      <w:r w:rsidR="00727760" w:rsidRPr="003329B4">
        <w:t xml:space="preserve"> model to study potential TFD effects. In particular, we structure our model to immediately identify those</w:t>
      </w:r>
      <w:r w:rsidR="009E5B38" w:rsidRPr="003329B4">
        <w:t xml:space="preserve"> with </w:t>
      </w:r>
      <w:r w:rsidR="00727760" w:rsidRPr="003329B4">
        <w:t>hi</w:t>
      </w:r>
      <w:r w:rsidR="009E5B38" w:rsidRPr="003329B4">
        <w:t>gh/</w:t>
      </w:r>
      <w:r w:rsidR="00727760" w:rsidRPr="003329B4">
        <w:t xml:space="preserve">low TFD, while also explicitly recognizing that there is likely to be a sizeable share of workers who are in a consonance state. In this regard, our methodology allows us to </w:t>
      </w:r>
      <w:r w:rsidR="00503AEF" w:rsidRPr="003329B4">
        <w:t xml:space="preserve">estimate the share of individuals in a state of consonance and dissonance, as well as the expected telework frequency level of consonance and the intensity of dissonance. </w:t>
      </w:r>
      <w:r w:rsidR="001F5A82" w:rsidRPr="003329B4">
        <w:t>W</w:t>
      </w:r>
      <w:r w:rsidR="00D31E13" w:rsidRPr="003329B4">
        <w:t xml:space="preserve">e </w:t>
      </w:r>
      <w:r w:rsidR="001F5A82" w:rsidRPr="003329B4">
        <w:t xml:space="preserve">also </w:t>
      </w:r>
      <w:r w:rsidR="00D31E13" w:rsidRPr="003329B4">
        <w:t xml:space="preserve">recognize the </w:t>
      </w:r>
      <w:r w:rsidR="001F5A82" w:rsidRPr="003329B4">
        <w:t xml:space="preserve">potential </w:t>
      </w:r>
      <w:r w:rsidR="00D31E13" w:rsidRPr="003329B4">
        <w:t xml:space="preserve">presence of </w:t>
      </w:r>
      <w:r w:rsidR="00D83975" w:rsidRPr="003329B4">
        <w:t xml:space="preserve">common </w:t>
      </w:r>
      <w:r w:rsidR="00D31E13" w:rsidRPr="003329B4">
        <w:t xml:space="preserve">unobserved individual factors that may </w:t>
      </w:r>
      <w:r w:rsidR="00D83975" w:rsidRPr="003329B4">
        <w:t>simultaneously</w:t>
      </w:r>
      <w:r w:rsidR="00D31E13" w:rsidRPr="003329B4">
        <w:t xml:space="preserve"> affect ETF and </w:t>
      </w:r>
      <w:r w:rsidR="00560648" w:rsidRPr="003329B4">
        <w:t>ITF and</w:t>
      </w:r>
      <w:r w:rsidR="00D31E13" w:rsidRPr="003329B4">
        <w:t xml:space="preserve"> allow the intensity of </w:t>
      </w:r>
      <w:r w:rsidR="001F5A82" w:rsidRPr="003329B4">
        <w:t xml:space="preserve">any </w:t>
      </w:r>
      <w:r w:rsidR="00D31E13" w:rsidRPr="003329B4">
        <w:t xml:space="preserve">such common unobserved effects to vary across individuals. </w:t>
      </w:r>
      <w:r w:rsidR="001F5A82" w:rsidRPr="003329B4">
        <w:rPr>
          <w:u w:val="single"/>
        </w:rPr>
        <w:t>Finally</w:t>
      </w:r>
      <w:r w:rsidR="001F5A82" w:rsidRPr="00636FB7">
        <w:t>,</w:t>
      </w:r>
      <w:r w:rsidR="001F5A82" w:rsidRPr="003329B4">
        <w:t xml:space="preserve"> we translate our estimation results to </w:t>
      </w:r>
      <w:r w:rsidR="00D83975" w:rsidRPr="003329B4">
        <w:t xml:space="preserve">quantify </w:t>
      </w:r>
      <w:r w:rsidR="006E7983" w:rsidRPr="003329B4">
        <w:t>an individual’s 1) probability of being in consonance, 2) preferred monthly teleworking consonance levels, 3) probability of being in dissonance, and 4) dissonance intensity.</w:t>
      </w:r>
    </w:p>
    <w:p w14:paraId="422B2D11" w14:textId="77777777" w:rsidR="009028CC" w:rsidRPr="003329B4" w:rsidRDefault="009028CC" w:rsidP="003329B4">
      <w:pPr>
        <w:jc w:val="both"/>
      </w:pPr>
    </w:p>
    <w:p w14:paraId="525E3E70" w14:textId="77777777" w:rsidR="00232689" w:rsidRPr="003329B4" w:rsidRDefault="00232689" w:rsidP="002966B2">
      <w:pPr>
        <w:pStyle w:val="Heading1"/>
        <w:spacing w:before="0"/>
        <w:ind w:left="360" w:hanging="360"/>
        <w:rPr>
          <w:rFonts w:ascii="Times New Roman" w:hAnsi="Times New Roman" w:cs="Times New Roman"/>
          <w:b/>
          <w:bCs/>
          <w:color w:val="000000" w:themeColor="text1"/>
          <w:sz w:val="24"/>
          <w:szCs w:val="24"/>
        </w:rPr>
      </w:pPr>
      <w:r w:rsidRPr="003329B4">
        <w:rPr>
          <w:rFonts w:ascii="Times New Roman" w:hAnsi="Times New Roman" w:cs="Times New Roman"/>
          <w:b/>
          <w:bCs/>
          <w:color w:val="000000" w:themeColor="text1"/>
          <w:sz w:val="24"/>
          <w:szCs w:val="24"/>
        </w:rPr>
        <w:t>3.</w:t>
      </w:r>
      <w:r w:rsidRPr="003329B4">
        <w:rPr>
          <w:rFonts w:ascii="Times New Roman" w:hAnsi="Times New Roman" w:cs="Times New Roman"/>
          <w:b/>
          <w:bCs/>
          <w:color w:val="000000" w:themeColor="text1"/>
          <w:sz w:val="24"/>
          <w:szCs w:val="24"/>
        </w:rPr>
        <w:tab/>
        <w:t>METHODOLOGY</w:t>
      </w:r>
    </w:p>
    <w:p w14:paraId="048E28FB" w14:textId="77777777" w:rsidR="00232689" w:rsidRPr="003329B4" w:rsidRDefault="00232689" w:rsidP="002966B2">
      <w:pPr>
        <w:pStyle w:val="NormalWeb"/>
        <w:spacing w:before="0" w:beforeAutospacing="0" w:after="0" w:afterAutospacing="0"/>
        <w:ind w:left="540" w:hanging="540"/>
      </w:pPr>
      <w:r w:rsidRPr="003329B4">
        <w:rPr>
          <w:b/>
          <w:bCs/>
          <w:color w:val="000000" w:themeColor="text1"/>
        </w:rPr>
        <w:t>3.1.</w:t>
      </w:r>
      <w:r w:rsidRPr="003329B4">
        <w:rPr>
          <w:b/>
          <w:bCs/>
          <w:color w:val="000000" w:themeColor="text1"/>
        </w:rPr>
        <w:tab/>
        <w:t xml:space="preserve">Survey Overview </w:t>
      </w:r>
    </w:p>
    <w:p w14:paraId="5CC6D3F0" w14:textId="589368B7" w:rsidR="00232689" w:rsidRPr="003329B4" w:rsidRDefault="00232689" w:rsidP="003329B4">
      <w:pPr>
        <w:pStyle w:val="NormalWeb"/>
        <w:spacing w:before="0" w:beforeAutospacing="0" w:after="0" w:afterAutospacing="0"/>
        <w:jc w:val="both"/>
      </w:pPr>
      <w:r w:rsidRPr="003329B4">
        <w:t xml:space="preserve">Data for this study are derived from </w:t>
      </w:r>
      <w:r w:rsidR="000C396E" w:rsidRPr="003329B4">
        <w:t xml:space="preserve">Wave 3 of </w:t>
      </w:r>
      <w:r w:rsidRPr="003329B4">
        <w:t xml:space="preserve">a COVID Future Panel Survey </w:t>
      </w:r>
      <w:r w:rsidR="00451213" w:rsidRPr="003329B4">
        <w:t xml:space="preserve">(CFPS) </w:t>
      </w:r>
      <w:r w:rsidRPr="003329B4">
        <w:t xml:space="preserve">deployed across the United States </w:t>
      </w:r>
      <w:r w:rsidR="00451213" w:rsidRPr="003329B4">
        <w:t xml:space="preserve">and </w:t>
      </w:r>
      <w:r w:rsidRPr="003329B4">
        <w:t>collected</w:t>
      </w:r>
      <w:r w:rsidR="00D83975" w:rsidRPr="003329B4">
        <w:t xml:space="preserve"> in</w:t>
      </w:r>
      <w:r w:rsidRPr="003329B4">
        <w:t xml:space="preserve"> October</w:t>
      </w:r>
      <w:r w:rsidR="00D83975" w:rsidRPr="003329B4">
        <w:t>-</w:t>
      </w:r>
      <w:r w:rsidRPr="003329B4">
        <w:t xml:space="preserve">November 2021. Only data from the Wave 3 survey were utilized for the purpose of this </w:t>
      </w:r>
      <w:r w:rsidR="002F288D" w:rsidRPr="003329B4">
        <w:t>study, and t</w:t>
      </w:r>
      <w:r w:rsidRPr="003329B4">
        <w:t xml:space="preserve">he analysis is limited to </w:t>
      </w:r>
      <w:r w:rsidR="00451213" w:rsidRPr="003329B4">
        <w:t>the 1</w:t>
      </w:r>
      <w:r w:rsidR="00872127" w:rsidRPr="003329B4">
        <w:t>,</w:t>
      </w:r>
      <w:r w:rsidR="00451213" w:rsidRPr="003329B4">
        <w:t xml:space="preserve">292 employed </w:t>
      </w:r>
      <w:r w:rsidRPr="003329B4">
        <w:t>individuals</w:t>
      </w:r>
      <w:r w:rsidR="00451213" w:rsidRPr="003329B4">
        <w:t>.</w:t>
      </w:r>
      <w:r w:rsidRPr="003329B4">
        <w:t xml:space="preserve"> </w:t>
      </w:r>
      <w:r w:rsidR="00451213" w:rsidRPr="003329B4">
        <w:t>A</w:t>
      </w:r>
      <w:r w:rsidRPr="003329B4">
        <w:t xml:space="preserve">fter filtering and </w:t>
      </w:r>
      <w:r w:rsidR="00451213" w:rsidRPr="003329B4">
        <w:t>screening</w:t>
      </w:r>
      <w:r w:rsidRPr="003329B4">
        <w:t xml:space="preserve"> records with missing data, </w:t>
      </w:r>
      <w:r w:rsidR="00451213" w:rsidRPr="003329B4">
        <w:t xml:space="preserve">the final sample </w:t>
      </w:r>
      <w:r w:rsidRPr="003329B4">
        <w:t>comprise</w:t>
      </w:r>
      <w:r w:rsidR="00451213" w:rsidRPr="003329B4">
        <w:t>d</w:t>
      </w:r>
      <w:r w:rsidRPr="003329B4">
        <w:t xml:space="preserve"> 1,239 worker</w:t>
      </w:r>
      <w:r w:rsidR="00451213" w:rsidRPr="003329B4">
        <w:t>s</w:t>
      </w:r>
      <w:r w:rsidRPr="003329B4">
        <w:t>.</w:t>
      </w:r>
      <w:r w:rsidR="0039496A" w:rsidRPr="003329B4">
        <w:t xml:space="preserve"> Complete details about the survey and longitudinal data set may be found in Chauhan et al (2021).</w:t>
      </w:r>
    </w:p>
    <w:p w14:paraId="0425EC08" w14:textId="116F1AB0" w:rsidR="008753A7" w:rsidRPr="003329B4" w:rsidRDefault="00232689" w:rsidP="00A24A56">
      <w:pPr>
        <w:ind w:firstLine="720"/>
        <w:jc w:val="both"/>
      </w:pPr>
      <w:r w:rsidRPr="003329B4">
        <w:t xml:space="preserve">The </w:t>
      </w:r>
      <w:r w:rsidR="00451213" w:rsidRPr="003329B4">
        <w:t xml:space="preserve">CFPS </w:t>
      </w:r>
      <w:r w:rsidRPr="003329B4">
        <w:t>collected information on household and individual socio-economic and demographic characteristics</w:t>
      </w:r>
      <w:r w:rsidR="00451213" w:rsidRPr="003329B4">
        <w:t xml:space="preserve">, along with </w:t>
      </w:r>
      <w:r w:rsidRPr="003329B4">
        <w:t>information on travel behavior and preferences relating to tele</w:t>
      </w:r>
      <w:r w:rsidR="002F288D" w:rsidRPr="003329B4">
        <w:t>working</w:t>
      </w:r>
      <w:r w:rsidRPr="003329B4">
        <w:t xml:space="preserve">, online learning, </w:t>
      </w:r>
      <w:r w:rsidR="00451213" w:rsidRPr="003329B4">
        <w:t xml:space="preserve">and </w:t>
      </w:r>
      <w:r w:rsidRPr="003329B4">
        <w:t>lifestyle attitude</w:t>
      </w:r>
      <w:r w:rsidR="00451213" w:rsidRPr="003329B4">
        <w:t>s</w:t>
      </w:r>
      <w:r w:rsidRPr="003329B4">
        <w:t xml:space="preserve">. </w:t>
      </w:r>
      <w:bookmarkStart w:id="6" w:name="_Hlk135401273"/>
      <w:r w:rsidRPr="003329B4">
        <w:t xml:space="preserve">Pertinent to this study, the survey </w:t>
      </w:r>
      <w:r w:rsidR="0018540D" w:rsidRPr="003329B4">
        <w:t>elicit</w:t>
      </w:r>
      <w:r w:rsidR="00503AEF" w:rsidRPr="003329B4">
        <w:t>ed</w:t>
      </w:r>
      <w:r w:rsidR="0018540D" w:rsidRPr="003329B4">
        <w:t xml:space="preserve"> information </w:t>
      </w:r>
      <w:r w:rsidR="00D83975" w:rsidRPr="003329B4">
        <w:t>from</w:t>
      </w:r>
      <w:r w:rsidR="0018540D" w:rsidRPr="003329B4">
        <w:t xml:space="preserve"> two questions related to ETF and ITF. To be precise, the ideal telework frequency (ITF) is collected in response to the question “If your employer offered the option to work from home as much as you want after COVID-19 is no longer a threat, how much would you want to?”</w:t>
      </w:r>
      <w:r w:rsidR="00B6228A">
        <w:t>.</w:t>
      </w:r>
      <w:r w:rsidR="0018540D" w:rsidRPr="003329B4">
        <w:t xml:space="preserve"> The existing telework frequency (ETF), as used in this paper, actually refers to the expectation for telework frequency from home once society reaches a post-COVID normal”.</w:t>
      </w:r>
      <w:r w:rsidR="0018540D" w:rsidRPr="003329B4">
        <w:rPr>
          <w:rStyle w:val="FootnoteReference"/>
        </w:rPr>
        <w:footnoteReference w:id="4"/>
      </w:r>
      <w:r w:rsidR="0018540D" w:rsidRPr="003329B4">
        <w:t xml:space="preserve"> </w:t>
      </w:r>
      <w:bookmarkEnd w:id="6"/>
      <w:r w:rsidRPr="003329B4">
        <w:t xml:space="preserve">Both </w:t>
      </w:r>
      <w:r w:rsidRPr="003329B4">
        <w:lastRenderedPageBreak/>
        <w:t>of the</w:t>
      </w:r>
      <w:r w:rsidR="002F288D" w:rsidRPr="003329B4">
        <w:t xml:space="preserve"> ETF and ITF</w:t>
      </w:r>
      <w:r w:rsidRPr="003329B4">
        <w:t xml:space="preserve"> dimensions were collected in six ordinal telework categories in the survey: (1) never telework, (2) a few times a year, (3) a few times a month, (4) once a week, (5) a few times a week, and (6) every day of the week.</w:t>
      </w:r>
      <w:r w:rsidR="00B6228A">
        <w:t xml:space="preserve"> </w:t>
      </w:r>
      <w:bookmarkStart w:id="7" w:name="_Hlk158458829"/>
      <w:r w:rsidR="00B6228A">
        <w:t xml:space="preserve">ETF and ITF, as just defined, were collected regardless of whether </w:t>
      </w:r>
      <w:r w:rsidR="008753A7">
        <w:t xml:space="preserve">or not an individual was in a </w:t>
      </w:r>
      <w:r w:rsidR="00B6228A">
        <w:t xml:space="preserve">work role </w:t>
      </w:r>
      <w:r w:rsidR="008753A7">
        <w:t xml:space="preserve">where some telework was possible. </w:t>
      </w:r>
      <w:bookmarkStart w:id="8" w:name="_Hlk167964357"/>
      <w:r w:rsidR="005E567D">
        <w:t xml:space="preserve">Also, among those who </w:t>
      </w:r>
      <w:r w:rsidR="0042485D">
        <w:t>never telework on the ETF outcome</w:t>
      </w:r>
      <w:r w:rsidR="005E567D">
        <w:t>, the survey did not have any questions to distinguish between whether t</w:t>
      </w:r>
      <w:r w:rsidR="00A05A64">
        <w:t xml:space="preserve">he non-telework </w:t>
      </w:r>
      <w:r w:rsidR="005E567D">
        <w:t>was because of employer-imposed constraints</w:t>
      </w:r>
      <w:r w:rsidR="00A05A64">
        <w:t>,</w:t>
      </w:r>
      <w:r w:rsidR="005E567D">
        <w:t xml:space="preserve"> or jobs that generally require presence at the work place (at least as perceived by the employee). It should be noted, however, that the very perception of what requires presence at the work place</w:t>
      </w:r>
      <w:r w:rsidR="0048519E">
        <w:t xml:space="preserve"> </w:t>
      </w:r>
      <w:r w:rsidR="005E567D">
        <w:t xml:space="preserve">has been shifting considerably through the pandemic, </w:t>
      </w:r>
      <w:r w:rsidR="0048519E">
        <w:t xml:space="preserve">making it </w:t>
      </w:r>
      <w:proofErr w:type="gramStart"/>
      <w:r w:rsidR="0048519E">
        <w:t>more fuzzy</w:t>
      </w:r>
      <w:proofErr w:type="gramEnd"/>
      <w:r w:rsidR="0048519E">
        <w:t xml:space="preserve"> to differentiate between the two different reasons for not teleworking. In particular, as </w:t>
      </w:r>
      <w:proofErr w:type="spellStart"/>
      <w:r w:rsidR="0048519E">
        <w:t>Hensher</w:t>
      </w:r>
      <w:proofErr w:type="spellEnd"/>
      <w:r w:rsidR="0048519E">
        <w:t xml:space="preserve"> et al. (2023) observe, WFH has become more universally accepted across all occupation sectors post-pandemic. However, in our analysis, </w:t>
      </w:r>
      <w:r w:rsidR="0042485D">
        <w:t xml:space="preserve">as a way to proxy any continuing notion of </w:t>
      </w:r>
      <w:r w:rsidR="0048519E">
        <w:t xml:space="preserve">in-person work </w:t>
      </w:r>
      <w:r w:rsidR="003469B6">
        <w:t xml:space="preserve">location </w:t>
      </w:r>
      <w:r w:rsidR="0048519E">
        <w:t xml:space="preserve">“essentialness”, we consider the occupation sector of </w:t>
      </w:r>
      <w:r w:rsidR="003469B6">
        <w:t xml:space="preserve">an </w:t>
      </w:r>
      <w:r w:rsidR="0048519E">
        <w:t>individual</w:t>
      </w:r>
      <w:r w:rsidR="003469B6">
        <w:t>’s</w:t>
      </w:r>
      <w:r w:rsidR="0048519E">
        <w:t xml:space="preserve"> employment. </w:t>
      </w:r>
    </w:p>
    <w:bookmarkEnd w:id="7"/>
    <w:bookmarkEnd w:id="8"/>
    <w:p w14:paraId="52BD8537" w14:textId="5CC9CC85" w:rsidR="00232689" w:rsidRPr="003329B4" w:rsidRDefault="00232689" w:rsidP="00CF0E6D">
      <w:pPr>
        <w:ind w:firstLine="720"/>
        <w:jc w:val="both"/>
      </w:pPr>
      <w:r w:rsidRPr="003329B4">
        <w:tab/>
      </w:r>
      <w:r w:rsidRPr="003329B4">
        <w:tab/>
        <w:t xml:space="preserve"> </w:t>
      </w:r>
    </w:p>
    <w:p w14:paraId="4BAC5F74" w14:textId="44B7E4E8" w:rsidR="00232689" w:rsidRPr="003329B4" w:rsidRDefault="00232689" w:rsidP="002966B2">
      <w:pPr>
        <w:pStyle w:val="NormalWeb"/>
        <w:spacing w:before="0" w:beforeAutospacing="0" w:after="0" w:afterAutospacing="0"/>
        <w:ind w:left="540" w:hanging="540"/>
        <w:rPr>
          <w:b/>
          <w:bCs/>
          <w:color w:val="000000" w:themeColor="text1"/>
        </w:rPr>
      </w:pPr>
      <w:r w:rsidRPr="003329B4">
        <w:rPr>
          <w:b/>
          <w:bCs/>
          <w:color w:val="000000" w:themeColor="text1"/>
        </w:rPr>
        <w:t>3.2.</w:t>
      </w:r>
      <w:r w:rsidRPr="003329B4">
        <w:rPr>
          <w:b/>
          <w:bCs/>
          <w:color w:val="000000" w:themeColor="text1"/>
        </w:rPr>
        <w:tab/>
        <w:t>Sample Description</w:t>
      </w:r>
    </w:p>
    <w:p w14:paraId="3FC36BFC" w14:textId="42649AE7" w:rsidR="00232689" w:rsidRPr="003329B4" w:rsidRDefault="00232689" w:rsidP="003329B4">
      <w:pPr>
        <w:pStyle w:val="Heading3"/>
        <w:spacing w:before="0"/>
        <w:rPr>
          <w:rFonts w:ascii="Times New Roman" w:hAnsi="Times New Roman" w:cs="Times New Roman"/>
          <w:i/>
          <w:color w:val="000000" w:themeColor="text1"/>
          <w:u w:val="single"/>
        </w:rPr>
      </w:pPr>
      <w:r w:rsidRPr="003329B4">
        <w:rPr>
          <w:rFonts w:ascii="Times New Roman" w:hAnsi="Times New Roman" w:cs="Times New Roman"/>
          <w:i/>
          <w:color w:val="000000" w:themeColor="text1"/>
        </w:rPr>
        <w:t>3.2.</w:t>
      </w:r>
      <w:r w:rsidR="00C80DCE" w:rsidRPr="003329B4">
        <w:rPr>
          <w:rFonts w:ascii="Times New Roman" w:hAnsi="Times New Roman" w:cs="Times New Roman"/>
          <w:i/>
          <w:color w:val="000000" w:themeColor="text1"/>
        </w:rPr>
        <w:t>1</w:t>
      </w:r>
      <w:r w:rsidRPr="003329B4">
        <w:rPr>
          <w:rFonts w:ascii="Times New Roman" w:hAnsi="Times New Roman" w:cs="Times New Roman"/>
          <w:i/>
          <w:color w:val="000000" w:themeColor="text1"/>
        </w:rPr>
        <w:t>.</w:t>
      </w:r>
      <w:r w:rsidRPr="003329B4">
        <w:rPr>
          <w:rFonts w:ascii="Times New Roman" w:hAnsi="Times New Roman" w:cs="Times New Roman"/>
          <w:i/>
          <w:color w:val="000000" w:themeColor="text1"/>
        </w:rPr>
        <w:tab/>
      </w:r>
      <w:r w:rsidR="00B77EB6" w:rsidRPr="003329B4">
        <w:rPr>
          <w:rFonts w:ascii="Times New Roman" w:hAnsi="Times New Roman" w:cs="Times New Roman"/>
          <w:i/>
          <w:iCs/>
          <w:color w:val="000000" w:themeColor="text1"/>
        </w:rPr>
        <w:t>Exogenous Variables</w:t>
      </w:r>
    </w:p>
    <w:p w14:paraId="47127B56" w14:textId="0489B912" w:rsidR="00232689" w:rsidRPr="003329B4" w:rsidRDefault="00232689" w:rsidP="003329B4">
      <w:pPr>
        <w:pStyle w:val="NormalWeb"/>
        <w:spacing w:before="0" w:beforeAutospacing="0" w:after="0" w:afterAutospacing="0"/>
        <w:jc w:val="both"/>
      </w:pPr>
      <w:r w:rsidRPr="003329B4">
        <w:t>Table 1 shows sample socio-economic and demographic characteristics</w:t>
      </w:r>
      <w:r w:rsidR="0039496A" w:rsidRPr="003329B4">
        <w:t xml:space="preserve"> for the analysis sample of this study</w:t>
      </w:r>
      <w:r w:rsidRPr="003329B4">
        <w:t>.</w:t>
      </w:r>
      <w:r w:rsidR="00343883" w:rsidRPr="003329B4">
        <w:t xml:space="preserve"> Women are over-represented in the sample at 6</w:t>
      </w:r>
      <w:r w:rsidR="003144F5" w:rsidRPr="003329B4">
        <w:t>0.8</w:t>
      </w:r>
      <w:r w:rsidR="00343883" w:rsidRPr="003329B4">
        <w:t xml:space="preserve">%, </w:t>
      </w:r>
      <w:r w:rsidR="0039496A" w:rsidRPr="003329B4">
        <w:t>as</w:t>
      </w:r>
      <w:r w:rsidR="00343883" w:rsidRPr="003329B4">
        <w:t xml:space="preserve"> U</w:t>
      </w:r>
      <w:r w:rsidR="006A5CC2" w:rsidRPr="003329B4">
        <w:t>.</w:t>
      </w:r>
      <w:r w:rsidR="00343883" w:rsidRPr="003329B4">
        <w:t>S</w:t>
      </w:r>
      <w:r w:rsidR="006A5CC2" w:rsidRPr="003329B4">
        <w:t>.</w:t>
      </w:r>
      <w:r w:rsidR="00EE0B63" w:rsidRPr="003329B4">
        <w:t xml:space="preserve"> worker</w:t>
      </w:r>
      <w:r w:rsidR="00343883" w:rsidRPr="003329B4">
        <w:t xml:space="preserve"> statistics </w:t>
      </w:r>
      <w:r w:rsidR="003144F5" w:rsidRPr="003329B4">
        <w:t xml:space="preserve">(see </w:t>
      </w:r>
      <w:r w:rsidR="00EE0B63" w:rsidRPr="003329B4">
        <w:t>U.S. Bureau of Labor Statistics, 2022</w:t>
      </w:r>
      <w:r w:rsidR="00BF524A" w:rsidRPr="003329B4">
        <w:t>b</w:t>
      </w:r>
      <w:r w:rsidR="003144F5" w:rsidRPr="003329B4">
        <w:t xml:space="preserve">) </w:t>
      </w:r>
      <w:r w:rsidR="00343883" w:rsidRPr="003329B4">
        <w:t xml:space="preserve">indicate that about </w:t>
      </w:r>
      <w:r w:rsidR="00EE0B63" w:rsidRPr="003329B4">
        <w:t>46.8</w:t>
      </w:r>
      <w:r w:rsidR="0064590A" w:rsidRPr="003329B4">
        <w:t>%</w:t>
      </w:r>
      <w:r w:rsidR="00343883" w:rsidRPr="003329B4">
        <w:t xml:space="preserve"> are women. </w:t>
      </w:r>
      <w:r w:rsidR="00047FD3" w:rsidRPr="003329B4">
        <w:t>A</w:t>
      </w:r>
      <w:r w:rsidR="007C6BE2" w:rsidRPr="003329B4">
        <w:t xml:space="preserve"> </w:t>
      </w:r>
      <w:r w:rsidRPr="003329B4">
        <w:t>vast majority of respondents</w:t>
      </w:r>
      <w:r w:rsidR="00047FD3" w:rsidRPr="003329B4">
        <w:t xml:space="preserve"> a</w:t>
      </w:r>
      <w:r w:rsidRPr="003329B4">
        <w:t xml:space="preserve">re between the ages of 30 to 49 (44.5%) and 50 to 64 (34.3%). Given the fact that </w:t>
      </w:r>
      <w:r w:rsidR="00047FD3" w:rsidRPr="003329B4">
        <w:t xml:space="preserve">this is a sample of workers, </w:t>
      </w:r>
      <w:r w:rsidRPr="003329B4">
        <w:t xml:space="preserve">it </w:t>
      </w:r>
      <w:r w:rsidR="00047FD3" w:rsidRPr="003329B4">
        <w:t xml:space="preserve">is not surprising </w:t>
      </w:r>
      <w:r w:rsidRPr="003329B4">
        <w:t xml:space="preserve">that over </w:t>
      </w:r>
      <w:r w:rsidR="003144F5" w:rsidRPr="003329B4">
        <w:t xml:space="preserve">three-quarters </w:t>
      </w:r>
      <w:r w:rsidRPr="003329B4">
        <w:t>of the respondents had a bachelor’s degree</w:t>
      </w:r>
      <w:r w:rsidR="003144F5" w:rsidRPr="003329B4">
        <w:t xml:space="preserve"> or higher</w:t>
      </w:r>
      <w:r w:rsidRPr="003329B4">
        <w:t xml:space="preserve">. Similarly, it </w:t>
      </w:r>
      <w:r w:rsidR="00DB2CB4" w:rsidRPr="003329B4">
        <w:t>i</w:t>
      </w:r>
      <w:r w:rsidRPr="003329B4">
        <w:t>s not surprising that 3</w:t>
      </w:r>
      <w:r w:rsidR="002F288D" w:rsidRPr="003329B4">
        <w:t>1.7</w:t>
      </w:r>
      <w:r w:rsidRPr="003329B4">
        <w:t xml:space="preserve">% of respondents </w:t>
      </w:r>
      <w:r w:rsidR="002F288D" w:rsidRPr="003329B4">
        <w:t>a</w:t>
      </w:r>
      <w:r w:rsidR="005379E3" w:rsidRPr="003329B4">
        <w:t xml:space="preserve">re from households with an annual income between </w:t>
      </w:r>
      <w:r w:rsidRPr="003329B4">
        <w:t xml:space="preserve">$50,000 to $99,999 followed by </w:t>
      </w:r>
      <w:r w:rsidR="003144F5" w:rsidRPr="003329B4">
        <w:t>about a quarter of individuals</w:t>
      </w:r>
      <w:r w:rsidRPr="003329B4">
        <w:t xml:space="preserve"> </w:t>
      </w:r>
      <w:r w:rsidR="005379E3" w:rsidRPr="003329B4">
        <w:t xml:space="preserve">from households with an annual income between </w:t>
      </w:r>
      <w:r w:rsidRPr="003329B4">
        <w:t>$100,000 to $149,999. A</w:t>
      </w:r>
      <w:r w:rsidR="003144F5" w:rsidRPr="003329B4">
        <w:t xml:space="preserve">bout two-fifths </w:t>
      </w:r>
      <w:r w:rsidRPr="003329B4">
        <w:t>of respondents live in a two-person household</w:t>
      </w:r>
      <w:r w:rsidR="003144F5" w:rsidRPr="003329B4">
        <w:t>, while</w:t>
      </w:r>
      <w:r w:rsidRPr="003329B4">
        <w:t xml:space="preserve"> </w:t>
      </w:r>
      <w:r w:rsidR="005148B2" w:rsidRPr="003329B4">
        <w:t>a little shy of a quarter</w:t>
      </w:r>
      <w:r w:rsidRPr="003329B4">
        <w:t xml:space="preserve"> of respondents liv</w:t>
      </w:r>
      <w:r w:rsidR="000A3AB8" w:rsidRPr="003329B4">
        <w:t>e</w:t>
      </w:r>
      <w:r w:rsidRPr="003329B4">
        <w:t xml:space="preserve"> in a household with 4 or more individuals. </w:t>
      </w:r>
      <w:r w:rsidR="005148B2" w:rsidRPr="003329B4">
        <w:t xml:space="preserve">The sample shows a mean of 2.5 individuals per household, which is </w:t>
      </w:r>
      <w:r w:rsidR="005528D5" w:rsidRPr="003329B4">
        <w:t xml:space="preserve">exactly the same as </w:t>
      </w:r>
      <w:r w:rsidR="005148B2" w:rsidRPr="003329B4">
        <w:t xml:space="preserve">the mean </w:t>
      </w:r>
      <w:r w:rsidR="005528D5" w:rsidRPr="003329B4">
        <w:t xml:space="preserve">number of </w:t>
      </w:r>
      <w:r w:rsidR="005148B2" w:rsidRPr="003329B4">
        <w:t xml:space="preserve">individuals per household in </w:t>
      </w:r>
      <w:r w:rsidR="005528D5" w:rsidRPr="003329B4">
        <w:t xml:space="preserve">2022 in </w:t>
      </w:r>
      <w:r w:rsidR="005148B2" w:rsidRPr="003329B4">
        <w:t>the entire U</w:t>
      </w:r>
      <w:r w:rsidR="006A5CC2" w:rsidRPr="003329B4">
        <w:t>.</w:t>
      </w:r>
      <w:r w:rsidR="005148B2" w:rsidRPr="003329B4">
        <w:t>S</w:t>
      </w:r>
      <w:r w:rsidR="006A5CC2" w:rsidRPr="003329B4">
        <w:t>.</w:t>
      </w:r>
      <w:r w:rsidR="005148B2" w:rsidRPr="003329B4">
        <w:t xml:space="preserve"> population.</w:t>
      </w:r>
      <w:r w:rsidR="005528D5" w:rsidRPr="003329B4">
        <w:rPr>
          <w:rStyle w:val="FootnoteReference"/>
        </w:rPr>
        <w:footnoteReference w:id="5"/>
      </w:r>
      <w:r w:rsidR="005148B2" w:rsidRPr="003329B4">
        <w:t xml:space="preserve"> 70.</w:t>
      </w:r>
      <w:r w:rsidR="003210AC" w:rsidRPr="003329B4">
        <w:t>2</w:t>
      </w:r>
      <w:r w:rsidR="005148B2" w:rsidRPr="003329B4">
        <w:t>% of respondents do not have a child (in the age group of 0-17 years) in the household</w:t>
      </w:r>
      <w:r w:rsidR="00412047" w:rsidRPr="003329B4">
        <w:t xml:space="preserve">, which </w:t>
      </w:r>
      <w:r w:rsidR="003210AC" w:rsidRPr="003329B4">
        <w:t>is similar to the</w:t>
      </w:r>
      <w:r w:rsidR="00412047" w:rsidRPr="003329B4">
        <w:t xml:space="preserve"> </w:t>
      </w:r>
      <w:r w:rsidR="003210AC" w:rsidRPr="003329B4">
        <w:t>71.3</w:t>
      </w:r>
      <w:r w:rsidR="00412047" w:rsidRPr="003329B4">
        <w:t xml:space="preserve">% of </w:t>
      </w:r>
      <w:r w:rsidR="00920BCA" w:rsidRPr="003329B4">
        <w:t>adults</w:t>
      </w:r>
      <w:r w:rsidR="00412047" w:rsidRPr="003329B4">
        <w:t xml:space="preserve"> in the overall U</w:t>
      </w:r>
      <w:r w:rsidR="006E0A71" w:rsidRPr="003329B4">
        <w:t>.</w:t>
      </w:r>
      <w:r w:rsidR="00412047" w:rsidRPr="003329B4">
        <w:t>S</w:t>
      </w:r>
      <w:r w:rsidR="006E0A71" w:rsidRPr="003329B4">
        <w:t>.</w:t>
      </w:r>
      <w:r w:rsidR="00412047" w:rsidRPr="003329B4">
        <w:t xml:space="preserve"> population </w:t>
      </w:r>
      <w:r w:rsidR="00920BCA" w:rsidRPr="003329B4">
        <w:t>living without children</w:t>
      </w:r>
      <w:r w:rsidR="00412047" w:rsidRPr="003329B4">
        <w:t>, as per the Census Bureau statistics of 20</w:t>
      </w:r>
      <w:r w:rsidR="003210AC" w:rsidRPr="003329B4">
        <w:t>17</w:t>
      </w:r>
      <w:r w:rsidR="00412047" w:rsidRPr="003329B4">
        <w:t xml:space="preserve"> (</w:t>
      </w:r>
      <w:r w:rsidR="00EE0B63" w:rsidRPr="003329B4">
        <w:t>U.S. Census Bureau, 2017</w:t>
      </w:r>
      <w:r w:rsidR="00412047" w:rsidRPr="003329B4">
        <w:t>)</w:t>
      </w:r>
      <w:r w:rsidR="005148B2" w:rsidRPr="003329B4">
        <w:t xml:space="preserve">. </w:t>
      </w:r>
      <w:r w:rsidR="00BF524A" w:rsidRPr="003329B4">
        <w:t>With regards to household vehicle ownership, a majority of households ha</w:t>
      </w:r>
      <w:r w:rsidR="002F288D" w:rsidRPr="003329B4">
        <w:t>ve</w:t>
      </w:r>
      <w:r w:rsidR="00BF524A" w:rsidRPr="003329B4">
        <w:t xml:space="preserve"> less vehicles than household members (80%). </w:t>
      </w:r>
      <w:r w:rsidR="00412047" w:rsidRPr="003329B4">
        <w:t xml:space="preserve">Overall, it should be noted that an apples-to-apples comparison of the individual/household level demographic characteristics from our sample with the Census Bureau data is not possible, because the latter database does not distinguish between employed and non-employed individuals. </w:t>
      </w:r>
    </w:p>
    <w:p w14:paraId="7E308322" w14:textId="38ED39D0" w:rsidR="00232689" w:rsidRPr="003329B4" w:rsidRDefault="00232689" w:rsidP="003329B4">
      <w:pPr>
        <w:pStyle w:val="NormalWeb"/>
        <w:spacing w:before="0" w:beforeAutospacing="0" w:after="0" w:afterAutospacing="0"/>
        <w:ind w:firstLine="720"/>
        <w:jc w:val="both"/>
      </w:pPr>
      <w:r w:rsidRPr="003329B4">
        <w:t xml:space="preserve">In terms of job-related characteristics, </w:t>
      </w:r>
      <w:r w:rsidR="006E0A71" w:rsidRPr="003329B4">
        <w:t xml:space="preserve">approximately 81% of respondents </w:t>
      </w:r>
      <w:r w:rsidR="002F288D" w:rsidRPr="003329B4">
        <w:t>a</w:t>
      </w:r>
      <w:r w:rsidR="006E0A71" w:rsidRPr="003329B4">
        <w:t>re full-time employees</w:t>
      </w:r>
      <w:r w:rsidR="002F288D" w:rsidRPr="003329B4">
        <w:t>,</w:t>
      </w:r>
      <w:r w:rsidR="006E0A71" w:rsidRPr="003329B4">
        <w:t xml:space="preserve"> which aligns with the proportion of full-time employees in the U.S. as of 2022 (84%) (see </w:t>
      </w:r>
      <w:r w:rsidR="00BF524A" w:rsidRPr="003329B4">
        <w:t xml:space="preserve">U.S. Bureau of Labor Statistics, 2022a). </w:t>
      </w:r>
      <w:r w:rsidR="005731F7" w:rsidRPr="003329B4">
        <w:t xml:space="preserve">It should be noted that </w:t>
      </w:r>
      <w:r w:rsidR="00920BCA" w:rsidRPr="003329B4">
        <w:t xml:space="preserve">the </w:t>
      </w:r>
      <w:r w:rsidR="005731F7" w:rsidRPr="003329B4">
        <w:t xml:space="preserve">survey did not define the number of working hours required for an employee to be considered full-time, while the U.S. </w:t>
      </w:r>
      <w:r w:rsidR="005731F7" w:rsidRPr="003329B4">
        <w:lastRenderedPageBreak/>
        <w:t xml:space="preserve">Census Bureau considered a full-time employee as </w:t>
      </w:r>
      <w:r w:rsidR="00920BCA" w:rsidRPr="003329B4">
        <w:t>one who</w:t>
      </w:r>
      <w:r w:rsidR="005731F7" w:rsidRPr="003329B4">
        <w:t xml:space="preserve"> works 35</w:t>
      </w:r>
      <w:r w:rsidR="005731F7" w:rsidRPr="00F01655">
        <w:rPr>
          <w:rFonts w:ascii="TimesNewRomanPSMT" w:hAnsi="TimesNewRomanPSMT"/>
        </w:rPr>
        <w:t xml:space="preserve"> hours or more per week. </w:t>
      </w:r>
      <w:r w:rsidR="00BF524A" w:rsidRPr="00F01655">
        <w:rPr>
          <w:rFonts w:ascii="TimesNewRomanPSMT" w:hAnsi="TimesNewRomanPSMT"/>
        </w:rPr>
        <w:t>A</w:t>
      </w:r>
      <w:r w:rsidRPr="00F01655">
        <w:rPr>
          <w:rFonts w:ascii="TimesNewRomanPSMT" w:hAnsi="TimesNewRomanPSMT"/>
        </w:rPr>
        <w:t xml:space="preserve"> majority of respondents indicate that they work in an occupation that</w:t>
      </w:r>
      <w:r w:rsidR="002F288D" w:rsidRPr="00F01655">
        <w:rPr>
          <w:rFonts w:ascii="TimesNewRomanPSMT" w:hAnsi="TimesNewRomanPSMT"/>
        </w:rPr>
        <w:t xml:space="preserve"> i</w:t>
      </w:r>
      <w:r w:rsidRPr="00F01655">
        <w:rPr>
          <w:rFonts w:ascii="TimesNewRomanPSMT" w:hAnsi="TimesNewRomanPSMT"/>
        </w:rPr>
        <w:t>s business-related (6</w:t>
      </w:r>
      <w:r w:rsidR="002F288D" w:rsidRPr="00F01655">
        <w:rPr>
          <w:rFonts w:ascii="TimesNewRomanPSMT" w:hAnsi="TimesNewRomanPSMT"/>
        </w:rPr>
        <w:t>1.5</w:t>
      </w:r>
      <w:r w:rsidRPr="00F01655">
        <w:rPr>
          <w:rFonts w:ascii="TimesNewRomanPSMT" w:hAnsi="TimesNewRomanPSMT"/>
        </w:rPr>
        <w:t>%). Meanwhile</w:t>
      </w:r>
      <w:r w:rsidRPr="003329B4">
        <w:rPr>
          <w:rFonts w:ascii="TimesNewRomanPSMT" w:hAnsi="TimesNewRomanPSMT"/>
        </w:rPr>
        <w:t>, the medical (11</w:t>
      </w:r>
      <w:r w:rsidR="00F237C7" w:rsidRPr="003329B4">
        <w:rPr>
          <w:rFonts w:ascii="TimesNewRomanPSMT" w:hAnsi="TimesNewRomanPSMT"/>
        </w:rPr>
        <w:t>.4</w:t>
      </w:r>
      <w:r w:rsidRPr="003329B4">
        <w:rPr>
          <w:rFonts w:ascii="TimesNewRomanPSMT" w:hAnsi="TimesNewRomanPSMT"/>
        </w:rPr>
        <w:t>%), transportation (6</w:t>
      </w:r>
      <w:r w:rsidR="00F237C7" w:rsidRPr="003329B4">
        <w:rPr>
          <w:rFonts w:ascii="TimesNewRomanPSMT" w:hAnsi="TimesNewRomanPSMT"/>
        </w:rPr>
        <w:t>.1</w:t>
      </w:r>
      <w:r w:rsidRPr="003329B4">
        <w:rPr>
          <w:rFonts w:ascii="TimesNewRomanPSMT" w:hAnsi="TimesNewRomanPSMT"/>
        </w:rPr>
        <w:t>%), and sales</w:t>
      </w:r>
      <w:r w:rsidR="00F237C7" w:rsidRPr="003329B4">
        <w:rPr>
          <w:rFonts w:ascii="TimesNewRomanPSMT" w:hAnsi="TimesNewRomanPSMT"/>
        </w:rPr>
        <w:t>/retail services</w:t>
      </w:r>
      <w:r w:rsidRPr="003329B4">
        <w:rPr>
          <w:rFonts w:ascii="TimesNewRomanPSMT" w:hAnsi="TimesNewRomanPSMT"/>
        </w:rPr>
        <w:t xml:space="preserve"> (</w:t>
      </w:r>
      <w:r w:rsidR="00F237C7" w:rsidRPr="003329B4">
        <w:rPr>
          <w:rFonts w:ascii="TimesNewRomanPSMT" w:hAnsi="TimesNewRomanPSMT"/>
        </w:rPr>
        <w:t>5.</w:t>
      </w:r>
      <w:r w:rsidRPr="003329B4">
        <w:rPr>
          <w:rFonts w:ascii="TimesNewRomanPSMT" w:hAnsi="TimesNewRomanPSMT"/>
        </w:rPr>
        <w:t>6%)</w:t>
      </w:r>
      <w:r w:rsidR="00F237C7" w:rsidRPr="003329B4">
        <w:rPr>
          <w:rFonts w:ascii="TimesNewRomanPSMT" w:hAnsi="TimesNewRomanPSMT"/>
        </w:rPr>
        <w:t xml:space="preserve"> are also reasonably well represented</w:t>
      </w:r>
      <w:r w:rsidRPr="003329B4">
        <w:rPr>
          <w:rFonts w:ascii="TimesNewRomanPSMT" w:hAnsi="TimesNewRomanPSMT"/>
        </w:rPr>
        <w:t xml:space="preserve">. </w:t>
      </w:r>
      <w:r w:rsidR="00817D19" w:rsidRPr="003329B4">
        <w:rPr>
          <w:rFonts w:ascii="TimesNewRomanPSMT" w:hAnsi="TimesNewRomanPSMT"/>
        </w:rPr>
        <w:t xml:space="preserve">These </w:t>
      </w:r>
      <w:r w:rsidR="00E90640" w:rsidRPr="003329B4">
        <w:rPr>
          <w:rFonts w:ascii="TimesNewRomanPSMT" w:hAnsi="TimesNewRomanPSMT"/>
        </w:rPr>
        <w:t xml:space="preserve">percentages align fairly well </w:t>
      </w:r>
      <w:r w:rsidRPr="003329B4">
        <w:rPr>
          <w:rFonts w:ascii="TimesNewRomanPSMT" w:hAnsi="TimesNewRomanPSMT"/>
        </w:rPr>
        <w:t>with the U</w:t>
      </w:r>
      <w:r w:rsidR="006A5CC2" w:rsidRPr="003329B4">
        <w:rPr>
          <w:rFonts w:ascii="TimesNewRomanPSMT" w:hAnsi="TimesNewRomanPSMT"/>
        </w:rPr>
        <w:t>.</w:t>
      </w:r>
      <w:r w:rsidRPr="003329B4">
        <w:rPr>
          <w:rFonts w:ascii="TimesNewRomanPSMT" w:hAnsi="TimesNewRomanPSMT"/>
        </w:rPr>
        <w:t>S</w:t>
      </w:r>
      <w:r w:rsidR="006A5CC2" w:rsidRPr="003329B4">
        <w:rPr>
          <w:rFonts w:ascii="TimesNewRomanPSMT" w:hAnsi="TimesNewRomanPSMT"/>
        </w:rPr>
        <w:t>.</w:t>
      </w:r>
      <w:r w:rsidRPr="003329B4">
        <w:rPr>
          <w:rFonts w:ascii="TimesNewRomanPSMT" w:hAnsi="TimesNewRomanPSMT"/>
        </w:rPr>
        <w:t xml:space="preserve"> </w:t>
      </w:r>
      <w:r w:rsidR="00E90640" w:rsidRPr="003329B4">
        <w:rPr>
          <w:rFonts w:ascii="TimesNewRomanPSMT" w:hAnsi="TimesNewRomanPSMT"/>
        </w:rPr>
        <w:t xml:space="preserve">working </w:t>
      </w:r>
      <w:r w:rsidR="00DD4A93" w:rsidRPr="003329B4">
        <w:rPr>
          <w:rFonts w:ascii="TimesNewRomanPSMT" w:hAnsi="TimesNewRomanPSMT"/>
        </w:rPr>
        <w:t>population</w:t>
      </w:r>
      <w:r w:rsidR="00E90640" w:rsidRPr="003329B4">
        <w:rPr>
          <w:rFonts w:ascii="TimesNewRomanPSMT" w:hAnsi="TimesNewRomanPSMT"/>
        </w:rPr>
        <w:t xml:space="preserve">, based on </w:t>
      </w:r>
      <w:r w:rsidR="006A5CC2" w:rsidRPr="003329B4">
        <w:rPr>
          <w:rFonts w:ascii="TimesNewRomanPSMT" w:hAnsi="TimesNewRomanPSMT"/>
        </w:rPr>
        <w:t>the U.S. Bureau of Labor Statistics (2022</w:t>
      </w:r>
      <w:r w:rsidR="00D6459E" w:rsidRPr="003329B4">
        <w:rPr>
          <w:rFonts w:ascii="TimesNewRomanPSMT" w:hAnsi="TimesNewRomanPSMT"/>
        </w:rPr>
        <w:t>b</w:t>
      </w:r>
      <w:r w:rsidR="006A5CC2" w:rsidRPr="003329B4">
        <w:rPr>
          <w:rFonts w:ascii="TimesNewRomanPSMT" w:hAnsi="TimesNewRomanPSMT"/>
        </w:rPr>
        <w:t>)</w:t>
      </w:r>
      <w:r w:rsidRPr="003329B4">
        <w:rPr>
          <w:rFonts w:ascii="TimesNewRomanPSMT" w:hAnsi="TimesNewRomanPSMT"/>
        </w:rPr>
        <w:t>.</w:t>
      </w:r>
      <w:r w:rsidR="00D6105E" w:rsidRPr="003329B4">
        <w:rPr>
          <w:rFonts w:ascii="TimesNewRomanPSMT" w:hAnsi="TimesNewRomanPSMT"/>
        </w:rPr>
        <w:t xml:space="preserve"> </w:t>
      </w:r>
      <w:r w:rsidRPr="003329B4">
        <w:rPr>
          <w:rFonts w:ascii="TimesNewRomanPSMT" w:hAnsi="TimesNewRomanPSMT"/>
        </w:rPr>
        <w:t xml:space="preserve">Most respondents </w:t>
      </w:r>
      <w:r w:rsidR="009E5B38" w:rsidRPr="003329B4">
        <w:rPr>
          <w:rFonts w:ascii="TimesNewRomanPSMT" w:hAnsi="TimesNewRomanPSMT"/>
        </w:rPr>
        <w:t xml:space="preserve">report </w:t>
      </w:r>
      <w:r w:rsidRPr="003329B4">
        <w:rPr>
          <w:rFonts w:ascii="TimesNewRomanPSMT" w:hAnsi="TimesNewRomanPSMT"/>
        </w:rPr>
        <w:t xml:space="preserve">that they drive a private vehicle to get to </w:t>
      </w:r>
      <w:r w:rsidRPr="003329B4">
        <w:t>work (81%)</w:t>
      </w:r>
      <w:r w:rsidR="00E90640" w:rsidRPr="003329B4">
        <w:t xml:space="preserve">, which is </w:t>
      </w:r>
      <w:r w:rsidR="00920BCA" w:rsidRPr="003329B4">
        <w:t>largely aligned with the 77%</w:t>
      </w:r>
      <w:r w:rsidR="006A5CC2" w:rsidRPr="003329B4">
        <w:t xml:space="preserve"> </w:t>
      </w:r>
      <w:r w:rsidR="00E90640" w:rsidRPr="003329B4">
        <w:t xml:space="preserve"> use of private vehicles </w:t>
      </w:r>
      <w:r w:rsidR="00920BCA" w:rsidRPr="003329B4">
        <w:t>for</w:t>
      </w:r>
      <w:r w:rsidR="00E90640" w:rsidRPr="003329B4">
        <w:t xml:space="preserve"> the commute as documented </w:t>
      </w:r>
      <w:r w:rsidR="00920BCA" w:rsidRPr="003329B4">
        <w:t>by</w:t>
      </w:r>
      <w:r w:rsidR="00E90640" w:rsidRPr="003329B4">
        <w:t xml:space="preserve"> the </w:t>
      </w:r>
      <w:r w:rsidR="00A14009" w:rsidRPr="003329B4">
        <w:t>Bureau of Transportation Statistics</w:t>
      </w:r>
      <w:r w:rsidR="009E5B38" w:rsidRPr="003329B4">
        <w:t xml:space="preserve"> (</w:t>
      </w:r>
      <w:r w:rsidR="00A14009" w:rsidRPr="003329B4">
        <w:t>2021</w:t>
      </w:r>
      <w:r w:rsidR="009E5B38" w:rsidRPr="003329B4">
        <w:t>)</w:t>
      </w:r>
      <w:r w:rsidR="00E90640" w:rsidRPr="003329B4">
        <w:t>.</w:t>
      </w:r>
      <w:r w:rsidRPr="003329B4">
        <w:t xml:space="preserve"> With regard to </w:t>
      </w:r>
      <w:r w:rsidR="00E90640" w:rsidRPr="003329B4">
        <w:t xml:space="preserve">one-way home-to-work (commute) </w:t>
      </w:r>
      <w:r w:rsidRPr="003329B4">
        <w:t>distance, a majority of individuals either travel 11</w:t>
      </w:r>
      <w:r w:rsidR="00B813CC" w:rsidRPr="003329B4">
        <w:t>.00</w:t>
      </w:r>
      <w:r w:rsidRPr="003329B4">
        <w:t xml:space="preserve"> to 30</w:t>
      </w:r>
      <w:r w:rsidR="00B813CC" w:rsidRPr="003329B4">
        <w:t>.99</w:t>
      </w:r>
      <w:r w:rsidRPr="003329B4">
        <w:t xml:space="preserve"> miles (3</w:t>
      </w:r>
      <w:r w:rsidR="00F237C7" w:rsidRPr="003329B4">
        <w:t>6.6</w:t>
      </w:r>
      <w:r w:rsidRPr="003329B4">
        <w:t>%) or 0</w:t>
      </w:r>
      <w:r w:rsidR="00B813CC" w:rsidRPr="003329B4">
        <w:t>.00</w:t>
      </w:r>
      <w:r w:rsidRPr="003329B4">
        <w:t xml:space="preserve"> to 5</w:t>
      </w:r>
      <w:r w:rsidR="00B813CC" w:rsidRPr="003329B4">
        <w:t>.99</w:t>
      </w:r>
      <w:r w:rsidRPr="003329B4">
        <w:t xml:space="preserve"> miles (35</w:t>
      </w:r>
      <w:r w:rsidR="00F237C7" w:rsidRPr="003329B4">
        <w:t>.4</w:t>
      </w:r>
      <w:r w:rsidRPr="003329B4">
        <w:t>%). A vast majority of respondents (6</w:t>
      </w:r>
      <w:r w:rsidR="00F237C7" w:rsidRPr="003329B4">
        <w:t>5.8</w:t>
      </w:r>
      <w:r w:rsidRPr="003329B4">
        <w:t>%) indicate that there are at least one hundred employees at their workplace</w:t>
      </w:r>
      <w:r w:rsidR="00E90640" w:rsidRPr="003329B4">
        <w:t>, with the remaining employees split about evenly between small</w:t>
      </w:r>
      <w:r w:rsidR="00F472C6" w:rsidRPr="003329B4">
        <w:t>-sized</w:t>
      </w:r>
      <w:r w:rsidR="00E90640" w:rsidRPr="003329B4">
        <w:t xml:space="preserve"> (1 to 9 workers) and </w:t>
      </w:r>
      <w:r w:rsidR="00F472C6" w:rsidRPr="003329B4">
        <w:t>medium-sized employers</w:t>
      </w:r>
      <w:r w:rsidRPr="003329B4">
        <w:t xml:space="preserve">. </w:t>
      </w:r>
      <w:r w:rsidR="009E5B38" w:rsidRPr="003329B4">
        <w:t>O</w:t>
      </w:r>
      <w:r w:rsidR="00F472C6" w:rsidRPr="003329B4">
        <w:t xml:space="preserve">verall, our sample is reasonably </w:t>
      </w:r>
      <w:r w:rsidR="00920BCA" w:rsidRPr="003329B4">
        <w:t>aligned with</w:t>
      </w:r>
      <w:r w:rsidR="00F472C6" w:rsidRPr="003329B4">
        <w:t xml:space="preserve"> work</w:t>
      </w:r>
      <w:r w:rsidR="00920BCA" w:rsidRPr="003329B4">
        <w:t>er</w:t>
      </w:r>
      <w:r w:rsidR="00F472C6" w:rsidRPr="003329B4">
        <w:t xml:space="preserve"> characteristics of the U</w:t>
      </w:r>
      <w:r w:rsidR="00DA28A3" w:rsidRPr="003329B4">
        <w:t>.</w:t>
      </w:r>
      <w:r w:rsidR="00F472C6" w:rsidRPr="003329B4">
        <w:t>S</w:t>
      </w:r>
      <w:r w:rsidR="00DA28A3" w:rsidRPr="003329B4">
        <w:t>.</w:t>
      </w:r>
      <w:r w:rsidR="00F472C6" w:rsidRPr="003329B4">
        <w:t xml:space="preserve"> population. </w:t>
      </w:r>
    </w:p>
    <w:p w14:paraId="26239EB2" w14:textId="7FCFBBE6" w:rsidR="00232689" w:rsidRPr="003329B4" w:rsidRDefault="00232689" w:rsidP="003329B4">
      <w:pPr>
        <w:pStyle w:val="NormalWeb"/>
        <w:spacing w:before="0" w:beforeAutospacing="0" w:after="0" w:afterAutospacing="0"/>
        <w:ind w:firstLine="720"/>
        <w:jc w:val="both"/>
      </w:pPr>
      <w:r w:rsidRPr="003329B4">
        <w:t>In terms of residential characteristics, more than half of the respondents live in an urban area (46%) or suburban area (42</w:t>
      </w:r>
      <w:r w:rsidR="00F237C7" w:rsidRPr="003329B4">
        <w:t>.6</w:t>
      </w:r>
      <w:r w:rsidRPr="003329B4">
        <w:t xml:space="preserve">%). This seems to align </w:t>
      </w:r>
      <w:r w:rsidR="0029559B" w:rsidRPr="003329B4">
        <w:t xml:space="preserve">relatively closely </w:t>
      </w:r>
      <w:r w:rsidRPr="003329B4">
        <w:t xml:space="preserve">with the </w:t>
      </w:r>
      <w:r w:rsidR="00752144" w:rsidRPr="003329B4">
        <w:t xml:space="preserve">80% </w:t>
      </w:r>
      <w:r w:rsidR="0029559B" w:rsidRPr="003329B4">
        <w:t xml:space="preserve">of the </w:t>
      </w:r>
      <w:r w:rsidRPr="003329B4">
        <w:t xml:space="preserve">U.S. </w:t>
      </w:r>
      <w:r w:rsidR="00DD4A93" w:rsidRPr="003329B4">
        <w:t xml:space="preserve">population </w:t>
      </w:r>
      <w:r w:rsidR="0029559B" w:rsidRPr="003329B4">
        <w:t>residing outside a rural area in 2020 (</w:t>
      </w:r>
      <w:r w:rsidR="00A12E36" w:rsidRPr="003329B4">
        <w:t>U.S. Census Bureau, 2020</w:t>
      </w:r>
      <w:r w:rsidR="0029559B" w:rsidRPr="003329B4">
        <w:t xml:space="preserve">). </w:t>
      </w:r>
      <w:r w:rsidRPr="003329B4">
        <w:t>A vast majority reside in a stand-alone housing unit (66</w:t>
      </w:r>
      <w:r w:rsidR="00F237C7" w:rsidRPr="003329B4">
        <w:t>.4</w:t>
      </w:r>
      <w:r w:rsidRPr="003329B4">
        <w:t>%) and 68</w:t>
      </w:r>
      <w:r w:rsidR="00F237C7" w:rsidRPr="003329B4">
        <w:t>.0</w:t>
      </w:r>
      <w:r w:rsidRPr="003329B4">
        <w:t>% indicate that they own their housing unit. The housing</w:t>
      </w:r>
      <w:r w:rsidR="00F237C7" w:rsidRPr="003329B4">
        <w:t xml:space="preserve"> </w:t>
      </w:r>
      <w:r w:rsidRPr="003329B4">
        <w:t>ownership rate</w:t>
      </w:r>
      <w:r w:rsidR="0029559B" w:rsidRPr="003329B4">
        <w:t xml:space="preserve"> matches closely with the 6</w:t>
      </w:r>
      <w:r w:rsidR="00A12E36" w:rsidRPr="003329B4">
        <w:t>6</w:t>
      </w:r>
      <w:r w:rsidR="0029559B" w:rsidRPr="003329B4">
        <w:t xml:space="preserve">% ownership percentage </w:t>
      </w:r>
      <w:r w:rsidR="00920BCA" w:rsidRPr="003329B4">
        <w:t xml:space="preserve">in </w:t>
      </w:r>
      <w:r w:rsidR="0029559B" w:rsidRPr="003329B4">
        <w:t xml:space="preserve">the </w:t>
      </w:r>
      <w:r w:rsidRPr="003329B4">
        <w:t xml:space="preserve">U.S. Census Bureau </w:t>
      </w:r>
      <w:r w:rsidR="00A12E36" w:rsidRPr="003329B4">
        <w:t xml:space="preserve">(2023) </w:t>
      </w:r>
      <w:r w:rsidR="0029559B" w:rsidRPr="003329B4">
        <w:t>statistics</w:t>
      </w:r>
      <w:r w:rsidRPr="003329B4">
        <w:t xml:space="preserve">. </w:t>
      </w:r>
    </w:p>
    <w:p w14:paraId="6AB2928E" w14:textId="3FE538B5" w:rsidR="00BF524A" w:rsidRPr="00F01655" w:rsidRDefault="00BF524A" w:rsidP="003329B4">
      <w:pPr>
        <w:pStyle w:val="NormalWeb"/>
        <w:spacing w:before="0" w:beforeAutospacing="0" w:after="0" w:afterAutospacing="0"/>
        <w:ind w:firstLine="720"/>
        <w:jc w:val="both"/>
        <w:rPr>
          <w:rFonts w:ascii="TimesNewRomanPSMT" w:hAnsi="TimesNewRomanPSMT"/>
        </w:rPr>
      </w:pPr>
      <w:r w:rsidRPr="003329B4">
        <w:t>Finally, a majority of respondents</w:t>
      </w:r>
      <w:r w:rsidR="00F237C7" w:rsidRPr="003329B4">
        <w:t xml:space="preserve"> ar</w:t>
      </w:r>
      <w:r w:rsidRPr="003329B4">
        <w:t xml:space="preserve">e from the Western region </w:t>
      </w:r>
      <w:r w:rsidR="001B48DE" w:rsidRPr="003329B4">
        <w:t xml:space="preserve">of the U.S. </w:t>
      </w:r>
      <w:r w:rsidRPr="003329B4">
        <w:t>(4</w:t>
      </w:r>
      <w:r w:rsidR="00F237C7" w:rsidRPr="003329B4">
        <w:t>1.6</w:t>
      </w:r>
      <w:r w:rsidRPr="003329B4">
        <w:t xml:space="preserve">%) which </w:t>
      </w:r>
      <w:r w:rsidR="008C1603" w:rsidRPr="003329B4">
        <w:t xml:space="preserve">is </w:t>
      </w:r>
      <w:r w:rsidR="00F237C7" w:rsidRPr="003329B4">
        <w:t xml:space="preserve">a clear </w:t>
      </w:r>
      <w:r w:rsidR="001C7EE3" w:rsidRPr="003329B4">
        <w:t>over</w:t>
      </w:r>
      <w:r w:rsidR="008C1603" w:rsidRPr="003329B4">
        <w:t>-</w:t>
      </w:r>
      <w:r w:rsidR="001C7EE3" w:rsidRPr="003329B4">
        <w:t>represent</w:t>
      </w:r>
      <w:r w:rsidR="00F237C7" w:rsidRPr="003329B4">
        <w:t>ation</w:t>
      </w:r>
      <w:r w:rsidR="001C7EE3" w:rsidRPr="003329B4">
        <w:t xml:space="preserve"> </w:t>
      </w:r>
      <w:r w:rsidR="00920BCA" w:rsidRPr="003329B4">
        <w:t>of that geographic</w:t>
      </w:r>
      <w:r w:rsidR="00920BCA" w:rsidRPr="003329B4">
        <w:rPr>
          <w:rFonts w:ascii="TimesNewRomanPSMT" w:hAnsi="TimesNewRomanPSMT"/>
        </w:rPr>
        <w:t xml:space="preserve"> region </w:t>
      </w:r>
      <w:r w:rsidR="008C1603" w:rsidRPr="003329B4">
        <w:rPr>
          <w:rFonts w:ascii="TimesNewRomanPSMT" w:hAnsi="TimesNewRomanPSMT"/>
        </w:rPr>
        <w:t>(according to the U.S. Census Bureau statistics</w:t>
      </w:r>
      <w:r w:rsidR="00F237C7" w:rsidRPr="003329B4">
        <w:rPr>
          <w:rFonts w:ascii="TimesNewRomanPSMT" w:hAnsi="TimesNewRomanPSMT"/>
        </w:rPr>
        <w:t xml:space="preserve"> from 2022,</w:t>
      </w:r>
      <w:r w:rsidR="008C1603" w:rsidRPr="003329B4">
        <w:rPr>
          <w:rFonts w:ascii="TimesNewRomanPSMT" w:hAnsi="TimesNewRomanPSMT"/>
        </w:rPr>
        <w:t xml:space="preserve"> </w:t>
      </w:r>
      <w:r w:rsidR="001C7EE3" w:rsidRPr="003329B4">
        <w:rPr>
          <w:rFonts w:ascii="TimesNewRomanPSMT" w:hAnsi="TimesNewRomanPSMT"/>
        </w:rPr>
        <w:t xml:space="preserve">24% of </w:t>
      </w:r>
      <w:r w:rsidR="008C1603" w:rsidRPr="003329B4">
        <w:rPr>
          <w:rFonts w:ascii="TimesNewRomanPSMT" w:hAnsi="TimesNewRomanPSMT"/>
        </w:rPr>
        <w:t xml:space="preserve">the U.S. </w:t>
      </w:r>
      <w:r w:rsidR="00D56E23" w:rsidRPr="003329B4">
        <w:rPr>
          <w:rFonts w:ascii="TimesNewRomanPSMT" w:hAnsi="TimesNewRomanPSMT"/>
        </w:rPr>
        <w:t xml:space="preserve">population </w:t>
      </w:r>
      <w:r w:rsidR="008C1603" w:rsidRPr="003329B4">
        <w:rPr>
          <w:rFonts w:ascii="TimesNewRomanPSMT" w:hAnsi="TimesNewRomanPSMT"/>
        </w:rPr>
        <w:t xml:space="preserve">resides </w:t>
      </w:r>
      <w:r w:rsidR="001C7EE3" w:rsidRPr="003329B4">
        <w:rPr>
          <w:rFonts w:ascii="TimesNewRomanPSMT" w:hAnsi="TimesNewRomanPSMT"/>
        </w:rPr>
        <w:t>in the Western regio</w:t>
      </w:r>
      <w:r w:rsidR="008C1603" w:rsidRPr="003329B4">
        <w:rPr>
          <w:rFonts w:ascii="TimesNewRomanPSMT" w:hAnsi="TimesNewRomanPSMT"/>
        </w:rPr>
        <w:t>n</w:t>
      </w:r>
      <w:r w:rsidR="00F237C7" w:rsidRPr="003329B4">
        <w:rPr>
          <w:rFonts w:ascii="TimesNewRomanPSMT" w:hAnsi="TimesNewRomanPSMT"/>
        </w:rPr>
        <w:t>)</w:t>
      </w:r>
      <w:r w:rsidR="008C1603" w:rsidRPr="003329B4">
        <w:rPr>
          <w:rFonts w:ascii="TimesNewRomanPSMT" w:hAnsi="TimesNewRomanPSMT"/>
        </w:rPr>
        <w:t>.</w:t>
      </w:r>
      <w:r w:rsidR="001C7EE3" w:rsidRPr="003329B4">
        <w:rPr>
          <w:rFonts w:ascii="TimesNewRomanPSMT" w:hAnsi="TimesNewRomanPSMT"/>
        </w:rPr>
        <w:t xml:space="preserve"> </w:t>
      </w:r>
      <w:r w:rsidR="001B48DE" w:rsidRPr="003329B4">
        <w:rPr>
          <w:rFonts w:ascii="TimesNewRomanPSMT" w:hAnsi="TimesNewRomanPSMT"/>
        </w:rPr>
        <w:t xml:space="preserve">In fact, </w:t>
      </w:r>
      <w:r w:rsidR="001C7EE3" w:rsidRPr="003329B4">
        <w:rPr>
          <w:rFonts w:ascii="TimesNewRomanPSMT" w:hAnsi="TimesNewRomanPSMT"/>
        </w:rPr>
        <w:t xml:space="preserve">Arizona and California </w:t>
      </w:r>
      <w:r w:rsidR="001B48DE" w:rsidRPr="003329B4">
        <w:rPr>
          <w:rFonts w:ascii="TimesNewRomanPSMT" w:hAnsi="TimesNewRomanPSMT"/>
        </w:rPr>
        <w:t xml:space="preserve">alone comprise </w:t>
      </w:r>
      <w:r w:rsidR="001C7EE3" w:rsidRPr="003329B4">
        <w:rPr>
          <w:rFonts w:ascii="TimesNewRomanPSMT" w:hAnsi="TimesNewRomanPSMT"/>
        </w:rPr>
        <w:t xml:space="preserve">28% of the </w:t>
      </w:r>
      <w:r w:rsidR="001B48DE" w:rsidRPr="003329B4">
        <w:rPr>
          <w:rFonts w:ascii="TimesNewRomanPSMT" w:hAnsi="TimesNewRomanPSMT"/>
        </w:rPr>
        <w:t xml:space="preserve">sample. </w:t>
      </w:r>
      <w:r w:rsidR="001C7EE3" w:rsidRPr="003329B4">
        <w:rPr>
          <w:rFonts w:ascii="TimesNewRomanPSMT" w:hAnsi="TimesNewRomanPSMT"/>
        </w:rPr>
        <w:t>Further, we see that the Northeast (13%) and Midwest (21%) regions fairly align with the U.S. Census (i.e., 17% of population in the Northeast</w:t>
      </w:r>
      <w:r w:rsidR="001C7EE3" w:rsidRPr="00F01655">
        <w:rPr>
          <w:rFonts w:ascii="TimesNewRomanPSMT" w:hAnsi="TimesNewRomanPSMT"/>
        </w:rPr>
        <w:t xml:space="preserve"> and 21% in the Midwest). Meanwhile, the Southern region (24%) </w:t>
      </w:r>
      <w:r w:rsidR="001B48DE" w:rsidRPr="00F01655">
        <w:rPr>
          <w:rFonts w:ascii="TimesNewRomanPSMT" w:hAnsi="TimesNewRomanPSMT"/>
        </w:rPr>
        <w:t xml:space="preserve">is </w:t>
      </w:r>
      <w:r w:rsidR="001C7EE3" w:rsidRPr="00F01655">
        <w:rPr>
          <w:rFonts w:ascii="TimesNewRomanPSMT" w:hAnsi="TimesNewRomanPSMT"/>
        </w:rPr>
        <w:t>under-represented (3</w:t>
      </w:r>
      <w:r w:rsidR="001B48DE" w:rsidRPr="00F01655">
        <w:rPr>
          <w:rFonts w:ascii="TimesNewRomanPSMT" w:hAnsi="TimesNewRomanPSMT"/>
        </w:rPr>
        <w:t>8</w:t>
      </w:r>
      <w:r w:rsidR="001C7EE3" w:rsidRPr="00F01655">
        <w:rPr>
          <w:rFonts w:ascii="TimesNewRomanPSMT" w:hAnsi="TimesNewRomanPSMT"/>
        </w:rPr>
        <w:t xml:space="preserve">% of </w:t>
      </w:r>
      <w:r w:rsidR="001B48DE" w:rsidRPr="00F01655">
        <w:rPr>
          <w:rFonts w:ascii="TimesNewRomanPSMT" w:hAnsi="TimesNewRomanPSMT"/>
        </w:rPr>
        <w:t xml:space="preserve">the U.S. </w:t>
      </w:r>
      <w:r w:rsidR="001C7EE3" w:rsidRPr="00F01655">
        <w:rPr>
          <w:rFonts w:ascii="TimesNewRomanPSMT" w:hAnsi="TimesNewRomanPSMT"/>
        </w:rPr>
        <w:t xml:space="preserve">population </w:t>
      </w:r>
      <w:r w:rsidR="001B48DE" w:rsidRPr="00F01655">
        <w:rPr>
          <w:rFonts w:ascii="TimesNewRomanPSMT" w:hAnsi="TimesNewRomanPSMT"/>
        </w:rPr>
        <w:t xml:space="preserve">reside </w:t>
      </w:r>
      <w:r w:rsidR="001C7EE3" w:rsidRPr="00F01655">
        <w:rPr>
          <w:rFonts w:ascii="TimesNewRomanPSMT" w:hAnsi="TimesNewRomanPSMT"/>
        </w:rPr>
        <w:t>in the South</w:t>
      </w:r>
      <w:r w:rsidR="001B48DE" w:rsidRPr="00F01655">
        <w:rPr>
          <w:rFonts w:ascii="TimesNewRomanPSMT" w:hAnsi="TimesNewRomanPSMT"/>
        </w:rPr>
        <w:t xml:space="preserve">, according to Census </w:t>
      </w:r>
      <w:r w:rsidR="00920BCA" w:rsidRPr="00F01655">
        <w:rPr>
          <w:rFonts w:ascii="TimesNewRomanPSMT" w:hAnsi="TimesNewRomanPSMT"/>
        </w:rPr>
        <w:t>data</w:t>
      </w:r>
      <w:r w:rsidR="001C7EE3" w:rsidRPr="00F01655">
        <w:rPr>
          <w:rFonts w:ascii="TimesNewRomanPSMT" w:hAnsi="TimesNewRomanPSMT"/>
        </w:rPr>
        <w:t>).</w:t>
      </w:r>
      <w:r w:rsidR="008C1603" w:rsidRPr="00F01655">
        <w:rPr>
          <w:rStyle w:val="FootnoteReference"/>
          <w:rFonts w:ascii="TimesNewRomanPSMT" w:hAnsi="TimesNewRomanPSMT"/>
        </w:rPr>
        <w:footnoteReference w:id="6"/>
      </w:r>
    </w:p>
    <w:p w14:paraId="3F8BE982" w14:textId="664934BC" w:rsidR="007616F2" w:rsidRPr="00F01655" w:rsidRDefault="00232689" w:rsidP="00232689">
      <w:pPr>
        <w:pStyle w:val="NormalWeb"/>
        <w:spacing w:before="0" w:beforeAutospacing="0"/>
        <w:rPr>
          <w:color w:val="FF0000"/>
        </w:rPr>
        <w:sectPr w:rsidR="007616F2" w:rsidRPr="00F01655" w:rsidSect="003329B4">
          <w:footerReference w:type="default" r:id="rId16"/>
          <w:footerReference w:type="first" r:id="rId17"/>
          <w:pgSz w:w="12240" w:h="15840"/>
          <w:pgMar w:top="1440" w:right="1440" w:bottom="1440" w:left="1440" w:header="720" w:footer="720" w:gutter="0"/>
          <w:pgNumType w:start="1"/>
          <w:cols w:space="720"/>
          <w:docGrid w:linePitch="360"/>
        </w:sectPr>
      </w:pPr>
      <w:r w:rsidRPr="00F01655">
        <w:rPr>
          <w:color w:val="FF0000"/>
        </w:rPr>
        <w:t xml:space="preserve"> </w:t>
      </w:r>
      <w:r w:rsidR="00503AEF" w:rsidRPr="00F01655">
        <w:rPr>
          <w:color w:val="FF0000"/>
        </w:rPr>
        <w:t xml:space="preserve">  </w:t>
      </w:r>
    </w:p>
    <w:p w14:paraId="49E372B0" w14:textId="2AD640F6" w:rsidR="00AD5670" w:rsidRPr="00F01655" w:rsidRDefault="00AD5670" w:rsidP="00AD5670">
      <w:pPr>
        <w:pStyle w:val="NormalWeb"/>
        <w:spacing w:before="0" w:beforeAutospacing="0" w:after="0" w:afterAutospacing="0"/>
        <w:rPr>
          <w:rFonts w:ascii="TimesNewRomanPSMT" w:hAnsi="TimesNewRomanPSMT"/>
          <w:b/>
          <w:bCs/>
        </w:rPr>
      </w:pPr>
      <w:r w:rsidRPr="00F01655">
        <w:rPr>
          <w:rFonts w:ascii="TimesNewRomanPSMT" w:hAnsi="TimesNewRomanPSMT"/>
          <w:b/>
          <w:bCs/>
        </w:rPr>
        <w:lastRenderedPageBreak/>
        <w:t xml:space="preserve">Table 1. </w:t>
      </w:r>
      <w:r w:rsidR="00B77EB6" w:rsidRPr="00F01655">
        <w:rPr>
          <w:rFonts w:ascii="TimesNewRomanPSMT" w:hAnsi="TimesNewRomanPSMT"/>
          <w:b/>
          <w:bCs/>
        </w:rPr>
        <w:t>Sample Descriptive Statistics of Exogenous Variables</w:t>
      </w:r>
    </w:p>
    <w:tbl>
      <w:tblPr>
        <w:tblW w:w="13027" w:type="dxa"/>
        <w:tblLook w:val="04A0" w:firstRow="1" w:lastRow="0" w:firstColumn="1" w:lastColumn="0" w:noHBand="0" w:noVBand="1"/>
      </w:tblPr>
      <w:tblGrid>
        <w:gridCol w:w="2317"/>
        <w:gridCol w:w="810"/>
        <w:gridCol w:w="1000"/>
        <w:gridCol w:w="2690"/>
        <w:gridCol w:w="748"/>
        <w:gridCol w:w="990"/>
        <w:gridCol w:w="2492"/>
        <w:gridCol w:w="900"/>
        <w:gridCol w:w="1080"/>
      </w:tblGrid>
      <w:tr w:rsidR="003D4A3F" w:rsidRPr="00F01655" w14:paraId="14A815C9" w14:textId="77777777" w:rsidTr="002074ED">
        <w:trPr>
          <w:trHeight w:val="60"/>
        </w:trPr>
        <w:tc>
          <w:tcPr>
            <w:tcW w:w="2317" w:type="dxa"/>
            <w:tcBorders>
              <w:top w:val="double" w:sz="4" w:space="0" w:color="auto"/>
              <w:left w:val="double" w:sz="4" w:space="0" w:color="auto"/>
              <w:bottom w:val="double" w:sz="4" w:space="0" w:color="auto"/>
              <w:right w:val="single" w:sz="8" w:space="0" w:color="auto"/>
            </w:tcBorders>
            <w:shd w:val="clear" w:color="000000" w:fill="FFFFFF"/>
            <w:vAlign w:val="bottom"/>
            <w:hideMark/>
          </w:tcPr>
          <w:p w14:paraId="461A909C" w14:textId="77777777" w:rsidR="00E64E20" w:rsidRPr="00F01655" w:rsidRDefault="00E64E20">
            <w:pPr>
              <w:jc w:val="center"/>
              <w:rPr>
                <w:color w:val="000000"/>
                <w:sz w:val="19"/>
                <w:szCs w:val="19"/>
              </w:rPr>
            </w:pPr>
            <w:r w:rsidRPr="00F01655">
              <w:rPr>
                <w:color w:val="000000"/>
                <w:sz w:val="19"/>
                <w:szCs w:val="19"/>
              </w:rPr>
              <w:t>Variable</w:t>
            </w:r>
          </w:p>
        </w:tc>
        <w:tc>
          <w:tcPr>
            <w:tcW w:w="810" w:type="dxa"/>
            <w:tcBorders>
              <w:top w:val="double" w:sz="4" w:space="0" w:color="auto"/>
              <w:left w:val="nil"/>
              <w:bottom w:val="double" w:sz="4" w:space="0" w:color="auto"/>
              <w:right w:val="single" w:sz="4" w:space="0" w:color="auto"/>
            </w:tcBorders>
            <w:shd w:val="clear" w:color="000000" w:fill="FFFFFF"/>
            <w:noWrap/>
            <w:vAlign w:val="bottom"/>
            <w:hideMark/>
          </w:tcPr>
          <w:p w14:paraId="042A8100" w14:textId="77777777" w:rsidR="00E64E20" w:rsidRPr="00F01655" w:rsidRDefault="00E64E20">
            <w:pPr>
              <w:jc w:val="center"/>
              <w:rPr>
                <w:color w:val="000000"/>
                <w:sz w:val="19"/>
                <w:szCs w:val="19"/>
              </w:rPr>
            </w:pPr>
            <w:r w:rsidRPr="00F01655">
              <w:rPr>
                <w:color w:val="000000"/>
                <w:sz w:val="19"/>
                <w:szCs w:val="19"/>
              </w:rPr>
              <w:t>Count</w:t>
            </w:r>
          </w:p>
        </w:tc>
        <w:tc>
          <w:tcPr>
            <w:tcW w:w="1000" w:type="dxa"/>
            <w:tcBorders>
              <w:top w:val="double" w:sz="4" w:space="0" w:color="auto"/>
              <w:left w:val="nil"/>
              <w:bottom w:val="double" w:sz="4" w:space="0" w:color="auto"/>
              <w:right w:val="double" w:sz="4" w:space="0" w:color="auto"/>
            </w:tcBorders>
            <w:shd w:val="clear" w:color="000000" w:fill="FFFFFF"/>
            <w:noWrap/>
            <w:vAlign w:val="bottom"/>
            <w:hideMark/>
          </w:tcPr>
          <w:p w14:paraId="6DA385AF" w14:textId="77777777" w:rsidR="00E64E20" w:rsidRPr="00F01655" w:rsidRDefault="00E64E20">
            <w:pPr>
              <w:jc w:val="center"/>
              <w:rPr>
                <w:color w:val="000000"/>
                <w:sz w:val="19"/>
                <w:szCs w:val="19"/>
              </w:rPr>
            </w:pPr>
            <w:r w:rsidRPr="00F01655">
              <w:rPr>
                <w:color w:val="000000"/>
                <w:sz w:val="19"/>
                <w:szCs w:val="19"/>
              </w:rPr>
              <w:t>%</w:t>
            </w:r>
          </w:p>
        </w:tc>
        <w:tc>
          <w:tcPr>
            <w:tcW w:w="2690" w:type="dxa"/>
            <w:tcBorders>
              <w:top w:val="double" w:sz="4" w:space="0" w:color="auto"/>
              <w:left w:val="double" w:sz="4" w:space="0" w:color="auto"/>
              <w:bottom w:val="double" w:sz="4" w:space="0" w:color="auto"/>
              <w:right w:val="single" w:sz="8" w:space="0" w:color="auto"/>
            </w:tcBorders>
            <w:shd w:val="clear" w:color="000000" w:fill="FFFFFF"/>
            <w:noWrap/>
            <w:vAlign w:val="bottom"/>
            <w:hideMark/>
          </w:tcPr>
          <w:p w14:paraId="354C7C9E" w14:textId="77777777" w:rsidR="00E64E20" w:rsidRPr="00F01655" w:rsidRDefault="00E64E20">
            <w:pPr>
              <w:jc w:val="center"/>
              <w:rPr>
                <w:color w:val="000000"/>
                <w:sz w:val="19"/>
                <w:szCs w:val="19"/>
              </w:rPr>
            </w:pPr>
            <w:r w:rsidRPr="00F01655">
              <w:rPr>
                <w:color w:val="000000"/>
                <w:sz w:val="19"/>
                <w:szCs w:val="19"/>
              </w:rPr>
              <w:t>Variable</w:t>
            </w:r>
          </w:p>
        </w:tc>
        <w:tc>
          <w:tcPr>
            <w:tcW w:w="748" w:type="dxa"/>
            <w:tcBorders>
              <w:top w:val="double" w:sz="4" w:space="0" w:color="auto"/>
              <w:left w:val="nil"/>
              <w:bottom w:val="double" w:sz="4" w:space="0" w:color="auto"/>
              <w:right w:val="single" w:sz="4" w:space="0" w:color="auto"/>
            </w:tcBorders>
            <w:shd w:val="clear" w:color="000000" w:fill="FFFFFF"/>
            <w:noWrap/>
            <w:vAlign w:val="bottom"/>
            <w:hideMark/>
          </w:tcPr>
          <w:p w14:paraId="52557E8E" w14:textId="77777777" w:rsidR="00E64E20" w:rsidRPr="00F01655" w:rsidRDefault="00E64E20">
            <w:pPr>
              <w:jc w:val="center"/>
              <w:rPr>
                <w:color w:val="000000"/>
                <w:sz w:val="19"/>
                <w:szCs w:val="19"/>
              </w:rPr>
            </w:pPr>
            <w:r w:rsidRPr="00F01655">
              <w:rPr>
                <w:color w:val="000000"/>
                <w:sz w:val="19"/>
                <w:szCs w:val="19"/>
              </w:rPr>
              <w:t>Count</w:t>
            </w:r>
          </w:p>
        </w:tc>
        <w:tc>
          <w:tcPr>
            <w:tcW w:w="990" w:type="dxa"/>
            <w:tcBorders>
              <w:top w:val="double" w:sz="4" w:space="0" w:color="auto"/>
              <w:left w:val="nil"/>
              <w:bottom w:val="double" w:sz="4" w:space="0" w:color="auto"/>
              <w:right w:val="double" w:sz="4" w:space="0" w:color="auto"/>
            </w:tcBorders>
            <w:shd w:val="clear" w:color="000000" w:fill="FFFFFF"/>
            <w:noWrap/>
            <w:vAlign w:val="bottom"/>
            <w:hideMark/>
          </w:tcPr>
          <w:p w14:paraId="34E50087" w14:textId="77777777" w:rsidR="00E64E20" w:rsidRPr="00F01655" w:rsidRDefault="00E64E20">
            <w:pPr>
              <w:jc w:val="center"/>
              <w:rPr>
                <w:color w:val="000000"/>
                <w:sz w:val="19"/>
                <w:szCs w:val="19"/>
              </w:rPr>
            </w:pPr>
            <w:r w:rsidRPr="00F01655">
              <w:rPr>
                <w:color w:val="000000"/>
                <w:sz w:val="19"/>
                <w:szCs w:val="19"/>
              </w:rPr>
              <w:t>%</w:t>
            </w:r>
          </w:p>
        </w:tc>
        <w:tc>
          <w:tcPr>
            <w:tcW w:w="2492" w:type="dxa"/>
            <w:tcBorders>
              <w:top w:val="double" w:sz="4" w:space="0" w:color="auto"/>
              <w:left w:val="double" w:sz="4" w:space="0" w:color="auto"/>
              <w:bottom w:val="double" w:sz="4" w:space="0" w:color="auto"/>
              <w:right w:val="single" w:sz="8" w:space="0" w:color="auto"/>
            </w:tcBorders>
            <w:shd w:val="clear" w:color="000000" w:fill="FFFFFF"/>
            <w:vAlign w:val="bottom"/>
            <w:hideMark/>
          </w:tcPr>
          <w:p w14:paraId="505206F2" w14:textId="77777777" w:rsidR="00E64E20" w:rsidRPr="00F01655" w:rsidRDefault="00E64E20">
            <w:pPr>
              <w:jc w:val="center"/>
              <w:rPr>
                <w:color w:val="000000"/>
                <w:sz w:val="19"/>
                <w:szCs w:val="19"/>
              </w:rPr>
            </w:pPr>
            <w:r w:rsidRPr="00F01655">
              <w:rPr>
                <w:color w:val="000000"/>
                <w:sz w:val="19"/>
                <w:szCs w:val="19"/>
              </w:rPr>
              <w:t>Variable</w:t>
            </w:r>
          </w:p>
        </w:tc>
        <w:tc>
          <w:tcPr>
            <w:tcW w:w="900" w:type="dxa"/>
            <w:tcBorders>
              <w:top w:val="double" w:sz="4" w:space="0" w:color="auto"/>
              <w:left w:val="nil"/>
              <w:bottom w:val="double" w:sz="4" w:space="0" w:color="auto"/>
              <w:right w:val="single" w:sz="4" w:space="0" w:color="auto"/>
            </w:tcBorders>
            <w:shd w:val="clear" w:color="000000" w:fill="FFFFFF"/>
            <w:noWrap/>
            <w:vAlign w:val="bottom"/>
            <w:hideMark/>
          </w:tcPr>
          <w:p w14:paraId="75E14BD3" w14:textId="77777777" w:rsidR="00E64E20" w:rsidRPr="00F01655" w:rsidRDefault="00E64E20">
            <w:pPr>
              <w:jc w:val="center"/>
              <w:rPr>
                <w:color w:val="000000"/>
                <w:sz w:val="19"/>
                <w:szCs w:val="19"/>
              </w:rPr>
            </w:pPr>
            <w:r w:rsidRPr="00F01655">
              <w:rPr>
                <w:color w:val="000000"/>
                <w:sz w:val="19"/>
                <w:szCs w:val="19"/>
              </w:rPr>
              <w:t>Count</w:t>
            </w:r>
          </w:p>
        </w:tc>
        <w:tc>
          <w:tcPr>
            <w:tcW w:w="1080" w:type="dxa"/>
            <w:tcBorders>
              <w:top w:val="double" w:sz="4" w:space="0" w:color="auto"/>
              <w:left w:val="nil"/>
              <w:bottom w:val="double" w:sz="4" w:space="0" w:color="auto"/>
              <w:right w:val="double" w:sz="4" w:space="0" w:color="auto"/>
            </w:tcBorders>
            <w:shd w:val="clear" w:color="000000" w:fill="FFFFFF"/>
            <w:noWrap/>
            <w:vAlign w:val="bottom"/>
            <w:hideMark/>
          </w:tcPr>
          <w:p w14:paraId="5F26DCA7" w14:textId="77777777" w:rsidR="00E64E20" w:rsidRPr="00F01655" w:rsidRDefault="00E64E20">
            <w:pPr>
              <w:jc w:val="center"/>
              <w:rPr>
                <w:color w:val="000000"/>
                <w:sz w:val="19"/>
                <w:szCs w:val="19"/>
              </w:rPr>
            </w:pPr>
            <w:r w:rsidRPr="00F01655">
              <w:rPr>
                <w:color w:val="000000"/>
                <w:sz w:val="19"/>
                <w:szCs w:val="19"/>
              </w:rPr>
              <w:t>%</w:t>
            </w:r>
          </w:p>
        </w:tc>
      </w:tr>
      <w:tr w:rsidR="003D4A3F" w:rsidRPr="00F01655" w14:paraId="349F3E9F" w14:textId="77777777" w:rsidTr="002074ED">
        <w:trPr>
          <w:trHeight w:val="60"/>
        </w:trPr>
        <w:tc>
          <w:tcPr>
            <w:tcW w:w="2317" w:type="dxa"/>
            <w:tcBorders>
              <w:top w:val="double" w:sz="4" w:space="0" w:color="auto"/>
              <w:left w:val="double" w:sz="4" w:space="0" w:color="auto"/>
              <w:bottom w:val="nil"/>
              <w:right w:val="single" w:sz="8" w:space="0" w:color="auto"/>
            </w:tcBorders>
            <w:shd w:val="clear" w:color="000000" w:fill="FFFFFF"/>
            <w:vAlign w:val="center"/>
            <w:hideMark/>
          </w:tcPr>
          <w:p w14:paraId="2624AE72" w14:textId="77777777" w:rsidR="00E64E20" w:rsidRPr="00F01655" w:rsidRDefault="00E64E20">
            <w:pPr>
              <w:rPr>
                <w:b/>
                <w:bCs/>
                <w:i/>
                <w:iCs/>
                <w:color w:val="000000"/>
                <w:sz w:val="19"/>
                <w:szCs w:val="19"/>
              </w:rPr>
            </w:pPr>
            <w:r w:rsidRPr="00F01655">
              <w:rPr>
                <w:b/>
                <w:bCs/>
                <w:i/>
                <w:iCs/>
                <w:color w:val="000000"/>
                <w:sz w:val="19"/>
                <w:szCs w:val="19"/>
              </w:rPr>
              <w:t>Individual-Level Characteristics</w:t>
            </w:r>
          </w:p>
        </w:tc>
        <w:tc>
          <w:tcPr>
            <w:tcW w:w="810" w:type="dxa"/>
            <w:tcBorders>
              <w:top w:val="double" w:sz="4" w:space="0" w:color="auto"/>
              <w:left w:val="nil"/>
              <w:bottom w:val="nil"/>
              <w:right w:val="single" w:sz="4" w:space="0" w:color="auto"/>
            </w:tcBorders>
            <w:shd w:val="clear" w:color="000000" w:fill="FFFFFF"/>
            <w:noWrap/>
            <w:vAlign w:val="bottom"/>
            <w:hideMark/>
          </w:tcPr>
          <w:p w14:paraId="68450FAC" w14:textId="77777777" w:rsidR="00E64E20" w:rsidRPr="00F01655" w:rsidRDefault="00E64E20">
            <w:pPr>
              <w:rPr>
                <w:color w:val="000000"/>
                <w:sz w:val="19"/>
                <w:szCs w:val="19"/>
              </w:rPr>
            </w:pPr>
            <w:r w:rsidRPr="00F01655">
              <w:rPr>
                <w:color w:val="000000"/>
                <w:sz w:val="19"/>
                <w:szCs w:val="19"/>
              </w:rPr>
              <w:t> </w:t>
            </w:r>
          </w:p>
        </w:tc>
        <w:tc>
          <w:tcPr>
            <w:tcW w:w="1000" w:type="dxa"/>
            <w:tcBorders>
              <w:top w:val="double" w:sz="4" w:space="0" w:color="auto"/>
              <w:left w:val="nil"/>
              <w:bottom w:val="nil"/>
              <w:right w:val="double" w:sz="4" w:space="0" w:color="auto"/>
            </w:tcBorders>
            <w:shd w:val="clear" w:color="000000" w:fill="FFFFFF"/>
            <w:noWrap/>
            <w:vAlign w:val="bottom"/>
            <w:hideMark/>
          </w:tcPr>
          <w:p w14:paraId="3C772588" w14:textId="77777777" w:rsidR="00E64E20" w:rsidRPr="00F01655" w:rsidRDefault="00E64E20">
            <w:pPr>
              <w:rPr>
                <w:color w:val="000000"/>
                <w:sz w:val="19"/>
                <w:szCs w:val="19"/>
              </w:rPr>
            </w:pPr>
            <w:r w:rsidRPr="00F01655">
              <w:rPr>
                <w:color w:val="000000"/>
                <w:sz w:val="19"/>
                <w:szCs w:val="19"/>
              </w:rPr>
              <w:t> </w:t>
            </w:r>
          </w:p>
        </w:tc>
        <w:tc>
          <w:tcPr>
            <w:tcW w:w="2690" w:type="dxa"/>
            <w:tcBorders>
              <w:top w:val="double" w:sz="4" w:space="0" w:color="auto"/>
              <w:left w:val="double" w:sz="4" w:space="0" w:color="auto"/>
              <w:bottom w:val="nil"/>
              <w:right w:val="single" w:sz="8" w:space="0" w:color="auto"/>
            </w:tcBorders>
            <w:shd w:val="clear" w:color="000000" w:fill="FFFFFF"/>
            <w:vAlign w:val="center"/>
            <w:hideMark/>
          </w:tcPr>
          <w:p w14:paraId="41E7A966" w14:textId="77777777" w:rsidR="00E64E20" w:rsidRPr="00F01655" w:rsidRDefault="00E64E20">
            <w:pPr>
              <w:rPr>
                <w:b/>
                <w:bCs/>
                <w:i/>
                <w:iCs/>
                <w:color w:val="000000"/>
                <w:sz w:val="19"/>
                <w:szCs w:val="19"/>
              </w:rPr>
            </w:pPr>
            <w:r w:rsidRPr="00F01655">
              <w:rPr>
                <w:b/>
                <w:bCs/>
                <w:i/>
                <w:iCs/>
                <w:color w:val="000000"/>
                <w:sz w:val="19"/>
                <w:szCs w:val="19"/>
              </w:rPr>
              <w:t>Household Characteristics (continued)</w:t>
            </w:r>
          </w:p>
        </w:tc>
        <w:tc>
          <w:tcPr>
            <w:tcW w:w="748" w:type="dxa"/>
            <w:tcBorders>
              <w:top w:val="double" w:sz="4" w:space="0" w:color="auto"/>
              <w:left w:val="nil"/>
              <w:bottom w:val="nil"/>
              <w:right w:val="single" w:sz="4" w:space="0" w:color="auto"/>
            </w:tcBorders>
            <w:shd w:val="clear" w:color="000000" w:fill="FFFFFF"/>
            <w:noWrap/>
            <w:vAlign w:val="bottom"/>
            <w:hideMark/>
          </w:tcPr>
          <w:p w14:paraId="6F5A8378" w14:textId="77777777" w:rsidR="00E64E20" w:rsidRPr="00F01655" w:rsidRDefault="00E64E20">
            <w:pPr>
              <w:rPr>
                <w:color w:val="000000"/>
                <w:sz w:val="19"/>
                <w:szCs w:val="19"/>
              </w:rPr>
            </w:pPr>
            <w:r w:rsidRPr="00F01655">
              <w:rPr>
                <w:color w:val="000000"/>
                <w:sz w:val="19"/>
                <w:szCs w:val="19"/>
              </w:rPr>
              <w:t> </w:t>
            </w:r>
          </w:p>
        </w:tc>
        <w:tc>
          <w:tcPr>
            <w:tcW w:w="990" w:type="dxa"/>
            <w:tcBorders>
              <w:top w:val="double" w:sz="4" w:space="0" w:color="auto"/>
              <w:left w:val="nil"/>
              <w:bottom w:val="nil"/>
              <w:right w:val="double" w:sz="4" w:space="0" w:color="auto"/>
            </w:tcBorders>
            <w:shd w:val="clear" w:color="000000" w:fill="FFFFFF"/>
            <w:noWrap/>
            <w:vAlign w:val="bottom"/>
            <w:hideMark/>
          </w:tcPr>
          <w:p w14:paraId="7E72957D" w14:textId="77777777" w:rsidR="00E64E20" w:rsidRPr="00F01655" w:rsidRDefault="00E64E20">
            <w:pPr>
              <w:rPr>
                <w:color w:val="000000"/>
                <w:sz w:val="19"/>
                <w:szCs w:val="19"/>
              </w:rPr>
            </w:pPr>
            <w:r w:rsidRPr="00F01655">
              <w:rPr>
                <w:color w:val="000000"/>
                <w:sz w:val="19"/>
                <w:szCs w:val="19"/>
              </w:rPr>
              <w:t> </w:t>
            </w:r>
          </w:p>
        </w:tc>
        <w:tc>
          <w:tcPr>
            <w:tcW w:w="2492" w:type="dxa"/>
            <w:tcBorders>
              <w:top w:val="double" w:sz="4" w:space="0" w:color="auto"/>
              <w:left w:val="double" w:sz="4" w:space="0" w:color="auto"/>
              <w:bottom w:val="nil"/>
              <w:right w:val="single" w:sz="8" w:space="0" w:color="auto"/>
            </w:tcBorders>
            <w:shd w:val="clear" w:color="000000" w:fill="FFFFFF"/>
            <w:vAlign w:val="center"/>
            <w:hideMark/>
          </w:tcPr>
          <w:p w14:paraId="0CDDE934" w14:textId="77777777" w:rsidR="00E64E20" w:rsidRPr="00F01655" w:rsidRDefault="00E64E20">
            <w:pPr>
              <w:rPr>
                <w:b/>
                <w:bCs/>
                <w:i/>
                <w:iCs/>
                <w:color w:val="000000"/>
                <w:sz w:val="19"/>
                <w:szCs w:val="19"/>
              </w:rPr>
            </w:pPr>
            <w:r w:rsidRPr="00F01655">
              <w:rPr>
                <w:b/>
                <w:bCs/>
                <w:i/>
                <w:iCs/>
                <w:color w:val="000000"/>
                <w:sz w:val="19"/>
                <w:szCs w:val="19"/>
              </w:rPr>
              <w:t>Job-Related Characteristics (continued)</w:t>
            </w:r>
          </w:p>
        </w:tc>
        <w:tc>
          <w:tcPr>
            <w:tcW w:w="900" w:type="dxa"/>
            <w:tcBorders>
              <w:top w:val="double" w:sz="4" w:space="0" w:color="auto"/>
              <w:left w:val="nil"/>
              <w:bottom w:val="nil"/>
              <w:right w:val="single" w:sz="4" w:space="0" w:color="auto"/>
            </w:tcBorders>
            <w:shd w:val="clear" w:color="000000" w:fill="FFFFFF"/>
            <w:noWrap/>
            <w:vAlign w:val="bottom"/>
            <w:hideMark/>
          </w:tcPr>
          <w:p w14:paraId="38482F0E" w14:textId="77777777" w:rsidR="00E64E20" w:rsidRPr="00F01655" w:rsidRDefault="00E64E20">
            <w:pPr>
              <w:rPr>
                <w:color w:val="000000"/>
                <w:sz w:val="19"/>
                <w:szCs w:val="19"/>
              </w:rPr>
            </w:pPr>
            <w:r w:rsidRPr="00F01655">
              <w:rPr>
                <w:color w:val="000000"/>
                <w:sz w:val="19"/>
                <w:szCs w:val="19"/>
              </w:rPr>
              <w:t> </w:t>
            </w:r>
          </w:p>
        </w:tc>
        <w:tc>
          <w:tcPr>
            <w:tcW w:w="1080" w:type="dxa"/>
            <w:tcBorders>
              <w:top w:val="double" w:sz="4" w:space="0" w:color="auto"/>
              <w:left w:val="nil"/>
              <w:bottom w:val="nil"/>
              <w:right w:val="double" w:sz="4" w:space="0" w:color="auto"/>
            </w:tcBorders>
            <w:shd w:val="clear" w:color="000000" w:fill="FFFFFF"/>
            <w:noWrap/>
            <w:vAlign w:val="bottom"/>
            <w:hideMark/>
          </w:tcPr>
          <w:p w14:paraId="44420AA5" w14:textId="77777777" w:rsidR="00E64E20" w:rsidRPr="00F01655" w:rsidRDefault="00E64E20">
            <w:pPr>
              <w:rPr>
                <w:color w:val="000000"/>
                <w:sz w:val="19"/>
                <w:szCs w:val="19"/>
              </w:rPr>
            </w:pPr>
            <w:r w:rsidRPr="00F01655">
              <w:rPr>
                <w:color w:val="000000"/>
                <w:sz w:val="19"/>
                <w:szCs w:val="19"/>
              </w:rPr>
              <w:t> </w:t>
            </w:r>
          </w:p>
        </w:tc>
      </w:tr>
      <w:tr w:rsidR="003D4A3F" w:rsidRPr="00F01655" w14:paraId="52CE7B80"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5C323C11" w14:textId="77777777" w:rsidR="00E64E20" w:rsidRPr="00F01655" w:rsidRDefault="00E64E20">
            <w:pPr>
              <w:rPr>
                <w:b/>
                <w:bCs/>
                <w:color w:val="000000"/>
                <w:sz w:val="19"/>
                <w:szCs w:val="19"/>
              </w:rPr>
            </w:pPr>
            <w:r w:rsidRPr="00F01655">
              <w:rPr>
                <w:b/>
                <w:bCs/>
                <w:color w:val="000000"/>
                <w:sz w:val="19"/>
                <w:szCs w:val="19"/>
              </w:rPr>
              <w:t>Gender</w:t>
            </w:r>
          </w:p>
        </w:tc>
        <w:tc>
          <w:tcPr>
            <w:tcW w:w="810" w:type="dxa"/>
            <w:tcBorders>
              <w:top w:val="nil"/>
              <w:left w:val="nil"/>
              <w:bottom w:val="nil"/>
              <w:right w:val="single" w:sz="4" w:space="0" w:color="auto"/>
            </w:tcBorders>
            <w:shd w:val="clear" w:color="000000" w:fill="FFFFFF"/>
            <w:noWrap/>
            <w:vAlign w:val="center"/>
            <w:hideMark/>
          </w:tcPr>
          <w:p w14:paraId="0E373E02" w14:textId="77777777" w:rsidR="00E64E20" w:rsidRPr="00F01655" w:rsidRDefault="00E64E20">
            <w:pPr>
              <w:jc w:val="right"/>
              <w:rPr>
                <w:color w:val="000000"/>
                <w:sz w:val="19"/>
                <w:szCs w:val="19"/>
              </w:rPr>
            </w:pPr>
            <w:r w:rsidRPr="00F01655">
              <w:rPr>
                <w:color w:val="000000"/>
                <w:sz w:val="19"/>
                <w:szCs w:val="19"/>
              </w:rPr>
              <w:t> </w:t>
            </w:r>
          </w:p>
        </w:tc>
        <w:tc>
          <w:tcPr>
            <w:tcW w:w="1000" w:type="dxa"/>
            <w:tcBorders>
              <w:top w:val="nil"/>
              <w:left w:val="nil"/>
              <w:bottom w:val="nil"/>
              <w:right w:val="double" w:sz="4" w:space="0" w:color="auto"/>
            </w:tcBorders>
            <w:shd w:val="clear" w:color="000000" w:fill="FFFFFF"/>
            <w:noWrap/>
            <w:vAlign w:val="center"/>
            <w:hideMark/>
          </w:tcPr>
          <w:p w14:paraId="7852806E" w14:textId="77777777" w:rsidR="00E64E20" w:rsidRPr="00F01655" w:rsidRDefault="00E64E20">
            <w:pPr>
              <w:jc w:val="right"/>
              <w:rPr>
                <w:color w:val="000000"/>
                <w:sz w:val="19"/>
                <w:szCs w:val="19"/>
              </w:rPr>
            </w:pPr>
            <w:r w:rsidRPr="00F01655">
              <w:rPr>
                <w:color w:val="000000"/>
                <w:sz w:val="19"/>
                <w:szCs w:val="19"/>
              </w:rPr>
              <w:t> </w:t>
            </w:r>
          </w:p>
        </w:tc>
        <w:tc>
          <w:tcPr>
            <w:tcW w:w="2690" w:type="dxa"/>
            <w:tcBorders>
              <w:top w:val="nil"/>
              <w:left w:val="double" w:sz="4" w:space="0" w:color="auto"/>
              <w:bottom w:val="nil"/>
              <w:right w:val="nil"/>
            </w:tcBorders>
            <w:shd w:val="clear" w:color="000000" w:fill="FFFFFF"/>
            <w:vAlign w:val="center"/>
            <w:hideMark/>
          </w:tcPr>
          <w:p w14:paraId="1015F486" w14:textId="77777777" w:rsidR="00E64E20" w:rsidRPr="00F01655" w:rsidRDefault="00E64E20">
            <w:pPr>
              <w:rPr>
                <w:b/>
                <w:bCs/>
                <w:color w:val="000000"/>
                <w:sz w:val="19"/>
                <w:szCs w:val="19"/>
              </w:rPr>
            </w:pPr>
            <w:r w:rsidRPr="00F01655">
              <w:rPr>
                <w:b/>
                <w:bCs/>
                <w:color w:val="000000"/>
                <w:sz w:val="19"/>
                <w:szCs w:val="19"/>
              </w:rPr>
              <w:t xml:space="preserve">Vehicles / Person / Household </w:t>
            </w:r>
          </w:p>
        </w:tc>
        <w:tc>
          <w:tcPr>
            <w:tcW w:w="748" w:type="dxa"/>
            <w:tcBorders>
              <w:top w:val="nil"/>
              <w:left w:val="single" w:sz="8" w:space="0" w:color="auto"/>
              <w:bottom w:val="nil"/>
              <w:right w:val="single" w:sz="4" w:space="0" w:color="auto"/>
            </w:tcBorders>
            <w:shd w:val="clear" w:color="000000" w:fill="FFFFFF"/>
            <w:noWrap/>
            <w:vAlign w:val="bottom"/>
            <w:hideMark/>
          </w:tcPr>
          <w:p w14:paraId="35527632" w14:textId="77777777" w:rsidR="00E64E20" w:rsidRPr="00F01655" w:rsidRDefault="00E64E20">
            <w:pPr>
              <w:jc w:val="center"/>
              <w:rPr>
                <w:color w:val="000000"/>
                <w:sz w:val="19"/>
                <w:szCs w:val="19"/>
              </w:rPr>
            </w:pPr>
            <w:r w:rsidRPr="00F01655">
              <w:rPr>
                <w:color w:val="000000"/>
                <w:sz w:val="19"/>
                <w:szCs w:val="19"/>
              </w:rPr>
              <w:t> </w:t>
            </w:r>
          </w:p>
        </w:tc>
        <w:tc>
          <w:tcPr>
            <w:tcW w:w="990" w:type="dxa"/>
            <w:tcBorders>
              <w:top w:val="nil"/>
              <w:left w:val="nil"/>
              <w:bottom w:val="nil"/>
              <w:right w:val="double" w:sz="4" w:space="0" w:color="auto"/>
            </w:tcBorders>
            <w:shd w:val="clear" w:color="000000" w:fill="FFFFFF"/>
            <w:noWrap/>
            <w:vAlign w:val="bottom"/>
            <w:hideMark/>
          </w:tcPr>
          <w:p w14:paraId="378D3AE0" w14:textId="77777777" w:rsidR="00E64E20" w:rsidRPr="00F01655" w:rsidRDefault="00E64E20">
            <w:pPr>
              <w:jc w:val="center"/>
              <w:rPr>
                <w:color w:val="000000"/>
                <w:sz w:val="19"/>
                <w:szCs w:val="19"/>
              </w:rPr>
            </w:pPr>
            <w:r w:rsidRPr="00F01655">
              <w:rPr>
                <w:color w:val="000000"/>
                <w:sz w:val="19"/>
                <w:szCs w:val="19"/>
              </w:rPr>
              <w:t> </w:t>
            </w:r>
          </w:p>
        </w:tc>
        <w:tc>
          <w:tcPr>
            <w:tcW w:w="2492" w:type="dxa"/>
            <w:tcBorders>
              <w:top w:val="nil"/>
              <w:left w:val="double" w:sz="4" w:space="0" w:color="auto"/>
              <w:bottom w:val="nil"/>
              <w:right w:val="nil"/>
            </w:tcBorders>
            <w:shd w:val="clear" w:color="000000" w:fill="FFFFFF"/>
            <w:noWrap/>
            <w:vAlign w:val="center"/>
            <w:hideMark/>
          </w:tcPr>
          <w:p w14:paraId="40186DA1" w14:textId="77777777" w:rsidR="00E64E20" w:rsidRPr="00F01655" w:rsidRDefault="00E64E20">
            <w:pPr>
              <w:rPr>
                <w:b/>
                <w:bCs/>
                <w:color w:val="000000"/>
                <w:sz w:val="19"/>
                <w:szCs w:val="19"/>
              </w:rPr>
            </w:pPr>
            <w:r w:rsidRPr="00F01655">
              <w:rPr>
                <w:b/>
                <w:bCs/>
                <w:color w:val="000000"/>
                <w:sz w:val="19"/>
                <w:szCs w:val="19"/>
              </w:rPr>
              <w:t>Employer Size</w:t>
            </w:r>
          </w:p>
        </w:tc>
        <w:tc>
          <w:tcPr>
            <w:tcW w:w="900" w:type="dxa"/>
            <w:tcBorders>
              <w:top w:val="nil"/>
              <w:left w:val="single" w:sz="8" w:space="0" w:color="auto"/>
              <w:bottom w:val="nil"/>
              <w:right w:val="nil"/>
            </w:tcBorders>
            <w:shd w:val="clear" w:color="000000" w:fill="FFFFFF"/>
            <w:noWrap/>
            <w:vAlign w:val="center"/>
            <w:hideMark/>
          </w:tcPr>
          <w:p w14:paraId="0432938E" w14:textId="77777777" w:rsidR="00E64E20" w:rsidRPr="00F01655" w:rsidRDefault="00E64E20">
            <w:pPr>
              <w:jc w:val="right"/>
              <w:rPr>
                <w:color w:val="000000"/>
                <w:sz w:val="19"/>
                <w:szCs w:val="19"/>
              </w:rPr>
            </w:pPr>
            <w:r w:rsidRPr="00F01655">
              <w:rPr>
                <w:color w:val="000000"/>
                <w:sz w:val="19"/>
                <w:szCs w:val="19"/>
              </w:rPr>
              <w:t> </w:t>
            </w:r>
          </w:p>
        </w:tc>
        <w:tc>
          <w:tcPr>
            <w:tcW w:w="1080" w:type="dxa"/>
            <w:tcBorders>
              <w:top w:val="nil"/>
              <w:left w:val="single" w:sz="4" w:space="0" w:color="auto"/>
              <w:bottom w:val="nil"/>
              <w:right w:val="double" w:sz="4" w:space="0" w:color="auto"/>
            </w:tcBorders>
            <w:shd w:val="clear" w:color="000000" w:fill="FFFFFF"/>
            <w:noWrap/>
            <w:vAlign w:val="center"/>
            <w:hideMark/>
          </w:tcPr>
          <w:p w14:paraId="23536ECD" w14:textId="77777777" w:rsidR="00E64E20" w:rsidRPr="00F01655" w:rsidRDefault="00E64E20">
            <w:pPr>
              <w:jc w:val="right"/>
              <w:rPr>
                <w:color w:val="000000"/>
                <w:sz w:val="19"/>
                <w:szCs w:val="19"/>
              </w:rPr>
            </w:pPr>
            <w:r w:rsidRPr="00F01655">
              <w:rPr>
                <w:color w:val="000000"/>
                <w:sz w:val="19"/>
                <w:szCs w:val="19"/>
              </w:rPr>
              <w:t> </w:t>
            </w:r>
          </w:p>
        </w:tc>
      </w:tr>
      <w:tr w:rsidR="003D4A3F" w:rsidRPr="00F01655" w14:paraId="4A056FC1"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5664ACD9" w14:textId="77777777" w:rsidR="00E64E20" w:rsidRPr="00F01655" w:rsidRDefault="00E64E20">
            <w:pPr>
              <w:ind w:firstLineChars="100" w:firstLine="190"/>
              <w:rPr>
                <w:color w:val="000000"/>
                <w:sz w:val="19"/>
                <w:szCs w:val="19"/>
              </w:rPr>
            </w:pPr>
            <w:r w:rsidRPr="00F01655">
              <w:rPr>
                <w:color w:val="000000"/>
                <w:sz w:val="19"/>
                <w:szCs w:val="19"/>
              </w:rPr>
              <w:t>Male</w:t>
            </w:r>
          </w:p>
        </w:tc>
        <w:tc>
          <w:tcPr>
            <w:tcW w:w="810" w:type="dxa"/>
            <w:tcBorders>
              <w:top w:val="nil"/>
              <w:left w:val="nil"/>
              <w:bottom w:val="nil"/>
              <w:right w:val="single" w:sz="4" w:space="0" w:color="auto"/>
            </w:tcBorders>
            <w:shd w:val="clear" w:color="000000" w:fill="FFFFFF"/>
            <w:noWrap/>
            <w:vAlign w:val="center"/>
            <w:hideMark/>
          </w:tcPr>
          <w:p w14:paraId="6F47E861" w14:textId="77777777" w:rsidR="00E64E20" w:rsidRPr="00F01655" w:rsidRDefault="00E64E20">
            <w:pPr>
              <w:jc w:val="right"/>
              <w:rPr>
                <w:color w:val="000000"/>
                <w:sz w:val="19"/>
                <w:szCs w:val="19"/>
              </w:rPr>
            </w:pPr>
            <w:r w:rsidRPr="00F01655">
              <w:rPr>
                <w:color w:val="000000"/>
                <w:sz w:val="19"/>
                <w:szCs w:val="19"/>
              </w:rPr>
              <w:t>486</w:t>
            </w:r>
          </w:p>
        </w:tc>
        <w:tc>
          <w:tcPr>
            <w:tcW w:w="1000" w:type="dxa"/>
            <w:tcBorders>
              <w:top w:val="nil"/>
              <w:left w:val="nil"/>
              <w:bottom w:val="nil"/>
              <w:right w:val="double" w:sz="4" w:space="0" w:color="auto"/>
            </w:tcBorders>
            <w:shd w:val="clear" w:color="000000" w:fill="FFFFFF"/>
            <w:noWrap/>
            <w:vAlign w:val="center"/>
            <w:hideMark/>
          </w:tcPr>
          <w:p w14:paraId="34AAD27E" w14:textId="77777777" w:rsidR="00E64E20" w:rsidRPr="00F01655" w:rsidRDefault="00E64E20">
            <w:pPr>
              <w:jc w:val="right"/>
              <w:rPr>
                <w:color w:val="000000"/>
                <w:sz w:val="19"/>
                <w:szCs w:val="19"/>
              </w:rPr>
            </w:pPr>
            <w:r w:rsidRPr="00F01655">
              <w:rPr>
                <w:color w:val="000000"/>
                <w:sz w:val="19"/>
                <w:szCs w:val="19"/>
              </w:rPr>
              <w:t>39.2%</w:t>
            </w:r>
          </w:p>
        </w:tc>
        <w:tc>
          <w:tcPr>
            <w:tcW w:w="2690" w:type="dxa"/>
            <w:vMerge w:val="restart"/>
            <w:tcBorders>
              <w:top w:val="nil"/>
              <w:left w:val="double" w:sz="4" w:space="0" w:color="auto"/>
              <w:bottom w:val="nil"/>
              <w:right w:val="single" w:sz="8" w:space="0" w:color="auto"/>
            </w:tcBorders>
            <w:shd w:val="clear" w:color="000000" w:fill="FFFFFF"/>
            <w:vAlign w:val="center"/>
            <w:hideMark/>
          </w:tcPr>
          <w:p w14:paraId="01036E97" w14:textId="77777777" w:rsidR="003D4A3F" w:rsidRPr="00F01655" w:rsidRDefault="00E64E20">
            <w:pPr>
              <w:ind w:firstLineChars="100" w:firstLine="190"/>
              <w:rPr>
                <w:color w:val="000000"/>
                <w:sz w:val="19"/>
                <w:szCs w:val="19"/>
              </w:rPr>
            </w:pPr>
            <w:r w:rsidRPr="00F01655">
              <w:rPr>
                <w:color w:val="000000"/>
                <w:sz w:val="19"/>
                <w:szCs w:val="19"/>
              </w:rPr>
              <w:t xml:space="preserve">More Vehicles than </w:t>
            </w:r>
          </w:p>
          <w:p w14:paraId="1859EBFD" w14:textId="01B111C5" w:rsidR="00E64E20" w:rsidRPr="00F01655" w:rsidRDefault="00E64E20">
            <w:pPr>
              <w:ind w:firstLineChars="100" w:firstLine="190"/>
              <w:rPr>
                <w:color w:val="000000"/>
                <w:sz w:val="19"/>
                <w:szCs w:val="19"/>
              </w:rPr>
            </w:pPr>
            <w:r w:rsidRPr="00F01655">
              <w:rPr>
                <w:color w:val="000000"/>
                <w:sz w:val="19"/>
                <w:szCs w:val="19"/>
              </w:rPr>
              <w:t xml:space="preserve">Household Members </w:t>
            </w:r>
          </w:p>
        </w:tc>
        <w:tc>
          <w:tcPr>
            <w:tcW w:w="748" w:type="dxa"/>
            <w:vMerge w:val="restart"/>
            <w:tcBorders>
              <w:top w:val="nil"/>
              <w:left w:val="single" w:sz="8" w:space="0" w:color="auto"/>
              <w:bottom w:val="nil"/>
              <w:right w:val="single" w:sz="4" w:space="0" w:color="auto"/>
            </w:tcBorders>
            <w:shd w:val="clear" w:color="000000" w:fill="FFFFFF"/>
            <w:noWrap/>
            <w:vAlign w:val="center"/>
            <w:hideMark/>
          </w:tcPr>
          <w:p w14:paraId="4CBF15F0" w14:textId="77777777" w:rsidR="00E64E20" w:rsidRPr="00F01655" w:rsidRDefault="00E64E20">
            <w:pPr>
              <w:jc w:val="right"/>
              <w:rPr>
                <w:color w:val="000000"/>
                <w:sz w:val="19"/>
                <w:szCs w:val="19"/>
              </w:rPr>
            </w:pPr>
            <w:r w:rsidRPr="00F01655">
              <w:rPr>
                <w:color w:val="000000"/>
                <w:sz w:val="19"/>
                <w:szCs w:val="19"/>
              </w:rPr>
              <w:t>248</w:t>
            </w:r>
          </w:p>
        </w:tc>
        <w:tc>
          <w:tcPr>
            <w:tcW w:w="990" w:type="dxa"/>
            <w:vMerge w:val="restart"/>
            <w:tcBorders>
              <w:top w:val="nil"/>
              <w:left w:val="nil"/>
              <w:bottom w:val="nil"/>
              <w:right w:val="double" w:sz="4" w:space="0" w:color="auto"/>
            </w:tcBorders>
            <w:shd w:val="clear" w:color="000000" w:fill="FFFFFF"/>
            <w:noWrap/>
            <w:vAlign w:val="center"/>
            <w:hideMark/>
          </w:tcPr>
          <w:p w14:paraId="59B96789" w14:textId="77777777" w:rsidR="00E64E20" w:rsidRPr="00F01655" w:rsidRDefault="00E64E20">
            <w:pPr>
              <w:jc w:val="right"/>
              <w:rPr>
                <w:color w:val="000000"/>
                <w:sz w:val="19"/>
                <w:szCs w:val="19"/>
              </w:rPr>
            </w:pPr>
            <w:r w:rsidRPr="00F01655">
              <w:rPr>
                <w:color w:val="000000"/>
                <w:sz w:val="19"/>
                <w:szCs w:val="19"/>
              </w:rPr>
              <w:t>20.0%</w:t>
            </w:r>
          </w:p>
        </w:tc>
        <w:tc>
          <w:tcPr>
            <w:tcW w:w="2492" w:type="dxa"/>
            <w:tcBorders>
              <w:top w:val="nil"/>
              <w:left w:val="double" w:sz="4" w:space="0" w:color="auto"/>
              <w:bottom w:val="nil"/>
              <w:right w:val="nil"/>
            </w:tcBorders>
            <w:shd w:val="clear" w:color="000000" w:fill="FFFFFF"/>
            <w:noWrap/>
            <w:vAlign w:val="center"/>
            <w:hideMark/>
          </w:tcPr>
          <w:p w14:paraId="38C5DA52" w14:textId="77777777" w:rsidR="00E64E20" w:rsidRPr="00F01655" w:rsidRDefault="00E64E20">
            <w:pPr>
              <w:ind w:firstLineChars="100" w:firstLine="190"/>
              <w:rPr>
                <w:color w:val="000000"/>
                <w:sz w:val="19"/>
                <w:szCs w:val="19"/>
              </w:rPr>
            </w:pPr>
            <w:r w:rsidRPr="00F01655">
              <w:rPr>
                <w:color w:val="000000"/>
                <w:sz w:val="19"/>
                <w:szCs w:val="19"/>
              </w:rPr>
              <w:t>1 to 9 Workers</w:t>
            </w:r>
          </w:p>
        </w:tc>
        <w:tc>
          <w:tcPr>
            <w:tcW w:w="900" w:type="dxa"/>
            <w:tcBorders>
              <w:top w:val="nil"/>
              <w:left w:val="single" w:sz="8" w:space="0" w:color="auto"/>
              <w:bottom w:val="nil"/>
              <w:right w:val="nil"/>
            </w:tcBorders>
            <w:shd w:val="clear" w:color="000000" w:fill="FFFFFF"/>
            <w:noWrap/>
            <w:vAlign w:val="center"/>
            <w:hideMark/>
          </w:tcPr>
          <w:p w14:paraId="195556AE" w14:textId="77777777" w:rsidR="00E64E20" w:rsidRPr="00F01655" w:rsidRDefault="00E64E20">
            <w:pPr>
              <w:jc w:val="right"/>
              <w:rPr>
                <w:color w:val="000000"/>
                <w:sz w:val="19"/>
                <w:szCs w:val="19"/>
              </w:rPr>
            </w:pPr>
            <w:r w:rsidRPr="00F01655">
              <w:rPr>
                <w:color w:val="000000"/>
                <w:sz w:val="19"/>
                <w:szCs w:val="19"/>
              </w:rPr>
              <w:t>188</w:t>
            </w:r>
          </w:p>
        </w:tc>
        <w:tc>
          <w:tcPr>
            <w:tcW w:w="1080" w:type="dxa"/>
            <w:tcBorders>
              <w:top w:val="nil"/>
              <w:left w:val="single" w:sz="4" w:space="0" w:color="auto"/>
              <w:bottom w:val="nil"/>
              <w:right w:val="double" w:sz="4" w:space="0" w:color="auto"/>
            </w:tcBorders>
            <w:shd w:val="clear" w:color="000000" w:fill="FFFFFF"/>
            <w:noWrap/>
            <w:vAlign w:val="center"/>
            <w:hideMark/>
          </w:tcPr>
          <w:p w14:paraId="79EB1159" w14:textId="77777777" w:rsidR="00E64E20" w:rsidRPr="00F01655" w:rsidRDefault="00E64E20">
            <w:pPr>
              <w:jc w:val="right"/>
              <w:rPr>
                <w:color w:val="000000"/>
                <w:sz w:val="19"/>
                <w:szCs w:val="19"/>
              </w:rPr>
            </w:pPr>
            <w:r w:rsidRPr="00F01655">
              <w:rPr>
                <w:color w:val="000000"/>
                <w:sz w:val="19"/>
                <w:szCs w:val="19"/>
              </w:rPr>
              <w:t>15.2%</w:t>
            </w:r>
          </w:p>
        </w:tc>
      </w:tr>
      <w:tr w:rsidR="003D4A3F" w:rsidRPr="00F01655" w14:paraId="2BD1CA56"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4D9D12A8" w14:textId="77777777" w:rsidR="00E64E20" w:rsidRPr="00F01655" w:rsidRDefault="00E64E20">
            <w:pPr>
              <w:ind w:firstLineChars="100" w:firstLine="190"/>
              <w:rPr>
                <w:color w:val="000000"/>
                <w:sz w:val="19"/>
                <w:szCs w:val="19"/>
              </w:rPr>
            </w:pPr>
            <w:r w:rsidRPr="00F01655">
              <w:rPr>
                <w:color w:val="000000"/>
                <w:sz w:val="19"/>
                <w:szCs w:val="19"/>
              </w:rPr>
              <w:t>Female</w:t>
            </w:r>
          </w:p>
        </w:tc>
        <w:tc>
          <w:tcPr>
            <w:tcW w:w="810" w:type="dxa"/>
            <w:tcBorders>
              <w:top w:val="nil"/>
              <w:left w:val="nil"/>
              <w:bottom w:val="nil"/>
              <w:right w:val="single" w:sz="4" w:space="0" w:color="auto"/>
            </w:tcBorders>
            <w:shd w:val="clear" w:color="000000" w:fill="FFFFFF"/>
            <w:noWrap/>
            <w:vAlign w:val="center"/>
            <w:hideMark/>
          </w:tcPr>
          <w:p w14:paraId="1DE1A52E" w14:textId="77777777" w:rsidR="00E64E20" w:rsidRPr="00F01655" w:rsidRDefault="00E64E20">
            <w:pPr>
              <w:jc w:val="right"/>
              <w:rPr>
                <w:color w:val="000000"/>
                <w:sz w:val="19"/>
                <w:szCs w:val="19"/>
              </w:rPr>
            </w:pPr>
            <w:r w:rsidRPr="00F01655">
              <w:rPr>
                <w:color w:val="000000"/>
                <w:sz w:val="19"/>
                <w:szCs w:val="19"/>
              </w:rPr>
              <w:t>753</w:t>
            </w:r>
          </w:p>
        </w:tc>
        <w:tc>
          <w:tcPr>
            <w:tcW w:w="1000" w:type="dxa"/>
            <w:tcBorders>
              <w:top w:val="nil"/>
              <w:left w:val="nil"/>
              <w:bottom w:val="nil"/>
              <w:right w:val="double" w:sz="4" w:space="0" w:color="auto"/>
            </w:tcBorders>
            <w:shd w:val="clear" w:color="000000" w:fill="FFFFFF"/>
            <w:noWrap/>
            <w:vAlign w:val="center"/>
            <w:hideMark/>
          </w:tcPr>
          <w:p w14:paraId="748A89A2" w14:textId="77777777" w:rsidR="00E64E20" w:rsidRPr="00F01655" w:rsidRDefault="00E64E20">
            <w:pPr>
              <w:jc w:val="right"/>
              <w:rPr>
                <w:color w:val="000000"/>
                <w:sz w:val="19"/>
                <w:szCs w:val="19"/>
              </w:rPr>
            </w:pPr>
            <w:r w:rsidRPr="00F01655">
              <w:rPr>
                <w:color w:val="000000"/>
                <w:sz w:val="19"/>
                <w:szCs w:val="19"/>
              </w:rPr>
              <w:t>60.8%</w:t>
            </w:r>
          </w:p>
        </w:tc>
        <w:tc>
          <w:tcPr>
            <w:tcW w:w="2690" w:type="dxa"/>
            <w:vMerge/>
            <w:tcBorders>
              <w:top w:val="nil"/>
              <w:left w:val="double" w:sz="4" w:space="0" w:color="auto"/>
              <w:bottom w:val="nil"/>
              <w:right w:val="single" w:sz="8" w:space="0" w:color="auto"/>
            </w:tcBorders>
            <w:vAlign w:val="center"/>
            <w:hideMark/>
          </w:tcPr>
          <w:p w14:paraId="01CF0756" w14:textId="77777777" w:rsidR="00E64E20" w:rsidRPr="00F01655" w:rsidRDefault="00E64E20">
            <w:pPr>
              <w:rPr>
                <w:color w:val="000000"/>
                <w:sz w:val="19"/>
                <w:szCs w:val="19"/>
              </w:rPr>
            </w:pPr>
          </w:p>
        </w:tc>
        <w:tc>
          <w:tcPr>
            <w:tcW w:w="748" w:type="dxa"/>
            <w:vMerge/>
            <w:tcBorders>
              <w:top w:val="nil"/>
              <w:left w:val="single" w:sz="8" w:space="0" w:color="auto"/>
              <w:bottom w:val="nil"/>
              <w:right w:val="single" w:sz="4" w:space="0" w:color="auto"/>
            </w:tcBorders>
            <w:vAlign w:val="center"/>
            <w:hideMark/>
          </w:tcPr>
          <w:p w14:paraId="7E592EE7" w14:textId="77777777" w:rsidR="00E64E20" w:rsidRPr="00F01655" w:rsidRDefault="00E64E20">
            <w:pPr>
              <w:rPr>
                <w:color w:val="000000"/>
                <w:sz w:val="19"/>
                <w:szCs w:val="19"/>
              </w:rPr>
            </w:pPr>
          </w:p>
        </w:tc>
        <w:tc>
          <w:tcPr>
            <w:tcW w:w="990" w:type="dxa"/>
            <w:vMerge/>
            <w:tcBorders>
              <w:top w:val="nil"/>
              <w:left w:val="nil"/>
              <w:bottom w:val="nil"/>
              <w:right w:val="double" w:sz="4" w:space="0" w:color="auto"/>
            </w:tcBorders>
            <w:vAlign w:val="center"/>
            <w:hideMark/>
          </w:tcPr>
          <w:p w14:paraId="3E694AC2" w14:textId="77777777" w:rsidR="00E64E20" w:rsidRPr="00F01655" w:rsidRDefault="00E64E20">
            <w:pPr>
              <w:rPr>
                <w:color w:val="000000"/>
                <w:sz w:val="19"/>
                <w:szCs w:val="19"/>
              </w:rPr>
            </w:pPr>
          </w:p>
        </w:tc>
        <w:tc>
          <w:tcPr>
            <w:tcW w:w="2492" w:type="dxa"/>
            <w:tcBorders>
              <w:top w:val="nil"/>
              <w:left w:val="double" w:sz="4" w:space="0" w:color="auto"/>
              <w:bottom w:val="nil"/>
              <w:right w:val="single" w:sz="8" w:space="0" w:color="auto"/>
            </w:tcBorders>
            <w:shd w:val="clear" w:color="000000" w:fill="FFFFFF"/>
            <w:noWrap/>
            <w:vAlign w:val="center"/>
            <w:hideMark/>
          </w:tcPr>
          <w:p w14:paraId="6865C22D" w14:textId="77777777" w:rsidR="00E64E20" w:rsidRPr="00F01655" w:rsidRDefault="00E64E20">
            <w:pPr>
              <w:ind w:firstLineChars="100" w:firstLine="190"/>
              <w:rPr>
                <w:color w:val="000000"/>
                <w:sz w:val="19"/>
                <w:szCs w:val="19"/>
              </w:rPr>
            </w:pPr>
            <w:r w:rsidRPr="00F01655">
              <w:rPr>
                <w:color w:val="000000"/>
                <w:sz w:val="19"/>
                <w:szCs w:val="19"/>
              </w:rPr>
              <w:t>10 to 99 Workers</w:t>
            </w:r>
          </w:p>
        </w:tc>
        <w:tc>
          <w:tcPr>
            <w:tcW w:w="900" w:type="dxa"/>
            <w:tcBorders>
              <w:top w:val="nil"/>
              <w:left w:val="nil"/>
              <w:bottom w:val="nil"/>
              <w:right w:val="single" w:sz="4" w:space="0" w:color="auto"/>
            </w:tcBorders>
            <w:shd w:val="clear" w:color="000000" w:fill="FFFFFF"/>
            <w:noWrap/>
            <w:vAlign w:val="center"/>
            <w:hideMark/>
          </w:tcPr>
          <w:p w14:paraId="22D7200D" w14:textId="77777777" w:rsidR="00E64E20" w:rsidRPr="00F01655" w:rsidRDefault="00E64E20">
            <w:pPr>
              <w:jc w:val="right"/>
              <w:rPr>
                <w:color w:val="000000"/>
                <w:sz w:val="19"/>
                <w:szCs w:val="19"/>
              </w:rPr>
            </w:pPr>
            <w:r w:rsidRPr="00F01655">
              <w:rPr>
                <w:color w:val="000000"/>
                <w:sz w:val="19"/>
                <w:szCs w:val="19"/>
              </w:rPr>
              <w:t>236</w:t>
            </w:r>
          </w:p>
        </w:tc>
        <w:tc>
          <w:tcPr>
            <w:tcW w:w="1080" w:type="dxa"/>
            <w:tcBorders>
              <w:top w:val="nil"/>
              <w:left w:val="nil"/>
              <w:bottom w:val="nil"/>
              <w:right w:val="double" w:sz="4" w:space="0" w:color="auto"/>
            </w:tcBorders>
            <w:shd w:val="clear" w:color="000000" w:fill="FFFFFF"/>
            <w:noWrap/>
            <w:vAlign w:val="center"/>
            <w:hideMark/>
          </w:tcPr>
          <w:p w14:paraId="31F5552F" w14:textId="77777777" w:rsidR="00E64E20" w:rsidRPr="00F01655" w:rsidRDefault="00E64E20">
            <w:pPr>
              <w:jc w:val="right"/>
              <w:rPr>
                <w:color w:val="000000"/>
                <w:sz w:val="19"/>
                <w:szCs w:val="19"/>
              </w:rPr>
            </w:pPr>
            <w:r w:rsidRPr="00F01655">
              <w:rPr>
                <w:color w:val="000000"/>
                <w:sz w:val="19"/>
                <w:szCs w:val="19"/>
              </w:rPr>
              <w:t>19.0%</w:t>
            </w:r>
          </w:p>
        </w:tc>
      </w:tr>
      <w:tr w:rsidR="003D4A3F" w:rsidRPr="00F01655" w14:paraId="5DBD765B"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2A4C0C0D" w14:textId="77777777" w:rsidR="00E64E20" w:rsidRPr="00F01655" w:rsidRDefault="00E64E20">
            <w:pPr>
              <w:rPr>
                <w:b/>
                <w:bCs/>
                <w:color w:val="000000"/>
                <w:sz w:val="19"/>
                <w:szCs w:val="19"/>
              </w:rPr>
            </w:pPr>
            <w:r w:rsidRPr="00F01655">
              <w:rPr>
                <w:b/>
                <w:bCs/>
                <w:color w:val="000000"/>
                <w:sz w:val="19"/>
                <w:szCs w:val="19"/>
              </w:rPr>
              <w:t>Age</w:t>
            </w:r>
          </w:p>
        </w:tc>
        <w:tc>
          <w:tcPr>
            <w:tcW w:w="810" w:type="dxa"/>
            <w:tcBorders>
              <w:top w:val="nil"/>
              <w:left w:val="nil"/>
              <w:bottom w:val="nil"/>
              <w:right w:val="single" w:sz="4" w:space="0" w:color="auto"/>
            </w:tcBorders>
            <w:shd w:val="clear" w:color="000000" w:fill="FFFFFF"/>
            <w:noWrap/>
            <w:vAlign w:val="center"/>
            <w:hideMark/>
          </w:tcPr>
          <w:p w14:paraId="42771B26" w14:textId="77777777" w:rsidR="00E64E20" w:rsidRPr="00F01655" w:rsidRDefault="00E64E20">
            <w:pPr>
              <w:jc w:val="right"/>
              <w:rPr>
                <w:color w:val="000000"/>
                <w:sz w:val="19"/>
                <w:szCs w:val="19"/>
              </w:rPr>
            </w:pPr>
            <w:r w:rsidRPr="00F01655">
              <w:rPr>
                <w:color w:val="000000"/>
                <w:sz w:val="19"/>
                <w:szCs w:val="19"/>
              </w:rPr>
              <w:t> </w:t>
            </w:r>
          </w:p>
        </w:tc>
        <w:tc>
          <w:tcPr>
            <w:tcW w:w="1000" w:type="dxa"/>
            <w:tcBorders>
              <w:top w:val="nil"/>
              <w:left w:val="nil"/>
              <w:bottom w:val="nil"/>
              <w:right w:val="double" w:sz="4" w:space="0" w:color="auto"/>
            </w:tcBorders>
            <w:shd w:val="clear" w:color="000000" w:fill="FFFFFF"/>
            <w:noWrap/>
            <w:vAlign w:val="center"/>
            <w:hideMark/>
          </w:tcPr>
          <w:p w14:paraId="6E596522" w14:textId="77777777" w:rsidR="00E64E20" w:rsidRPr="00F01655" w:rsidRDefault="00E64E20">
            <w:pPr>
              <w:jc w:val="right"/>
              <w:rPr>
                <w:color w:val="000000"/>
                <w:sz w:val="19"/>
                <w:szCs w:val="19"/>
              </w:rPr>
            </w:pPr>
            <w:r w:rsidRPr="00F01655">
              <w:rPr>
                <w:color w:val="000000"/>
                <w:sz w:val="19"/>
                <w:szCs w:val="19"/>
              </w:rPr>
              <w:t> </w:t>
            </w:r>
          </w:p>
        </w:tc>
        <w:tc>
          <w:tcPr>
            <w:tcW w:w="2690" w:type="dxa"/>
            <w:vMerge w:val="restart"/>
            <w:tcBorders>
              <w:top w:val="nil"/>
              <w:left w:val="double" w:sz="4" w:space="0" w:color="auto"/>
              <w:bottom w:val="double" w:sz="6" w:space="0" w:color="000000"/>
              <w:right w:val="single" w:sz="8" w:space="0" w:color="auto"/>
            </w:tcBorders>
            <w:shd w:val="clear" w:color="000000" w:fill="FFFFFF"/>
            <w:vAlign w:val="center"/>
            <w:hideMark/>
          </w:tcPr>
          <w:p w14:paraId="036E3A98" w14:textId="77777777" w:rsidR="003D4A3F" w:rsidRPr="00F01655" w:rsidRDefault="00E64E20">
            <w:pPr>
              <w:ind w:firstLineChars="100" w:firstLine="190"/>
              <w:rPr>
                <w:color w:val="000000"/>
                <w:sz w:val="19"/>
                <w:szCs w:val="19"/>
              </w:rPr>
            </w:pPr>
            <w:r w:rsidRPr="00F01655">
              <w:rPr>
                <w:color w:val="000000"/>
                <w:sz w:val="19"/>
                <w:szCs w:val="19"/>
              </w:rPr>
              <w:t xml:space="preserve">Less Vehicles than </w:t>
            </w:r>
          </w:p>
          <w:p w14:paraId="7689AB81" w14:textId="4C62C00B" w:rsidR="00E64E20" w:rsidRPr="00F01655" w:rsidRDefault="00E64E20">
            <w:pPr>
              <w:ind w:firstLineChars="100" w:firstLine="190"/>
              <w:rPr>
                <w:color w:val="000000"/>
                <w:sz w:val="19"/>
                <w:szCs w:val="19"/>
              </w:rPr>
            </w:pPr>
            <w:r w:rsidRPr="00F01655">
              <w:rPr>
                <w:color w:val="000000"/>
                <w:sz w:val="19"/>
                <w:szCs w:val="19"/>
              </w:rPr>
              <w:t xml:space="preserve">Household Members </w:t>
            </w:r>
          </w:p>
        </w:tc>
        <w:tc>
          <w:tcPr>
            <w:tcW w:w="748" w:type="dxa"/>
            <w:vMerge w:val="restart"/>
            <w:tcBorders>
              <w:top w:val="nil"/>
              <w:left w:val="single" w:sz="8" w:space="0" w:color="auto"/>
              <w:bottom w:val="double" w:sz="6" w:space="0" w:color="000000"/>
              <w:right w:val="single" w:sz="4" w:space="0" w:color="auto"/>
            </w:tcBorders>
            <w:shd w:val="clear" w:color="000000" w:fill="FFFFFF"/>
            <w:noWrap/>
            <w:vAlign w:val="center"/>
            <w:hideMark/>
          </w:tcPr>
          <w:p w14:paraId="1A857245" w14:textId="77777777" w:rsidR="00E64E20" w:rsidRPr="00F01655" w:rsidRDefault="00E64E20">
            <w:pPr>
              <w:jc w:val="right"/>
              <w:rPr>
                <w:color w:val="000000"/>
                <w:sz w:val="19"/>
                <w:szCs w:val="19"/>
              </w:rPr>
            </w:pPr>
            <w:r w:rsidRPr="00F01655">
              <w:rPr>
                <w:color w:val="000000"/>
                <w:sz w:val="19"/>
                <w:szCs w:val="19"/>
              </w:rPr>
              <w:t>991</w:t>
            </w:r>
          </w:p>
        </w:tc>
        <w:tc>
          <w:tcPr>
            <w:tcW w:w="990" w:type="dxa"/>
            <w:vMerge w:val="restart"/>
            <w:tcBorders>
              <w:top w:val="nil"/>
              <w:left w:val="single" w:sz="4" w:space="0" w:color="auto"/>
              <w:bottom w:val="double" w:sz="6" w:space="0" w:color="000000"/>
              <w:right w:val="double" w:sz="4" w:space="0" w:color="auto"/>
            </w:tcBorders>
            <w:shd w:val="clear" w:color="000000" w:fill="FFFFFF"/>
            <w:noWrap/>
            <w:vAlign w:val="center"/>
            <w:hideMark/>
          </w:tcPr>
          <w:p w14:paraId="0C7D8508" w14:textId="77777777" w:rsidR="00E64E20" w:rsidRPr="00F01655" w:rsidRDefault="00E64E20">
            <w:pPr>
              <w:jc w:val="right"/>
              <w:rPr>
                <w:color w:val="000000"/>
                <w:sz w:val="19"/>
                <w:szCs w:val="19"/>
              </w:rPr>
            </w:pPr>
            <w:r w:rsidRPr="00F01655">
              <w:rPr>
                <w:color w:val="000000"/>
                <w:sz w:val="19"/>
                <w:szCs w:val="19"/>
              </w:rPr>
              <w:t>80.0%</w:t>
            </w:r>
          </w:p>
        </w:tc>
        <w:tc>
          <w:tcPr>
            <w:tcW w:w="2492" w:type="dxa"/>
            <w:tcBorders>
              <w:top w:val="nil"/>
              <w:left w:val="double" w:sz="4" w:space="0" w:color="auto"/>
              <w:bottom w:val="double" w:sz="4" w:space="0" w:color="auto"/>
              <w:right w:val="single" w:sz="8" w:space="0" w:color="auto"/>
            </w:tcBorders>
            <w:shd w:val="clear" w:color="000000" w:fill="FFFFFF"/>
            <w:noWrap/>
            <w:vAlign w:val="center"/>
            <w:hideMark/>
          </w:tcPr>
          <w:p w14:paraId="46652DB7" w14:textId="77777777" w:rsidR="00E64E20" w:rsidRPr="00F01655" w:rsidRDefault="00E64E20">
            <w:pPr>
              <w:ind w:firstLineChars="100" w:firstLine="190"/>
              <w:rPr>
                <w:color w:val="000000"/>
                <w:sz w:val="19"/>
                <w:szCs w:val="19"/>
              </w:rPr>
            </w:pPr>
            <w:r w:rsidRPr="00F01655">
              <w:rPr>
                <w:color w:val="000000"/>
                <w:sz w:val="19"/>
                <w:szCs w:val="19"/>
              </w:rPr>
              <w:t>≥100 Workers</w:t>
            </w:r>
          </w:p>
        </w:tc>
        <w:tc>
          <w:tcPr>
            <w:tcW w:w="900" w:type="dxa"/>
            <w:tcBorders>
              <w:top w:val="nil"/>
              <w:left w:val="nil"/>
              <w:bottom w:val="double" w:sz="4" w:space="0" w:color="auto"/>
              <w:right w:val="single" w:sz="4" w:space="0" w:color="auto"/>
            </w:tcBorders>
            <w:shd w:val="clear" w:color="000000" w:fill="FFFFFF"/>
            <w:noWrap/>
            <w:vAlign w:val="center"/>
            <w:hideMark/>
          </w:tcPr>
          <w:p w14:paraId="3297ACF5" w14:textId="77777777" w:rsidR="00E64E20" w:rsidRPr="00F01655" w:rsidRDefault="00E64E20">
            <w:pPr>
              <w:jc w:val="right"/>
              <w:rPr>
                <w:color w:val="000000"/>
                <w:sz w:val="19"/>
                <w:szCs w:val="19"/>
              </w:rPr>
            </w:pPr>
            <w:r w:rsidRPr="00F01655">
              <w:rPr>
                <w:color w:val="000000"/>
                <w:sz w:val="19"/>
                <w:szCs w:val="19"/>
              </w:rPr>
              <w:t>815</w:t>
            </w:r>
          </w:p>
        </w:tc>
        <w:tc>
          <w:tcPr>
            <w:tcW w:w="1080" w:type="dxa"/>
            <w:tcBorders>
              <w:top w:val="nil"/>
              <w:left w:val="nil"/>
              <w:bottom w:val="double" w:sz="4" w:space="0" w:color="auto"/>
              <w:right w:val="double" w:sz="4" w:space="0" w:color="auto"/>
            </w:tcBorders>
            <w:shd w:val="clear" w:color="000000" w:fill="FFFFFF"/>
            <w:noWrap/>
            <w:vAlign w:val="center"/>
            <w:hideMark/>
          </w:tcPr>
          <w:p w14:paraId="7FD306EC" w14:textId="77777777" w:rsidR="00E64E20" w:rsidRPr="00F01655" w:rsidRDefault="00E64E20">
            <w:pPr>
              <w:jc w:val="right"/>
              <w:rPr>
                <w:color w:val="000000"/>
                <w:sz w:val="19"/>
                <w:szCs w:val="19"/>
              </w:rPr>
            </w:pPr>
            <w:r w:rsidRPr="00F01655">
              <w:rPr>
                <w:color w:val="000000"/>
                <w:sz w:val="19"/>
                <w:szCs w:val="19"/>
              </w:rPr>
              <w:t>65.8%</w:t>
            </w:r>
          </w:p>
        </w:tc>
      </w:tr>
      <w:tr w:rsidR="003D4A3F" w:rsidRPr="00F01655" w14:paraId="75C1124A" w14:textId="77777777" w:rsidTr="00313DF3">
        <w:trPr>
          <w:trHeight w:val="60"/>
        </w:trPr>
        <w:tc>
          <w:tcPr>
            <w:tcW w:w="2317" w:type="dxa"/>
            <w:tcBorders>
              <w:top w:val="nil"/>
              <w:left w:val="double" w:sz="4" w:space="0" w:color="auto"/>
              <w:bottom w:val="nil"/>
              <w:right w:val="single" w:sz="8" w:space="0" w:color="auto"/>
            </w:tcBorders>
            <w:shd w:val="clear" w:color="000000" w:fill="FFFFFF"/>
            <w:vAlign w:val="center"/>
            <w:hideMark/>
          </w:tcPr>
          <w:p w14:paraId="48726D2E" w14:textId="77777777" w:rsidR="00E64E20" w:rsidRPr="00F01655" w:rsidRDefault="00E64E20">
            <w:pPr>
              <w:ind w:firstLineChars="100" w:firstLine="190"/>
              <w:rPr>
                <w:color w:val="000000"/>
                <w:sz w:val="19"/>
                <w:szCs w:val="19"/>
              </w:rPr>
            </w:pPr>
            <w:r w:rsidRPr="00F01655">
              <w:rPr>
                <w:color w:val="000000"/>
                <w:sz w:val="19"/>
                <w:szCs w:val="19"/>
              </w:rPr>
              <w:t>18 to 24</w:t>
            </w:r>
          </w:p>
        </w:tc>
        <w:tc>
          <w:tcPr>
            <w:tcW w:w="810" w:type="dxa"/>
            <w:tcBorders>
              <w:top w:val="nil"/>
              <w:left w:val="nil"/>
              <w:bottom w:val="nil"/>
              <w:right w:val="single" w:sz="4" w:space="0" w:color="auto"/>
            </w:tcBorders>
            <w:shd w:val="clear" w:color="000000" w:fill="FFFFFF"/>
            <w:noWrap/>
            <w:vAlign w:val="center"/>
            <w:hideMark/>
          </w:tcPr>
          <w:p w14:paraId="68D35BAB" w14:textId="77777777" w:rsidR="00E64E20" w:rsidRPr="00F01655" w:rsidRDefault="00E64E20">
            <w:pPr>
              <w:jc w:val="right"/>
              <w:rPr>
                <w:color w:val="000000"/>
                <w:sz w:val="19"/>
                <w:szCs w:val="19"/>
              </w:rPr>
            </w:pPr>
            <w:r w:rsidRPr="00F01655">
              <w:rPr>
                <w:color w:val="000000"/>
                <w:sz w:val="19"/>
                <w:szCs w:val="19"/>
              </w:rPr>
              <w:t>58</w:t>
            </w:r>
          </w:p>
        </w:tc>
        <w:tc>
          <w:tcPr>
            <w:tcW w:w="1000" w:type="dxa"/>
            <w:tcBorders>
              <w:top w:val="nil"/>
              <w:left w:val="nil"/>
              <w:bottom w:val="nil"/>
              <w:right w:val="double" w:sz="4" w:space="0" w:color="auto"/>
            </w:tcBorders>
            <w:shd w:val="clear" w:color="000000" w:fill="FFFFFF"/>
            <w:noWrap/>
            <w:vAlign w:val="center"/>
            <w:hideMark/>
          </w:tcPr>
          <w:p w14:paraId="0F70A6C9" w14:textId="77777777" w:rsidR="00E64E20" w:rsidRPr="00F01655" w:rsidRDefault="00E64E20">
            <w:pPr>
              <w:jc w:val="right"/>
              <w:rPr>
                <w:color w:val="000000"/>
                <w:sz w:val="19"/>
                <w:szCs w:val="19"/>
              </w:rPr>
            </w:pPr>
            <w:r w:rsidRPr="00F01655">
              <w:rPr>
                <w:color w:val="000000"/>
                <w:sz w:val="19"/>
                <w:szCs w:val="19"/>
              </w:rPr>
              <w:t>4.7%</w:t>
            </w:r>
          </w:p>
        </w:tc>
        <w:tc>
          <w:tcPr>
            <w:tcW w:w="2690" w:type="dxa"/>
            <w:vMerge/>
            <w:tcBorders>
              <w:top w:val="nil"/>
              <w:left w:val="double" w:sz="4" w:space="0" w:color="auto"/>
              <w:bottom w:val="double" w:sz="4" w:space="0" w:color="auto"/>
              <w:right w:val="single" w:sz="8" w:space="0" w:color="auto"/>
            </w:tcBorders>
            <w:vAlign w:val="center"/>
            <w:hideMark/>
          </w:tcPr>
          <w:p w14:paraId="6FBB2391" w14:textId="77777777" w:rsidR="00E64E20" w:rsidRPr="00F01655" w:rsidRDefault="00E64E20">
            <w:pPr>
              <w:rPr>
                <w:color w:val="000000"/>
                <w:sz w:val="19"/>
                <w:szCs w:val="19"/>
              </w:rPr>
            </w:pPr>
          </w:p>
        </w:tc>
        <w:tc>
          <w:tcPr>
            <w:tcW w:w="748" w:type="dxa"/>
            <w:vMerge/>
            <w:tcBorders>
              <w:top w:val="nil"/>
              <w:left w:val="single" w:sz="8" w:space="0" w:color="auto"/>
              <w:bottom w:val="double" w:sz="4" w:space="0" w:color="auto"/>
              <w:right w:val="single" w:sz="4" w:space="0" w:color="auto"/>
            </w:tcBorders>
            <w:vAlign w:val="center"/>
            <w:hideMark/>
          </w:tcPr>
          <w:p w14:paraId="79505481" w14:textId="77777777" w:rsidR="00E64E20" w:rsidRPr="00F01655" w:rsidRDefault="00E64E20">
            <w:pPr>
              <w:rPr>
                <w:color w:val="000000"/>
                <w:sz w:val="19"/>
                <w:szCs w:val="19"/>
              </w:rPr>
            </w:pPr>
          </w:p>
        </w:tc>
        <w:tc>
          <w:tcPr>
            <w:tcW w:w="990" w:type="dxa"/>
            <w:vMerge/>
            <w:tcBorders>
              <w:top w:val="nil"/>
              <w:left w:val="single" w:sz="4" w:space="0" w:color="auto"/>
              <w:bottom w:val="double" w:sz="4" w:space="0" w:color="auto"/>
              <w:right w:val="double" w:sz="4" w:space="0" w:color="auto"/>
            </w:tcBorders>
            <w:vAlign w:val="center"/>
            <w:hideMark/>
          </w:tcPr>
          <w:p w14:paraId="19C6C92F" w14:textId="77777777" w:rsidR="00E64E20" w:rsidRPr="00F01655" w:rsidRDefault="00E64E20">
            <w:pPr>
              <w:rPr>
                <w:color w:val="000000"/>
                <w:sz w:val="19"/>
                <w:szCs w:val="19"/>
              </w:rPr>
            </w:pPr>
          </w:p>
        </w:tc>
        <w:tc>
          <w:tcPr>
            <w:tcW w:w="2492" w:type="dxa"/>
            <w:vMerge w:val="restart"/>
            <w:tcBorders>
              <w:top w:val="double" w:sz="4" w:space="0" w:color="auto"/>
              <w:left w:val="double" w:sz="4" w:space="0" w:color="auto"/>
              <w:bottom w:val="nil"/>
              <w:right w:val="single" w:sz="8" w:space="0" w:color="auto"/>
            </w:tcBorders>
            <w:shd w:val="clear" w:color="000000" w:fill="FFFFFF"/>
            <w:vAlign w:val="center"/>
            <w:hideMark/>
          </w:tcPr>
          <w:p w14:paraId="7A20CE56" w14:textId="77777777" w:rsidR="00E64E20" w:rsidRPr="00F01655" w:rsidRDefault="00E64E20">
            <w:pPr>
              <w:rPr>
                <w:b/>
                <w:bCs/>
                <w:i/>
                <w:iCs/>
                <w:color w:val="000000"/>
                <w:sz w:val="19"/>
                <w:szCs w:val="19"/>
              </w:rPr>
            </w:pPr>
            <w:r w:rsidRPr="00F01655">
              <w:rPr>
                <w:b/>
                <w:bCs/>
                <w:i/>
                <w:iCs/>
                <w:color w:val="000000"/>
                <w:sz w:val="19"/>
                <w:szCs w:val="19"/>
              </w:rPr>
              <w:t>Residential Characteristics</w:t>
            </w:r>
          </w:p>
        </w:tc>
        <w:tc>
          <w:tcPr>
            <w:tcW w:w="900" w:type="dxa"/>
            <w:vMerge w:val="restart"/>
            <w:tcBorders>
              <w:top w:val="double" w:sz="4" w:space="0" w:color="auto"/>
              <w:left w:val="single" w:sz="8" w:space="0" w:color="auto"/>
              <w:bottom w:val="nil"/>
              <w:right w:val="single" w:sz="4" w:space="0" w:color="auto"/>
            </w:tcBorders>
            <w:shd w:val="clear" w:color="000000" w:fill="FFFFFF"/>
            <w:noWrap/>
            <w:vAlign w:val="center"/>
            <w:hideMark/>
          </w:tcPr>
          <w:p w14:paraId="5798B745" w14:textId="77777777" w:rsidR="00E64E20" w:rsidRPr="00F01655" w:rsidRDefault="00E64E20">
            <w:pPr>
              <w:jc w:val="center"/>
              <w:rPr>
                <w:color w:val="000000"/>
                <w:sz w:val="19"/>
                <w:szCs w:val="19"/>
              </w:rPr>
            </w:pPr>
            <w:r w:rsidRPr="00F01655">
              <w:rPr>
                <w:color w:val="000000"/>
                <w:sz w:val="19"/>
                <w:szCs w:val="19"/>
              </w:rPr>
              <w:t> </w:t>
            </w:r>
          </w:p>
        </w:tc>
        <w:tc>
          <w:tcPr>
            <w:tcW w:w="1080" w:type="dxa"/>
            <w:vMerge w:val="restart"/>
            <w:tcBorders>
              <w:top w:val="double" w:sz="4" w:space="0" w:color="auto"/>
              <w:left w:val="single" w:sz="4" w:space="0" w:color="auto"/>
              <w:bottom w:val="nil"/>
              <w:right w:val="double" w:sz="4" w:space="0" w:color="auto"/>
            </w:tcBorders>
            <w:shd w:val="clear" w:color="000000" w:fill="FFFFFF"/>
            <w:noWrap/>
            <w:vAlign w:val="center"/>
            <w:hideMark/>
          </w:tcPr>
          <w:p w14:paraId="18BBBFFD" w14:textId="77777777" w:rsidR="00E64E20" w:rsidRPr="00F01655" w:rsidRDefault="00E64E20">
            <w:pPr>
              <w:jc w:val="center"/>
              <w:rPr>
                <w:color w:val="000000"/>
                <w:sz w:val="19"/>
                <w:szCs w:val="19"/>
              </w:rPr>
            </w:pPr>
            <w:r w:rsidRPr="00F01655">
              <w:rPr>
                <w:color w:val="000000"/>
                <w:sz w:val="19"/>
                <w:szCs w:val="19"/>
              </w:rPr>
              <w:t> </w:t>
            </w:r>
          </w:p>
        </w:tc>
      </w:tr>
      <w:tr w:rsidR="003D4A3F" w:rsidRPr="00F01655" w14:paraId="4C868DFB" w14:textId="77777777" w:rsidTr="00313DF3">
        <w:trPr>
          <w:trHeight w:val="60"/>
        </w:trPr>
        <w:tc>
          <w:tcPr>
            <w:tcW w:w="2317" w:type="dxa"/>
            <w:tcBorders>
              <w:top w:val="nil"/>
              <w:left w:val="double" w:sz="4" w:space="0" w:color="auto"/>
              <w:bottom w:val="nil"/>
              <w:right w:val="single" w:sz="8" w:space="0" w:color="auto"/>
            </w:tcBorders>
            <w:shd w:val="clear" w:color="000000" w:fill="FFFFFF"/>
            <w:vAlign w:val="center"/>
            <w:hideMark/>
          </w:tcPr>
          <w:p w14:paraId="0AE7A8BB" w14:textId="77777777" w:rsidR="00E64E20" w:rsidRPr="00F01655" w:rsidRDefault="00E64E20">
            <w:pPr>
              <w:ind w:firstLineChars="100" w:firstLine="190"/>
              <w:rPr>
                <w:color w:val="000000"/>
                <w:sz w:val="19"/>
                <w:szCs w:val="19"/>
              </w:rPr>
            </w:pPr>
            <w:r w:rsidRPr="00F01655">
              <w:rPr>
                <w:color w:val="000000"/>
                <w:sz w:val="19"/>
                <w:szCs w:val="19"/>
              </w:rPr>
              <w:t>25 to 29</w:t>
            </w:r>
          </w:p>
        </w:tc>
        <w:tc>
          <w:tcPr>
            <w:tcW w:w="810" w:type="dxa"/>
            <w:tcBorders>
              <w:top w:val="nil"/>
              <w:left w:val="nil"/>
              <w:bottom w:val="nil"/>
              <w:right w:val="single" w:sz="4" w:space="0" w:color="auto"/>
            </w:tcBorders>
            <w:shd w:val="clear" w:color="000000" w:fill="FFFFFF"/>
            <w:noWrap/>
            <w:vAlign w:val="center"/>
            <w:hideMark/>
          </w:tcPr>
          <w:p w14:paraId="7440CD8B" w14:textId="77777777" w:rsidR="00E64E20" w:rsidRPr="00F01655" w:rsidRDefault="00E64E20">
            <w:pPr>
              <w:jc w:val="right"/>
              <w:rPr>
                <w:color w:val="000000"/>
                <w:sz w:val="19"/>
                <w:szCs w:val="19"/>
              </w:rPr>
            </w:pPr>
            <w:r w:rsidRPr="00F01655">
              <w:rPr>
                <w:color w:val="000000"/>
                <w:sz w:val="19"/>
                <w:szCs w:val="19"/>
              </w:rPr>
              <w:t>87</w:t>
            </w:r>
          </w:p>
        </w:tc>
        <w:tc>
          <w:tcPr>
            <w:tcW w:w="1000" w:type="dxa"/>
            <w:tcBorders>
              <w:top w:val="nil"/>
              <w:left w:val="nil"/>
              <w:bottom w:val="nil"/>
              <w:right w:val="double" w:sz="4" w:space="0" w:color="auto"/>
            </w:tcBorders>
            <w:shd w:val="clear" w:color="000000" w:fill="FFFFFF"/>
            <w:noWrap/>
            <w:vAlign w:val="center"/>
            <w:hideMark/>
          </w:tcPr>
          <w:p w14:paraId="751A55DD" w14:textId="77777777" w:rsidR="00E64E20" w:rsidRPr="00F01655" w:rsidRDefault="00E64E20">
            <w:pPr>
              <w:jc w:val="right"/>
              <w:rPr>
                <w:color w:val="000000"/>
                <w:sz w:val="19"/>
                <w:szCs w:val="19"/>
              </w:rPr>
            </w:pPr>
            <w:r w:rsidRPr="00F01655">
              <w:rPr>
                <w:color w:val="000000"/>
                <w:sz w:val="19"/>
                <w:szCs w:val="19"/>
              </w:rPr>
              <w:t>7.0%</w:t>
            </w:r>
          </w:p>
        </w:tc>
        <w:tc>
          <w:tcPr>
            <w:tcW w:w="2690" w:type="dxa"/>
            <w:vMerge w:val="restart"/>
            <w:tcBorders>
              <w:top w:val="double" w:sz="4" w:space="0" w:color="auto"/>
              <w:left w:val="double" w:sz="4" w:space="0" w:color="auto"/>
              <w:bottom w:val="nil"/>
              <w:right w:val="single" w:sz="8" w:space="0" w:color="auto"/>
            </w:tcBorders>
            <w:shd w:val="clear" w:color="000000" w:fill="FFFFFF"/>
            <w:vAlign w:val="center"/>
            <w:hideMark/>
          </w:tcPr>
          <w:p w14:paraId="0E5CEF9B" w14:textId="77777777" w:rsidR="00E64E20" w:rsidRPr="00F01655" w:rsidRDefault="00E64E20">
            <w:pPr>
              <w:rPr>
                <w:b/>
                <w:bCs/>
                <w:i/>
                <w:iCs/>
                <w:color w:val="000000"/>
                <w:sz w:val="19"/>
                <w:szCs w:val="19"/>
              </w:rPr>
            </w:pPr>
            <w:r w:rsidRPr="00F01655">
              <w:rPr>
                <w:b/>
                <w:bCs/>
                <w:i/>
                <w:iCs/>
                <w:color w:val="000000"/>
                <w:sz w:val="19"/>
                <w:szCs w:val="19"/>
              </w:rPr>
              <w:t>Job-Related Characteristics</w:t>
            </w:r>
          </w:p>
        </w:tc>
        <w:tc>
          <w:tcPr>
            <w:tcW w:w="748" w:type="dxa"/>
            <w:vMerge w:val="restart"/>
            <w:tcBorders>
              <w:top w:val="double" w:sz="4" w:space="0" w:color="auto"/>
              <w:left w:val="single" w:sz="8" w:space="0" w:color="auto"/>
              <w:bottom w:val="nil"/>
              <w:right w:val="single" w:sz="4" w:space="0" w:color="auto"/>
            </w:tcBorders>
            <w:shd w:val="clear" w:color="000000" w:fill="FFFFFF"/>
            <w:noWrap/>
            <w:vAlign w:val="bottom"/>
            <w:hideMark/>
          </w:tcPr>
          <w:p w14:paraId="1E60CB94" w14:textId="77777777" w:rsidR="00E64E20" w:rsidRPr="00F01655" w:rsidRDefault="00E64E20">
            <w:pPr>
              <w:jc w:val="center"/>
              <w:rPr>
                <w:color w:val="000000"/>
                <w:sz w:val="19"/>
                <w:szCs w:val="19"/>
              </w:rPr>
            </w:pPr>
            <w:r w:rsidRPr="00F01655">
              <w:rPr>
                <w:color w:val="000000"/>
                <w:sz w:val="19"/>
                <w:szCs w:val="19"/>
              </w:rPr>
              <w:t> </w:t>
            </w:r>
          </w:p>
        </w:tc>
        <w:tc>
          <w:tcPr>
            <w:tcW w:w="990" w:type="dxa"/>
            <w:vMerge w:val="restart"/>
            <w:tcBorders>
              <w:top w:val="double" w:sz="4" w:space="0" w:color="auto"/>
              <w:left w:val="single" w:sz="4" w:space="0" w:color="auto"/>
              <w:bottom w:val="nil"/>
              <w:right w:val="double" w:sz="4" w:space="0" w:color="auto"/>
            </w:tcBorders>
            <w:shd w:val="clear" w:color="000000" w:fill="FFFFFF"/>
            <w:noWrap/>
            <w:vAlign w:val="bottom"/>
            <w:hideMark/>
          </w:tcPr>
          <w:p w14:paraId="026E9E13" w14:textId="77777777" w:rsidR="00E64E20" w:rsidRPr="00F01655" w:rsidRDefault="00E64E20">
            <w:pPr>
              <w:jc w:val="center"/>
              <w:rPr>
                <w:color w:val="000000"/>
                <w:sz w:val="19"/>
                <w:szCs w:val="19"/>
              </w:rPr>
            </w:pPr>
            <w:r w:rsidRPr="00F01655">
              <w:rPr>
                <w:color w:val="000000"/>
                <w:sz w:val="19"/>
                <w:szCs w:val="19"/>
              </w:rPr>
              <w:t> </w:t>
            </w:r>
          </w:p>
        </w:tc>
        <w:tc>
          <w:tcPr>
            <w:tcW w:w="2492" w:type="dxa"/>
            <w:vMerge/>
            <w:tcBorders>
              <w:top w:val="nil"/>
              <w:left w:val="double" w:sz="4" w:space="0" w:color="auto"/>
              <w:bottom w:val="nil"/>
              <w:right w:val="single" w:sz="8" w:space="0" w:color="auto"/>
            </w:tcBorders>
            <w:vAlign w:val="center"/>
            <w:hideMark/>
          </w:tcPr>
          <w:p w14:paraId="68B2DFF2" w14:textId="77777777" w:rsidR="00E64E20" w:rsidRPr="00F01655" w:rsidRDefault="00E64E20">
            <w:pPr>
              <w:rPr>
                <w:b/>
                <w:bCs/>
                <w:i/>
                <w:iCs/>
                <w:color w:val="000000"/>
                <w:sz w:val="19"/>
                <w:szCs w:val="19"/>
              </w:rPr>
            </w:pPr>
          </w:p>
        </w:tc>
        <w:tc>
          <w:tcPr>
            <w:tcW w:w="900" w:type="dxa"/>
            <w:vMerge/>
            <w:tcBorders>
              <w:top w:val="nil"/>
              <w:left w:val="single" w:sz="8" w:space="0" w:color="auto"/>
              <w:bottom w:val="nil"/>
              <w:right w:val="single" w:sz="4" w:space="0" w:color="auto"/>
            </w:tcBorders>
            <w:vAlign w:val="center"/>
            <w:hideMark/>
          </w:tcPr>
          <w:p w14:paraId="314624BA" w14:textId="77777777" w:rsidR="00E64E20" w:rsidRPr="00F01655" w:rsidRDefault="00E64E20">
            <w:pPr>
              <w:rPr>
                <w:color w:val="000000"/>
                <w:sz w:val="19"/>
                <w:szCs w:val="19"/>
              </w:rPr>
            </w:pPr>
          </w:p>
        </w:tc>
        <w:tc>
          <w:tcPr>
            <w:tcW w:w="1080" w:type="dxa"/>
            <w:vMerge/>
            <w:tcBorders>
              <w:top w:val="nil"/>
              <w:left w:val="single" w:sz="4" w:space="0" w:color="auto"/>
              <w:bottom w:val="nil"/>
              <w:right w:val="double" w:sz="4" w:space="0" w:color="auto"/>
            </w:tcBorders>
            <w:vAlign w:val="center"/>
            <w:hideMark/>
          </w:tcPr>
          <w:p w14:paraId="6AFBCDEE" w14:textId="77777777" w:rsidR="00E64E20" w:rsidRPr="00F01655" w:rsidRDefault="00E64E20">
            <w:pPr>
              <w:rPr>
                <w:color w:val="000000"/>
                <w:sz w:val="19"/>
                <w:szCs w:val="19"/>
              </w:rPr>
            </w:pPr>
          </w:p>
        </w:tc>
      </w:tr>
      <w:tr w:rsidR="003D4A3F" w:rsidRPr="00F01655" w14:paraId="3E9594A8"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0E733EA1" w14:textId="77777777" w:rsidR="00E64E20" w:rsidRPr="00F01655" w:rsidRDefault="00E64E20">
            <w:pPr>
              <w:ind w:firstLineChars="100" w:firstLine="190"/>
              <w:rPr>
                <w:color w:val="000000"/>
                <w:sz w:val="19"/>
                <w:szCs w:val="19"/>
              </w:rPr>
            </w:pPr>
            <w:r w:rsidRPr="00F01655">
              <w:rPr>
                <w:color w:val="000000"/>
                <w:sz w:val="19"/>
                <w:szCs w:val="19"/>
              </w:rPr>
              <w:t>30 to 39</w:t>
            </w:r>
          </w:p>
        </w:tc>
        <w:tc>
          <w:tcPr>
            <w:tcW w:w="810" w:type="dxa"/>
            <w:tcBorders>
              <w:top w:val="nil"/>
              <w:left w:val="nil"/>
              <w:bottom w:val="nil"/>
              <w:right w:val="single" w:sz="4" w:space="0" w:color="auto"/>
            </w:tcBorders>
            <w:shd w:val="clear" w:color="000000" w:fill="FFFFFF"/>
            <w:noWrap/>
            <w:vAlign w:val="center"/>
            <w:hideMark/>
          </w:tcPr>
          <w:p w14:paraId="763657F0" w14:textId="77777777" w:rsidR="00E64E20" w:rsidRPr="00F01655" w:rsidRDefault="00E64E20">
            <w:pPr>
              <w:jc w:val="right"/>
              <w:rPr>
                <w:color w:val="000000"/>
                <w:sz w:val="19"/>
                <w:szCs w:val="19"/>
              </w:rPr>
            </w:pPr>
            <w:r w:rsidRPr="00F01655">
              <w:rPr>
                <w:color w:val="000000"/>
                <w:sz w:val="19"/>
                <w:szCs w:val="19"/>
              </w:rPr>
              <w:t>292</w:t>
            </w:r>
          </w:p>
        </w:tc>
        <w:tc>
          <w:tcPr>
            <w:tcW w:w="1000" w:type="dxa"/>
            <w:tcBorders>
              <w:top w:val="nil"/>
              <w:left w:val="nil"/>
              <w:bottom w:val="nil"/>
              <w:right w:val="double" w:sz="4" w:space="0" w:color="auto"/>
            </w:tcBorders>
            <w:shd w:val="clear" w:color="000000" w:fill="FFFFFF"/>
            <w:noWrap/>
            <w:vAlign w:val="center"/>
            <w:hideMark/>
          </w:tcPr>
          <w:p w14:paraId="1DD88DE6" w14:textId="77777777" w:rsidR="00E64E20" w:rsidRPr="00F01655" w:rsidRDefault="00E64E20">
            <w:pPr>
              <w:jc w:val="right"/>
              <w:rPr>
                <w:color w:val="000000"/>
                <w:sz w:val="19"/>
                <w:szCs w:val="19"/>
              </w:rPr>
            </w:pPr>
            <w:r w:rsidRPr="00F01655">
              <w:rPr>
                <w:color w:val="000000"/>
                <w:sz w:val="19"/>
                <w:szCs w:val="19"/>
              </w:rPr>
              <w:t>23.6%</w:t>
            </w:r>
          </w:p>
        </w:tc>
        <w:tc>
          <w:tcPr>
            <w:tcW w:w="2690" w:type="dxa"/>
            <w:vMerge/>
            <w:tcBorders>
              <w:top w:val="nil"/>
              <w:left w:val="double" w:sz="4" w:space="0" w:color="auto"/>
              <w:bottom w:val="nil"/>
              <w:right w:val="single" w:sz="8" w:space="0" w:color="auto"/>
            </w:tcBorders>
            <w:vAlign w:val="center"/>
            <w:hideMark/>
          </w:tcPr>
          <w:p w14:paraId="17C85FD6" w14:textId="77777777" w:rsidR="00E64E20" w:rsidRPr="00F01655" w:rsidRDefault="00E64E20">
            <w:pPr>
              <w:rPr>
                <w:b/>
                <w:bCs/>
                <w:i/>
                <w:iCs/>
                <w:color w:val="000000"/>
                <w:sz w:val="19"/>
                <w:szCs w:val="19"/>
              </w:rPr>
            </w:pPr>
          </w:p>
        </w:tc>
        <w:tc>
          <w:tcPr>
            <w:tcW w:w="748" w:type="dxa"/>
            <w:vMerge/>
            <w:tcBorders>
              <w:top w:val="nil"/>
              <w:left w:val="single" w:sz="8" w:space="0" w:color="auto"/>
              <w:bottom w:val="nil"/>
              <w:right w:val="single" w:sz="4" w:space="0" w:color="auto"/>
            </w:tcBorders>
            <w:vAlign w:val="center"/>
            <w:hideMark/>
          </w:tcPr>
          <w:p w14:paraId="7D115FD1" w14:textId="77777777" w:rsidR="00E64E20" w:rsidRPr="00F01655" w:rsidRDefault="00E64E20">
            <w:pPr>
              <w:rPr>
                <w:color w:val="000000"/>
                <w:sz w:val="19"/>
                <w:szCs w:val="19"/>
              </w:rPr>
            </w:pPr>
          </w:p>
        </w:tc>
        <w:tc>
          <w:tcPr>
            <w:tcW w:w="990" w:type="dxa"/>
            <w:vMerge/>
            <w:tcBorders>
              <w:top w:val="nil"/>
              <w:left w:val="single" w:sz="4" w:space="0" w:color="auto"/>
              <w:bottom w:val="nil"/>
              <w:right w:val="double" w:sz="4" w:space="0" w:color="auto"/>
            </w:tcBorders>
            <w:vAlign w:val="center"/>
            <w:hideMark/>
          </w:tcPr>
          <w:p w14:paraId="1E95D548" w14:textId="77777777" w:rsidR="00E64E20" w:rsidRPr="00F01655" w:rsidRDefault="00E64E20">
            <w:pPr>
              <w:rPr>
                <w:color w:val="000000"/>
                <w:sz w:val="19"/>
                <w:szCs w:val="19"/>
              </w:rPr>
            </w:pPr>
          </w:p>
        </w:tc>
        <w:tc>
          <w:tcPr>
            <w:tcW w:w="2492" w:type="dxa"/>
            <w:tcBorders>
              <w:top w:val="nil"/>
              <w:left w:val="double" w:sz="4" w:space="0" w:color="auto"/>
              <w:bottom w:val="nil"/>
              <w:right w:val="single" w:sz="8" w:space="0" w:color="auto"/>
            </w:tcBorders>
            <w:shd w:val="clear" w:color="000000" w:fill="FFFFFF"/>
            <w:vAlign w:val="center"/>
            <w:hideMark/>
          </w:tcPr>
          <w:p w14:paraId="7523E479" w14:textId="77777777" w:rsidR="00E64E20" w:rsidRPr="00F01655" w:rsidRDefault="00E64E20">
            <w:pPr>
              <w:rPr>
                <w:b/>
                <w:bCs/>
                <w:color w:val="000000"/>
                <w:sz w:val="19"/>
                <w:szCs w:val="19"/>
              </w:rPr>
            </w:pPr>
            <w:r w:rsidRPr="00F01655">
              <w:rPr>
                <w:b/>
                <w:bCs/>
                <w:color w:val="000000"/>
                <w:sz w:val="19"/>
                <w:szCs w:val="19"/>
              </w:rPr>
              <w:t>Land-Use Type</w:t>
            </w:r>
          </w:p>
        </w:tc>
        <w:tc>
          <w:tcPr>
            <w:tcW w:w="900" w:type="dxa"/>
            <w:tcBorders>
              <w:top w:val="nil"/>
              <w:left w:val="nil"/>
              <w:bottom w:val="nil"/>
              <w:right w:val="single" w:sz="4" w:space="0" w:color="auto"/>
            </w:tcBorders>
            <w:shd w:val="clear" w:color="000000" w:fill="FFFFFF"/>
            <w:noWrap/>
            <w:vAlign w:val="center"/>
            <w:hideMark/>
          </w:tcPr>
          <w:p w14:paraId="7D00F46F" w14:textId="77777777" w:rsidR="00E64E20" w:rsidRPr="00F01655" w:rsidRDefault="00E64E20">
            <w:pPr>
              <w:rPr>
                <w:color w:val="000000"/>
                <w:sz w:val="19"/>
                <w:szCs w:val="19"/>
              </w:rPr>
            </w:pPr>
            <w:r w:rsidRPr="00F01655">
              <w:rPr>
                <w:color w:val="000000"/>
                <w:sz w:val="19"/>
                <w:szCs w:val="19"/>
              </w:rPr>
              <w:t> </w:t>
            </w:r>
          </w:p>
        </w:tc>
        <w:tc>
          <w:tcPr>
            <w:tcW w:w="1080" w:type="dxa"/>
            <w:tcBorders>
              <w:top w:val="nil"/>
              <w:left w:val="nil"/>
              <w:bottom w:val="nil"/>
              <w:right w:val="double" w:sz="4" w:space="0" w:color="auto"/>
            </w:tcBorders>
            <w:shd w:val="clear" w:color="000000" w:fill="FFFFFF"/>
            <w:noWrap/>
            <w:vAlign w:val="center"/>
            <w:hideMark/>
          </w:tcPr>
          <w:p w14:paraId="28AE378B" w14:textId="77777777" w:rsidR="00E64E20" w:rsidRPr="00F01655" w:rsidRDefault="00E64E20">
            <w:pPr>
              <w:rPr>
                <w:color w:val="000000"/>
                <w:sz w:val="19"/>
                <w:szCs w:val="19"/>
              </w:rPr>
            </w:pPr>
            <w:r w:rsidRPr="00F01655">
              <w:rPr>
                <w:color w:val="000000"/>
                <w:sz w:val="19"/>
                <w:szCs w:val="19"/>
              </w:rPr>
              <w:t> </w:t>
            </w:r>
          </w:p>
        </w:tc>
      </w:tr>
      <w:tr w:rsidR="003D4A3F" w:rsidRPr="00F01655" w14:paraId="59766B6A"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0B74BD9D" w14:textId="77777777" w:rsidR="00E64E20" w:rsidRPr="00F01655" w:rsidRDefault="00E64E20">
            <w:pPr>
              <w:ind w:firstLineChars="100" w:firstLine="190"/>
              <w:rPr>
                <w:color w:val="000000"/>
                <w:sz w:val="19"/>
                <w:szCs w:val="19"/>
              </w:rPr>
            </w:pPr>
            <w:r w:rsidRPr="00F01655">
              <w:rPr>
                <w:color w:val="000000"/>
                <w:sz w:val="19"/>
                <w:szCs w:val="19"/>
              </w:rPr>
              <w:t>40 to 49</w:t>
            </w:r>
          </w:p>
        </w:tc>
        <w:tc>
          <w:tcPr>
            <w:tcW w:w="810" w:type="dxa"/>
            <w:tcBorders>
              <w:top w:val="nil"/>
              <w:left w:val="nil"/>
              <w:bottom w:val="nil"/>
              <w:right w:val="single" w:sz="4" w:space="0" w:color="auto"/>
            </w:tcBorders>
            <w:shd w:val="clear" w:color="000000" w:fill="FFFFFF"/>
            <w:noWrap/>
            <w:vAlign w:val="center"/>
            <w:hideMark/>
          </w:tcPr>
          <w:p w14:paraId="189AD594" w14:textId="77777777" w:rsidR="00E64E20" w:rsidRPr="00F01655" w:rsidRDefault="00E64E20">
            <w:pPr>
              <w:jc w:val="right"/>
              <w:rPr>
                <w:color w:val="000000"/>
                <w:sz w:val="19"/>
                <w:szCs w:val="19"/>
              </w:rPr>
            </w:pPr>
            <w:r w:rsidRPr="00F01655">
              <w:rPr>
                <w:color w:val="000000"/>
                <w:sz w:val="19"/>
                <w:szCs w:val="19"/>
              </w:rPr>
              <w:t>259</w:t>
            </w:r>
          </w:p>
        </w:tc>
        <w:tc>
          <w:tcPr>
            <w:tcW w:w="1000" w:type="dxa"/>
            <w:tcBorders>
              <w:top w:val="nil"/>
              <w:left w:val="nil"/>
              <w:bottom w:val="nil"/>
              <w:right w:val="double" w:sz="4" w:space="0" w:color="auto"/>
            </w:tcBorders>
            <w:shd w:val="clear" w:color="000000" w:fill="FFFFFF"/>
            <w:noWrap/>
            <w:vAlign w:val="center"/>
            <w:hideMark/>
          </w:tcPr>
          <w:p w14:paraId="07004252" w14:textId="77777777" w:rsidR="00E64E20" w:rsidRPr="00F01655" w:rsidRDefault="00E64E20">
            <w:pPr>
              <w:jc w:val="right"/>
              <w:rPr>
                <w:color w:val="000000"/>
                <w:sz w:val="19"/>
                <w:szCs w:val="19"/>
              </w:rPr>
            </w:pPr>
            <w:r w:rsidRPr="00F01655">
              <w:rPr>
                <w:color w:val="000000"/>
                <w:sz w:val="19"/>
                <w:szCs w:val="19"/>
              </w:rPr>
              <w:t>20.9%</w:t>
            </w:r>
          </w:p>
        </w:tc>
        <w:tc>
          <w:tcPr>
            <w:tcW w:w="2690" w:type="dxa"/>
            <w:tcBorders>
              <w:top w:val="nil"/>
              <w:left w:val="double" w:sz="4" w:space="0" w:color="auto"/>
              <w:bottom w:val="nil"/>
              <w:right w:val="single" w:sz="8" w:space="0" w:color="auto"/>
            </w:tcBorders>
            <w:shd w:val="clear" w:color="000000" w:fill="FFFFFF"/>
            <w:noWrap/>
            <w:vAlign w:val="center"/>
            <w:hideMark/>
          </w:tcPr>
          <w:p w14:paraId="2FFCF611" w14:textId="77777777" w:rsidR="00E64E20" w:rsidRPr="00F01655" w:rsidRDefault="00E64E20">
            <w:pPr>
              <w:rPr>
                <w:b/>
                <w:bCs/>
                <w:color w:val="000000"/>
                <w:sz w:val="19"/>
                <w:szCs w:val="19"/>
              </w:rPr>
            </w:pPr>
            <w:r w:rsidRPr="00F01655">
              <w:rPr>
                <w:b/>
                <w:bCs/>
                <w:color w:val="000000"/>
                <w:sz w:val="19"/>
                <w:szCs w:val="19"/>
              </w:rPr>
              <w:t>Employment Status</w:t>
            </w:r>
          </w:p>
        </w:tc>
        <w:tc>
          <w:tcPr>
            <w:tcW w:w="748" w:type="dxa"/>
            <w:tcBorders>
              <w:top w:val="nil"/>
              <w:left w:val="nil"/>
              <w:bottom w:val="nil"/>
              <w:right w:val="nil"/>
            </w:tcBorders>
            <w:shd w:val="clear" w:color="000000" w:fill="FFFFFF"/>
            <w:noWrap/>
            <w:vAlign w:val="bottom"/>
            <w:hideMark/>
          </w:tcPr>
          <w:p w14:paraId="1678BF72" w14:textId="77777777" w:rsidR="00E64E20" w:rsidRPr="00F01655" w:rsidRDefault="00E64E20">
            <w:pPr>
              <w:rPr>
                <w:color w:val="000000"/>
                <w:sz w:val="19"/>
                <w:szCs w:val="19"/>
              </w:rPr>
            </w:pPr>
            <w:r w:rsidRPr="00F01655">
              <w:rPr>
                <w:color w:val="000000"/>
                <w:sz w:val="19"/>
                <w:szCs w:val="19"/>
              </w:rPr>
              <w:t> </w:t>
            </w:r>
          </w:p>
        </w:tc>
        <w:tc>
          <w:tcPr>
            <w:tcW w:w="990" w:type="dxa"/>
            <w:tcBorders>
              <w:top w:val="nil"/>
              <w:left w:val="single" w:sz="4" w:space="0" w:color="auto"/>
              <w:bottom w:val="nil"/>
              <w:right w:val="double" w:sz="4" w:space="0" w:color="auto"/>
            </w:tcBorders>
            <w:shd w:val="clear" w:color="000000" w:fill="FFFFFF"/>
            <w:noWrap/>
            <w:vAlign w:val="bottom"/>
            <w:hideMark/>
          </w:tcPr>
          <w:p w14:paraId="31554704" w14:textId="77777777" w:rsidR="00E64E20" w:rsidRPr="00F01655" w:rsidRDefault="00E64E20">
            <w:pPr>
              <w:rPr>
                <w:color w:val="000000"/>
                <w:sz w:val="19"/>
                <w:szCs w:val="19"/>
              </w:rPr>
            </w:pPr>
            <w:r w:rsidRPr="00F01655">
              <w:rPr>
                <w:color w:val="000000"/>
                <w:sz w:val="19"/>
                <w:szCs w:val="19"/>
              </w:rPr>
              <w:t> </w:t>
            </w:r>
          </w:p>
        </w:tc>
        <w:tc>
          <w:tcPr>
            <w:tcW w:w="2492" w:type="dxa"/>
            <w:tcBorders>
              <w:top w:val="nil"/>
              <w:left w:val="double" w:sz="4" w:space="0" w:color="auto"/>
              <w:bottom w:val="nil"/>
              <w:right w:val="single" w:sz="8" w:space="0" w:color="auto"/>
            </w:tcBorders>
            <w:shd w:val="clear" w:color="000000" w:fill="FFFFFF"/>
            <w:vAlign w:val="center"/>
            <w:hideMark/>
          </w:tcPr>
          <w:p w14:paraId="2F922CAF" w14:textId="77777777" w:rsidR="00E64E20" w:rsidRPr="00F01655" w:rsidRDefault="00E64E20">
            <w:pPr>
              <w:ind w:firstLineChars="100" w:firstLine="190"/>
              <w:rPr>
                <w:color w:val="000000"/>
                <w:sz w:val="19"/>
                <w:szCs w:val="19"/>
              </w:rPr>
            </w:pPr>
            <w:r w:rsidRPr="00F01655">
              <w:rPr>
                <w:color w:val="000000"/>
                <w:sz w:val="19"/>
                <w:szCs w:val="19"/>
              </w:rPr>
              <w:t>Rural</w:t>
            </w:r>
          </w:p>
        </w:tc>
        <w:tc>
          <w:tcPr>
            <w:tcW w:w="900" w:type="dxa"/>
            <w:tcBorders>
              <w:top w:val="nil"/>
              <w:left w:val="nil"/>
              <w:bottom w:val="nil"/>
              <w:right w:val="single" w:sz="4" w:space="0" w:color="auto"/>
            </w:tcBorders>
            <w:shd w:val="clear" w:color="000000" w:fill="FFFFFF"/>
            <w:noWrap/>
            <w:vAlign w:val="center"/>
            <w:hideMark/>
          </w:tcPr>
          <w:p w14:paraId="15C91350" w14:textId="77777777" w:rsidR="00E64E20" w:rsidRPr="00F01655" w:rsidRDefault="00E64E20">
            <w:pPr>
              <w:jc w:val="right"/>
              <w:rPr>
                <w:color w:val="000000"/>
                <w:sz w:val="19"/>
                <w:szCs w:val="19"/>
              </w:rPr>
            </w:pPr>
            <w:r w:rsidRPr="00F01655">
              <w:rPr>
                <w:color w:val="000000"/>
                <w:sz w:val="19"/>
                <w:szCs w:val="19"/>
              </w:rPr>
              <w:t>141</w:t>
            </w:r>
          </w:p>
        </w:tc>
        <w:tc>
          <w:tcPr>
            <w:tcW w:w="1080" w:type="dxa"/>
            <w:tcBorders>
              <w:top w:val="nil"/>
              <w:left w:val="nil"/>
              <w:bottom w:val="nil"/>
              <w:right w:val="double" w:sz="4" w:space="0" w:color="auto"/>
            </w:tcBorders>
            <w:shd w:val="clear" w:color="000000" w:fill="FFFFFF"/>
            <w:noWrap/>
            <w:vAlign w:val="center"/>
            <w:hideMark/>
          </w:tcPr>
          <w:p w14:paraId="5DF6A074" w14:textId="77777777" w:rsidR="00E64E20" w:rsidRPr="00F01655" w:rsidRDefault="00E64E20">
            <w:pPr>
              <w:jc w:val="right"/>
              <w:rPr>
                <w:color w:val="000000"/>
                <w:sz w:val="19"/>
                <w:szCs w:val="19"/>
              </w:rPr>
            </w:pPr>
            <w:r w:rsidRPr="00F01655">
              <w:rPr>
                <w:color w:val="000000"/>
                <w:sz w:val="19"/>
                <w:szCs w:val="19"/>
              </w:rPr>
              <w:t>11.4%</w:t>
            </w:r>
          </w:p>
        </w:tc>
      </w:tr>
      <w:tr w:rsidR="003D4A3F" w:rsidRPr="00F01655" w14:paraId="5964B8D5"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2F03A337" w14:textId="77777777" w:rsidR="00E64E20" w:rsidRPr="00F01655" w:rsidRDefault="00E64E20">
            <w:pPr>
              <w:ind w:firstLineChars="100" w:firstLine="190"/>
              <w:rPr>
                <w:color w:val="000000"/>
                <w:sz w:val="19"/>
                <w:szCs w:val="19"/>
              </w:rPr>
            </w:pPr>
            <w:r w:rsidRPr="00F01655">
              <w:rPr>
                <w:color w:val="000000"/>
                <w:sz w:val="19"/>
                <w:szCs w:val="19"/>
              </w:rPr>
              <w:t>50 to 64</w:t>
            </w:r>
          </w:p>
        </w:tc>
        <w:tc>
          <w:tcPr>
            <w:tcW w:w="810" w:type="dxa"/>
            <w:tcBorders>
              <w:top w:val="nil"/>
              <w:left w:val="nil"/>
              <w:bottom w:val="nil"/>
              <w:right w:val="single" w:sz="4" w:space="0" w:color="auto"/>
            </w:tcBorders>
            <w:shd w:val="clear" w:color="000000" w:fill="FFFFFF"/>
            <w:noWrap/>
            <w:vAlign w:val="center"/>
            <w:hideMark/>
          </w:tcPr>
          <w:p w14:paraId="3999496D" w14:textId="77777777" w:rsidR="00E64E20" w:rsidRPr="00F01655" w:rsidRDefault="00E64E20">
            <w:pPr>
              <w:jc w:val="right"/>
              <w:rPr>
                <w:color w:val="000000"/>
                <w:sz w:val="19"/>
                <w:szCs w:val="19"/>
              </w:rPr>
            </w:pPr>
            <w:r w:rsidRPr="00F01655">
              <w:rPr>
                <w:color w:val="000000"/>
                <w:sz w:val="19"/>
                <w:szCs w:val="19"/>
              </w:rPr>
              <w:t>425</w:t>
            </w:r>
          </w:p>
        </w:tc>
        <w:tc>
          <w:tcPr>
            <w:tcW w:w="1000" w:type="dxa"/>
            <w:tcBorders>
              <w:top w:val="nil"/>
              <w:left w:val="nil"/>
              <w:bottom w:val="nil"/>
              <w:right w:val="double" w:sz="4" w:space="0" w:color="auto"/>
            </w:tcBorders>
            <w:shd w:val="clear" w:color="000000" w:fill="FFFFFF"/>
            <w:noWrap/>
            <w:vAlign w:val="center"/>
            <w:hideMark/>
          </w:tcPr>
          <w:p w14:paraId="48A2A946" w14:textId="77777777" w:rsidR="00E64E20" w:rsidRPr="00F01655" w:rsidRDefault="00E64E20">
            <w:pPr>
              <w:jc w:val="right"/>
              <w:rPr>
                <w:color w:val="000000"/>
                <w:sz w:val="19"/>
                <w:szCs w:val="19"/>
              </w:rPr>
            </w:pPr>
            <w:r w:rsidRPr="00F01655">
              <w:rPr>
                <w:color w:val="000000"/>
                <w:sz w:val="19"/>
                <w:szCs w:val="19"/>
              </w:rPr>
              <w:t>34.3%</w:t>
            </w:r>
          </w:p>
        </w:tc>
        <w:tc>
          <w:tcPr>
            <w:tcW w:w="2690" w:type="dxa"/>
            <w:tcBorders>
              <w:top w:val="nil"/>
              <w:left w:val="double" w:sz="4" w:space="0" w:color="auto"/>
              <w:bottom w:val="nil"/>
              <w:right w:val="single" w:sz="8" w:space="0" w:color="auto"/>
            </w:tcBorders>
            <w:shd w:val="clear" w:color="000000" w:fill="FFFFFF"/>
            <w:noWrap/>
            <w:vAlign w:val="center"/>
            <w:hideMark/>
          </w:tcPr>
          <w:p w14:paraId="2344B1A2" w14:textId="77777777" w:rsidR="00E64E20" w:rsidRPr="00F01655" w:rsidRDefault="00E64E20">
            <w:pPr>
              <w:ind w:firstLineChars="100" w:firstLine="190"/>
              <w:rPr>
                <w:color w:val="000000"/>
                <w:sz w:val="19"/>
                <w:szCs w:val="19"/>
              </w:rPr>
            </w:pPr>
            <w:r w:rsidRPr="00F01655">
              <w:rPr>
                <w:color w:val="000000"/>
                <w:sz w:val="19"/>
                <w:szCs w:val="19"/>
              </w:rPr>
              <w:t>Employed Full-time</w:t>
            </w:r>
          </w:p>
        </w:tc>
        <w:tc>
          <w:tcPr>
            <w:tcW w:w="748" w:type="dxa"/>
            <w:tcBorders>
              <w:top w:val="nil"/>
              <w:left w:val="nil"/>
              <w:bottom w:val="nil"/>
              <w:right w:val="nil"/>
            </w:tcBorders>
            <w:shd w:val="clear" w:color="000000" w:fill="FFFFFF"/>
            <w:noWrap/>
            <w:vAlign w:val="center"/>
            <w:hideMark/>
          </w:tcPr>
          <w:p w14:paraId="1D5F471B" w14:textId="77777777" w:rsidR="00E64E20" w:rsidRPr="00F01655" w:rsidRDefault="00E64E20">
            <w:pPr>
              <w:jc w:val="right"/>
              <w:rPr>
                <w:color w:val="000000"/>
                <w:sz w:val="19"/>
                <w:szCs w:val="19"/>
              </w:rPr>
            </w:pPr>
            <w:r w:rsidRPr="00F01655">
              <w:rPr>
                <w:color w:val="000000"/>
                <w:sz w:val="19"/>
                <w:szCs w:val="19"/>
              </w:rPr>
              <w:t>1004</w:t>
            </w:r>
          </w:p>
        </w:tc>
        <w:tc>
          <w:tcPr>
            <w:tcW w:w="990" w:type="dxa"/>
            <w:tcBorders>
              <w:top w:val="nil"/>
              <w:left w:val="single" w:sz="4" w:space="0" w:color="auto"/>
              <w:bottom w:val="nil"/>
              <w:right w:val="double" w:sz="4" w:space="0" w:color="auto"/>
            </w:tcBorders>
            <w:shd w:val="clear" w:color="000000" w:fill="FFFFFF"/>
            <w:noWrap/>
            <w:vAlign w:val="center"/>
            <w:hideMark/>
          </w:tcPr>
          <w:p w14:paraId="6B379393" w14:textId="77777777" w:rsidR="00E64E20" w:rsidRPr="00F01655" w:rsidRDefault="00E64E20">
            <w:pPr>
              <w:jc w:val="right"/>
              <w:rPr>
                <w:color w:val="000000"/>
                <w:sz w:val="19"/>
                <w:szCs w:val="19"/>
              </w:rPr>
            </w:pPr>
            <w:r w:rsidRPr="00F01655">
              <w:rPr>
                <w:color w:val="000000"/>
                <w:sz w:val="19"/>
                <w:szCs w:val="19"/>
              </w:rPr>
              <w:t>81.0%</w:t>
            </w:r>
          </w:p>
        </w:tc>
        <w:tc>
          <w:tcPr>
            <w:tcW w:w="2492" w:type="dxa"/>
            <w:tcBorders>
              <w:top w:val="nil"/>
              <w:left w:val="double" w:sz="4" w:space="0" w:color="auto"/>
              <w:bottom w:val="nil"/>
              <w:right w:val="single" w:sz="8" w:space="0" w:color="auto"/>
            </w:tcBorders>
            <w:shd w:val="clear" w:color="000000" w:fill="FFFFFF"/>
            <w:vAlign w:val="center"/>
            <w:hideMark/>
          </w:tcPr>
          <w:p w14:paraId="4E255428" w14:textId="77777777" w:rsidR="00E64E20" w:rsidRPr="00F01655" w:rsidRDefault="00E64E20">
            <w:pPr>
              <w:ind w:firstLineChars="100" w:firstLine="190"/>
              <w:rPr>
                <w:color w:val="000000"/>
                <w:sz w:val="19"/>
                <w:szCs w:val="19"/>
              </w:rPr>
            </w:pPr>
            <w:r w:rsidRPr="00F01655">
              <w:rPr>
                <w:color w:val="000000"/>
                <w:sz w:val="19"/>
                <w:szCs w:val="19"/>
              </w:rPr>
              <w:t>Suburban</w:t>
            </w:r>
          </w:p>
        </w:tc>
        <w:tc>
          <w:tcPr>
            <w:tcW w:w="900" w:type="dxa"/>
            <w:tcBorders>
              <w:top w:val="nil"/>
              <w:left w:val="nil"/>
              <w:bottom w:val="nil"/>
              <w:right w:val="single" w:sz="4" w:space="0" w:color="auto"/>
            </w:tcBorders>
            <w:shd w:val="clear" w:color="000000" w:fill="FFFFFF"/>
            <w:noWrap/>
            <w:vAlign w:val="center"/>
            <w:hideMark/>
          </w:tcPr>
          <w:p w14:paraId="091A4FC9" w14:textId="77777777" w:rsidR="00E64E20" w:rsidRPr="00F01655" w:rsidRDefault="00E64E20">
            <w:pPr>
              <w:jc w:val="right"/>
              <w:rPr>
                <w:color w:val="000000"/>
                <w:sz w:val="19"/>
                <w:szCs w:val="19"/>
              </w:rPr>
            </w:pPr>
            <w:r w:rsidRPr="00F01655">
              <w:rPr>
                <w:color w:val="000000"/>
                <w:sz w:val="19"/>
                <w:szCs w:val="19"/>
              </w:rPr>
              <w:t>528</w:t>
            </w:r>
          </w:p>
        </w:tc>
        <w:tc>
          <w:tcPr>
            <w:tcW w:w="1080" w:type="dxa"/>
            <w:tcBorders>
              <w:top w:val="nil"/>
              <w:left w:val="nil"/>
              <w:bottom w:val="nil"/>
              <w:right w:val="double" w:sz="4" w:space="0" w:color="auto"/>
            </w:tcBorders>
            <w:shd w:val="clear" w:color="000000" w:fill="FFFFFF"/>
            <w:noWrap/>
            <w:vAlign w:val="center"/>
            <w:hideMark/>
          </w:tcPr>
          <w:p w14:paraId="51738FE9" w14:textId="77777777" w:rsidR="00E64E20" w:rsidRPr="00F01655" w:rsidRDefault="00E64E20">
            <w:pPr>
              <w:jc w:val="right"/>
              <w:rPr>
                <w:color w:val="000000"/>
                <w:sz w:val="19"/>
                <w:szCs w:val="19"/>
              </w:rPr>
            </w:pPr>
            <w:r w:rsidRPr="00F01655">
              <w:rPr>
                <w:color w:val="000000"/>
                <w:sz w:val="19"/>
                <w:szCs w:val="19"/>
              </w:rPr>
              <w:t>42.6%</w:t>
            </w:r>
          </w:p>
        </w:tc>
      </w:tr>
      <w:tr w:rsidR="003D4A3F" w:rsidRPr="00F01655" w14:paraId="6E83031D"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08139F65" w14:textId="77777777" w:rsidR="00E64E20" w:rsidRPr="00F01655" w:rsidRDefault="00E64E20">
            <w:pPr>
              <w:ind w:firstLineChars="100" w:firstLine="190"/>
              <w:rPr>
                <w:color w:val="000000"/>
                <w:sz w:val="19"/>
                <w:szCs w:val="19"/>
              </w:rPr>
            </w:pPr>
            <w:r w:rsidRPr="00F01655">
              <w:rPr>
                <w:color w:val="000000"/>
                <w:sz w:val="19"/>
                <w:szCs w:val="19"/>
              </w:rPr>
              <w:t>65 or older</w:t>
            </w:r>
          </w:p>
        </w:tc>
        <w:tc>
          <w:tcPr>
            <w:tcW w:w="810" w:type="dxa"/>
            <w:tcBorders>
              <w:top w:val="nil"/>
              <w:left w:val="nil"/>
              <w:bottom w:val="nil"/>
              <w:right w:val="single" w:sz="4" w:space="0" w:color="auto"/>
            </w:tcBorders>
            <w:shd w:val="clear" w:color="000000" w:fill="FFFFFF"/>
            <w:noWrap/>
            <w:vAlign w:val="center"/>
            <w:hideMark/>
          </w:tcPr>
          <w:p w14:paraId="73D69B43" w14:textId="77777777" w:rsidR="00E64E20" w:rsidRPr="00F01655" w:rsidRDefault="00E64E20">
            <w:pPr>
              <w:jc w:val="right"/>
              <w:rPr>
                <w:color w:val="000000"/>
                <w:sz w:val="19"/>
                <w:szCs w:val="19"/>
              </w:rPr>
            </w:pPr>
            <w:r w:rsidRPr="00F01655">
              <w:rPr>
                <w:color w:val="000000"/>
                <w:sz w:val="19"/>
                <w:szCs w:val="19"/>
              </w:rPr>
              <w:t>118</w:t>
            </w:r>
          </w:p>
        </w:tc>
        <w:tc>
          <w:tcPr>
            <w:tcW w:w="1000" w:type="dxa"/>
            <w:tcBorders>
              <w:top w:val="nil"/>
              <w:left w:val="nil"/>
              <w:bottom w:val="nil"/>
              <w:right w:val="double" w:sz="4" w:space="0" w:color="auto"/>
            </w:tcBorders>
            <w:shd w:val="clear" w:color="000000" w:fill="FFFFFF"/>
            <w:noWrap/>
            <w:vAlign w:val="center"/>
            <w:hideMark/>
          </w:tcPr>
          <w:p w14:paraId="0B0F54AD" w14:textId="77777777" w:rsidR="00E64E20" w:rsidRPr="00F01655" w:rsidRDefault="00E64E20">
            <w:pPr>
              <w:jc w:val="right"/>
              <w:rPr>
                <w:color w:val="000000"/>
                <w:sz w:val="19"/>
                <w:szCs w:val="19"/>
              </w:rPr>
            </w:pPr>
            <w:r w:rsidRPr="00F01655">
              <w:rPr>
                <w:color w:val="000000"/>
                <w:sz w:val="19"/>
                <w:szCs w:val="19"/>
              </w:rPr>
              <w:t>9.5%</w:t>
            </w:r>
          </w:p>
        </w:tc>
        <w:tc>
          <w:tcPr>
            <w:tcW w:w="2690" w:type="dxa"/>
            <w:tcBorders>
              <w:top w:val="nil"/>
              <w:left w:val="double" w:sz="4" w:space="0" w:color="auto"/>
              <w:bottom w:val="nil"/>
              <w:right w:val="single" w:sz="8" w:space="0" w:color="auto"/>
            </w:tcBorders>
            <w:shd w:val="clear" w:color="000000" w:fill="FFFFFF"/>
            <w:noWrap/>
            <w:vAlign w:val="center"/>
            <w:hideMark/>
          </w:tcPr>
          <w:p w14:paraId="663023B9" w14:textId="77777777" w:rsidR="00E64E20" w:rsidRPr="00F01655" w:rsidRDefault="00E64E20">
            <w:pPr>
              <w:ind w:firstLineChars="100" w:firstLine="190"/>
              <w:rPr>
                <w:color w:val="000000"/>
                <w:sz w:val="19"/>
                <w:szCs w:val="19"/>
              </w:rPr>
            </w:pPr>
            <w:r w:rsidRPr="00F01655">
              <w:rPr>
                <w:color w:val="000000"/>
                <w:sz w:val="19"/>
                <w:szCs w:val="19"/>
              </w:rPr>
              <w:t>Employed Part-time</w:t>
            </w:r>
          </w:p>
        </w:tc>
        <w:tc>
          <w:tcPr>
            <w:tcW w:w="748" w:type="dxa"/>
            <w:tcBorders>
              <w:top w:val="nil"/>
              <w:left w:val="nil"/>
              <w:bottom w:val="nil"/>
              <w:right w:val="nil"/>
            </w:tcBorders>
            <w:shd w:val="clear" w:color="000000" w:fill="FFFFFF"/>
            <w:noWrap/>
            <w:vAlign w:val="center"/>
            <w:hideMark/>
          </w:tcPr>
          <w:p w14:paraId="5FD756DB" w14:textId="77777777" w:rsidR="00E64E20" w:rsidRPr="00F01655" w:rsidRDefault="00E64E20">
            <w:pPr>
              <w:jc w:val="right"/>
              <w:rPr>
                <w:color w:val="000000"/>
                <w:sz w:val="19"/>
                <w:szCs w:val="19"/>
              </w:rPr>
            </w:pPr>
            <w:r w:rsidRPr="00F01655">
              <w:rPr>
                <w:color w:val="000000"/>
                <w:sz w:val="19"/>
                <w:szCs w:val="19"/>
              </w:rPr>
              <w:t>235</w:t>
            </w:r>
          </w:p>
        </w:tc>
        <w:tc>
          <w:tcPr>
            <w:tcW w:w="990" w:type="dxa"/>
            <w:tcBorders>
              <w:top w:val="nil"/>
              <w:left w:val="single" w:sz="4" w:space="0" w:color="auto"/>
              <w:bottom w:val="nil"/>
              <w:right w:val="double" w:sz="4" w:space="0" w:color="auto"/>
            </w:tcBorders>
            <w:shd w:val="clear" w:color="000000" w:fill="FFFFFF"/>
            <w:noWrap/>
            <w:vAlign w:val="center"/>
            <w:hideMark/>
          </w:tcPr>
          <w:p w14:paraId="632C09EA" w14:textId="77777777" w:rsidR="00E64E20" w:rsidRPr="00F01655" w:rsidRDefault="00E64E20">
            <w:pPr>
              <w:jc w:val="right"/>
              <w:rPr>
                <w:color w:val="000000"/>
                <w:sz w:val="19"/>
                <w:szCs w:val="19"/>
              </w:rPr>
            </w:pPr>
            <w:r w:rsidRPr="00F01655">
              <w:rPr>
                <w:color w:val="000000"/>
                <w:sz w:val="19"/>
                <w:szCs w:val="19"/>
              </w:rPr>
              <w:t>19.0%</w:t>
            </w:r>
          </w:p>
        </w:tc>
        <w:tc>
          <w:tcPr>
            <w:tcW w:w="2492" w:type="dxa"/>
            <w:tcBorders>
              <w:top w:val="nil"/>
              <w:left w:val="double" w:sz="4" w:space="0" w:color="auto"/>
              <w:bottom w:val="nil"/>
              <w:right w:val="single" w:sz="8" w:space="0" w:color="auto"/>
            </w:tcBorders>
            <w:shd w:val="clear" w:color="000000" w:fill="FFFFFF"/>
            <w:vAlign w:val="center"/>
            <w:hideMark/>
          </w:tcPr>
          <w:p w14:paraId="2B85479A" w14:textId="77777777" w:rsidR="00E64E20" w:rsidRPr="00F01655" w:rsidRDefault="00E64E20">
            <w:pPr>
              <w:ind w:firstLineChars="100" w:firstLine="190"/>
              <w:rPr>
                <w:color w:val="000000"/>
                <w:sz w:val="19"/>
                <w:szCs w:val="19"/>
              </w:rPr>
            </w:pPr>
            <w:r w:rsidRPr="00F01655">
              <w:rPr>
                <w:color w:val="000000"/>
                <w:sz w:val="19"/>
                <w:szCs w:val="19"/>
              </w:rPr>
              <w:t>Urban</w:t>
            </w:r>
          </w:p>
        </w:tc>
        <w:tc>
          <w:tcPr>
            <w:tcW w:w="900" w:type="dxa"/>
            <w:tcBorders>
              <w:top w:val="nil"/>
              <w:left w:val="nil"/>
              <w:bottom w:val="nil"/>
              <w:right w:val="single" w:sz="4" w:space="0" w:color="auto"/>
            </w:tcBorders>
            <w:shd w:val="clear" w:color="000000" w:fill="FFFFFF"/>
            <w:noWrap/>
            <w:vAlign w:val="center"/>
            <w:hideMark/>
          </w:tcPr>
          <w:p w14:paraId="3318A082" w14:textId="77777777" w:rsidR="00E64E20" w:rsidRPr="00F01655" w:rsidRDefault="00E64E20">
            <w:pPr>
              <w:jc w:val="right"/>
              <w:rPr>
                <w:color w:val="000000"/>
                <w:sz w:val="19"/>
                <w:szCs w:val="19"/>
              </w:rPr>
            </w:pPr>
            <w:r w:rsidRPr="00F01655">
              <w:rPr>
                <w:color w:val="000000"/>
                <w:sz w:val="19"/>
                <w:szCs w:val="19"/>
              </w:rPr>
              <w:t>570</w:t>
            </w:r>
          </w:p>
        </w:tc>
        <w:tc>
          <w:tcPr>
            <w:tcW w:w="1080" w:type="dxa"/>
            <w:tcBorders>
              <w:top w:val="nil"/>
              <w:left w:val="nil"/>
              <w:bottom w:val="nil"/>
              <w:right w:val="double" w:sz="4" w:space="0" w:color="auto"/>
            </w:tcBorders>
            <w:shd w:val="clear" w:color="000000" w:fill="FFFFFF"/>
            <w:noWrap/>
            <w:vAlign w:val="center"/>
            <w:hideMark/>
          </w:tcPr>
          <w:p w14:paraId="52D27298" w14:textId="77777777" w:rsidR="00E64E20" w:rsidRPr="00F01655" w:rsidRDefault="00E64E20">
            <w:pPr>
              <w:jc w:val="right"/>
              <w:rPr>
                <w:color w:val="000000"/>
                <w:sz w:val="19"/>
                <w:szCs w:val="19"/>
              </w:rPr>
            </w:pPr>
            <w:r w:rsidRPr="00F01655">
              <w:rPr>
                <w:color w:val="000000"/>
                <w:sz w:val="19"/>
                <w:szCs w:val="19"/>
              </w:rPr>
              <w:t>46.0%</w:t>
            </w:r>
          </w:p>
        </w:tc>
      </w:tr>
      <w:tr w:rsidR="003D4A3F" w:rsidRPr="00F01655" w14:paraId="22873657"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331B5DD5" w14:textId="77777777" w:rsidR="00E64E20" w:rsidRPr="00F01655" w:rsidRDefault="00E64E20">
            <w:pPr>
              <w:rPr>
                <w:b/>
                <w:bCs/>
                <w:color w:val="000000"/>
                <w:sz w:val="19"/>
                <w:szCs w:val="19"/>
              </w:rPr>
            </w:pPr>
            <w:r w:rsidRPr="00F01655">
              <w:rPr>
                <w:b/>
                <w:bCs/>
                <w:color w:val="000000"/>
                <w:sz w:val="19"/>
                <w:szCs w:val="19"/>
              </w:rPr>
              <w:t>Education Level</w:t>
            </w:r>
          </w:p>
        </w:tc>
        <w:tc>
          <w:tcPr>
            <w:tcW w:w="810" w:type="dxa"/>
            <w:tcBorders>
              <w:top w:val="nil"/>
              <w:left w:val="nil"/>
              <w:bottom w:val="nil"/>
              <w:right w:val="single" w:sz="4" w:space="0" w:color="auto"/>
            </w:tcBorders>
            <w:shd w:val="clear" w:color="000000" w:fill="FFFFFF"/>
            <w:noWrap/>
            <w:vAlign w:val="center"/>
            <w:hideMark/>
          </w:tcPr>
          <w:p w14:paraId="3BEB763E" w14:textId="77777777" w:rsidR="00E64E20" w:rsidRPr="00F01655" w:rsidRDefault="00E64E20">
            <w:pPr>
              <w:jc w:val="right"/>
              <w:rPr>
                <w:color w:val="000000"/>
                <w:sz w:val="19"/>
                <w:szCs w:val="19"/>
              </w:rPr>
            </w:pPr>
            <w:r w:rsidRPr="00F01655">
              <w:rPr>
                <w:color w:val="000000"/>
                <w:sz w:val="19"/>
                <w:szCs w:val="19"/>
              </w:rPr>
              <w:t> </w:t>
            </w:r>
          </w:p>
        </w:tc>
        <w:tc>
          <w:tcPr>
            <w:tcW w:w="1000" w:type="dxa"/>
            <w:tcBorders>
              <w:top w:val="nil"/>
              <w:left w:val="nil"/>
              <w:bottom w:val="nil"/>
              <w:right w:val="double" w:sz="4" w:space="0" w:color="auto"/>
            </w:tcBorders>
            <w:shd w:val="clear" w:color="000000" w:fill="FFFFFF"/>
            <w:noWrap/>
            <w:vAlign w:val="center"/>
            <w:hideMark/>
          </w:tcPr>
          <w:p w14:paraId="5323F566" w14:textId="77777777" w:rsidR="00E64E20" w:rsidRPr="00F01655" w:rsidRDefault="00E64E20">
            <w:pPr>
              <w:jc w:val="right"/>
              <w:rPr>
                <w:color w:val="000000"/>
                <w:sz w:val="19"/>
                <w:szCs w:val="19"/>
              </w:rPr>
            </w:pPr>
            <w:r w:rsidRPr="00F01655">
              <w:rPr>
                <w:color w:val="000000"/>
                <w:sz w:val="19"/>
                <w:szCs w:val="19"/>
              </w:rPr>
              <w:t> </w:t>
            </w:r>
          </w:p>
        </w:tc>
        <w:tc>
          <w:tcPr>
            <w:tcW w:w="2690" w:type="dxa"/>
            <w:tcBorders>
              <w:top w:val="nil"/>
              <w:left w:val="double" w:sz="4" w:space="0" w:color="auto"/>
              <w:bottom w:val="nil"/>
              <w:right w:val="single" w:sz="8" w:space="0" w:color="auto"/>
            </w:tcBorders>
            <w:shd w:val="clear" w:color="000000" w:fill="FFFFFF"/>
            <w:vAlign w:val="center"/>
            <w:hideMark/>
          </w:tcPr>
          <w:p w14:paraId="258A31D5" w14:textId="77777777" w:rsidR="00E64E20" w:rsidRPr="00F01655" w:rsidRDefault="00E64E20">
            <w:pPr>
              <w:rPr>
                <w:b/>
                <w:bCs/>
                <w:color w:val="000000"/>
                <w:sz w:val="19"/>
                <w:szCs w:val="19"/>
              </w:rPr>
            </w:pPr>
            <w:r w:rsidRPr="00F01655">
              <w:rPr>
                <w:b/>
                <w:bCs/>
                <w:color w:val="000000"/>
                <w:sz w:val="19"/>
                <w:szCs w:val="19"/>
              </w:rPr>
              <w:t>Occupation / Industry Type</w:t>
            </w:r>
          </w:p>
        </w:tc>
        <w:tc>
          <w:tcPr>
            <w:tcW w:w="748" w:type="dxa"/>
            <w:tcBorders>
              <w:top w:val="nil"/>
              <w:left w:val="nil"/>
              <w:bottom w:val="nil"/>
              <w:right w:val="single" w:sz="4" w:space="0" w:color="auto"/>
            </w:tcBorders>
            <w:shd w:val="clear" w:color="000000" w:fill="FFFFFF"/>
            <w:noWrap/>
            <w:vAlign w:val="center"/>
            <w:hideMark/>
          </w:tcPr>
          <w:p w14:paraId="41A681CF" w14:textId="77777777" w:rsidR="00E64E20" w:rsidRPr="00F01655" w:rsidRDefault="00E64E20">
            <w:pPr>
              <w:rPr>
                <w:color w:val="000000"/>
                <w:sz w:val="19"/>
                <w:szCs w:val="19"/>
              </w:rPr>
            </w:pPr>
            <w:r w:rsidRPr="00F01655">
              <w:rPr>
                <w:color w:val="000000"/>
                <w:sz w:val="19"/>
                <w:szCs w:val="19"/>
              </w:rPr>
              <w:t> </w:t>
            </w:r>
          </w:p>
        </w:tc>
        <w:tc>
          <w:tcPr>
            <w:tcW w:w="990" w:type="dxa"/>
            <w:tcBorders>
              <w:top w:val="nil"/>
              <w:left w:val="nil"/>
              <w:bottom w:val="nil"/>
              <w:right w:val="double" w:sz="4" w:space="0" w:color="auto"/>
            </w:tcBorders>
            <w:shd w:val="clear" w:color="000000" w:fill="FFFFFF"/>
            <w:noWrap/>
            <w:vAlign w:val="center"/>
            <w:hideMark/>
          </w:tcPr>
          <w:p w14:paraId="2BCEBC57" w14:textId="77777777" w:rsidR="00E64E20" w:rsidRPr="00F01655" w:rsidRDefault="00E64E20">
            <w:pPr>
              <w:rPr>
                <w:color w:val="000000"/>
                <w:sz w:val="19"/>
                <w:szCs w:val="19"/>
              </w:rPr>
            </w:pPr>
            <w:r w:rsidRPr="00F01655">
              <w:rPr>
                <w:color w:val="000000"/>
                <w:sz w:val="19"/>
                <w:szCs w:val="19"/>
              </w:rPr>
              <w:t> </w:t>
            </w:r>
          </w:p>
        </w:tc>
        <w:tc>
          <w:tcPr>
            <w:tcW w:w="2492" w:type="dxa"/>
            <w:tcBorders>
              <w:top w:val="nil"/>
              <w:left w:val="double" w:sz="4" w:space="0" w:color="auto"/>
              <w:bottom w:val="nil"/>
              <w:right w:val="single" w:sz="8" w:space="0" w:color="auto"/>
            </w:tcBorders>
            <w:shd w:val="clear" w:color="000000" w:fill="FFFFFF"/>
            <w:vAlign w:val="center"/>
            <w:hideMark/>
          </w:tcPr>
          <w:p w14:paraId="351C1CCA" w14:textId="77777777" w:rsidR="00E64E20" w:rsidRPr="00F01655" w:rsidRDefault="00E64E20">
            <w:pPr>
              <w:rPr>
                <w:b/>
                <w:bCs/>
                <w:color w:val="000000"/>
                <w:sz w:val="19"/>
                <w:szCs w:val="19"/>
              </w:rPr>
            </w:pPr>
            <w:r w:rsidRPr="00F01655">
              <w:rPr>
                <w:b/>
                <w:bCs/>
                <w:color w:val="000000"/>
                <w:sz w:val="19"/>
                <w:szCs w:val="19"/>
              </w:rPr>
              <w:t>Tenure</w:t>
            </w:r>
          </w:p>
        </w:tc>
        <w:tc>
          <w:tcPr>
            <w:tcW w:w="900" w:type="dxa"/>
            <w:tcBorders>
              <w:top w:val="nil"/>
              <w:left w:val="nil"/>
              <w:bottom w:val="nil"/>
              <w:right w:val="single" w:sz="4" w:space="0" w:color="auto"/>
            </w:tcBorders>
            <w:shd w:val="clear" w:color="000000" w:fill="FFFFFF"/>
            <w:noWrap/>
            <w:vAlign w:val="center"/>
            <w:hideMark/>
          </w:tcPr>
          <w:p w14:paraId="12893A4B" w14:textId="77777777" w:rsidR="00E64E20" w:rsidRPr="00F01655" w:rsidRDefault="00E64E20">
            <w:pPr>
              <w:jc w:val="right"/>
              <w:rPr>
                <w:color w:val="000000"/>
                <w:sz w:val="19"/>
                <w:szCs w:val="19"/>
              </w:rPr>
            </w:pPr>
            <w:r w:rsidRPr="00F01655">
              <w:rPr>
                <w:color w:val="000000"/>
                <w:sz w:val="19"/>
                <w:szCs w:val="19"/>
              </w:rPr>
              <w:t> </w:t>
            </w:r>
          </w:p>
        </w:tc>
        <w:tc>
          <w:tcPr>
            <w:tcW w:w="1080" w:type="dxa"/>
            <w:tcBorders>
              <w:top w:val="nil"/>
              <w:left w:val="nil"/>
              <w:bottom w:val="nil"/>
              <w:right w:val="double" w:sz="4" w:space="0" w:color="auto"/>
            </w:tcBorders>
            <w:shd w:val="clear" w:color="000000" w:fill="FFFFFF"/>
            <w:noWrap/>
            <w:vAlign w:val="center"/>
            <w:hideMark/>
          </w:tcPr>
          <w:p w14:paraId="358DF89C" w14:textId="77777777" w:rsidR="00E64E20" w:rsidRPr="00F01655" w:rsidRDefault="00E64E20">
            <w:pPr>
              <w:jc w:val="right"/>
              <w:rPr>
                <w:color w:val="000000"/>
                <w:sz w:val="19"/>
                <w:szCs w:val="19"/>
              </w:rPr>
            </w:pPr>
            <w:r w:rsidRPr="00F01655">
              <w:rPr>
                <w:color w:val="000000"/>
                <w:sz w:val="19"/>
                <w:szCs w:val="19"/>
              </w:rPr>
              <w:t> </w:t>
            </w:r>
          </w:p>
        </w:tc>
      </w:tr>
      <w:tr w:rsidR="003D4A3F" w:rsidRPr="00F01655" w14:paraId="5D1ADD9A"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383C6DE4" w14:textId="77777777" w:rsidR="00E64E20" w:rsidRPr="00F01655" w:rsidRDefault="00E64E20">
            <w:pPr>
              <w:ind w:firstLineChars="100" w:firstLine="190"/>
              <w:rPr>
                <w:color w:val="000000"/>
                <w:sz w:val="19"/>
                <w:szCs w:val="19"/>
              </w:rPr>
            </w:pPr>
            <w:r w:rsidRPr="00F01655">
              <w:rPr>
                <w:color w:val="000000"/>
                <w:sz w:val="19"/>
                <w:szCs w:val="19"/>
              </w:rPr>
              <w:t>Highschool</w:t>
            </w:r>
          </w:p>
        </w:tc>
        <w:tc>
          <w:tcPr>
            <w:tcW w:w="810" w:type="dxa"/>
            <w:tcBorders>
              <w:top w:val="nil"/>
              <w:left w:val="nil"/>
              <w:bottom w:val="nil"/>
              <w:right w:val="single" w:sz="4" w:space="0" w:color="auto"/>
            </w:tcBorders>
            <w:shd w:val="clear" w:color="000000" w:fill="FFFFFF"/>
            <w:noWrap/>
            <w:vAlign w:val="center"/>
            <w:hideMark/>
          </w:tcPr>
          <w:p w14:paraId="015085D8" w14:textId="77777777" w:rsidR="00E64E20" w:rsidRPr="00F01655" w:rsidRDefault="00E64E20">
            <w:pPr>
              <w:jc w:val="right"/>
              <w:rPr>
                <w:color w:val="000000"/>
                <w:sz w:val="19"/>
                <w:szCs w:val="19"/>
              </w:rPr>
            </w:pPr>
            <w:r w:rsidRPr="00F01655">
              <w:rPr>
                <w:color w:val="000000"/>
                <w:sz w:val="19"/>
                <w:szCs w:val="19"/>
              </w:rPr>
              <w:t>69</w:t>
            </w:r>
          </w:p>
        </w:tc>
        <w:tc>
          <w:tcPr>
            <w:tcW w:w="1000" w:type="dxa"/>
            <w:tcBorders>
              <w:top w:val="nil"/>
              <w:left w:val="nil"/>
              <w:bottom w:val="nil"/>
              <w:right w:val="double" w:sz="4" w:space="0" w:color="auto"/>
            </w:tcBorders>
            <w:shd w:val="clear" w:color="000000" w:fill="FFFFFF"/>
            <w:noWrap/>
            <w:vAlign w:val="center"/>
            <w:hideMark/>
          </w:tcPr>
          <w:p w14:paraId="092B63EC" w14:textId="77777777" w:rsidR="00E64E20" w:rsidRPr="00F01655" w:rsidRDefault="00E64E20">
            <w:pPr>
              <w:jc w:val="right"/>
              <w:rPr>
                <w:color w:val="000000"/>
                <w:sz w:val="19"/>
                <w:szCs w:val="19"/>
              </w:rPr>
            </w:pPr>
            <w:r w:rsidRPr="00F01655">
              <w:rPr>
                <w:color w:val="000000"/>
                <w:sz w:val="19"/>
                <w:szCs w:val="19"/>
              </w:rPr>
              <w:t>5.6%</w:t>
            </w:r>
          </w:p>
        </w:tc>
        <w:tc>
          <w:tcPr>
            <w:tcW w:w="2690" w:type="dxa"/>
            <w:tcBorders>
              <w:top w:val="nil"/>
              <w:left w:val="double" w:sz="4" w:space="0" w:color="auto"/>
              <w:bottom w:val="nil"/>
              <w:right w:val="single" w:sz="8" w:space="0" w:color="auto"/>
            </w:tcBorders>
            <w:shd w:val="clear" w:color="000000" w:fill="FFFFFF"/>
            <w:vAlign w:val="center"/>
            <w:hideMark/>
          </w:tcPr>
          <w:p w14:paraId="60A50DE7" w14:textId="77777777" w:rsidR="00E64E20" w:rsidRPr="00F01655" w:rsidRDefault="00E64E20">
            <w:pPr>
              <w:ind w:firstLineChars="100" w:firstLine="190"/>
              <w:rPr>
                <w:color w:val="000000"/>
                <w:sz w:val="19"/>
                <w:szCs w:val="19"/>
              </w:rPr>
            </w:pPr>
            <w:r w:rsidRPr="00F01655">
              <w:rPr>
                <w:color w:val="000000"/>
                <w:sz w:val="19"/>
                <w:szCs w:val="19"/>
              </w:rPr>
              <w:t>Business-Related</w:t>
            </w:r>
          </w:p>
        </w:tc>
        <w:tc>
          <w:tcPr>
            <w:tcW w:w="748" w:type="dxa"/>
            <w:tcBorders>
              <w:top w:val="nil"/>
              <w:left w:val="nil"/>
              <w:bottom w:val="nil"/>
              <w:right w:val="single" w:sz="4" w:space="0" w:color="auto"/>
            </w:tcBorders>
            <w:shd w:val="clear" w:color="000000" w:fill="FFFFFF"/>
            <w:noWrap/>
            <w:vAlign w:val="center"/>
            <w:hideMark/>
          </w:tcPr>
          <w:p w14:paraId="371352F6" w14:textId="77777777" w:rsidR="00E64E20" w:rsidRPr="00F01655" w:rsidRDefault="00E64E20">
            <w:pPr>
              <w:jc w:val="right"/>
              <w:rPr>
                <w:rFonts w:ascii="Times" w:hAnsi="Times" w:cs="Calibri"/>
                <w:color w:val="000000"/>
                <w:sz w:val="19"/>
                <w:szCs w:val="19"/>
              </w:rPr>
            </w:pPr>
            <w:r w:rsidRPr="00F01655">
              <w:rPr>
                <w:rFonts w:ascii="Times" w:hAnsi="Times" w:cs="Calibri"/>
                <w:color w:val="000000"/>
                <w:sz w:val="19"/>
                <w:szCs w:val="19"/>
              </w:rPr>
              <w:t>762</w:t>
            </w:r>
          </w:p>
        </w:tc>
        <w:tc>
          <w:tcPr>
            <w:tcW w:w="990" w:type="dxa"/>
            <w:tcBorders>
              <w:top w:val="nil"/>
              <w:left w:val="nil"/>
              <w:bottom w:val="nil"/>
              <w:right w:val="double" w:sz="4" w:space="0" w:color="auto"/>
            </w:tcBorders>
            <w:shd w:val="clear" w:color="000000" w:fill="FFFFFF"/>
            <w:noWrap/>
            <w:vAlign w:val="center"/>
            <w:hideMark/>
          </w:tcPr>
          <w:p w14:paraId="7B628912" w14:textId="77777777" w:rsidR="00E64E20" w:rsidRPr="00F01655" w:rsidRDefault="00E64E20">
            <w:pPr>
              <w:jc w:val="right"/>
              <w:rPr>
                <w:color w:val="000000"/>
                <w:sz w:val="19"/>
                <w:szCs w:val="19"/>
              </w:rPr>
            </w:pPr>
            <w:r w:rsidRPr="00F01655">
              <w:rPr>
                <w:color w:val="000000"/>
                <w:sz w:val="19"/>
                <w:szCs w:val="19"/>
              </w:rPr>
              <w:t>61.5%</w:t>
            </w:r>
          </w:p>
        </w:tc>
        <w:tc>
          <w:tcPr>
            <w:tcW w:w="2492" w:type="dxa"/>
            <w:tcBorders>
              <w:top w:val="nil"/>
              <w:left w:val="double" w:sz="4" w:space="0" w:color="auto"/>
              <w:bottom w:val="nil"/>
              <w:right w:val="single" w:sz="8" w:space="0" w:color="auto"/>
            </w:tcBorders>
            <w:shd w:val="clear" w:color="000000" w:fill="FFFFFF"/>
            <w:vAlign w:val="center"/>
            <w:hideMark/>
          </w:tcPr>
          <w:p w14:paraId="0E31725A" w14:textId="77777777" w:rsidR="00E64E20" w:rsidRPr="00F01655" w:rsidRDefault="00E64E20">
            <w:pPr>
              <w:ind w:firstLineChars="100" w:firstLine="190"/>
              <w:rPr>
                <w:color w:val="000000"/>
                <w:sz w:val="19"/>
                <w:szCs w:val="19"/>
              </w:rPr>
            </w:pPr>
            <w:r w:rsidRPr="00F01655">
              <w:rPr>
                <w:color w:val="000000"/>
                <w:sz w:val="19"/>
                <w:szCs w:val="19"/>
              </w:rPr>
              <w:t>Rent</w:t>
            </w:r>
          </w:p>
        </w:tc>
        <w:tc>
          <w:tcPr>
            <w:tcW w:w="900" w:type="dxa"/>
            <w:tcBorders>
              <w:top w:val="nil"/>
              <w:left w:val="nil"/>
              <w:bottom w:val="nil"/>
              <w:right w:val="single" w:sz="4" w:space="0" w:color="auto"/>
            </w:tcBorders>
            <w:shd w:val="clear" w:color="000000" w:fill="FFFFFF"/>
            <w:noWrap/>
            <w:vAlign w:val="center"/>
            <w:hideMark/>
          </w:tcPr>
          <w:p w14:paraId="19FC8F16" w14:textId="77777777" w:rsidR="00E64E20" w:rsidRPr="00F01655" w:rsidRDefault="00E64E20">
            <w:pPr>
              <w:jc w:val="right"/>
              <w:rPr>
                <w:color w:val="000000"/>
                <w:sz w:val="19"/>
                <w:szCs w:val="19"/>
              </w:rPr>
            </w:pPr>
            <w:r w:rsidRPr="00F01655">
              <w:rPr>
                <w:color w:val="000000"/>
                <w:sz w:val="19"/>
                <w:szCs w:val="19"/>
              </w:rPr>
              <w:t>352</w:t>
            </w:r>
          </w:p>
        </w:tc>
        <w:tc>
          <w:tcPr>
            <w:tcW w:w="1080" w:type="dxa"/>
            <w:tcBorders>
              <w:top w:val="nil"/>
              <w:left w:val="nil"/>
              <w:bottom w:val="nil"/>
              <w:right w:val="double" w:sz="4" w:space="0" w:color="auto"/>
            </w:tcBorders>
            <w:shd w:val="clear" w:color="000000" w:fill="FFFFFF"/>
            <w:noWrap/>
            <w:vAlign w:val="center"/>
            <w:hideMark/>
          </w:tcPr>
          <w:p w14:paraId="0909EECD" w14:textId="77777777" w:rsidR="00E64E20" w:rsidRPr="00F01655" w:rsidRDefault="00E64E20">
            <w:pPr>
              <w:jc w:val="right"/>
              <w:rPr>
                <w:color w:val="000000"/>
                <w:sz w:val="19"/>
                <w:szCs w:val="19"/>
              </w:rPr>
            </w:pPr>
            <w:r w:rsidRPr="00F01655">
              <w:rPr>
                <w:color w:val="000000"/>
                <w:sz w:val="19"/>
                <w:szCs w:val="19"/>
              </w:rPr>
              <w:t>28.4%</w:t>
            </w:r>
          </w:p>
        </w:tc>
      </w:tr>
      <w:tr w:rsidR="003D4A3F" w:rsidRPr="00F01655" w14:paraId="0CC97627"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6AB44073" w14:textId="77777777" w:rsidR="00E64E20" w:rsidRPr="00F01655" w:rsidRDefault="00E64E20">
            <w:pPr>
              <w:ind w:firstLineChars="100" w:firstLine="190"/>
              <w:rPr>
                <w:color w:val="000000"/>
                <w:sz w:val="19"/>
                <w:szCs w:val="19"/>
              </w:rPr>
            </w:pPr>
            <w:r w:rsidRPr="00F01655">
              <w:rPr>
                <w:color w:val="000000"/>
                <w:sz w:val="19"/>
                <w:szCs w:val="19"/>
              </w:rPr>
              <w:t>Some College</w:t>
            </w:r>
          </w:p>
        </w:tc>
        <w:tc>
          <w:tcPr>
            <w:tcW w:w="810" w:type="dxa"/>
            <w:tcBorders>
              <w:top w:val="nil"/>
              <w:left w:val="nil"/>
              <w:bottom w:val="nil"/>
              <w:right w:val="single" w:sz="4" w:space="0" w:color="auto"/>
            </w:tcBorders>
            <w:shd w:val="clear" w:color="000000" w:fill="FFFFFF"/>
            <w:noWrap/>
            <w:vAlign w:val="center"/>
            <w:hideMark/>
          </w:tcPr>
          <w:p w14:paraId="20195E03" w14:textId="77777777" w:rsidR="00E64E20" w:rsidRPr="00F01655" w:rsidRDefault="00E64E20">
            <w:pPr>
              <w:jc w:val="right"/>
              <w:rPr>
                <w:color w:val="000000"/>
                <w:sz w:val="19"/>
                <w:szCs w:val="19"/>
              </w:rPr>
            </w:pPr>
            <w:r w:rsidRPr="00F01655">
              <w:rPr>
                <w:color w:val="000000"/>
                <w:sz w:val="19"/>
                <w:szCs w:val="19"/>
              </w:rPr>
              <w:t>232</w:t>
            </w:r>
          </w:p>
        </w:tc>
        <w:tc>
          <w:tcPr>
            <w:tcW w:w="1000" w:type="dxa"/>
            <w:tcBorders>
              <w:top w:val="nil"/>
              <w:left w:val="nil"/>
              <w:bottom w:val="nil"/>
              <w:right w:val="double" w:sz="4" w:space="0" w:color="auto"/>
            </w:tcBorders>
            <w:shd w:val="clear" w:color="000000" w:fill="FFFFFF"/>
            <w:noWrap/>
            <w:vAlign w:val="center"/>
            <w:hideMark/>
          </w:tcPr>
          <w:p w14:paraId="08385197" w14:textId="77777777" w:rsidR="00E64E20" w:rsidRPr="00F01655" w:rsidRDefault="00E64E20">
            <w:pPr>
              <w:jc w:val="right"/>
              <w:rPr>
                <w:color w:val="000000"/>
                <w:sz w:val="19"/>
                <w:szCs w:val="19"/>
              </w:rPr>
            </w:pPr>
            <w:r w:rsidRPr="00F01655">
              <w:rPr>
                <w:color w:val="000000"/>
                <w:sz w:val="19"/>
                <w:szCs w:val="19"/>
              </w:rPr>
              <w:t>18.7%</w:t>
            </w:r>
          </w:p>
        </w:tc>
        <w:tc>
          <w:tcPr>
            <w:tcW w:w="2690" w:type="dxa"/>
            <w:tcBorders>
              <w:top w:val="nil"/>
              <w:left w:val="double" w:sz="4" w:space="0" w:color="auto"/>
              <w:bottom w:val="nil"/>
              <w:right w:val="single" w:sz="8" w:space="0" w:color="auto"/>
            </w:tcBorders>
            <w:shd w:val="clear" w:color="000000" w:fill="FFFFFF"/>
            <w:vAlign w:val="center"/>
            <w:hideMark/>
          </w:tcPr>
          <w:p w14:paraId="739EBFAE" w14:textId="77777777" w:rsidR="00E64E20" w:rsidRPr="00F01655" w:rsidRDefault="00E64E20">
            <w:pPr>
              <w:ind w:firstLineChars="100" w:firstLine="190"/>
              <w:rPr>
                <w:color w:val="000000"/>
                <w:sz w:val="19"/>
                <w:szCs w:val="19"/>
              </w:rPr>
            </w:pPr>
            <w:r w:rsidRPr="00F01655">
              <w:rPr>
                <w:color w:val="000000"/>
                <w:sz w:val="19"/>
                <w:szCs w:val="19"/>
              </w:rPr>
              <w:t>Education</w:t>
            </w:r>
          </w:p>
        </w:tc>
        <w:tc>
          <w:tcPr>
            <w:tcW w:w="748" w:type="dxa"/>
            <w:tcBorders>
              <w:top w:val="nil"/>
              <w:left w:val="nil"/>
              <w:bottom w:val="nil"/>
              <w:right w:val="single" w:sz="4" w:space="0" w:color="auto"/>
            </w:tcBorders>
            <w:shd w:val="clear" w:color="000000" w:fill="FFFFFF"/>
            <w:noWrap/>
            <w:vAlign w:val="center"/>
            <w:hideMark/>
          </w:tcPr>
          <w:p w14:paraId="2C2C6E66" w14:textId="77777777" w:rsidR="00E64E20" w:rsidRPr="00F01655" w:rsidRDefault="00E64E20">
            <w:pPr>
              <w:jc w:val="right"/>
              <w:rPr>
                <w:rFonts w:ascii="Times" w:hAnsi="Times" w:cs="Calibri"/>
                <w:color w:val="000000"/>
                <w:sz w:val="19"/>
                <w:szCs w:val="19"/>
              </w:rPr>
            </w:pPr>
            <w:r w:rsidRPr="00F01655">
              <w:rPr>
                <w:rFonts w:ascii="Times" w:hAnsi="Times" w:cs="Calibri"/>
                <w:color w:val="000000"/>
                <w:sz w:val="19"/>
                <w:szCs w:val="19"/>
              </w:rPr>
              <w:t>57</w:t>
            </w:r>
          </w:p>
        </w:tc>
        <w:tc>
          <w:tcPr>
            <w:tcW w:w="990" w:type="dxa"/>
            <w:tcBorders>
              <w:top w:val="nil"/>
              <w:left w:val="nil"/>
              <w:bottom w:val="nil"/>
              <w:right w:val="double" w:sz="4" w:space="0" w:color="auto"/>
            </w:tcBorders>
            <w:shd w:val="clear" w:color="000000" w:fill="FFFFFF"/>
            <w:noWrap/>
            <w:vAlign w:val="center"/>
            <w:hideMark/>
          </w:tcPr>
          <w:p w14:paraId="3F940005" w14:textId="77777777" w:rsidR="00E64E20" w:rsidRPr="00F01655" w:rsidRDefault="00E64E20">
            <w:pPr>
              <w:jc w:val="right"/>
              <w:rPr>
                <w:color w:val="000000"/>
                <w:sz w:val="19"/>
                <w:szCs w:val="19"/>
              </w:rPr>
            </w:pPr>
            <w:r w:rsidRPr="00F01655">
              <w:rPr>
                <w:color w:val="000000"/>
                <w:sz w:val="19"/>
                <w:szCs w:val="19"/>
              </w:rPr>
              <w:t>4.6%</w:t>
            </w:r>
          </w:p>
        </w:tc>
        <w:tc>
          <w:tcPr>
            <w:tcW w:w="2492" w:type="dxa"/>
            <w:tcBorders>
              <w:top w:val="nil"/>
              <w:left w:val="double" w:sz="4" w:space="0" w:color="auto"/>
              <w:bottom w:val="nil"/>
              <w:right w:val="single" w:sz="8" w:space="0" w:color="auto"/>
            </w:tcBorders>
            <w:shd w:val="clear" w:color="000000" w:fill="FFFFFF"/>
            <w:vAlign w:val="center"/>
            <w:hideMark/>
          </w:tcPr>
          <w:p w14:paraId="2BD185CD" w14:textId="77777777" w:rsidR="00E64E20" w:rsidRPr="00F01655" w:rsidRDefault="00E64E20">
            <w:pPr>
              <w:ind w:firstLineChars="100" w:firstLine="190"/>
              <w:rPr>
                <w:color w:val="000000"/>
                <w:sz w:val="19"/>
                <w:szCs w:val="19"/>
              </w:rPr>
            </w:pPr>
            <w:r w:rsidRPr="00F01655">
              <w:rPr>
                <w:color w:val="000000"/>
                <w:sz w:val="19"/>
                <w:szCs w:val="19"/>
              </w:rPr>
              <w:t>Own</w:t>
            </w:r>
          </w:p>
        </w:tc>
        <w:tc>
          <w:tcPr>
            <w:tcW w:w="900" w:type="dxa"/>
            <w:tcBorders>
              <w:top w:val="nil"/>
              <w:left w:val="nil"/>
              <w:bottom w:val="nil"/>
              <w:right w:val="single" w:sz="4" w:space="0" w:color="auto"/>
            </w:tcBorders>
            <w:shd w:val="clear" w:color="000000" w:fill="FFFFFF"/>
            <w:noWrap/>
            <w:vAlign w:val="center"/>
            <w:hideMark/>
          </w:tcPr>
          <w:p w14:paraId="2006D5FA" w14:textId="77777777" w:rsidR="00E64E20" w:rsidRPr="00F01655" w:rsidRDefault="00E64E20">
            <w:pPr>
              <w:jc w:val="right"/>
              <w:rPr>
                <w:color w:val="000000"/>
                <w:sz w:val="19"/>
                <w:szCs w:val="19"/>
              </w:rPr>
            </w:pPr>
            <w:r w:rsidRPr="00F01655">
              <w:rPr>
                <w:color w:val="000000"/>
                <w:sz w:val="19"/>
                <w:szCs w:val="19"/>
              </w:rPr>
              <w:t>887</w:t>
            </w:r>
          </w:p>
        </w:tc>
        <w:tc>
          <w:tcPr>
            <w:tcW w:w="1080" w:type="dxa"/>
            <w:tcBorders>
              <w:top w:val="nil"/>
              <w:left w:val="nil"/>
              <w:bottom w:val="nil"/>
              <w:right w:val="double" w:sz="4" w:space="0" w:color="auto"/>
            </w:tcBorders>
            <w:shd w:val="clear" w:color="000000" w:fill="FFFFFF"/>
            <w:noWrap/>
            <w:vAlign w:val="center"/>
            <w:hideMark/>
          </w:tcPr>
          <w:p w14:paraId="414B9CC1" w14:textId="77777777" w:rsidR="00E64E20" w:rsidRPr="00F01655" w:rsidRDefault="00E64E20">
            <w:pPr>
              <w:jc w:val="right"/>
              <w:rPr>
                <w:color w:val="000000"/>
                <w:sz w:val="19"/>
                <w:szCs w:val="19"/>
              </w:rPr>
            </w:pPr>
            <w:r w:rsidRPr="00F01655">
              <w:rPr>
                <w:color w:val="000000"/>
                <w:sz w:val="19"/>
                <w:szCs w:val="19"/>
              </w:rPr>
              <w:t>71.6%</w:t>
            </w:r>
          </w:p>
        </w:tc>
      </w:tr>
      <w:tr w:rsidR="003D4A3F" w:rsidRPr="00F01655" w14:paraId="25806280"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27C66812" w14:textId="77777777" w:rsidR="00E64E20" w:rsidRPr="00F01655" w:rsidRDefault="00E64E20">
            <w:pPr>
              <w:ind w:firstLineChars="100" w:firstLine="190"/>
              <w:rPr>
                <w:color w:val="000000"/>
                <w:sz w:val="19"/>
                <w:szCs w:val="19"/>
              </w:rPr>
            </w:pPr>
            <w:r w:rsidRPr="00F01655">
              <w:rPr>
                <w:color w:val="000000"/>
                <w:sz w:val="19"/>
                <w:szCs w:val="19"/>
              </w:rPr>
              <w:t>Bachelor's Degree</w:t>
            </w:r>
          </w:p>
        </w:tc>
        <w:tc>
          <w:tcPr>
            <w:tcW w:w="810" w:type="dxa"/>
            <w:tcBorders>
              <w:top w:val="nil"/>
              <w:left w:val="nil"/>
              <w:bottom w:val="nil"/>
              <w:right w:val="single" w:sz="4" w:space="0" w:color="auto"/>
            </w:tcBorders>
            <w:shd w:val="clear" w:color="000000" w:fill="FFFFFF"/>
            <w:noWrap/>
            <w:vAlign w:val="center"/>
            <w:hideMark/>
          </w:tcPr>
          <w:p w14:paraId="01935355" w14:textId="77777777" w:rsidR="00E64E20" w:rsidRPr="00F01655" w:rsidRDefault="00E64E20">
            <w:pPr>
              <w:jc w:val="right"/>
              <w:rPr>
                <w:color w:val="000000"/>
                <w:sz w:val="19"/>
                <w:szCs w:val="19"/>
              </w:rPr>
            </w:pPr>
            <w:r w:rsidRPr="00F01655">
              <w:rPr>
                <w:color w:val="000000"/>
                <w:sz w:val="19"/>
                <w:szCs w:val="19"/>
              </w:rPr>
              <w:t>486</w:t>
            </w:r>
          </w:p>
        </w:tc>
        <w:tc>
          <w:tcPr>
            <w:tcW w:w="1000" w:type="dxa"/>
            <w:tcBorders>
              <w:top w:val="nil"/>
              <w:left w:val="nil"/>
              <w:bottom w:val="nil"/>
              <w:right w:val="double" w:sz="4" w:space="0" w:color="auto"/>
            </w:tcBorders>
            <w:shd w:val="clear" w:color="000000" w:fill="FFFFFF"/>
            <w:noWrap/>
            <w:vAlign w:val="center"/>
            <w:hideMark/>
          </w:tcPr>
          <w:p w14:paraId="0BF0A0B9" w14:textId="77777777" w:rsidR="00E64E20" w:rsidRPr="00F01655" w:rsidRDefault="00E64E20">
            <w:pPr>
              <w:jc w:val="right"/>
              <w:rPr>
                <w:color w:val="000000"/>
                <w:sz w:val="19"/>
                <w:szCs w:val="19"/>
              </w:rPr>
            </w:pPr>
            <w:r w:rsidRPr="00F01655">
              <w:rPr>
                <w:color w:val="000000"/>
                <w:sz w:val="19"/>
                <w:szCs w:val="19"/>
              </w:rPr>
              <w:t>39.2%</w:t>
            </w:r>
          </w:p>
        </w:tc>
        <w:tc>
          <w:tcPr>
            <w:tcW w:w="2690" w:type="dxa"/>
            <w:tcBorders>
              <w:top w:val="nil"/>
              <w:left w:val="double" w:sz="4" w:space="0" w:color="auto"/>
              <w:bottom w:val="nil"/>
              <w:right w:val="single" w:sz="8" w:space="0" w:color="auto"/>
            </w:tcBorders>
            <w:shd w:val="clear" w:color="000000" w:fill="FFFFFF"/>
            <w:noWrap/>
            <w:vAlign w:val="center"/>
            <w:hideMark/>
          </w:tcPr>
          <w:p w14:paraId="29529F91" w14:textId="77777777" w:rsidR="00E64E20" w:rsidRPr="00F01655" w:rsidRDefault="00E64E20">
            <w:pPr>
              <w:ind w:firstLineChars="100" w:firstLine="190"/>
              <w:rPr>
                <w:color w:val="000000"/>
                <w:sz w:val="19"/>
                <w:szCs w:val="19"/>
              </w:rPr>
            </w:pPr>
            <w:r w:rsidRPr="00F01655">
              <w:rPr>
                <w:color w:val="000000"/>
                <w:sz w:val="19"/>
                <w:szCs w:val="19"/>
              </w:rPr>
              <w:t>Manufacturing/Construction</w:t>
            </w:r>
          </w:p>
        </w:tc>
        <w:tc>
          <w:tcPr>
            <w:tcW w:w="748" w:type="dxa"/>
            <w:tcBorders>
              <w:top w:val="nil"/>
              <w:left w:val="nil"/>
              <w:bottom w:val="nil"/>
              <w:right w:val="single" w:sz="4" w:space="0" w:color="auto"/>
            </w:tcBorders>
            <w:shd w:val="clear" w:color="000000" w:fill="FFFFFF"/>
            <w:noWrap/>
            <w:vAlign w:val="center"/>
            <w:hideMark/>
          </w:tcPr>
          <w:p w14:paraId="61C05228" w14:textId="77777777" w:rsidR="00E64E20" w:rsidRPr="00F01655" w:rsidRDefault="00E64E20">
            <w:pPr>
              <w:jc w:val="right"/>
              <w:rPr>
                <w:rFonts w:ascii="Times" w:hAnsi="Times" w:cs="Calibri"/>
                <w:color w:val="000000"/>
                <w:sz w:val="19"/>
                <w:szCs w:val="19"/>
              </w:rPr>
            </w:pPr>
            <w:r w:rsidRPr="00F01655">
              <w:rPr>
                <w:rFonts w:ascii="Times" w:hAnsi="Times" w:cs="Calibri"/>
                <w:color w:val="000000"/>
                <w:sz w:val="19"/>
                <w:szCs w:val="19"/>
              </w:rPr>
              <w:t>28</w:t>
            </w:r>
          </w:p>
        </w:tc>
        <w:tc>
          <w:tcPr>
            <w:tcW w:w="990" w:type="dxa"/>
            <w:tcBorders>
              <w:top w:val="nil"/>
              <w:left w:val="nil"/>
              <w:bottom w:val="nil"/>
              <w:right w:val="double" w:sz="4" w:space="0" w:color="auto"/>
            </w:tcBorders>
            <w:shd w:val="clear" w:color="000000" w:fill="FFFFFF"/>
            <w:noWrap/>
            <w:vAlign w:val="center"/>
            <w:hideMark/>
          </w:tcPr>
          <w:p w14:paraId="2A1CADE0" w14:textId="77777777" w:rsidR="00E64E20" w:rsidRPr="00F01655" w:rsidRDefault="00E64E20">
            <w:pPr>
              <w:jc w:val="right"/>
              <w:rPr>
                <w:color w:val="000000"/>
                <w:sz w:val="19"/>
                <w:szCs w:val="19"/>
              </w:rPr>
            </w:pPr>
            <w:r w:rsidRPr="00F01655">
              <w:rPr>
                <w:color w:val="000000"/>
                <w:sz w:val="19"/>
                <w:szCs w:val="19"/>
              </w:rPr>
              <w:t>2.3%</w:t>
            </w:r>
          </w:p>
        </w:tc>
        <w:tc>
          <w:tcPr>
            <w:tcW w:w="2492" w:type="dxa"/>
            <w:tcBorders>
              <w:top w:val="nil"/>
              <w:left w:val="double" w:sz="4" w:space="0" w:color="auto"/>
              <w:bottom w:val="nil"/>
              <w:right w:val="single" w:sz="8" w:space="0" w:color="auto"/>
            </w:tcBorders>
            <w:shd w:val="clear" w:color="000000" w:fill="FFFFFF"/>
            <w:vAlign w:val="center"/>
            <w:hideMark/>
          </w:tcPr>
          <w:p w14:paraId="2947245F" w14:textId="77777777" w:rsidR="00E64E20" w:rsidRPr="00F01655" w:rsidRDefault="00E64E20">
            <w:pPr>
              <w:rPr>
                <w:b/>
                <w:bCs/>
                <w:color w:val="000000"/>
                <w:sz w:val="19"/>
                <w:szCs w:val="19"/>
              </w:rPr>
            </w:pPr>
            <w:r w:rsidRPr="00F01655">
              <w:rPr>
                <w:b/>
                <w:bCs/>
                <w:color w:val="000000"/>
                <w:sz w:val="19"/>
                <w:szCs w:val="19"/>
              </w:rPr>
              <w:t>Residential Type</w:t>
            </w:r>
          </w:p>
        </w:tc>
        <w:tc>
          <w:tcPr>
            <w:tcW w:w="900" w:type="dxa"/>
            <w:tcBorders>
              <w:top w:val="nil"/>
              <w:left w:val="nil"/>
              <w:bottom w:val="nil"/>
              <w:right w:val="single" w:sz="4" w:space="0" w:color="auto"/>
            </w:tcBorders>
            <w:shd w:val="clear" w:color="000000" w:fill="FFFFFF"/>
            <w:noWrap/>
            <w:vAlign w:val="center"/>
            <w:hideMark/>
          </w:tcPr>
          <w:p w14:paraId="294B1A9E" w14:textId="77777777" w:rsidR="00E64E20" w:rsidRPr="00F01655" w:rsidRDefault="00E64E20">
            <w:pPr>
              <w:jc w:val="right"/>
              <w:rPr>
                <w:color w:val="000000"/>
                <w:sz w:val="19"/>
                <w:szCs w:val="19"/>
              </w:rPr>
            </w:pPr>
            <w:r w:rsidRPr="00F01655">
              <w:rPr>
                <w:color w:val="000000"/>
                <w:sz w:val="19"/>
                <w:szCs w:val="19"/>
              </w:rPr>
              <w:t> </w:t>
            </w:r>
          </w:p>
        </w:tc>
        <w:tc>
          <w:tcPr>
            <w:tcW w:w="1080" w:type="dxa"/>
            <w:tcBorders>
              <w:top w:val="nil"/>
              <w:left w:val="nil"/>
              <w:bottom w:val="nil"/>
              <w:right w:val="double" w:sz="4" w:space="0" w:color="auto"/>
            </w:tcBorders>
            <w:shd w:val="clear" w:color="000000" w:fill="FFFFFF"/>
            <w:noWrap/>
            <w:vAlign w:val="center"/>
            <w:hideMark/>
          </w:tcPr>
          <w:p w14:paraId="4148EB87" w14:textId="77777777" w:rsidR="00E64E20" w:rsidRPr="00F01655" w:rsidRDefault="00E64E20">
            <w:pPr>
              <w:jc w:val="right"/>
              <w:rPr>
                <w:color w:val="000000"/>
                <w:sz w:val="19"/>
                <w:szCs w:val="19"/>
              </w:rPr>
            </w:pPr>
            <w:r w:rsidRPr="00F01655">
              <w:rPr>
                <w:color w:val="000000"/>
                <w:sz w:val="19"/>
                <w:szCs w:val="19"/>
              </w:rPr>
              <w:t> </w:t>
            </w:r>
          </w:p>
        </w:tc>
      </w:tr>
      <w:tr w:rsidR="003D4A3F" w:rsidRPr="00F01655" w14:paraId="738C6933" w14:textId="77777777" w:rsidTr="00313DF3">
        <w:trPr>
          <w:trHeight w:val="105"/>
        </w:trPr>
        <w:tc>
          <w:tcPr>
            <w:tcW w:w="2317" w:type="dxa"/>
            <w:tcBorders>
              <w:top w:val="nil"/>
              <w:left w:val="double" w:sz="4" w:space="0" w:color="auto"/>
              <w:bottom w:val="double" w:sz="4" w:space="0" w:color="auto"/>
              <w:right w:val="single" w:sz="8" w:space="0" w:color="auto"/>
            </w:tcBorders>
            <w:shd w:val="clear" w:color="000000" w:fill="FFFFFF"/>
            <w:vAlign w:val="center"/>
            <w:hideMark/>
          </w:tcPr>
          <w:p w14:paraId="494F94C7" w14:textId="77777777" w:rsidR="00E64E20" w:rsidRPr="00F01655" w:rsidRDefault="00E64E20">
            <w:pPr>
              <w:ind w:firstLineChars="100" w:firstLine="190"/>
              <w:rPr>
                <w:color w:val="000000"/>
                <w:sz w:val="19"/>
                <w:szCs w:val="19"/>
              </w:rPr>
            </w:pPr>
            <w:r w:rsidRPr="00F01655">
              <w:rPr>
                <w:color w:val="000000"/>
                <w:sz w:val="19"/>
                <w:szCs w:val="19"/>
              </w:rPr>
              <w:t>Graduate Degree</w:t>
            </w:r>
          </w:p>
        </w:tc>
        <w:tc>
          <w:tcPr>
            <w:tcW w:w="810" w:type="dxa"/>
            <w:tcBorders>
              <w:top w:val="nil"/>
              <w:left w:val="nil"/>
              <w:bottom w:val="double" w:sz="4" w:space="0" w:color="auto"/>
              <w:right w:val="single" w:sz="4" w:space="0" w:color="auto"/>
            </w:tcBorders>
            <w:shd w:val="clear" w:color="000000" w:fill="FFFFFF"/>
            <w:noWrap/>
            <w:vAlign w:val="center"/>
            <w:hideMark/>
          </w:tcPr>
          <w:p w14:paraId="0D0B6CB0" w14:textId="77777777" w:rsidR="00E64E20" w:rsidRPr="00F01655" w:rsidRDefault="00E64E20">
            <w:pPr>
              <w:jc w:val="right"/>
              <w:rPr>
                <w:color w:val="000000"/>
                <w:sz w:val="19"/>
                <w:szCs w:val="19"/>
              </w:rPr>
            </w:pPr>
            <w:r w:rsidRPr="00F01655">
              <w:rPr>
                <w:color w:val="000000"/>
                <w:sz w:val="19"/>
                <w:szCs w:val="19"/>
              </w:rPr>
              <w:t>452</w:t>
            </w:r>
          </w:p>
        </w:tc>
        <w:tc>
          <w:tcPr>
            <w:tcW w:w="1000" w:type="dxa"/>
            <w:tcBorders>
              <w:top w:val="nil"/>
              <w:left w:val="nil"/>
              <w:bottom w:val="double" w:sz="4" w:space="0" w:color="auto"/>
              <w:right w:val="double" w:sz="4" w:space="0" w:color="auto"/>
            </w:tcBorders>
            <w:shd w:val="clear" w:color="000000" w:fill="FFFFFF"/>
            <w:noWrap/>
            <w:vAlign w:val="center"/>
            <w:hideMark/>
          </w:tcPr>
          <w:p w14:paraId="0A555FFA" w14:textId="77777777" w:rsidR="00E64E20" w:rsidRPr="00F01655" w:rsidRDefault="00E64E20">
            <w:pPr>
              <w:jc w:val="right"/>
              <w:rPr>
                <w:color w:val="000000"/>
                <w:sz w:val="19"/>
                <w:szCs w:val="19"/>
              </w:rPr>
            </w:pPr>
            <w:r w:rsidRPr="00F01655">
              <w:rPr>
                <w:color w:val="000000"/>
                <w:sz w:val="19"/>
                <w:szCs w:val="19"/>
              </w:rPr>
              <w:t>36.5%</w:t>
            </w:r>
          </w:p>
        </w:tc>
        <w:tc>
          <w:tcPr>
            <w:tcW w:w="2690" w:type="dxa"/>
            <w:tcBorders>
              <w:top w:val="nil"/>
              <w:left w:val="double" w:sz="4" w:space="0" w:color="auto"/>
              <w:bottom w:val="nil"/>
              <w:right w:val="single" w:sz="8" w:space="0" w:color="auto"/>
            </w:tcBorders>
            <w:shd w:val="clear" w:color="000000" w:fill="FFFFFF"/>
            <w:vAlign w:val="center"/>
            <w:hideMark/>
          </w:tcPr>
          <w:p w14:paraId="084FAA9A" w14:textId="77777777" w:rsidR="00E64E20" w:rsidRPr="00F01655" w:rsidRDefault="00E64E20">
            <w:pPr>
              <w:ind w:firstLineChars="100" w:firstLine="190"/>
              <w:rPr>
                <w:color w:val="000000"/>
                <w:sz w:val="19"/>
                <w:szCs w:val="19"/>
              </w:rPr>
            </w:pPr>
            <w:r w:rsidRPr="00F01655">
              <w:rPr>
                <w:color w:val="000000"/>
                <w:sz w:val="19"/>
                <w:szCs w:val="19"/>
              </w:rPr>
              <w:t>Medical</w:t>
            </w:r>
          </w:p>
        </w:tc>
        <w:tc>
          <w:tcPr>
            <w:tcW w:w="748" w:type="dxa"/>
            <w:tcBorders>
              <w:top w:val="nil"/>
              <w:left w:val="nil"/>
              <w:bottom w:val="nil"/>
              <w:right w:val="single" w:sz="4" w:space="0" w:color="auto"/>
            </w:tcBorders>
            <w:shd w:val="clear" w:color="000000" w:fill="FFFFFF"/>
            <w:noWrap/>
            <w:vAlign w:val="center"/>
            <w:hideMark/>
          </w:tcPr>
          <w:p w14:paraId="735092EF" w14:textId="77777777" w:rsidR="00E64E20" w:rsidRPr="00F01655" w:rsidRDefault="00E64E20">
            <w:pPr>
              <w:jc w:val="right"/>
              <w:rPr>
                <w:rFonts w:ascii="Times" w:hAnsi="Times" w:cs="Calibri"/>
                <w:color w:val="000000"/>
                <w:sz w:val="19"/>
                <w:szCs w:val="19"/>
              </w:rPr>
            </w:pPr>
            <w:r w:rsidRPr="00F01655">
              <w:rPr>
                <w:rFonts w:ascii="Times" w:hAnsi="Times" w:cs="Calibri"/>
                <w:color w:val="000000"/>
                <w:sz w:val="19"/>
                <w:szCs w:val="19"/>
              </w:rPr>
              <w:t>141</w:t>
            </w:r>
          </w:p>
        </w:tc>
        <w:tc>
          <w:tcPr>
            <w:tcW w:w="990" w:type="dxa"/>
            <w:tcBorders>
              <w:top w:val="nil"/>
              <w:left w:val="nil"/>
              <w:bottom w:val="nil"/>
              <w:right w:val="double" w:sz="4" w:space="0" w:color="auto"/>
            </w:tcBorders>
            <w:shd w:val="clear" w:color="000000" w:fill="FFFFFF"/>
            <w:noWrap/>
            <w:vAlign w:val="center"/>
            <w:hideMark/>
          </w:tcPr>
          <w:p w14:paraId="7521D57B" w14:textId="77777777" w:rsidR="00E64E20" w:rsidRPr="00F01655" w:rsidRDefault="00E64E20">
            <w:pPr>
              <w:jc w:val="right"/>
              <w:rPr>
                <w:color w:val="000000"/>
                <w:sz w:val="19"/>
                <w:szCs w:val="19"/>
              </w:rPr>
            </w:pPr>
            <w:r w:rsidRPr="00F01655">
              <w:rPr>
                <w:color w:val="000000"/>
                <w:sz w:val="19"/>
                <w:szCs w:val="19"/>
              </w:rPr>
              <w:t>11.4%</w:t>
            </w:r>
          </w:p>
        </w:tc>
        <w:tc>
          <w:tcPr>
            <w:tcW w:w="2492" w:type="dxa"/>
            <w:vMerge w:val="restart"/>
            <w:tcBorders>
              <w:top w:val="nil"/>
              <w:left w:val="double" w:sz="4" w:space="0" w:color="auto"/>
              <w:bottom w:val="nil"/>
              <w:right w:val="single" w:sz="8" w:space="0" w:color="auto"/>
            </w:tcBorders>
            <w:shd w:val="clear" w:color="000000" w:fill="FFFFFF"/>
            <w:vAlign w:val="center"/>
            <w:hideMark/>
          </w:tcPr>
          <w:p w14:paraId="614F6D63" w14:textId="77777777" w:rsidR="003D4A3F" w:rsidRPr="00F01655" w:rsidRDefault="00E64E20">
            <w:pPr>
              <w:ind w:firstLineChars="100" w:firstLine="190"/>
              <w:rPr>
                <w:color w:val="000000"/>
                <w:sz w:val="19"/>
                <w:szCs w:val="19"/>
              </w:rPr>
            </w:pPr>
            <w:r w:rsidRPr="00F01655">
              <w:rPr>
                <w:color w:val="000000"/>
                <w:sz w:val="19"/>
                <w:szCs w:val="19"/>
              </w:rPr>
              <w:t xml:space="preserve">Non-Standalone </w:t>
            </w:r>
          </w:p>
          <w:p w14:paraId="2E07B6DC" w14:textId="02B7D412" w:rsidR="00E64E20" w:rsidRPr="00F01655" w:rsidRDefault="00E64E20">
            <w:pPr>
              <w:ind w:firstLineChars="100" w:firstLine="190"/>
              <w:rPr>
                <w:color w:val="000000"/>
                <w:sz w:val="19"/>
                <w:szCs w:val="19"/>
              </w:rPr>
            </w:pPr>
            <w:r w:rsidRPr="00F01655">
              <w:rPr>
                <w:color w:val="000000"/>
                <w:sz w:val="19"/>
                <w:szCs w:val="19"/>
              </w:rPr>
              <w:t>Home/Apartment</w:t>
            </w:r>
          </w:p>
        </w:tc>
        <w:tc>
          <w:tcPr>
            <w:tcW w:w="900" w:type="dxa"/>
            <w:vMerge w:val="restart"/>
            <w:tcBorders>
              <w:top w:val="nil"/>
              <w:left w:val="single" w:sz="8" w:space="0" w:color="auto"/>
              <w:bottom w:val="nil"/>
              <w:right w:val="single" w:sz="4" w:space="0" w:color="auto"/>
            </w:tcBorders>
            <w:shd w:val="clear" w:color="000000" w:fill="FFFFFF"/>
            <w:noWrap/>
            <w:vAlign w:val="center"/>
            <w:hideMark/>
          </w:tcPr>
          <w:p w14:paraId="78FEF467" w14:textId="77777777" w:rsidR="00E64E20" w:rsidRPr="00F01655" w:rsidRDefault="00E64E20">
            <w:pPr>
              <w:jc w:val="right"/>
              <w:rPr>
                <w:color w:val="000000"/>
                <w:sz w:val="19"/>
                <w:szCs w:val="19"/>
              </w:rPr>
            </w:pPr>
            <w:r w:rsidRPr="00F01655">
              <w:rPr>
                <w:color w:val="000000"/>
                <w:sz w:val="19"/>
                <w:szCs w:val="19"/>
              </w:rPr>
              <w:t>416</w:t>
            </w:r>
          </w:p>
        </w:tc>
        <w:tc>
          <w:tcPr>
            <w:tcW w:w="1080" w:type="dxa"/>
            <w:vMerge w:val="restart"/>
            <w:tcBorders>
              <w:top w:val="nil"/>
              <w:left w:val="nil"/>
              <w:bottom w:val="nil"/>
              <w:right w:val="double" w:sz="4" w:space="0" w:color="auto"/>
            </w:tcBorders>
            <w:shd w:val="clear" w:color="000000" w:fill="FFFFFF"/>
            <w:noWrap/>
            <w:vAlign w:val="center"/>
            <w:hideMark/>
          </w:tcPr>
          <w:p w14:paraId="67F3157E" w14:textId="77777777" w:rsidR="00E64E20" w:rsidRPr="00F01655" w:rsidRDefault="00E64E20">
            <w:pPr>
              <w:jc w:val="right"/>
              <w:rPr>
                <w:color w:val="000000"/>
                <w:sz w:val="19"/>
                <w:szCs w:val="19"/>
              </w:rPr>
            </w:pPr>
            <w:r w:rsidRPr="00F01655">
              <w:rPr>
                <w:color w:val="000000"/>
                <w:sz w:val="19"/>
                <w:szCs w:val="19"/>
              </w:rPr>
              <w:t>33.6%</w:t>
            </w:r>
          </w:p>
        </w:tc>
      </w:tr>
      <w:tr w:rsidR="003D4A3F" w:rsidRPr="00F01655" w14:paraId="6AD7EF98" w14:textId="77777777" w:rsidTr="00313DF3">
        <w:trPr>
          <w:trHeight w:val="144"/>
        </w:trPr>
        <w:tc>
          <w:tcPr>
            <w:tcW w:w="2317" w:type="dxa"/>
            <w:tcBorders>
              <w:top w:val="double" w:sz="4" w:space="0" w:color="auto"/>
              <w:left w:val="double" w:sz="4" w:space="0" w:color="auto"/>
              <w:bottom w:val="nil"/>
              <w:right w:val="single" w:sz="8" w:space="0" w:color="auto"/>
            </w:tcBorders>
            <w:shd w:val="clear" w:color="000000" w:fill="FFFFFF"/>
            <w:vAlign w:val="center"/>
            <w:hideMark/>
          </w:tcPr>
          <w:p w14:paraId="6CACAEFA" w14:textId="77777777" w:rsidR="00E64E20" w:rsidRPr="00F01655" w:rsidRDefault="00E64E20">
            <w:pPr>
              <w:rPr>
                <w:b/>
                <w:bCs/>
                <w:i/>
                <w:iCs/>
                <w:color w:val="000000"/>
                <w:sz w:val="19"/>
                <w:szCs w:val="19"/>
              </w:rPr>
            </w:pPr>
            <w:r w:rsidRPr="00F01655">
              <w:rPr>
                <w:b/>
                <w:bCs/>
                <w:i/>
                <w:iCs/>
                <w:color w:val="000000"/>
                <w:sz w:val="19"/>
                <w:szCs w:val="19"/>
              </w:rPr>
              <w:t>Household Characteristics</w:t>
            </w:r>
          </w:p>
        </w:tc>
        <w:tc>
          <w:tcPr>
            <w:tcW w:w="810" w:type="dxa"/>
            <w:tcBorders>
              <w:top w:val="double" w:sz="4" w:space="0" w:color="auto"/>
              <w:left w:val="nil"/>
              <w:bottom w:val="nil"/>
              <w:right w:val="single" w:sz="4" w:space="0" w:color="auto"/>
            </w:tcBorders>
            <w:shd w:val="clear" w:color="000000" w:fill="FFFFFF"/>
            <w:noWrap/>
            <w:vAlign w:val="center"/>
            <w:hideMark/>
          </w:tcPr>
          <w:p w14:paraId="37C1AAED" w14:textId="77777777" w:rsidR="00E64E20" w:rsidRPr="00F01655" w:rsidRDefault="00E64E20">
            <w:pPr>
              <w:rPr>
                <w:color w:val="000000"/>
                <w:sz w:val="19"/>
                <w:szCs w:val="19"/>
              </w:rPr>
            </w:pPr>
            <w:r w:rsidRPr="00F01655">
              <w:rPr>
                <w:color w:val="000000"/>
                <w:sz w:val="19"/>
                <w:szCs w:val="19"/>
              </w:rPr>
              <w:t> </w:t>
            </w:r>
          </w:p>
        </w:tc>
        <w:tc>
          <w:tcPr>
            <w:tcW w:w="1000" w:type="dxa"/>
            <w:tcBorders>
              <w:top w:val="double" w:sz="4" w:space="0" w:color="auto"/>
              <w:left w:val="nil"/>
              <w:bottom w:val="nil"/>
              <w:right w:val="double" w:sz="4" w:space="0" w:color="auto"/>
            </w:tcBorders>
            <w:shd w:val="clear" w:color="000000" w:fill="FFFFFF"/>
            <w:noWrap/>
            <w:vAlign w:val="center"/>
            <w:hideMark/>
          </w:tcPr>
          <w:p w14:paraId="1BC7148D" w14:textId="77777777" w:rsidR="00E64E20" w:rsidRPr="00F01655" w:rsidRDefault="00E64E20">
            <w:pPr>
              <w:rPr>
                <w:color w:val="000000"/>
                <w:sz w:val="19"/>
                <w:szCs w:val="19"/>
              </w:rPr>
            </w:pPr>
            <w:r w:rsidRPr="00F01655">
              <w:rPr>
                <w:color w:val="000000"/>
                <w:sz w:val="19"/>
                <w:szCs w:val="19"/>
              </w:rPr>
              <w:t> </w:t>
            </w:r>
          </w:p>
        </w:tc>
        <w:tc>
          <w:tcPr>
            <w:tcW w:w="2690" w:type="dxa"/>
            <w:vMerge w:val="restart"/>
            <w:tcBorders>
              <w:top w:val="nil"/>
              <w:left w:val="double" w:sz="4" w:space="0" w:color="auto"/>
              <w:bottom w:val="nil"/>
              <w:right w:val="single" w:sz="8" w:space="0" w:color="auto"/>
            </w:tcBorders>
            <w:shd w:val="clear" w:color="000000" w:fill="FFFFFF"/>
            <w:vAlign w:val="center"/>
            <w:hideMark/>
          </w:tcPr>
          <w:p w14:paraId="7D8BA2D2" w14:textId="77777777" w:rsidR="003D4A3F" w:rsidRPr="00F01655" w:rsidRDefault="00E64E20">
            <w:pPr>
              <w:ind w:firstLineChars="100" w:firstLine="190"/>
              <w:rPr>
                <w:color w:val="000000"/>
                <w:sz w:val="19"/>
                <w:szCs w:val="19"/>
              </w:rPr>
            </w:pPr>
            <w:r w:rsidRPr="00F01655">
              <w:rPr>
                <w:color w:val="000000"/>
                <w:sz w:val="19"/>
                <w:szCs w:val="19"/>
              </w:rPr>
              <w:t xml:space="preserve">Professional, Managerial, or </w:t>
            </w:r>
          </w:p>
          <w:p w14:paraId="3F6C1F84" w14:textId="2267A758" w:rsidR="00E64E20" w:rsidRPr="00F01655" w:rsidRDefault="00E64E20">
            <w:pPr>
              <w:ind w:firstLineChars="100" w:firstLine="190"/>
              <w:rPr>
                <w:color w:val="000000"/>
                <w:sz w:val="19"/>
                <w:szCs w:val="19"/>
              </w:rPr>
            </w:pPr>
            <w:r w:rsidRPr="00F01655">
              <w:rPr>
                <w:color w:val="000000"/>
                <w:sz w:val="19"/>
                <w:szCs w:val="19"/>
              </w:rPr>
              <w:t>Technical</w:t>
            </w:r>
          </w:p>
        </w:tc>
        <w:tc>
          <w:tcPr>
            <w:tcW w:w="748" w:type="dxa"/>
            <w:vMerge w:val="restart"/>
            <w:tcBorders>
              <w:top w:val="nil"/>
              <w:left w:val="single" w:sz="8" w:space="0" w:color="auto"/>
              <w:bottom w:val="nil"/>
              <w:right w:val="single" w:sz="4" w:space="0" w:color="auto"/>
            </w:tcBorders>
            <w:shd w:val="clear" w:color="000000" w:fill="FFFFFF"/>
            <w:noWrap/>
            <w:vAlign w:val="center"/>
            <w:hideMark/>
          </w:tcPr>
          <w:p w14:paraId="3201F0EF" w14:textId="77777777" w:rsidR="00E64E20" w:rsidRPr="00F01655" w:rsidRDefault="00E64E20">
            <w:pPr>
              <w:jc w:val="right"/>
              <w:rPr>
                <w:rFonts w:ascii="Times" w:hAnsi="Times" w:cs="Calibri"/>
                <w:color w:val="000000"/>
                <w:sz w:val="19"/>
                <w:szCs w:val="19"/>
              </w:rPr>
            </w:pPr>
            <w:r w:rsidRPr="00F01655">
              <w:rPr>
                <w:rFonts w:ascii="Times" w:hAnsi="Times" w:cs="Calibri"/>
                <w:color w:val="000000"/>
                <w:sz w:val="19"/>
                <w:szCs w:val="19"/>
              </w:rPr>
              <w:t>64</w:t>
            </w:r>
          </w:p>
        </w:tc>
        <w:tc>
          <w:tcPr>
            <w:tcW w:w="990" w:type="dxa"/>
            <w:vMerge w:val="restart"/>
            <w:tcBorders>
              <w:top w:val="nil"/>
              <w:left w:val="single" w:sz="4" w:space="0" w:color="auto"/>
              <w:bottom w:val="nil"/>
              <w:right w:val="double" w:sz="4" w:space="0" w:color="auto"/>
            </w:tcBorders>
            <w:shd w:val="clear" w:color="000000" w:fill="FFFFFF"/>
            <w:noWrap/>
            <w:vAlign w:val="center"/>
            <w:hideMark/>
          </w:tcPr>
          <w:p w14:paraId="0F84BC78" w14:textId="77777777" w:rsidR="00E64E20" w:rsidRPr="00F01655" w:rsidRDefault="00E64E20">
            <w:pPr>
              <w:jc w:val="right"/>
              <w:rPr>
                <w:color w:val="000000"/>
                <w:sz w:val="19"/>
                <w:szCs w:val="19"/>
              </w:rPr>
            </w:pPr>
            <w:r w:rsidRPr="00F01655">
              <w:rPr>
                <w:color w:val="000000"/>
                <w:sz w:val="19"/>
                <w:szCs w:val="19"/>
              </w:rPr>
              <w:t>5.2%</w:t>
            </w:r>
          </w:p>
        </w:tc>
        <w:tc>
          <w:tcPr>
            <w:tcW w:w="2492" w:type="dxa"/>
            <w:vMerge/>
            <w:tcBorders>
              <w:top w:val="nil"/>
              <w:left w:val="double" w:sz="4" w:space="0" w:color="auto"/>
              <w:bottom w:val="nil"/>
              <w:right w:val="single" w:sz="8" w:space="0" w:color="auto"/>
            </w:tcBorders>
            <w:vAlign w:val="center"/>
            <w:hideMark/>
          </w:tcPr>
          <w:p w14:paraId="723F118C" w14:textId="77777777" w:rsidR="00E64E20" w:rsidRPr="00F01655" w:rsidRDefault="00E64E20">
            <w:pPr>
              <w:rPr>
                <w:color w:val="000000"/>
                <w:sz w:val="19"/>
                <w:szCs w:val="19"/>
              </w:rPr>
            </w:pPr>
          </w:p>
        </w:tc>
        <w:tc>
          <w:tcPr>
            <w:tcW w:w="900" w:type="dxa"/>
            <w:vMerge/>
            <w:tcBorders>
              <w:top w:val="nil"/>
              <w:left w:val="single" w:sz="8" w:space="0" w:color="auto"/>
              <w:bottom w:val="nil"/>
              <w:right w:val="single" w:sz="4" w:space="0" w:color="auto"/>
            </w:tcBorders>
            <w:vAlign w:val="center"/>
            <w:hideMark/>
          </w:tcPr>
          <w:p w14:paraId="78910C69" w14:textId="77777777" w:rsidR="00E64E20" w:rsidRPr="00F01655" w:rsidRDefault="00E64E20">
            <w:pPr>
              <w:rPr>
                <w:color w:val="000000"/>
                <w:sz w:val="19"/>
                <w:szCs w:val="19"/>
              </w:rPr>
            </w:pPr>
          </w:p>
        </w:tc>
        <w:tc>
          <w:tcPr>
            <w:tcW w:w="1080" w:type="dxa"/>
            <w:vMerge/>
            <w:tcBorders>
              <w:top w:val="nil"/>
              <w:left w:val="nil"/>
              <w:bottom w:val="nil"/>
              <w:right w:val="double" w:sz="4" w:space="0" w:color="auto"/>
            </w:tcBorders>
            <w:vAlign w:val="center"/>
            <w:hideMark/>
          </w:tcPr>
          <w:p w14:paraId="6F960F5A" w14:textId="77777777" w:rsidR="00E64E20" w:rsidRPr="00F01655" w:rsidRDefault="00E64E20">
            <w:pPr>
              <w:rPr>
                <w:color w:val="000000"/>
                <w:sz w:val="19"/>
                <w:szCs w:val="19"/>
              </w:rPr>
            </w:pPr>
          </w:p>
        </w:tc>
      </w:tr>
      <w:tr w:rsidR="003D4A3F" w:rsidRPr="00F01655" w14:paraId="6CF6FD58" w14:textId="77777777" w:rsidTr="00313DF3">
        <w:trPr>
          <w:trHeight w:val="105"/>
        </w:trPr>
        <w:tc>
          <w:tcPr>
            <w:tcW w:w="2317" w:type="dxa"/>
            <w:tcBorders>
              <w:top w:val="nil"/>
              <w:left w:val="double" w:sz="4" w:space="0" w:color="auto"/>
              <w:bottom w:val="nil"/>
              <w:right w:val="single" w:sz="8" w:space="0" w:color="auto"/>
            </w:tcBorders>
            <w:shd w:val="clear" w:color="000000" w:fill="FFFFFF"/>
            <w:noWrap/>
            <w:vAlign w:val="center"/>
            <w:hideMark/>
          </w:tcPr>
          <w:p w14:paraId="790F9CD1" w14:textId="77777777" w:rsidR="00E64E20" w:rsidRPr="00F01655" w:rsidRDefault="00E64E20">
            <w:pPr>
              <w:rPr>
                <w:b/>
                <w:bCs/>
                <w:color w:val="000000"/>
                <w:sz w:val="19"/>
                <w:szCs w:val="19"/>
              </w:rPr>
            </w:pPr>
            <w:r w:rsidRPr="00F01655">
              <w:rPr>
                <w:b/>
                <w:bCs/>
                <w:color w:val="000000"/>
                <w:sz w:val="19"/>
                <w:szCs w:val="19"/>
              </w:rPr>
              <w:t>Income</w:t>
            </w:r>
          </w:p>
        </w:tc>
        <w:tc>
          <w:tcPr>
            <w:tcW w:w="810" w:type="dxa"/>
            <w:tcBorders>
              <w:top w:val="nil"/>
              <w:left w:val="nil"/>
              <w:bottom w:val="nil"/>
              <w:right w:val="single" w:sz="4" w:space="0" w:color="auto"/>
            </w:tcBorders>
            <w:shd w:val="clear" w:color="000000" w:fill="FFFFFF"/>
            <w:noWrap/>
            <w:vAlign w:val="bottom"/>
            <w:hideMark/>
          </w:tcPr>
          <w:p w14:paraId="66FFEED7" w14:textId="77777777" w:rsidR="00E64E20" w:rsidRPr="00F01655" w:rsidRDefault="00E64E20">
            <w:pPr>
              <w:jc w:val="right"/>
              <w:rPr>
                <w:color w:val="000000"/>
                <w:sz w:val="19"/>
                <w:szCs w:val="19"/>
              </w:rPr>
            </w:pPr>
            <w:r w:rsidRPr="00F01655">
              <w:rPr>
                <w:color w:val="000000"/>
                <w:sz w:val="19"/>
                <w:szCs w:val="19"/>
              </w:rPr>
              <w:t> </w:t>
            </w:r>
          </w:p>
        </w:tc>
        <w:tc>
          <w:tcPr>
            <w:tcW w:w="1000" w:type="dxa"/>
            <w:tcBorders>
              <w:top w:val="nil"/>
              <w:left w:val="nil"/>
              <w:bottom w:val="nil"/>
              <w:right w:val="double" w:sz="4" w:space="0" w:color="auto"/>
            </w:tcBorders>
            <w:shd w:val="clear" w:color="000000" w:fill="FFFFFF"/>
            <w:noWrap/>
            <w:vAlign w:val="bottom"/>
            <w:hideMark/>
          </w:tcPr>
          <w:p w14:paraId="037AA41F" w14:textId="77777777" w:rsidR="00E64E20" w:rsidRPr="00F01655" w:rsidRDefault="00E64E20">
            <w:pPr>
              <w:jc w:val="right"/>
              <w:rPr>
                <w:color w:val="000000"/>
                <w:sz w:val="19"/>
                <w:szCs w:val="19"/>
              </w:rPr>
            </w:pPr>
            <w:r w:rsidRPr="00F01655">
              <w:rPr>
                <w:color w:val="000000"/>
                <w:sz w:val="19"/>
                <w:szCs w:val="19"/>
              </w:rPr>
              <w:t> </w:t>
            </w:r>
          </w:p>
        </w:tc>
        <w:tc>
          <w:tcPr>
            <w:tcW w:w="2690" w:type="dxa"/>
            <w:vMerge/>
            <w:tcBorders>
              <w:top w:val="nil"/>
              <w:left w:val="double" w:sz="4" w:space="0" w:color="auto"/>
              <w:bottom w:val="nil"/>
              <w:right w:val="single" w:sz="8" w:space="0" w:color="auto"/>
            </w:tcBorders>
            <w:vAlign w:val="center"/>
            <w:hideMark/>
          </w:tcPr>
          <w:p w14:paraId="12F6EFF6" w14:textId="77777777" w:rsidR="00E64E20" w:rsidRPr="00F01655" w:rsidRDefault="00E64E20">
            <w:pPr>
              <w:rPr>
                <w:color w:val="000000"/>
                <w:sz w:val="19"/>
                <w:szCs w:val="19"/>
              </w:rPr>
            </w:pPr>
          </w:p>
        </w:tc>
        <w:tc>
          <w:tcPr>
            <w:tcW w:w="748" w:type="dxa"/>
            <w:vMerge/>
            <w:tcBorders>
              <w:top w:val="nil"/>
              <w:left w:val="single" w:sz="8" w:space="0" w:color="auto"/>
              <w:bottom w:val="nil"/>
              <w:right w:val="single" w:sz="4" w:space="0" w:color="auto"/>
            </w:tcBorders>
            <w:vAlign w:val="center"/>
            <w:hideMark/>
          </w:tcPr>
          <w:p w14:paraId="26607AC6" w14:textId="77777777" w:rsidR="00E64E20" w:rsidRPr="00F01655" w:rsidRDefault="00E64E20">
            <w:pPr>
              <w:rPr>
                <w:rFonts w:ascii="Times" w:hAnsi="Times" w:cs="Calibri"/>
                <w:color w:val="000000"/>
                <w:sz w:val="19"/>
                <w:szCs w:val="19"/>
              </w:rPr>
            </w:pPr>
          </w:p>
        </w:tc>
        <w:tc>
          <w:tcPr>
            <w:tcW w:w="990" w:type="dxa"/>
            <w:vMerge/>
            <w:tcBorders>
              <w:top w:val="nil"/>
              <w:left w:val="single" w:sz="4" w:space="0" w:color="auto"/>
              <w:bottom w:val="nil"/>
              <w:right w:val="double" w:sz="4" w:space="0" w:color="auto"/>
            </w:tcBorders>
            <w:vAlign w:val="center"/>
            <w:hideMark/>
          </w:tcPr>
          <w:p w14:paraId="5E52BF91" w14:textId="77777777" w:rsidR="00E64E20" w:rsidRPr="00F01655" w:rsidRDefault="00E64E20">
            <w:pPr>
              <w:rPr>
                <w:color w:val="000000"/>
                <w:sz w:val="19"/>
                <w:szCs w:val="19"/>
              </w:rPr>
            </w:pPr>
          </w:p>
        </w:tc>
        <w:tc>
          <w:tcPr>
            <w:tcW w:w="2492" w:type="dxa"/>
            <w:tcBorders>
              <w:top w:val="nil"/>
              <w:left w:val="double" w:sz="4" w:space="0" w:color="auto"/>
              <w:bottom w:val="double" w:sz="4" w:space="0" w:color="auto"/>
              <w:right w:val="single" w:sz="8" w:space="0" w:color="auto"/>
            </w:tcBorders>
            <w:shd w:val="clear" w:color="000000" w:fill="FFFFFF"/>
            <w:vAlign w:val="center"/>
            <w:hideMark/>
          </w:tcPr>
          <w:p w14:paraId="278BFC03" w14:textId="77777777" w:rsidR="00E64E20" w:rsidRPr="00F01655" w:rsidRDefault="00E64E20">
            <w:pPr>
              <w:ind w:firstLineChars="100" w:firstLine="190"/>
              <w:rPr>
                <w:color w:val="000000"/>
                <w:sz w:val="19"/>
                <w:szCs w:val="19"/>
              </w:rPr>
            </w:pPr>
            <w:r w:rsidRPr="00F01655">
              <w:rPr>
                <w:color w:val="000000"/>
                <w:sz w:val="19"/>
                <w:szCs w:val="19"/>
              </w:rPr>
              <w:t>Standalone Home</w:t>
            </w:r>
          </w:p>
        </w:tc>
        <w:tc>
          <w:tcPr>
            <w:tcW w:w="900" w:type="dxa"/>
            <w:tcBorders>
              <w:top w:val="nil"/>
              <w:left w:val="nil"/>
              <w:bottom w:val="double" w:sz="4" w:space="0" w:color="auto"/>
              <w:right w:val="single" w:sz="4" w:space="0" w:color="auto"/>
            </w:tcBorders>
            <w:shd w:val="clear" w:color="000000" w:fill="FFFFFF"/>
            <w:noWrap/>
            <w:vAlign w:val="center"/>
            <w:hideMark/>
          </w:tcPr>
          <w:p w14:paraId="404FCCDE" w14:textId="77777777" w:rsidR="00E64E20" w:rsidRPr="00F01655" w:rsidRDefault="00E64E20">
            <w:pPr>
              <w:jc w:val="right"/>
              <w:rPr>
                <w:color w:val="000000"/>
                <w:sz w:val="19"/>
                <w:szCs w:val="19"/>
              </w:rPr>
            </w:pPr>
            <w:r w:rsidRPr="00F01655">
              <w:rPr>
                <w:color w:val="000000"/>
                <w:sz w:val="19"/>
                <w:szCs w:val="19"/>
              </w:rPr>
              <w:t>823</w:t>
            </w:r>
          </w:p>
        </w:tc>
        <w:tc>
          <w:tcPr>
            <w:tcW w:w="1080" w:type="dxa"/>
            <w:tcBorders>
              <w:top w:val="nil"/>
              <w:left w:val="nil"/>
              <w:bottom w:val="double" w:sz="4" w:space="0" w:color="auto"/>
              <w:right w:val="double" w:sz="4" w:space="0" w:color="auto"/>
            </w:tcBorders>
            <w:shd w:val="clear" w:color="000000" w:fill="FFFFFF"/>
            <w:noWrap/>
            <w:vAlign w:val="center"/>
            <w:hideMark/>
          </w:tcPr>
          <w:p w14:paraId="507328F4" w14:textId="77777777" w:rsidR="00E64E20" w:rsidRPr="00F01655" w:rsidRDefault="00E64E20">
            <w:pPr>
              <w:jc w:val="right"/>
              <w:rPr>
                <w:color w:val="000000"/>
                <w:sz w:val="19"/>
                <w:szCs w:val="19"/>
              </w:rPr>
            </w:pPr>
            <w:r w:rsidRPr="00F01655">
              <w:rPr>
                <w:color w:val="000000"/>
                <w:sz w:val="19"/>
                <w:szCs w:val="19"/>
              </w:rPr>
              <w:t>66.4%</w:t>
            </w:r>
          </w:p>
        </w:tc>
      </w:tr>
      <w:tr w:rsidR="007157EA" w:rsidRPr="00F01655" w14:paraId="5A5D9F78" w14:textId="77777777" w:rsidTr="00313DF3">
        <w:trPr>
          <w:trHeight w:val="48"/>
        </w:trPr>
        <w:tc>
          <w:tcPr>
            <w:tcW w:w="2317" w:type="dxa"/>
            <w:tcBorders>
              <w:top w:val="nil"/>
              <w:left w:val="double" w:sz="4" w:space="0" w:color="auto"/>
              <w:bottom w:val="nil"/>
              <w:right w:val="single" w:sz="8" w:space="0" w:color="auto"/>
            </w:tcBorders>
            <w:shd w:val="clear" w:color="000000" w:fill="FFFFFF"/>
            <w:noWrap/>
            <w:vAlign w:val="center"/>
            <w:hideMark/>
          </w:tcPr>
          <w:p w14:paraId="5A61F79A" w14:textId="77777777" w:rsidR="00E64E20" w:rsidRPr="00F01655" w:rsidRDefault="00E64E20">
            <w:pPr>
              <w:ind w:firstLineChars="100" w:firstLine="190"/>
              <w:rPr>
                <w:color w:val="000000"/>
                <w:sz w:val="19"/>
                <w:szCs w:val="19"/>
              </w:rPr>
            </w:pPr>
            <w:r w:rsidRPr="00F01655">
              <w:rPr>
                <w:color w:val="000000"/>
                <w:sz w:val="19"/>
                <w:szCs w:val="19"/>
              </w:rPr>
              <w:t>&lt; $50,000</w:t>
            </w:r>
          </w:p>
        </w:tc>
        <w:tc>
          <w:tcPr>
            <w:tcW w:w="810" w:type="dxa"/>
            <w:tcBorders>
              <w:top w:val="nil"/>
              <w:left w:val="nil"/>
              <w:bottom w:val="nil"/>
              <w:right w:val="single" w:sz="4" w:space="0" w:color="auto"/>
            </w:tcBorders>
            <w:shd w:val="clear" w:color="000000" w:fill="FFFFFF"/>
            <w:noWrap/>
            <w:vAlign w:val="center"/>
            <w:hideMark/>
          </w:tcPr>
          <w:p w14:paraId="7B64B8AA" w14:textId="77777777" w:rsidR="00E64E20" w:rsidRPr="00F01655" w:rsidRDefault="00E64E20">
            <w:pPr>
              <w:jc w:val="right"/>
              <w:rPr>
                <w:color w:val="000000"/>
                <w:sz w:val="19"/>
                <w:szCs w:val="19"/>
              </w:rPr>
            </w:pPr>
            <w:r w:rsidRPr="00F01655">
              <w:rPr>
                <w:color w:val="000000"/>
                <w:sz w:val="19"/>
                <w:szCs w:val="19"/>
              </w:rPr>
              <w:t>253</w:t>
            </w:r>
          </w:p>
        </w:tc>
        <w:tc>
          <w:tcPr>
            <w:tcW w:w="1000" w:type="dxa"/>
            <w:tcBorders>
              <w:top w:val="nil"/>
              <w:left w:val="nil"/>
              <w:bottom w:val="nil"/>
              <w:right w:val="double" w:sz="4" w:space="0" w:color="auto"/>
            </w:tcBorders>
            <w:shd w:val="clear" w:color="000000" w:fill="FFFFFF"/>
            <w:noWrap/>
            <w:vAlign w:val="center"/>
            <w:hideMark/>
          </w:tcPr>
          <w:p w14:paraId="620D5D46" w14:textId="77777777" w:rsidR="00E64E20" w:rsidRPr="00F01655" w:rsidRDefault="00E64E20">
            <w:pPr>
              <w:jc w:val="right"/>
              <w:rPr>
                <w:color w:val="000000"/>
                <w:sz w:val="19"/>
                <w:szCs w:val="19"/>
              </w:rPr>
            </w:pPr>
            <w:r w:rsidRPr="00F01655">
              <w:rPr>
                <w:color w:val="000000"/>
                <w:sz w:val="19"/>
                <w:szCs w:val="19"/>
              </w:rPr>
              <w:t>20.4%</w:t>
            </w:r>
          </w:p>
        </w:tc>
        <w:tc>
          <w:tcPr>
            <w:tcW w:w="2690" w:type="dxa"/>
            <w:tcBorders>
              <w:top w:val="nil"/>
              <w:left w:val="double" w:sz="4" w:space="0" w:color="auto"/>
              <w:bottom w:val="nil"/>
              <w:right w:val="single" w:sz="8" w:space="0" w:color="auto"/>
            </w:tcBorders>
            <w:shd w:val="clear" w:color="000000" w:fill="FFFFFF"/>
            <w:vAlign w:val="center"/>
            <w:hideMark/>
          </w:tcPr>
          <w:p w14:paraId="35C028A9" w14:textId="77777777" w:rsidR="00E64E20" w:rsidRPr="00F01655" w:rsidRDefault="00E64E20">
            <w:pPr>
              <w:ind w:firstLineChars="100" w:firstLine="190"/>
              <w:rPr>
                <w:color w:val="000000"/>
                <w:sz w:val="19"/>
                <w:szCs w:val="19"/>
              </w:rPr>
            </w:pPr>
            <w:r w:rsidRPr="00F01655">
              <w:rPr>
                <w:color w:val="000000"/>
                <w:sz w:val="19"/>
                <w:szCs w:val="19"/>
              </w:rPr>
              <w:t>Public Administration</w:t>
            </w:r>
          </w:p>
        </w:tc>
        <w:tc>
          <w:tcPr>
            <w:tcW w:w="748" w:type="dxa"/>
            <w:tcBorders>
              <w:top w:val="nil"/>
              <w:left w:val="nil"/>
              <w:bottom w:val="nil"/>
              <w:right w:val="single" w:sz="4" w:space="0" w:color="auto"/>
            </w:tcBorders>
            <w:shd w:val="clear" w:color="000000" w:fill="FFFFFF"/>
            <w:noWrap/>
            <w:vAlign w:val="center"/>
            <w:hideMark/>
          </w:tcPr>
          <w:p w14:paraId="27E4BA41" w14:textId="77777777" w:rsidR="00E64E20" w:rsidRPr="00F01655" w:rsidRDefault="00E64E20">
            <w:pPr>
              <w:jc w:val="right"/>
              <w:rPr>
                <w:rFonts w:ascii="Times" w:hAnsi="Times" w:cs="Calibri"/>
                <w:color w:val="000000"/>
                <w:sz w:val="19"/>
                <w:szCs w:val="19"/>
              </w:rPr>
            </w:pPr>
            <w:r w:rsidRPr="00F01655">
              <w:rPr>
                <w:rFonts w:ascii="Times" w:hAnsi="Times" w:cs="Calibri"/>
                <w:color w:val="000000"/>
                <w:sz w:val="19"/>
                <w:szCs w:val="19"/>
              </w:rPr>
              <w:t>41</w:t>
            </w:r>
          </w:p>
        </w:tc>
        <w:tc>
          <w:tcPr>
            <w:tcW w:w="990" w:type="dxa"/>
            <w:tcBorders>
              <w:top w:val="nil"/>
              <w:left w:val="nil"/>
              <w:bottom w:val="nil"/>
              <w:right w:val="double" w:sz="4" w:space="0" w:color="auto"/>
            </w:tcBorders>
            <w:shd w:val="clear" w:color="000000" w:fill="FFFFFF"/>
            <w:noWrap/>
            <w:vAlign w:val="center"/>
            <w:hideMark/>
          </w:tcPr>
          <w:p w14:paraId="0CCA27CF" w14:textId="77777777" w:rsidR="00E64E20" w:rsidRPr="00F01655" w:rsidRDefault="00E64E20">
            <w:pPr>
              <w:jc w:val="right"/>
              <w:rPr>
                <w:color w:val="000000"/>
                <w:sz w:val="19"/>
                <w:szCs w:val="19"/>
              </w:rPr>
            </w:pPr>
            <w:r w:rsidRPr="00F01655">
              <w:rPr>
                <w:color w:val="000000"/>
                <w:sz w:val="19"/>
                <w:szCs w:val="19"/>
              </w:rPr>
              <w:t>3.3%</w:t>
            </w:r>
          </w:p>
        </w:tc>
        <w:tc>
          <w:tcPr>
            <w:tcW w:w="2492" w:type="dxa"/>
            <w:vMerge w:val="restart"/>
            <w:tcBorders>
              <w:top w:val="double" w:sz="4" w:space="0" w:color="auto"/>
              <w:left w:val="double" w:sz="4" w:space="0" w:color="auto"/>
              <w:bottom w:val="nil"/>
              <w:right w:val="nil"/>
            </w:tcBorders>
            <w:shd w:val="clear" w:color="000000" w:fill="FFFFFF"/>
            <w:vAlign w:val="center"/>
            <w:hideMark/>
          </w:tcPr>
          <w:p w14:paraId="4265DBA8" w14:textId="77777777" w:rsidR="00E64E20" w:rsidRPr="00F01655" w:rsidRDefault="00E64E20">
            <w:pPr>
              <w:rPr>
                <w:b/>
                <w:bCs/>
                <w:i/>
                <w:iCs/>
                <w:color w:val="000000"/>
                <w:sz w:val="19"/>
                <w:szCs w:val="19"/>
              </w:rPr>
            </w:pPr>
            <w:r w:rsidRPr="00F01655">
              <w:rPr>
                <w:b/>
                <w:bCs/>
                <w:i/>
                <w:iCs/>
                <w:color w:val="000000"/>
                <w:sz w:val="19"/>
                <w:szCs w:val="19"/>
              </w:rPr>
              <w:t>Built Environment Characteristics</w:t>
            </w:r>
          </w:p>
        </w:tc>
        <w:tc>
          <w:tcPr>
            <w:tcW w:w="900" w:type="dxa"/>
            <w:vMerge w:val="restart"/>
            <w:tcBorders>
              <w:top w:val="double" w:sz="4" w:space="0" w:color="auto"/>
              <w:left w:val="single" w:sz="8" w:space="0" w:color="auto"/>
              <w:bottom w:val="nil"/>
              <w:right w:val="single" w:sz="4" w:space="0" w:color="auto"/>
            </w:tcBorders>
            <w:shd w:val="clear" w:color="000000" w:fill="FFFFFF"/>
            <w:noWrap/>
            <w:vAlign w:val="center"/>
            <w:hideMark/>
          </w:tcPr>
          <w:p w14:paraId="58A8A35B" w14:textId="77777777" w:rsidR="00E64E20" w:rsidRPr="00F01655" w:rsidRDefault="00E64E20">
            <w:pPr>
              <w:jc w:val="center"/>
              <w:rPr>
                <w:color w:val="000000"/>
                <w:sz w:val="19"/>
                <w:szCs w:val="19"/>
              </w:rPr>
            </w:pPr>
            <w:r w:rsidRPr="00F01655">
              <w:rPr>
                <w:color w:val="000000"/>
                <w:sz w:val="19"/>
                <w:szCs w:val="19"/>
              </w:rPr>
              <w:t> </w:t>
            </w:r>
          </w:p>
        </w:tc>
        <w:tc>
          <w:tcPr>
            <w:tcW w:w="1080" w:type="dxa"/>
            <w:vMerge w:val="restart"/>
            <w:tcBorders>
              <w:top w:val="double" w:sz="4" w:space="0" w:color="auto"/>
              <w:left w:val="single" w:sz="4" w:space="0" w:color="auto"/>
              <w:bottom w:val="nil"/>
              <w:right w:val="double" w:sz="4" w:space="0" w:color="auto"/>
            </w:tcBorders>
            <w:shd w:val="clear" w:color="000000" w:fill="FFFFFF"/>
            <w:noWrap/>
            <w:vAlign w:val="center"/>
            <w:hideMark/>
          </w:tcPr>
          <w:p w14:paraId="588FC667" w14:textId="77777777" w:rsidR="00E64E20" w:rsidRPr="00F01655" w:rsidRDefault="00E64E20">
            <w:pPr>
              <w:jc w:val="center"/>
              <w:rPr>
                <w:color w:val="000000"/>
                <w:sz w:val="19"/>
                <w:szCs w:val="19"/>
              </w:rPr>
            </w:pPr>
            <w:r w:rsidRPr="00F01655">
              <w:rPr>
                <w:color w:val="000000"/>
                <w:sz w:val="19"/>
                <w:szCs w:val="19"/>
              </w:rPr>
              <w:t> </w:t>
            </w:r>
          </w:p>
        </w:tc>
      </w:tr>
      <w:tr w:rsidR="003D4A3F" w:rsidRPr="00F01655" w14:paraId="4F0EBAF5" w14:textId="77777777" w:rsidTr="00313DF3">
        <w:trPr>
          <w:trHeight w:val="60"/>
        </w:trPr>
        <w:tc>
          <w:tcPr>
            <w:tcW w:w="2317" w:type="dxa"/>
            <w:tcBorders>
              <w:top w:val="nil"/>
              <w:left w:val="double" w:sz="4" w:space="0" w:color="auto"/>
              <w:bottom w:val="nil"/>
              <w:right w:val="single" w:sz="8" w:space="0" w:color="auto"/>
            </w:tcBorders>
            <w:shd w:val="clear" w:color="000000" w:fill="FFFFFF"/>
            <w:noWrap/>
            <w:vAlign w:val="center"/>
            <w:hideMark/>
          </w:tcPr>
          <w:p w14:paraId="1303C575" w14:textId="77777777" w:rsidR="00E64E20" w:rsidRPr="00F01655" w:rsidRDefault="00E64E20">
            <w:pPr>
              <w:ind w:firstLineChars="100" w:firstLine="190"/>
              <w:rPr>
                <w:color w:val="000000"/>
                <w:sz w:val="19"/>
                <w:szCs w:val="19"/>
              </w:rPr>
            </w:pPr>
            <w:r w:rsidRPr="00F01655">
              <w:rPr>
                <w:color w:val="000000"/>
                <w:sz w:val="19"/>
                <w:szCs w:val="19"/>
              </w:rPr>
              <w:t>$50,000 to $99,999</w:t>
            </w:r>
          </w:p>
        </w:tc>
        <w:tc>
          <w:tcPr>
            <w:tcW w:w="810" w:type="dxa"/>
            <w:tcBorders>
              <w:top w:val="nil"/>
              <w:left w:val="nil"/>
              <w:bottom w:val="nil"/>
              <w:right w:val="single" w:sz="4" w:space="0" w:color="auto"/>
            </w:tcBorders>
            <w:shd w:val="clear" w:color="000000" w:fill="FFFFFF"/>
            <w:noWrap/>
            <w:vAlign w:val="center"/>
            <w:hideMark/>
          </w:tcPr>
          <w:p w14:paraId="12BAD12E" w14:textId="77777777" w:rsidR="00E64E20" w:rsidRPr="00F01655" w:rsidRDefault="00E64E20">
            <w:pPr>
              <w:jc w:val="right"/>
              <w:rPr>
                <w:color w:val="000000"/>
                <w:sz w:val="19"/>
                <w:szCs w:val="19"/>
              </w:rPr>
            </w:pPr>
            <w:r w:rsidRPr="00F01655">
              <w:rPr>
                <w:color w:val="000000"/>
                <w:sz w:val="19"/>
                <w:szCs w:val="19"/>
              </w:rPr>
              <w:t>393</w:t>
            </w:r>
          </w:p>
        </w:tc>
        <w:tc>
          <w:tcPr>
            <w:tcW w:w="1000" w:type="dxa"/>
            <w:tcBorders>
              <w:top w:val="nil"/>
              <w:left w:val="nil"/>
              <w:bottom w:val="nil"/>
              <w:right w:val="double" w:sz="4" w:space="0" w:color="auto"/>
            </w:tcBorders>
            <w:shd w:val="clear" w:color="000000" w:fill="FFFFFF"/>
            <w:noWrap/>
            <w:vAlign w:val="center"/>
            <w:hideMark/>
          </w:tcPr>
          <w:p w14:paraId="23F7839D" w14:textId="77777777" w:rsidR="00E64E20" w:rsidRPr="00F01655" w:rsidRDefault="00E64E20">
            <w:pPr>
              <w:jc w:val="right"/>
              <w:rPr>
                <w:color w:val="000000"/>
                <w:sz w:val="19"/>
                <w:szCs w:val="19"/>
              </w:rPr>
            </w:pPr>
            <w:r w:rsidRPr="00F01655">
              <w:rPr>
                <w:color w:val="000000"/>
                <w:sz w:val="19"/>
                <w:szCs w:val="19"/>
              </w:rPr>
              <w:t>31.7%</w:t>
            </w:r>
          </w:p>
        </w:tc>
        <w:tc>
          <w:tcPr>
            <w:tcW w:w="2690" w:type="dxa"/>
            <w:tcBorders>
              <w:top w:val="nil"/>
              <w:left w:val="double" w:sz="4" w:space="0" w:color="auto"/>
              <w:bottom w:val="nil"/>
              <w:right w:val="single" w:sz="8" w:space="0" w:color="auto"/>
            </w:tcBorders>
            <w:shd w:val="clear" w:color="000000" w:fill="FFFFFF"/>
            <w:vAlign w:val="center"/>
            <w:hideMark/>
          </w:tcPr>
          <w:p w14:paraId="6980F6D3" w14:textId="77777777" w:rsidR="00E64E20" w:rsidRPr="00F01655" w:rsidRDefault="00E64E20">
            <w:pPr>
              <w:ind w:firstLineChars="100" w:firstLine="190"/>
              <w:rPr>
                <w:color w:val="000000"/>
                <w:sz w:val="19"/>
                <w:szCs w:val="19"/>
              </w:rPr>
            </w:pPr>
            <w:r w:rsidRPr="00F01655">
              <w:rPr>
                <w:color w:val="000000"/>
                <w:sz w:val="19"/>
                <w:szCs w:val="19"/>
              </w:rPr>
              <w:t>Sales/Retail Service</w:t>
            </w:r>
          </w:p>
        </w:tc>
        <w:tc>
          <w:tcPr>
            <w:tcW w:w="748" w:type="dxa"/>
            <w:tcBorders>
              <w:top w:val="nil"/>
              <w:left w:val="nil"/>
              <w:bottom w:val="nil"/>
              <w:right w:val="single" w:sz="4" w:space="0" w:color="auto"/>
            </w:tcBorders>
            <w:shd w:val="clear" w:color="000000" w:fill="FFFFFF"/>
            <w:noWrap/>
            <w:vAlign w:val="center"/>
            <w:hideMark/>
          </w:tcPr>
          <w:p w14:paraId="1389DFDC" w14:textId="77777777" w:rsidR="00E64E20" w:rsidRPr="00F01655" w:rsidRDefault="00E64E20">
            <w:pPr>
              <w:jc w:val="right"/>
              <w:rPr>
                <w:rFonts w:ascii="Times" w:hAnsi="Times" w:cs="Calibri"/>
                <w:color w:val="000000"/>
                <w:sz w:val="19"/>
                <w:szCs w:val="19"/>
              </w:rPr>
            </w:pPr>
            <w:r w:rsidRPr="00F01655">
              <w:rPr>
                <w:rFonts w:ascii="Times" w:hAnsi="Times" w:cs="Calibri"/>
                <w:color w:val="000000"/>
                <w:sz w:val="19"/>
                <w:szCs w:val="19"/>
              </w:rPr>
              <w:t>70</w:t>
            </w:r>
          </w:p>
        </w:tc>
        <w:tc>
          <w:tcPr>
            <w:tcW w:w="990" w:type="dxa"/>
            <w:tcBorders>
              <w:top w:val="nil"/>
              <w:left w:val="nil"/>
              <w:bottom w:val="nil"/>
              <w:right w:val="double" w:sz="4" w:space="0" w:color="auto"/>
            </w:tcBorders>
            <w:shd w:val="clear" w:color="000000" w:fill="FFFFFF"/>
            <w:noWrap/>
            <w:vAlign w:val="center"/>
            <w:hideMark/>
          </w:tcPr>
          <w:p w14:paraId="2B5DC148" w14:textId="77777777" w:rsidR="00E64E20" w:rsidRPr="00F01655" w:rsidRDefault="00E64E20">
            <w:pPr>
              <w:jc w:val="right"/>
              <w:rPr>
                <w:color w:val="000000"/>
                <w:sz w:val="19"/>
                <w:szCs w:val="19"/>
              </w:rPr>
            </w:pPr>
            <w:r w:rsidRPr="00F01655">
              <w:rPr>
                <w:color w:val="000000"/>
                <w:sz w:val="19"/>
                <w:szCs w:val="19"/>
              </w:rPr>
              <w:t>5.6%</w:t>
            </w:r>
          </w:p>
        </w:tc>
        <w:tc>
          <w:tcPr>
            <w:tcW w:w="2492" w:type="dxa"/>
            <w:vMerge/>
            <w:tcBorders>
              <w:top w:val="nil"/>
              <w:left w:val="double" w:sz="4" w:space="0" w:color="auto"/>
              <w:bottom w:val="nil"/>
              <w:right w:val="nil"/>
            </w:tcBorders>
            <w:vAlign w:val="center"/>
            <w:hideMark/>
          </w:tcPr>
          <w:p w14:paraId="46CCB023" w14:textId="77777777" w:rsidR="00E64E20" w:rsidRPr="00F01655" w:rsidRDefault="00E64E20">
            <w:pPr>
              <w:rPr>
                <w:b/>
                <w:bCs/>
                <w:i/>
                <w:iCs/>
                <w:color w:val="000000"/>
                <w:sz w:val="19"/>
                <w:szCs w:val="19"/>
              </w:rPr>
            </w:pPr>
          </w:p>
        </w:tc>
        <w:tc>
          <w:tcPr>
            <w:tcW w:w="900" w:type="dxa"/>
            <w:vMerge/>
            <w:tcBorders>
              <w:top w:val="double" w:sz="6" w:space="0" w:color="auto"/>
              <w:left w:val="single" w:sz="8" w:space="0" w:color="auto"/>
              <w:bottom w:val="nil"/>
              <w:right w:val="single" w:sz="4" w:space="0" w:color="auto"/>
            </w:tcBorders>
            <w:vAlign w:val="center"/>
            <w:hideMark/>
          </w:tcPr>
          <w:p w14:paraId="358E0568" w14:textId="77777777" w:rsidR="00E64E20" w:rsidRPr="00F01655" w:rsidRDefault="00E64E20">
            <w:pPr>
              <w:rPr>
                <w:color w:val="000000"/>
                <w:sz w:val="19"/>
                <w:szCs w:val="19"/>
              </w:rPr>
            </w:pPr>
          </w:p>
        </w:tc>
        <w:tc>
          <w:tcPr>
            <w:tcW w:w="1080" w:type="dxa"/>
            <w:vMerge/>
            <w:tcBorders>
              <w:top w:val="nil"/>
              <w:left w:val="single" w:sz="4" w:space="0" w:color="auto"/>
              <w:bottom w:val="nil"/>
              <w:right w:val="double" w:sz="4" w:space="0" w:color="auto"/>
            </w:tcBorders>
            <w:vAlign w:val="center"/>
            <w:hideMark/>
          </w:tcPr>
          <w:p w14:paraId="247246B1" w14:textId="77777777" w:rsidR="00E64E20" w:rsidRPr="00F01655" w:rsidRDefault="00E64E20">
            <w:pPr>
              <w:rPr>
                <w:color w:val="000000"/>
                <w:sz w:val="19"/>
                <w:szCs w:val="19"/>
              </w:rPr>
            </w:pPr>
          </w:p>
        </w:tc>
      </w:tr>
      <w:tr w:rsidR="003D4A3F" w:rsidRPr="00F01655" w14:paraId="5F4B7172" w14:textId="77777777" w:rsidTr="00313DF3">
        <w:trPr>
          <w:trHeight w:val="105"/>
        </w:trPr>
        <w:tc>
          <w:tcPr>
            <w:tcW w:w="2317" w:type="dxa"/>
            <w:tcBorders>
              <w:top w:val="nil"/>
              <w:left w:val="double" w:sz="4" w:space="0" w:color="auto"/>
              <w:bottom w:val="nil"/>
              <w:right w:val="single" w:sz="8" w:space="0" w:color="auto"/>
            </w:tcBorders>
            <w:shd w:val="clear" w:color="000000" w:fill="FFFFFF"/>
            <w:noWrap/>
            <w:vAlign w:val="center"/>
            <w:hideMark/>
          </w:tcPr>
          <w:p w14:paraId="03272DDD" w14:textId="77777777" w:rsidR="00E64E20" w:rsidRPr="00F01655" w:rsidRDefault="00E64E20">
            <w:pPr>
              <w:ind w:firstLineChars="100" w:firstLine="190"/>
              <w:rPr>
                <w:color w:val="000000"/>
                <w:sz w:val="19"/>
                <w:szCs w:val="19"/>
              </w:rPr>
            </w:pPr>
            <w:r w:rsidRPr="00F01655">
              <w:rPr>
                <w:color w:val="000000"/>
                <w:sz w:val="19"/>
                <w:szCs w:val="19"/>
              </w:rPr>
              <w:t>$100,000 to $149,999</w:t>
            </w:r>
          </w:p>
        </w:tc>
        <w:tc>
          <w:tcPr>
            <w:tcW w:w="810" w:type="dxa"/>
            <w:tcBorders>
              <w:top w:val="nil"/>
              <w:left w:val="nil"/>
              <w:bottom w:val="nil"/>
              <w:right w:val="single" w:sz="4" w:space="0" w:color="auto"/>
            </w:tcBorders>
            <w:shd w:val="clear" w:color="000000" w:fill="FFFFFF"/>
            <w:noWrap/>
            <w:vAlign w:val="center"/>
            <w:hideMark/>
          </w:tcPr>
          <w:p w14:paraId="11171722" w14:textId="77777777" w:rsidR="00E64E20" w:rsidRPr="00F01655" w:rsidRDefault="00E64E20">
            <w:pPr>
              <w:jc w:val="right"/>
              <w:rPr>
                <w:color w:val="000000"/>
                <w:sz w:val="19"/>
                <w:szCs w:val="19"/>
              </w:rPr>
            </w:pPr>
            <w:r w:rsidRPr="00F01655">
              <w:rPr>
                <w:color w:val="000000"/>
                <w:sz w:val="19"/>
                <w:szCs w:val="19"/>
              </w:rPr>
              <w:t>303</w:t>
            </w:r>
          </w:p>
        </w:tc>
        <w:tc>
          <w:tcPr>
            <w:tcW w:w="1000" w:type="dxa"/>
            <w:tcBorders>
              <w:top w:val="nil"/>
              <w:left w:val="nil"/>
              <w:bottom w:val="nil"/>
              <w:right w:val="double" w:sz="4" w:space="0" w:color="auto"/>
            </w:tcBorders>
            <w:shd w:val="clear" w:color="000000" w:fill="FFFFFF"/>
            <w:noWrap/>
            <w:vAlign w:val="center"/>
            <w:hideMark/>
          </w:tcPr>
          <w:p w14:paraId="3DDF2E66" w14:textId="77777777" w:rsidR="00E64E20" w:rsidRPr="00F01655" w:rsidRDefault="00E64E20">
            <w:pPr>
              <w:jc w:val="right"/>
              <w:rPr>
                <w:color w:val="000000"/>
                <w:sz w:val="19"/>
                <w:szCs w:val="19"/>
              </w:rPr>
            </w:pPr>
            <w:r w:rsidRPr="00F01655">
              <w:rPr>
                <w:color w:val="000000"/>
                <w:sz w:val="19"/>
                <w:szCs w:val="19"/>
              </w:rPr>
              <w:t>24.5%</w:t>
            </w:r>
          </w:p>
        </w:tc>
        <w:tc>
          <w:tcPr>
            <w:tcW w:w="2690" w:type="dxa"/>
            <w:tcBorders>
              <w:top w:val="nil"/>
              <w:left w:val="double" w:sz="4" w:space="0" w:color="auto"/>
              <w:bottom w:val="nil"/>
              <w:right w:val="single" w:sz="8" w:space="0" w:color="auto"/>
            </w:tcBorders>
            <w:shd w:val="clear" w:color="000000" w:fill="FFFFFF"/>
            <w:vAlign w:val="center"/>
            <w:hideMark/>
          </w:tcPr>
          <w:p w14:paraId="3603CEA1" w14:textId="77777777" w:rsidR="00E64E20" w:rsidRPr="00F01655" w:rsidRDefault="00E64E20">
            <w:pPr>
              <w:ind w:firstLineChars="100" w:firstLine="190"/>
              <w:rPr>
                <w:color w:val="000000"/>
                <w:sz w:val="19"/>
                <w:szCs w:val="19"/>
              </w:rPr>
            </w:pPr>
            <w:r w:rsidRPr="00F01655">
              <w:rPr>
                <w:color w:val="000000"/>
                <w:sz w:val="19"/>
                <w:szCs w:val="19"/>
              </w:rPr>
              <w:t>Transportation</w:t>
            </w:r>
          </w:p>
        </w:tc>
        <w:tc>
          <w:tcPr>
            <w:tcW w:w="748" w:type="dxa"/>
            <w:tcBorders>
              <w:top w:val="nil"/>
              <w:left w:val="nil"/>
              <w:bottom w:val="nil"/>
              <w:right w:val="single" w:sz="4" w:space="0" w:color="auto"/>
            </w:tcBorders>
            <w:shd w:val="clear" w:color="000000" w:fill="FFFFFF"/>
            <w:noWrap/>
            <w:vAlign w:val="center"/>
            <w:hideMark/>
          </w:tcPr>
          <w:p w14:paraId="4B1ACC95" w14:textId="77777777" w:rsidR="00E64E20" w:rsidRPr="00F01655" w:rsidRDefault="00E64E20">
            <w:pPr>
              <w:jc w:val="right"/>
              <w:rPr>
                <w:rFonts w:ascii="Times" w:hAnsi="Times" w:cs="Calibri"/>
                <w:color w:val="000000"/>
                <w:sz w:val="19"/>
                <w:szCs w:val="19"/>
              </w:rPr>
            </w:pPr>
            <w:r w:rsidRPr="00F01655">
              <w:rPr>
                <w:rFonts w:ascii="Times" w:hAnsi="Times" w:cs="Calibri"/>
                <w:color w:val="000000"/>
                <w:sz w:val="19"/>
                <w:szCs w:val="19"/>
              </w:rPr>
              <w:t>76</w:t>
            </w:r>
          </w:p>
        </w:tc>
        <w:tc>
          <w:tcPr>
            <w:tcW w:w="990" w:type="dxa"/>
            <w:tcBorders>
              <w:top w:val="nil"/>
              <w:left w:val="nil"/>
              <w:bottom w:val="nil"/>
              <w:right w:val="double" w:sz="4" w:space="0" w:color="auto"/>
            </w:tcBorders>
            <w:shd w:val="clear" w:color="000000" w:fill="FFFFFF"/>
            <w:noWrap/>
            <w:vAlign w:val="center"/>
            <w:hideMark/>
          </w:tcPr>
          <w:p w14:paraId="5E273EA7" w14:textId="77777777" w:rsidR="00E64E20" w:rsidRPr="00F01655" w:rsidRDefault="00E64E20">
            <w:pPr>
              <w:jc w:val="right"/>
              <w:rPr>
                <w:color w:val="000000"/>
                <w:sz w:val="19"/>
                <w:szCs w:val="19"/>
              </w:rPr>
            </w:pPr>
            <w:r w:rsidRPr="00F01655">
              <w:rPr>
                <w:color w:val="000000"/>
                <w:sz w:val="19"/>
                <w:szCs w:val="19"/>
              </w:rPr>
              <w:t>6.1%</w:t>
            </w:r>
          </w:p>
        </w:tc>
        <w:tc>
          <w:tcPr>
            <w:tcW w:w="2492" w:type="dxa"/>
            <w:vMerge w:val="restart"/>
            <w:tcBorders>
              <w:top w:val="nil"/>
              <w:left w:val="double" w:sz="4" w:space="0" w:color="auto"/>
              <w:bottom w:val="nil"/>
              <w:right w:val="single" w:sz="8" w:space="0" w:color="auto"/>
            </w:tcBorders>
            <w:shd w:val="clear" w:color="000000" w:fill="FFFFFF"/>
            <w:vAlign w:val="center"/>
            <w:hideMark/>
          </w:tcPr>
          <w:p w14:paraId="229B744C" w14:textId="77777777" w:rsidR="00E64E20" w:rsidRPr="00F01655" w:rsidRDefault="00E64E20">
            <w:pPr>
              <w:rPr>
                <w:b/>
                <w:bCs/>
                <w:color w:val="000000"/>
                <w:sz w:val="19"/>
                <w:szCs w:val="19"/>
              </w:rPr>
            </w:pPr>
            <w:r w:rsidRPr="00F01655">
              <w:rPr>
                <w:b/>
                <w:bCs/>
                <w:color w:val="000000"/>
                <w:sz w:val="19"/>
                <w:szCs w:val="19"/>
              </w:rPr>
              <w:t xml:space="preserve">Census Bureau-Designated Regions </w:t>
            </w:r>
          </w:p>
        </w:tc>
        <w:tc>
          <w:tcPr>
            <w:tcW w:w="900" w:type="dxa"/>
            <w:vMerge w:val="restart"/>
            <w:tcBorders>
              <w:top w:val="nil"/>
              <w:left w:val="nil"/>
              <w:bottom w:val="nil"/>
              <w:right w:val="nil"/>
            </w:tcBorders>
            <w:shd w:val="clear" w:color="000000" w:fill="FFFFFF"/>
            <w:noWrap/>
            <w:vAlign w:val="bottom"/>
            <w:hideMark/>
          </w:tcPr>
          <w:p w14:paraId="40C9431A" w14:textId="77777777" w:rsidR="00E64E20" w:rsidRPr="00F01655" w:rsidRDefault="00E64E20">
            <w:pPr>
              <w:jc w:val="center"/>
              <w:rPr>
                <w:color w:val="000000"/>
                <w:sz w:val="19"/>
                <w:szCs w:val="19"/>
              </w:rPr>
            </w:pPr>
            <w:r w:rsidRPr="00F01655">
              <w:rPr>
                <w:color w:val="000000"/>
                <w:sz w:val="19"/>
                <w:szCs w:val="19"/>
              </w:rPr>
              <w:t> </w:t>
            </w:r>
          </w:p>
        </w:tc>
        <w:tc>
          <w:tcPr>
            <w:tcW w:w="1080" w:type="dxa"/>
            <w:vMerge w:val="restart"/>
            <w:tcBorders>
              <w:top w:val="nil"/>
              <w:left w:val="single" w:sz="4" w:space="0" w:color="auto"/>
              <w:bottom w:val="nil"/>
              <w:right w:val="double" w:sz="4" w:space="0" w:color="auto"/>
            </w:tcBorders>
            <w:shd w:val="clear" w:color="000000" w:fill="FFFFFF"/>
            <w:noWrap/>
            <w:vAlign w:val="bottom"/>
            <w:hideMark/>
          </w:tcPr>
          <w:p w14:paraId="04201ED5" w14:textId="77777777" w:rsidR="00E64E20" w:rsidRPr="00F01655" w:rsidRDefault="00E64E20">
            <w:pPr>
              <w:jc w:val="center"/>
              <w:rPr>
                <w:color w:val="000000"/>
                <w:sz w:val="19"/>
                <w:szCs w:val="19"/>
              </w:rPr>
            </w:pPr>
            <w:r w:rsidRPr="00F01655">
              <w:rPr>
                <w:color w:val="000000"/>
                <w:sz w:val="19"/>
                <w:szCs w:val="19"/>
              </w:rPr>
              <w:t> </w:t>
            </w:r>
          </w:p>
        </w:tc>
      </w:tr>
      <w:tr w:rsidR="003D4A3F" w:rsidRPr="00F01655" w14:paraId="7DECF6EA" w14:textId="77777777" w:rsidTr="00313DF3">
        <w:trPr>
          <w:trHeight w:val="105"/>
        </w:trPr>
        <w:tc>
          <w:tcPr>
            <w:tcW w:w="2317" w:type="dxa"/>
            <w:tcBorders>
              <w:top w:val="nil"/>
              <w:left w:val="double" w:sz="4" w:space="0" w:color="auto"/>
              <w:bottom w:val="nil"/>
              <w:right w:val="single" w:sz="8" w:space="0" w:color="auto"/>
            </w:tcBorders>
            <w:shd w:val="clear" w:color="000000" w:fill="FFFFFF"/>
            <w:noWrap/>
            <w:vAlign w:val="center"/>
            <w:hideMark/>
          </w:tcPr>
          <w:p w14:paraId="6C4C18B9" w14:textId="77777777" w:rsidR="00E64E20" w:rsidRPr="00F01655" w:rsidRDefault="00E64E20">
            <w:pPr>
              <w:ind w:firstLineChars="100" w:firstLine="190"/>
              <w:rPr>
                <w:color w:val="000000"/>
                <w:sz w:val="19"/>
                <w:szCs w:val="19"/>
              </w:rPr>
            </w:pPr>
            <w:r w:rsidRPr="00F01655">
              <w:rPr>
                <w:color w:val="000000"/>
                <w:sz w:val="19"/>
                <w:szCs w:val="19"/>
              </w:rPr>
              <w:t>≥ $150,000</w:t>
            </w:r>
          </w:p>
        </w:tc>
        <w:tc>
          <w:tcPr>
            <w:tcW w:w="810" w:type="dxa"/>
            <w:tcBorders>
              <w:top w:val="nil"/>
              <w:left w:val="nil"/>
              <w:bottom w:val="nil"/>
              <w:right w:val="single" w:sz="4" w:space="0" w:color="auto"/>
            </w:tcBorders>
            <w:shd w:val="clear" w:color="000000" w:fill="FFFFFF"/>
            <w:noWrap/>
            <w:vAlign w:val="center"/>
            <w:hideMark/>
          </w:tcPr>
          <w:p w14:paraId="3E5D6A24" w14:textId="77777777" w:rsidR="00E64E20" w:rsidRPr="00F01655" w:rsidRDefault="00E64E20">
            <w:pPr>
              <w:jc w:val="right"/>
              <w:rPr>
                <w:color w:val="000000"/>
                <w:sz w:val="19"/>
                <w:szCs w:val="19"/>
              </w:rPr>
            </w:pPr>
            <w:r w:rsidRPr="00F01655">
              <w:rPr>
                <w:color w:val="000000"/>
                <w:sz w:val="19"/>
                <w:szCs w:val="19"/>
              </w:rPr>
              <w:t>290</w:t>
            </w:r>
          </w:p>
        </w:tc>
        <w:tc>
          <w:tcPr>
            <w:tcW w:w="1000" w:type="dxa"/>
            <w:tcBorders>
              <w:top w:val="nil"/>
              <w:left w:val="nil"/>
              <w:bottom w:val="nil"/>
              <w:right w:val="double" w:sz="4" w:space="0" w:color="auto"/>
            </w:tcBorders>
            <w:shd w:val="clear" w:color="000000" w:fill="FFFFFF"/>
            <w:noWrap/>
            <w:vAlign w:val="center"/>
            <w:hideMark/>
          </w:tcPr>
          <w:p w14:paraId="20BDC783" w14:textId="77777777" w:rsidR="00E64E20" w:rsidRPr="00F01655" w:rsidRDefault="00E64E20">
            <w:pPr>
              <w:jc w:val="right"/>
              <w:rPr>
                <w:color w:val="000000"/>
                <w:sz w:val="19"/>
                <w:szCs w:val="19"/>
              </w:rPr>
            </w:pPr>
            <w:r w:rsidRPr="00F01655">
              <w:rPr>
                <w:color w:val="000000"/>
                <w:sz w:val="19"/>
                <w:szCs w:val="19"/>
              </w:rPr>
              <w:t>23.4%</w:t>
            </w:r>
          </w:p>
        </w:tc>
        <w:tc>
          <w:tcPr>
            <w:tcW w:w="2690" w:type="dxa"/>
            <w:tcBorders>
              <w:top w:val="nil"/>
              <w:left w:val="double" w:sz="4" w:space="0" w:color="auto"/>
              <w:bottom w:val="nil"/>
              <w:right w:val="single" w:sz="8" w:space="0" w:color="auto"/>
            </w:tcBorders>
            <w:shd w:val="clear" w:color="000000" w:fill="FFFFFF"/>
            <w:noWrap/>
            <w:vAlign w:val="center"/>
            <w:hideMark/>
          </w:tcPr>
          <w:p w14:paraId="2B9BBDAA" w14:textId="77777777" w:rsidR="00E64E20" w:rsidRPr="00F01655" w:rsidRDefault="00E64E20">
            <w:pPr>
              <w:rPr>
                <w:b/>
                <w:bCs/>
                <w:color w:val="000000"/>
                <w:sz w:val="19"/>
                <w:szCs w:val="19"/>
              </w:rPr>
            </w:pPr>
            <w:r w:rsidRPr="00F01655">
              <w:rPr>
                <w:b/>
                <w:bCs/>
                <w:color w:val="000000"/>
                <w:sz w:val="19"/>
                <w:szCs w:val="19"/>
              </w:rPr>
              <w:t>Mode to Work</w:t>
            </w:r>
          </w:p>
        </w:tc>
        <w:tc>
          <w:tcPr>
            <w:tcW w:w="748" w:type="dxa"/>
            <w:tcBorders>
              <w:top w:val="nil"/>
              <w:left w:val="nil"/>
              <w:bottom w:val="nil"/>
              <w:right w:val="single" w:sz="4" w:space="0" w:color="auto"/>
            </w:tcBorders>
            <w:shd w:val="clear" w:color="000000" w:fill="FFFFFF"/>
            <w:noWrap/>
            <w:vAlign w:val="bottom"/>
            <w:hideMark/>
          </w:tcPr>
          <w:p w14:paraId="10C7EAC4" w14:textId="77777777" w:rsidR="00E64E20" w:rsidRPr="00F01655" w:rsidRDefault="00E64E20">
            <w:pPr>
              <w:jc w:val="right"/>
              <w:rPr>
                <w:color w:val="000000"/>
                <w:sz w:val="19"/>
                <w:szCs w:val="19"/>
              </w:rPr>
            </w:pPr>
            <w:r w:rsidRPr="00F01655">
              <w:rPr>
                <w:color w:val="000000"/>
                <w:sz w:val="19"/>
                <w:szCs w:val="19"/>
              </w:rPr>
              <w:t> </w:t>
            </w:r>
          </w:p>
        </w:tc>
        <w:tc>
          <w:tcPr>
            <w:tcW w:w="990" w:type="dxa"/>
            <w:tcBorders>
              <w:top w:val="nil"/>
              <w:left w:val="nil"/>
              <w:bottom w:val="nil"/>
              <w:right w:val="double" w:sz="4" w:space="0" w:color="auto"/>
            </w:tcBorders>
            <w:shd w:val="clear" w:color="000000" w:fill="FFFFFF"/>
            <w:noWrap/>
            <w:vAlign w:val="bottom"/>
            <w:hideMark/>
          </w:tcPr>
          <w:p w14:paraId="60862A08" w14:textId="77777777" w:rsidR="00E64E20" w:rsidRPr="00F01655" w:rsidRDefault="00E64E20">
            <w:pPr>
              <w:jc w:val="right"/>
              <w:rPr>
                <w:color w:val="000000"/>
                <w:sz w:val="19"/>
                <w:szCs w:val="19"/>
              </w:rPr>
            </w:pPr>
            <w:r w:rsidRPr="00F01655">
              <w:rPr>
                <w:color w:val="000000"/>
                <w:sz w:val="19"/>
                <w:szCs w:val="19"/>
              </w:rPr>
              <w:t> </w:t>
            </w:r>
          </w:p>
        </w:tc>
        <w:tc>
          <w:tcPr>
            <w:tcW w:w="2492" w:type="dxa"/>
            <w:vMerge/>
            <w:tcBorders>
              <w:top w:val="nil"/>
              <w:left w:val="double" w:sz="4" w:space="0" w:color="auto"/>
              <w:bottom w:val="nil"/>
              <w:right w:val="single" w:sz="8" w:space="0" w:color="auto"/>
            </w:tcBorders>
            <w:vAlign w:val="center"/>
            <w:hideMark/>
          </w:tcPr>
          <w:p w14:paraId="16076407" w14:textId="77777777" w:rsidR="00E64E20" w:rsidRPr="00F01655" w:rsidRDefault="00E64E20">
            <w:pPr>
              <w:rPr>
                <w:b/>
                <w:bCs/>
                <w:color w:val="000000"/>
                <w:sz w:val="19"/>
                <w:szCs w:val="19"/>
              </w:rPr>
            </w:pPr>
          </w:p>
        </w:tc>
        <w:tc>
          <w:tcPr>
            <w:tcW w:w="900" w:type="dxa"/>
            <w:vMerge/>
            <w:tcBorders>
              <w:top w:val="nil"/>
              <w:left w:val="nil"/>
              <w:bottom w:val="nil"/>
              <w:right w:val="nil"/>
            </w:tcBorders>
            <w:vAlign w:val="center"/>
            <w:hideMark/>
          </w:tcPr>
          <w:p w14:paraId="34952255" w14:textId="77777777" w:rsidR="00E64E20" w:rsidRPr="00F01655" w:rsidRDefault="00E64E20">
            <w:pPr>
              <w:rPr>
                <w:color w:val="000000"/>
                <w:sz w:val="19"/>
                <w:szCs w:val="19"/>
              </w:rPr>
            </w:pPr>
          </w:p>
        </w:tc>
        <w:tc>
          <w:tcPr>
            <w:tcW w:w="1080" w:type="dxa"/>
            <w:vMerge/>
            <w:tcBorders>
              <w:top w:val="nil"/>
              <w:left w:val="single" w:sz="4" w:space="0" w:color="auto"/>
              <w:right w:val="double" w:sz="4" w:space="0" w:color="auto"/>
            </w:tcBorders>
            <w:vAlign w:val="center"/>
            <w:hideMark/>
          </w:tcPr>
          <w:p w14:paraId="5852DCC9" w14:textId="77777777" w:rsidR="00E64E20" w:rsidRPr="00F01655" w:rsidRDefault="00E64E20">
            <w:pPr>
              <w:rPr>
                <w:color w:val="000000"/>
                <w:sz w:val="19"/>
                <w:szCs w:val="19"/>
              </w:rPr>
            </w:pPr>
          </w:p>
        </w:tc>
      </w:tr>
      <w:tr w:rsidR="003D4A3F" w:rsidRPr="00F01655" w14:paraId="2A0AE38E" w14:textId="77777777" w:rsidTr="00313DF3">
        <w:trPr>
          <w:trHeight w:val="105"/>
        </w:trPr>
        <w:tc>
          <w:tcPr>
            <w:tcW w:w="2317" w:type="dxa"/>
            <w:tcBorders>
              <w:top w:val="nil"/>
              <w:left w:val="double" w:sz="4" w:space="0" w:color="auto"/>
              <w:bottom w:val="nil"/>
              <w:right w:val="nil"/>
            </w:tcBorders>
            <w:shd w:val="clear" w:color="000000" w:fill="FFFFFF"/>
            <w:noWrap/>
            <w:vAlign w:val="center"/>
            <w:hideMark/>
          </w:tcPr>
          <w:p w14:paraId="06C95E6E" w14:textId="77777777" w:rsidR="00E64E20" w:rsidRPr="00F01655" w:rsidRDefault="00E64E20">
            <w:pPr>
              <w:rPr>
                <w:b/>
                <w:bCs/>
                <w:color w:val="000000"/>
                <w:sz w:val="19"/>
                <w:szCs w:val="19"/>
              </w:rPr>
            </w:pPr>
            <w:r w:rsidRPr="00F01655">
              <w:rPr>
                <w:b/>
                <w:bCs/>
                <w:color w:val="000000"/>
                <w:sz w:val="19"/>
                <w:szCs w:val="19"/>
              </w:rPr>
              <w:t>Household Size</w:t>
            </w:r>
          </w:p>
        </w:tc>
        <w:tc>
          <w:tcPr>
            <w:tcW w:w="810" w:type="dxa"/>
            <w:tcBorders>
              <w:top w:val="nil"/>
              <w:left w:val="single" w:sz="8" w:space="0" w:color="auto"/>
              <w:bottom w:val="nil"/>
              <w:right w:val="single" w:sz="4" w:space="0" w:color="auto"/>
            </w:tcBorders>
            <w:shd w:val="clear" w:color="000000" w:fill="FFFFFF"/>
            <w:noWrap/>
            <w:vAlign w:val="center"/>
            <w:hideMark/>
          </w:tcPr>
          <w:p w14:paraId="76385954" w14:textId="77777777" w:rsidR="00E64E20" w:rsidRPr="00F01655" w:rsidRDefault="00E64E20">
            <w:pPr>
              <w:jc w:val="right"/>
              <w:rPr>
                <w:color w:val="000000"/>
                <w:sz w:val="19"/>
                <w:szCs w:val="19"/>
              </w:rPr>
            </w:pPr>
            <w:r w:rsidRPr="00F01655">
              <w:rPr>
                <w:color w:val="000000"/>
                <w:sz w:val="19"/>
                <w:szCs w:val="19"/>
              </w:rPr>
              <w:t> </w:t>
            </w:r>
          </w:p>
        </w:tc>
        <w:tc>
          <w:tcPr>
            <w:tcW w:w="1000" w:type="dxa"/>
            <w:tcBorders>
              <w:top w:val="nil"/>
              <w:left w:val="nil"/>
              <w:bottom w:val="nil"/>
              <w:right w:val="double" w:sz="4" w:space="0" w:color="auto"/>
            </w:tcBorders>
            <w:shd w:val="clear" w:color="000000" w:fill="FFFFFF"/>
            <w:noWrap/>
            <w:vAlign w:val="center"/>
            <w:hideMark/>
          </w:tcPr>
          <w:p w14:paraId="6AC7F4A2" w14:textId="77777777" w:rsidR="00E64E20" w:rsidRPr="00F01655" w:rsidRDefault="00E64E20">
            <w:pPr>
              <w:jc w:val="right"/>
              <w:rPr>
                <w:color w:val="000000"/>
                <w:sz w:val="19"/>
                <w:szCs w:val="19"/>
              </w:rPr>
            </w:pPr>
            <w:r w:rsidRPr="00F01655">
              <w:rPr>
                <w:color w:val="000000"/>
                <w:sz w:val="19"/>
                <w:szCs w:val="19"/>
              </w:rPr>
              <w:t> </w:t>
            </w:r>
          </w:p>
        </w:tc>
        <w:tc>
          <w:tcPr>
            <w:tcW w:w="2690" w:type="dxa"/>
            <w:tcBorders>
              <w:top w:val="nil"/>
              <w:left w:val="double" w:sz="4" w:space="0" w:color="auto"/>
              <w:bottom w:val="nil"/>
              <w:right w:val="single" w:sz="8" w:space="0" w:color="auto"/>
            </w:tcBorders>
            <w:shd w:val="clear" w:color="000000" w:fill="FFFFFF"/>
            <w:noWrap/>
            <w:vAlign w:val="center"/>
            <w:hideMark/>
          </w:tcPr>
          <w:p w14:paraId="1400D447" w14:textId="77777777" w:rsidR="00E64E20" w:rsidRPr="00F01655" w:rsidRDefault="00E64E20">
            <w:pPr>
              <w:ind w:firstLineChars="100" w:firstLine="190"/>
              <w:rPr>
                <w:color w:val="000000"/>
                <w:sz w:val="19"/>
                <w:szCs w:val="19"/>
              </w:rPr>
            </w:pPr>
            <w:r w:rsidRPr="00F01655">
              <w:rPr>
                <w:color w:val="000000"/>
                <w:sz w:val="19"/>
                <w:szCs w:val="19"/>
              </w:rPr>
              <w:t>Private Vehicle</w:t>
            </w:r>
          </w:p>
        </w:tc>
        <w:tc>
          <w:tcPr>
            <w:tcW w:w="748" w:type="dxa"/>
            <w:tcBorders>
              <w:top w:val="nil"/>
              <w:left w:val="nil"/>
              <w:bottom w:val="nil"/>
              <w:right w:val="single" w:sz="4" w:space="0" w:color="auto"/>
            </w:tcBorders>
            <w:shd w:val="clear" w:color="000000" w:fill="FFFFFF"/>
            <w:noWrap/>
            <w:vAlign w:val="center"/>
            <w:hideMark/>
          </w:tcPr>
          <w:p w14:paraId="7EDC7125" w14:textId="77777777" w:rsidR="00E64E20" w:rsidRPr="00F01655" w:rsidRDefault="00E64E20">
            <w:pPr>
              <w:jc w:val="right"/>
              <w:rPr>
                <w:color w:val="000000"/>
                <w:sz w:val="19"/>
                <w:szCs w:val="19"/>
              </w:rPr>
            </w:pPr>
            <w:r w:rsidRPr="00F01655">
              <w:rPr>
                <w:color w:val="000000"/>
                <w:sz w:val="19"/>
                <w:szCs w:val="19"/>
              </w:rPr>
              <w:t>999</w:t>
            </w:r>
          </w:p>
        </w:tc>
        <w:tc>
          <w:tcPr>
            <w:tcW w:w="990" w:type="dxa"/>
            <w:tcBorders>
              <w:top w:val="nil"/>
              <w:left w:val="nil"/>
              <w:bottom w:val="nil"/>
              <w:right w:val="double" w:sz="4" w:space="0" w:color="auto"/>
            </w:tcBorders>
            <w:shd w:val="clear" w:color="000000" w:fill="FFFFFF"/>
            <w:noWrap/>
            <w:vAlign w:val="center"/>
            <w:hideMark/>
          </w:tcPr>
          <w:p w14:paraId="69ED91F9" w14:textId="77777777" w:rsidR="00E64E20" w:rsidRPr="00F01655" w:rsidRDefault="00E64E20">
            <w:pPr>
              <w:jc w:val="right"/>
              <w:rPr>
                <w:color w:val="000000"/>
                <w:sz w:val="19"/>
                <w:szCs w:val="19"/>
              </w:rPr>
            </w:pPr>
            <w:r w:rsidRPr="00F01655">
              <w:rPr>
                <w:color w:val="000000"/>
                <w:sz w:val="19"/>
                <w:szCs w:val="19"/>
              </w:rPr>
              <w:t>80.6%</w:t>
            </w:r>
          </w:p>
        </w:tc>
        <w:tc>
          <w:tcPr>
            <w:tcW w:w="2492" w:type="dxa"/>
            <w:tcBorders>
              <w:top w:val="nil"/>
              <w:left w:val="double" w:sz="4" w:space="0" w:color="auto"/>
              <w:bottom w:val="nil"/>
              <w:right w:val="nil"/>
            </w:tcBorders>
            <w:shd w:val="clear" w:color="000000" w:fill="FFFFFF"/>
            <w:vAlign w:val="center"/>
            <w:hideMark/>
          </w:tcPr>
          <w:p w14:paraId="5A05EF46" w14:textId="77777777" w:rsidR="00E64E20" w:rsidRPr="00F01655" w:rsidRDefault="00E64E20">
            <w:pPr>
              <w:ind w:firstLineChars="100" w:firstLine="190"/>
              <w:rPr>
                <w:color w:val="000000"/>
                <w:sz w:val="19"/>
                <w:szCs w:val="19"/>
              </w:rPr>
            </w:pPr>
            <w:r w:rsidRPr="00F01655">
              <w:rPr>
                <w:color w:val="000000"/>
                <w:sz w:val="19"/>
                <w:szCs w:val="19"/>
              </w:rPr>
              <w:t>Midwest</w:t>
            </w:r>
          </w:p>
        </w:tc>
        <w:tc>
          <w:tcPr>
            <w:tcW w:w="900" w:type="dxa"/>
            <w:tcBorders>
              <w:top w:val="nil"/>
              <w:left w:val="single" w:sz="8" w:space="0" w:color="auto"/>
              <w:bottom w:val="nil"/>
              <w:right w:val="nil"/>
            </w:tcBorders>
            <w:shd w:val="clear" w:color="000000" w:fill="FFFFFF"/>
            <w:noWrap/>
            <w:vAlign w:val="bottom"/>
            <w:hideMark/>
          </w:tcPr>
          <w:p w14:paraId="30B926E6" w14:textId="77777777" w:rsidR="00E64E20" w:rsidRPr="00F01655" w:rsidRDefault="00E64E20">
            <w:pPr>
              <w:jc w:val="right"/>
              <w:rPr>
                <w:color w:val="000000"/>
                <w:sz w:val="19"/>
                <w:szCs w:val="19"/>
              </w:rPr>
            </w:pPr>
            <w:r w:rsidRPr="00F01655">
              <w:rPr>
                <w:color w:val="000000"/>
                <w:sz w:val="19"/>
                <w:szCs w:val="19"/>
              </w:rPr>
              <w:t>262</w:t>
            </w:r>
          </w:p>
        </w:tc>
        <w:tc>
          <w:tcPr>
            <w:tcW w:w="1080" w:type="dxa"/>
            <w:tcBorders>
              <w:top w:val="nil"/>
              <w:left w:val="single" w:sz="4" w:space="0" w:color="auto"/>
              <w:bottom w:val="nil"/>
              <w:right w:val="double" w:sz="4" w:space="0" w:color="auto"/>
            </w:tcBorders>
            <w:shd w:val="clear" w:color="000000" w:fill="FFFFFF"/>
            <w:noWrap/>
            <w:vAlign w:val="bottom"/>
            <w:hideMark/>
          </w:tcPr>
          <w:p w14:paraId="4A16108F" w14:textId="77777777" w:rsidR="00E64E20" w:rsidRPr="00F01655" w:rsidRDefault="00E64E20">
            <w:pPr>
              <w:jc w:val="right"/>
              <w:rPr>
                <w:color w:val="000000"/>
                <w:sz w:val="19"/>
                <w:szCs w:val="19"/>
              </w:rPr>
            </w:pPr>
            <w:r w:rsidRPr="00F01655">
              <w:rPr>
                <w:color w:val="000000"/>
                <w:sz w:val="19"/>
                <w:szCs w:val="19"/>
              </w:rPr>
              <w:t>21.1%</w:t>
            </w:r>
          </w:p>
        </w:tc>
      </w:tr>
      <w:tr w:rsidR="003D4A3F" w:rsidRPr="00F01655" w14:paraId="569413B4" w14:textId="77777777" w:rsidTr="00313DF3">
        <w:trPr>
          <w:trHeight w:val="105"/>
        </w:trPr>
        <w:tc>
          <w:tcPr>
            <w:tcW w:w="2317" w:type="dxa"/>
            <w:tcBorders>
              <w:top w:val="nil"/>
              <w:left w:val="double" w:sz="4" w:space="0" w:color="auto"/>
              <w:bottom w:val="nil"/>
              <w:right w:val="nil"/>
            </w:tcBorders>
            <w:shd w:val="clear" w:color="000000" w:fill="FFFFFF"/>
            <w:noWrap/>
            <w:vAlign w:val="center"/>
            <w:hideMark/>
          </w:tcPr>
          <w:p w14:paraId="7145DDD2" w14:textId="77777777" w:rsidR="00E64E20" w:rsidRPr="00F01655" w:rsidRDefault="00E64E20">
            <w:pPr>
              <w:ind w:firstLineChars="100" w:firstLine="190"/>
              <w:rPr>
                <w:color w:val="000000"/>
                <w:sz w:val="19"/>
                <w:szCs w:val="19"/>
              </w:rPr>
            </w:pPr>
            <w:r w:rsidRPr="00F01655">
              <w:rPr>
                <w:color w:val="000000"/>
                <w:sz w:val="19"/>
                <w:szCs w:val="19"/>
              </w:rPr>
              <w:t>1</w:t>
            </w:r>
          </w:p>
        </w:tc>
        <w:tc>
          <w:tcPr>
            <w:tcW w:w="810" w:type="dxa"/>
            <w:tcBorders>
              <w:top w:val="nil"/>
              <w:left w:val="single" w:sz="8" w:space="0" w:color="auto"/>
              <w:bottom w:val="nil"/>
              <w:right w:val="single" w:sz="4" w:space="0" w:color="auto"/>
            </w:tcBorders>
            <w:shd w:val="clear" w:color="000000" w:fill="FFFFFF"/>
            <w:noWrap/>
            <w:vAlign w:val="center"/>
            <w:hideMark/>
          </w:tcPr>
          <w:p w14:paraId="205BB86D" w14:textId="77777777" w:rsidR="00E64E20" w:rsidRPr="00F01655" w:rsidRDefault="00E64E20">
            <w:pPr>
              <w:jc w:val="right"/>
              <w:rPr>
                <w:color w:val="000000"/>
                <w:sz w:val="19"/>
                <w:szCs w:val="19"/>
              </w:rPr>
            </w:pPr>
            <w:r w:rsidRPr="00F01655">
              <w:rPr>
                <w:color w:val="000000"/>
                <w:sz w:val="19"/>
                <w:szCs w:val="19"/>
              </w:rPr>
              <w:t>235</w:t>
            </w:r>
          </w:p>
        </w:tc>
        <w:tc>
          <w:tcPr>
            <w:tcW w:w="1000" w:type="dxa"/>
            <w:tcBorders>
              <w:top w:val="nil"/>
              <w:left w:val="nil"/>
              <w:bottom w:val="nil"/>
              <w:right w:val="double" w:sz="4" w:space="0" w:color="auto"/>
            </w:tcBorders>
            <w:shd w:val="clear" w:color="000000" w:fill="FFFFFF"/>
            <w:noWrap/>
            <w:vAlign w:val="center"/>
            <w:hideMark/>
          </w:tcPr>
          <w:p w14:paraId="79BF003E" w14:textId="77777777" w:rsidR="00E64E20" w:rsidRPr="00F01655" w:rsidRDefault="00E64E20">
            <w:pPr>
              <w:jc w:val="right"/>
              <w:rPr>
                <w:color w:val="000000"/>
                <w:sz w:val="19"/>
                <w:szCs w:val="19"/>
              </w:rPr>
            </w:pPr>
            <w:r w:rsidRPr="00F01655">
              <w:rPr>
                <w:color w:val="000000"/>
                <w:sz w:val="19"/>
                <w:szCs w:val="19"/>
              </w:rPr>
              <w:t>19.0%</w:t>
            </w:r>
          </w:p>
        </w:tc>
        <w:tc>
          <w:tcPr>
            <w:tcW w:w="2690" w:type="dxa"/>
            <w:tcBorders>
              <w:top w:val="nil"/>
              <w:left w:val="double" w:sz="4" w:space="0" w:color="auto"/>
              <w:bottom w:val="nil"/>
              <w:right w:val="single" w:sz="8" w:space="0" w:color="auto"/>
            </w:tcBorders>
            <w:shd w:val="clear" w:color="000000" w:fill="FFFFFF"/>
            <w:noWrap/>
            <w:vAlign w:val="center"/>
            <w:hideMark/>
          </w:tcPr>
          <w:p w14:paraId="2F7931C7" w14:textId="77777777" w:rsidR="00E64E20" w:rsidRPr="00F01655" w:rsidRDefault="00E64E20">
            <w:pPr>
              <w:ind w:firstLineChars="100" w:firstLine="190"/>
              <w:rPr>
                <w:color w:val="000000"/>
                <w:sz w:val="19"/>
                <w:szCs w:val="19"/>
              </w:rPr>
            </w:pPr>
            <w:r w:rsidRPr="00F01655">
              <w:rPr>
                <w:color w:val="000000"/>
                <w:sz w:val="19"/>
                <w:szCs w:val="19"/>
              </w:rPr>
              <w:t>Public Transit</w:t>
            </w:r>
          </w:p>
        </w:tc>
        <w:tc>
          <w:tcPr>
            <w:tcW w:w="748" w:type="dxa"/>
            <w:tcBorders>
              <w:top w:val="nil"/>
              <w:left w:val="nil"/>
              <w:bottom w:val="nil"/>
              <w:right w:val="single" w:sz="4" w:space="0" w:color="auto"/>
            </w:tcBorders>
            <w:shd w:val="clear" w:color="000000" w:fill="FFFFFF"/>
            <w:noWrap/>
            <w:vAlign w:val="center"/>
            <w:hideMark/>
          </w:tcPr>
          <w:p w14:paraId="57775E75" w14:textId="77777777" w:rsidR="00E64E20" w:rsidRPr="00F01655" w:rsidRDefault="00E64E20">
            <w:pPr>
              <w:jc w:val="right"/>
              <w:rPr>
                <w:color w:val="000000"/>
                <w:sz w:val="19"/>
                <w:szCs w:val="19"/>
              </w:rPr>
            </w:pPr>
            <w:r w:rsidRPr="00F01655">
              <w:rPr>
                <w:color w:val="000000"/>
                <w:sz w:val="19"/>
                <w:szCs w:val="19"/>
              </w:rPr>
              <w:t>140</w:t>
            </w:r>
          </w:p>
        </w:tc>
        <w:tc>
          <w:tcPr>
            <w:tcW w:w="990" w:type="dxa"/>
            <w:tcBorders>
              <w:top w:val="nil"/>
              <w:left w:val="nil"/>
              <w:bottom w:val="nil"/>
              <w:right w:val="double" w:sz="4" w:space="0" w:color="auto"/>
            </w:tcBorders>
            <w:shd w:val="clear" w:color="000000" w:fill="FFFFFF"/>
            <w:noWrap/>
            <w:vAlign w:val="center"/>
            <w:hideMark/>
          </w:tcPr>
          <w:p w14:paraId="196F8D11" w14:textId="77777777" w:rsidR="00E64E20" w:rsidRPr="00F01655" w:rsidRDefault="00E64E20">
            <w:pPr>
              <w:jc w:val="right"/>
              <w:rPr>
                <w:color w:val="000000"/>
                <w:sz w:val="19"/>
                <w:szCs w:val="19"/>
              </w:rPr>
            </w:pPr>
            <w:r w:rsidRPr="00F01655">
              <w:rPr>
                <w:color w:val="000000"/>
                <w:sz w:val="19"/>
                <w:szCs w:val="19"/>
              </w:rPr>
              <w:t>11.3%</w:t>
            </w:r>
          </w:p>
        </w:tc>
        <w:tc>
          <w:tcPr>
            <w:tcW w:w="2492" w:type="dxa"/>
            <w:tcBorders>
              <w:top w:val="nil"/>
              <w:left w:val="double" w:sz="4" w:space="0" w:color="auto"/>
              <w:bottom w:val="nil"/>
              <w:right w:val="nil"/>
            </w:tcBorders>
            <w:shd w:val="clear" w:color="000000" w:fill="FFFFFF"/>
            <w:vAlign w:val="center"/>
            <w:hideMark/>
          </w:tcPr>
          <w:p w14:paraId="6783817E" w14:textId="77777777" w:rsidR="00E64E20" w:rsidRPr="00F01655" w:rsidRDefault="00E64E20">
            <w:pPr>
              <w:ind w:firstLineChars="100" w:firstLine="190"/>
              <w:rPr>
                <w:color w:val="000000"/>
                <w:sz w:val="19"/>
                <w:szCs w:val="19"/>
              </w:rPr>
            </w:pPr>
            <w:r w:rsidRPr="00F01655">
              <w:rPr>
                <w:color w:val="000000"/>
                <w:sz w:val="19"/>
                <w:szCs w:val="19"/>
              </w:rPr>
              <w:t>Northeast</w:t>
            </w:r>
          </w:p>
        </w:tc>
        <w:tc>
          <w:tcPr>
            <w:tcW w:w="900" w:type="dxa"/>
            <w:tcBorders>
              <w:top w:val="nil"/>
              <w:left w:val="single" w:sz="8" w:space="0" w:color="auto"/>
              <w:bottom w:val="nil"/>
              <w:right w:val="single" w:sz="4" w:space="0" w:color="auto"/>
            </w:tcBorders>
            <w:shd w:val="clear" w:color="000000" w:fill="FFFFFF"/>
            <w:noWrap/>
            <w:vAlign w:val="bottom"/>
            <w:hideMark/>
          </w:tcPr>
          <w:p w14:paraId="3B0BA114" w14:textId="77777777" w:rsidR="00E64E20" w:rsidRPr="00F01655" w:rsidRDefault="00E64E20">
            <w:pPr>
              <w:jc w:val="right"/>
              <w:rPr>
                <w:color w:val="000000"/>
                <w:sz w:val="19"/>
                <w:szCs w:val="19"/>
              </w:rPr>
            </w:pPr>
            <w:r w:rsidRPr="00F01655">
              <w:rPr>
                <w:color w:val="000000"/>
                <w:sz w:val="19"/>
                <w:szCs w:val="19"/>
              </w:rPr>
              <w:t>161</w:t>
            </w:r>
          </w:p>
        </w:tc>
        <w:tc>
          <w:tcPr>
            <w:tcW w:w="1080" w:type="dxa"/>
            <w:tcBorders>
              <w:top w:val="nil"/>
              <w:left w:val="nil"/>
              <w:bottom w:val="nil"/>
              <w:right w:val="double" w:sz="4" w:space="0" w:color="auto"/>
            </w:tcBorders>
            <w:shd w:val="clear" w:color="000000" w:fill="FFFFFF"/>
            <w:noWrap/>
            <w:vAlign w:val="bottom"/>
            <w:hideMark/>
          </w:tcPr>
          <w:p w14:paraId="482F6218" w14:textId="77777777" w:rsidR="00E64E20" w:rsidRPr="00F01655" w:rsidRDefault="00E64E20">
            <w:pPr>
              <w:jc w:val="right"/>
              <w:rPr>
                <w:color w:val="000000"/>
                <w:sz w:val="19"/>
                <w:szCs w:val="19"/>
              </w:rPr>
            </w:pPr>
            <w:r w:rsidRPr="00F01655">
              <w:rPr>
                <w:color w:val="000000"/>
                <w:sz w:val="19"/>
                <w:szCs w:val="19"/>
              </w:rPr>
              <w:t>13.0%</w:t>
            </w:r>
          </w:p>
        </w:tc>
      </w:tr>
      <w:tr w:rsidR="003D4A3F" w:rsidRPr="00F01655" w14:paraId="75CF50AE" w14:textId="77777777" w:rsidTr="00313DF3">
        <w:trPr>
          <w:trHeight w:val="105"/>
        </w:trPr>
        <w:tc>
          <w:tcPr>
            <w:tcW w:w="2317" w:type="dxa"/>
            <w:tcBorders>
              <w:top w:val="nil"/>
              <w:left w:val="double" w:sz="4" w:space="0" w:color="auto"/>
              <w:bottom w:val="nil"/>
              <w:right w:val="single" w:sz="8" w:space="0" w:color="auto"/>
            </w:tcBorders>
            <w:shd w:val="clear" w:color="000000" w:fill="FFFFFF"/>
            <w:noWrap/>
            <w:vAlign w:val="center"/>
            <w:hideMark/>
          </w:tcPr>
          <w:p w14:paraId="26B84595" w14:textId="77777777" w:rsidR="00E64E20" w:rsidRPr="00F01655" w:rsidRDefault="00E64E20">
            <w:pPr>
              <w:ind w:firstLineChars="100" w:firstLine="190"/>
              <w:rPr>
                <w:color w:val="000000"/>
                <w:sz w:val="19"/>
                <w:szCs w:val="19"/>
              </w:rPr>
            </w:pPr>
            <w:r w:rsidRPr="00F01655">
              <w:rPr>
                <w:color w:val="000000"/>
                <w:sz w:val="19"/>
                <w:szCs w:val="19"/>
              </w:rPr>
              <w:t>2</w:t>
            </w:r>
          </w:p>
        </w:tc>
        <w:tc>
          <w:tcPr>
            <w:tcW w:w="810" w:type="dxa"/>
            <w:tcBorders>
              <w:top w:val="nil"/>
              <w:left w:val="nil"/>
              <w:bottom w:val="nil"/>
              <w:right w:val="nil"/>
            </w:tcBorders>
            <w:shd w:val="clear" w:color="000000" w:fill="FFFFFF"/>
            <w:noWrap/>
            <w:vAlign w:val="center"/>
            <w:hideMark/>
          </w:tcPr>
          <w:p w14:paraId="06522293" w14:textId="77777777" w:rsidR="00E64E20" w:rsidRPr="00F01655" w:rsidRDefault="00E64E20">
            <w:pPr>
              <w:jc w:val="right"/>
              <w:rPr>
                <w:color w:val="000000"/>
                <w:sz w:val="19"/>
                <w:szCs w:val="19"/>
              </w:rPr>
            </w:pPr>
            <w:r w:rsidRPr="00F01655">
              <w:rPr>
                <w:color w:val="000000"/>
                <w:sz w:val="19"/>
                <w:szCs w:val="19"/>
              </w:rPr>
              <w:t>490</w:t>
            </w:r>
          </w:p>
        </w:tc>
        <w:tc>
          <w:tcPr>
            <w:tcW w:w="1000" w:type="dxa"/>
            <w:tcBorders>
              <w:top w:val="nil"/>
              <w:left w:val="single" w:sz="4" w:space="0" w:color="auto"/>
              <w:bottom w:val="nil"/>
              <w:right w:val="double" w:sz="4" w:space="0" w:color="auto"/>
            </w:tcBorders>
            <w:shd w:val="clear" w:color="000000" w:fill="FFFFFF"/>
            <w:noWrap/>
            <w:vAlign w:val="center"/>
            <w:hideMark/>
          </w:tcPr>
          <w:p w14:paraId="180512C8" w14:textId="77777777" w:rsidR="00E64E20" w:rsidRPr="00F01655" w:rsidRDefault="00E64E20">
            <w:pPr>
              <w:jc w:val="right"/>
              <w:rPr>
                <w:color w:val="000000"/>
                <w:sz w:val="19"/>
                <w:szCs w:val="19"/>
              </w:rPr>
            </w:pPr>
            <w:r w:rsidRPr="00F01655">
              <w:rPr>
                <w:color w:val="000000"/>
                <w:sz w:val="19"/>
                <w:szCs w:val="19"/>
              </w:rPr>
              <w:t>39.5%</w:t>
            </w:r>
          </w:p>
        </w:tc>
        <w:tc>
          <w:tcPr>
            <w:tcW w:w="2690" w:type="dxa"/>
            <w:tcBorders>
              <w:top w:val="nil"/>
              <w:left w:val="double" w:sz="4" w:space="0" w:color="auto"/>
              <w:bottom w:val="nil"/>
              <w:right w:val="single" w:sz="8" w:space="0" w:color="auto"/>
            </w:tcBorders>
            <w:shd w:val="clear" w:color="000000" w:fill="FFFFFF"/>
            <w:noWrap/>
            <w:vAlign w:val="center"/>
            <w:hideMark/>
          </w:tcPr>
          <w:p w14:paraId="15AE5109" w14:textId="77777777" w:rsidR="00E64E20" w:rsidRPr="00F01655" w:rsidRDefault="00E64E20">
            <w:pPr>
              <w:ind w:firstLineChars="100" w:firstLine="190"/>
              <w:rPr>
                <w:color w:val="000000"/>
                <w:sz w:val="19"/>
                <w:szCs w:val="19"/>
              </w:rPr>
            </w:pPr>
            <w:r w:rsidRPr="00F01655">
              <w:rPr>
                <w:color w:val="000000"/>
                <w:sz w:val="19"/>
                <w:szCs w:val="19"/>
              </w:rPr>
              <w:t>Bicycle/Scooter</w:t>
            </w:r>
          </w:p>
        </w:tc>
        <w:tc>
          <w:tcPr>
            <w:tcW w:w="748" w:type="dxa"/>
            <w:tcBorders>
              <w:top w:val="nil"/>
              <w:left w:val="nil"/>
              <w:bottom w:val="nil"/>
              <w:right w:val="single" w:sz="4" w:space="0" w:color="auto"/>
            </w:tcBorders>
            <w:shd w:val="clear" w:color="000000" w:fill="FFFFFF"/>
            <w:noWrap/>
            <w:vAlign w:val="center"/>
            <w:hideMark/>
          </w:tcPr>
          <w:p w14:paraId="5B677998" w14:textId="77777777" w:rsidR="00E64E20" w:rsidRPr="00F01655" w:rsidRDefault="00E64E20">
            <w:pPr>
              <w:jc w:val="right"/>
              <w:rPr>
                <w:color w:val="000000"/>
                <w:sz w:val="19"/>
                <w:szCs w:val="19"/>
              </w:rPr>
            </w:pPr>
            <w:r w:rsidRPr="00F01655">
              <w:rPr>
                <w:color w:val="000000"/>
                <w:sz w:val="19"/>
                <w:szCs w:val="19"/>
              </w:rPr>
              <w:t>53</w:t>
            </w:r>
          </w:p>
        </w:tc>
        <w:tc>
          <w:tcPr>
            <w:tcW w:w="990" w:type="dxa"/>
            <w:tcBorders>
              <w:top w:val="nil"/>
              <w:left w:val="nil"/>
              <w:bottom w:val="nil"/>
              <w:right w:val="double" w:sz="4" w:space="0" w:color="auto"/>
            </w:tcBorders>
            <w:shd w:val="clear" w:color="000000" w:fill="FFFFFF"/>
            <w:noWrap/>
            <w:vAlign w:val="center"/>
            <w:hideMark/>
          </w:tcPr>
          <w:p w14:paraId="2BB0A652" w14:textId="77777777" w:rsidR="00E64E20" w:rsidRPr="00F01655" w:rsidRDefault="00E64E20">
            <w:pPr>
              <w:jc w:val="right"/>
              <w:rPr>
                <w:color w:val="000000"/>
                <w:sz w:val="19"/>
                <w:szCs w:val="19"/>
              </w:rPr>
            </w:pPr>
            <w:r w:rsidRPr="00F01655">
              <w:rPr>
                <w:color w:val="000000"/>
                <w:sz w:val="19"/>
                <w:szCs w:val="19"/>
              </w:rPr>
              <w:t>4.3%</w:t>
            </w:r>
          </w:p>
        </w:tc>
        <w:tc>
          <w:tcPr>
            <w:tcW w:w="2492" w:type="dxa"/>
            <w:tcBorders>
              <w:top w:val="nil"/>
              <w:left w:val="double" w:sz="4" w:space="0" w:color="auto"/>
              <w:bottom w:val="nil"/>
              <w:right w:val="nil"/>
            </w:tcBorders>
            <w:shd w:val="clear" w:color="000000" w:fill="FFFFFF"/>
            <w:vAlign w:val="center"/>
            <w:hideMark/>
          </w:tcPr>
          <w:p w14:paraId="32E9530F" w14:textId="77777777" w:rsidR="00E64E20" w:rsidRPr="00F01655" w:rsidRDefault="00E64E20">
            <w:pPr>
              <w:ind w:firstLineChars="100" w:firstLine="190"/>
              <w:rPr>
                <w:color w:val="000000"/>
                <w:sz w:val="19"/>
                <w:szCs w:val="19"/>
              </w:rPr>
            </w:pPr>
            <w:r w:rsidRPr="00F01655">
              <w:rPr>
                <w:color w:val="000000"/>
                <w:sz w:val="19"/>
                <w:szCs w:val="19"/>
              </w:rPr>
              <w:t>South</w:t>
            </w:r>
          </w:p>
        </w:tc>
        <w:tc>
          <w:tcPr>
            <w:tcW w:w="900" w:type="dxa"/>
            <w:tcBorders>
              <w:top w:val="nil"/>
              <w:left w:val="single" w:sz="8" w:space="0" w:color="auto"/>
              <w:bottom w:val="nil"/>
              <w:right w:val="nil"/>
            </w:tcBorders>
            <w:shd w:val="clear" w:color="000000" w:fill="FFFFFF"/>
            <w:noWrap/>
            <w:vAlign w:val="bottom"/>
            <w:hideMark/>
          </w:tcPr>
          <w:p w14:paraId="3C2433ED" w14:textId="77777777" w:rsidR="00E64E20" w:rsidRPr="00F01655" w:rsidRDefault="00E64E20">
            <w:pPr>
              <w:jc w:val="right"/>
              <w:rPr>
                <w:color w:val="000000"/>
                <w:sz w:val="19"/>
                <w:szCs w:val="19"/>
              </w:rPr>
            </w:pPr>
            <w:r w:rsidRPr="00F01655">
              <w:rPr>
                <w:color w:val="000000"/>
                <w:sz w:val="19"/>
                <w:szCs w:val="19"/>
              </w:rPr>
              <w:t>301</w:t>
            </w:r>
          </w:p>
        </w:tc>
        <w:tc>
          <w:tcPr>
            <w:tcW w:w="1080" w:type="dxa"/>
            <w:tcBorders>
              <w:top w:val="nil"/>
              <w:left w:val="single" w:sz="4" w:space="0" w:color="auto"/>
              <w:bottom w:val="nil"/>
              <w:right w:val="double" w:sz="4" w:space="0" w:color="auto"/>
            </w:tcBorders>
            <w:shd w:val="clear" w:color="000000" w:fill="FFFFFF"/>
            <w:noWrap/>
            <w:vAlign w:val="bottom"/>
            <w:hideMark/>
          </w:tcPr>
          <w:p w14:paraId="53E8DDE4" w14:textId="77777777" w:rsidR="00E64E20" w:rsidRPr="00F01655" w:rsidRDefault="00E64E20">
            <w:pPr>
              <w:jc w:val="right"/>
              <w:rPr>
                <w:color w:val="000000"/>
                <w:sz w:val="19"/>
                <w:szCs w:val="19"/>
              </w:rPr>
            </w:pPr>
            <w:r w:rsidRPr="00F01655">
              <w:rPr>
                <w:color w:val="000000"/>
                <w:sz w:val="19"/>
                <w:szCs w:val="19"/>
              </w:rPr>
              <w:t>24.3%</w:t>
            </w:r>
          </w:p>
        </w:tc>
      </w:tr>
      <w:tr w:rsidR="003D4A3F" w:rsidRPr="00F01655" w14:paraId="5BFD8986" w14:textId="77777777" w:rsidTr="00313DF3">
        <w:trPr>
          <w:trHeight w:val="105"/>
        </w:trPr>
        <w:tc>
          <w:tcPr>
            <w:tcW w:w="2317" w:type="dxa"/>
            <w:tcBorders>
              <w:top w:val="nil"/>
              <w:left w:val="double" w:sz="4" w:space="0" w:color="auto"/>
              <w:bottom w:val="nil"/>
              <w:right w:val="nil"/>
            </w:tcBorders>
            <w:shd w:val="clear" w:color="000000" w:fill="FFFFFF"/>
            <w:noWrap/>
            <w:vAlign w:val="center"/>
            <w:hideMark/>
          </w:tcPr>
          <w:p w14:paraId="29EA9B97" w14:textId="77777777" w:rsidR="00E64E20" w:rsidRPr="00F01655" w:rsidRDefault="00E64E20">
            <w:pPr>
              <w:ind w:firstLineChars="100" w:firstLine="190"/>
              <w:rPr>
                <w:color w:val="000000"/>
                <w:sz w:val="19"/>
                <w:szCs w:val="19"/>
              </w:rPr>
            </w:pPr>
            <w:r w:rsidRPr="00F01655">
              <w:rPr>
                <w:color w:val="000000"/>
                <w:sz w:val="19"/>
                <w:szCs w:val="19"/>
              </w:rPr>
              <w:t>3</w:t>
            </w:r>
          </w:p>
        </w:tc>
        <w:tc>
          <w:tcPr>
            <w:tcW w:w="810" w:type="dxa"/>
            <w:tcBorders>
              <w:top w:val="nil"/>
              <w:left w:val="single" w:sz="8" w:space="0" w:color="auto"/>
              <w:bottom w:val="nil"/>
              <w:right w:val="nil"/>
            </w:tcBorders>
            <w:shd w:val="clear" w:color="000000" w:fill="FFFFFF"/>
            <w:noWrap/>
            <w:vAlign w:val="center"/>
            <w:hideMark/>
          </w:tcPr>
          <w:p w14:paraId="285FC13B" w14:textId="77777777" w:rsidR="00E64E20" w:rsidRPr="00F01655" w:rsidRDefault="00E64E20">
            <w:pPr>
              <w:jc w:val="right"/>
              <w:rPr>
                <w:color w:val="000000"/>
                <w:sz w:val="19"/>
                <w:szCs w:val="19"/>
              </w:rPr>
            </w:pPr>
            <w:r w:rsidRPr="00F01655">
              <w:rPr>
                <w:color w:val="000000"/>
                <w:sz w:val="19"/>
                <w:szCs w:val="19"/>
              </w:rPr>
              <w:t>223</w:t>
            </w:r>
          </w:p>
        </w:tc>
        <w:tc>
          <w:tcPr>
            <w:tcW w:w="1000" w:type="dxa"/>
            <w:tcBorders>
              <w:top w:val="nil"/>
              <w:left w:val="single" w:sz="4" w:space="0" w:color="auto"/>
              <w:bottom w:val="nil"/>
              <w:right w:val="double" w:sz="4" w:space="0" w:color="auto"/>
            </w:tcBorders>
            <w:shd w:val="clear" w:color="000000" w:fill="FFFFFF"/>
            <w:noWrap/>
            <w:vAlign w:val="center"/>
            <w:hideMark/>
          </w:tcPr>
          <w:p w14:paraId="7C84B1F2" w14:textId="77777777" w:rsidR="00E64E20" w:rsidRPr="00F01655" w:rsidRDefault="00E64E20">
            <w:pPr>
              <w:jc w:val="right"/>
              <w:rPr>
                <w:color w:val="000000"/>
                <w:sz w:val="19"/>
                <w:szCs w:val="19"/>
              </w:rPr>
            </w:pPr>
            <w:r w:rsidRPr="00F01655">
              <w:rPr>
                <w:color w:val="000000"/>
                <w:sz w:val="19"/>
                <w:szCs w:val="19"/>
              </w:rPr>
              <w:t>18.0%</w:t>
            </w:r>
          </w:p>
        </w:tc>
        <w:tc>
          <w:tcPr>
            <w:tcW w:w="2690" w:type="dxa"/>
            <w:tcBorders>
              <w:top w:val="nil"/>
              <w:left w:val="double" w:sz="4" w:space="0" w:color="auto"/>
              <w:bottom w:val="nil"/>
              <w:right w:val="single" w:sz="8" w:space="0" w:color="auto"/>
            </w:tcBorders>
            <w:shd w:val="clear" w:color="000000" w:fill="FFFFFF"/>
            <w:noWrap/>
            <w:vAlign w:val="center"/>
            <w:hideMark/>
          </w:tcPr>
          <w:p w14:paraId="09AB95FE" w14:textId="77777777" w:rsidR="00E64E20" w:rsidRPr="00F01655" w:rsidRDefault="00E64E20">
            <w:pPr>
              <w:ind w:firstLineChars="100" w:firstLine="190"/>
              <w:rPr>
                <w:color w:val="000000"/>
                <w:sz w:val="19"/>
                <w:szCs w:val="19"/>
              </w:rPr>
            </w:pPr>
            <w:r w:rsidRPr="00F01655">
              <w:rPr>
                <w:color w:val="000000"/>
                <w:sz w:val="19"/>
                <w:szCs w:val="19"/>
              </w:rPr>
              <w:t>Walk</w:t>
            </w:r>
          </w:p>
        </w:tc>
        <w:tc>
          <w:tcPr>
            <w:tcW w:w="748" w:type="dxa"/>
            <w:tcBorders>
              <w:top w:val="nil"/>
              <w:left w:val="nil"/>
              <w:bottom w:val="nil"/>
              <w:right w:val="single" w:sz="4" w:space="0" w:color="auto"/>
            </w:tcBorders>
            <w:shd w:val="clear" w:color="000000" w:fill="FFFFFF"/>
            <w:noWrap/>
            <w:vAlign w:val="center"/>
            <w:hideMark/>
          </w:tcPr>
          <w:p w14:paraId="16A5D52B" w14:textId="77777777" w:rsidR="00E64E20" w:rsidRPr="00F01655" w:rsidRDefault="00E64E20">
            <w:pPr>
              <w:jc w:val="right"/>
              <w:rPr>
                <w:color w:val="000000"/>
                <w:sz w:val="19"/>
                <w:szCs w:val="19"/>
              </w:rPr>
            </w:pPr>
            <w:r w:rsidRPr="00F01655">
              <w:rPr>
                <w:color w:val="000000"/>
                <w:sz w:val="19"/>
                <w:szCs w:val="19"/>
              </w:rPr>
              <w:t>36</w:t>
            </w:r>
          </w:p>
        </w:tc>
        <w:tc>
          <w:tcPr>
            <w:tcW w:w="990" w:type="dxa"/>
            <w:tcBorders>
              <w:top w:val="nil"/>
              <w:left w:val="nil"/>
              <w:bottom w:val="nil"/>
              <w:right w:val="double" w:sz="4" w:space="0" w:color="auto"/>
            </w:tcBorders>
            <w:shd w:val="clear" w:color="000000" w:fill="FFFFFF"/>
            <w:noWrap/>
            <w:vAlign w:val="center"/>
            <w:hideMark/>
          </w:tcPr>
          <w:p w14:paraId="72EF8652" w14:textId="77777777" w:rsidR="00E64E20" w:rsidRPr="00F01655" w:rsidRDefault="00E64E20">
            <w:pPr>
              <w:jc w:val="right"/>
              <w:rPr>
                <w:color w:val="000000"/>
                <w:sz w:val="19"/>
                <w:szCs w:val="19"/>
              </w:rPr>
            </w:pPr>
            <w:r w:rsidRPr="00F01655">
              <w:rPr>
                <w:color w:val="000000"/>
                <w:sz w:val="19"/>
                <w:szCs w:val="19"/>
              </w:rPr>
              <w:t>2.9%</w:t>
            </w:r>
          </w:p>
        </w:tc>
        <w:tc>
          <w:tcPr>
            <w:tcW w:w="2492" w:type="dxa"/>
            <w:tcBorders>
              <w:top w:val="nil"/>
              <w:left w:val="double" w:sz="4" w:space="0" w:color="auto"/>
              <w:bottom w:val="nil"/>
              <w:right w:val="nil"/>
            </w:tcBorders>
            <w:shd w:val="clear" w:color="000000" w:fill="FFFFFF"/>
            <w:vAlign w:val="center"/>
            <w:hideMark/>
          </w:tcPr>
          <w:p w14:paraId="6A00DE5D" w14:textId="77777777" w:rsidR="00E64E20" w:rsidRPr="00F01655" w:rsidRDefault="00E64E20">
            <w:pPr>
              <w:ind w:firstLineChars="100" w:firstLine="190"/>
              <w:rPr>
                <w:color w:val="000000"/>
                <w:sz w:val="19"/>
                <w:szCs w:val="19"/>
              </w:rPr>
            </w:pPr>
            <w:r w:rsidRPr="00F01655">
              <w:rPr>
                <w:color w:val="000000"/>
                <w:sz w:val="19"/>
                <w:szCs w:val="19"/>
              </w:rPr>
              <w:t>West</w:t>
            </w:r>
          </w:p>
        </w:tc>
        <w:tc>
          <w:tcPr>
            <w:tcW w:w="900" w:type="dxa"/>
            <w:tcBorders>
              <w:top w:val="nil"/>
              <w:left w:val="single" w:sz="8" w:space="0" w:color="auto"/>
              <w:bottom w:val="nil"/>
              <w:right w:val="nil"/>
            </w:tcBorders>
            <w:shd w:val="clear" w:color="000000" w:fill="FFFFFF"/>
            <w:noWrap/>
            <w:vAlign w:val="bottom"/>
            <w:hideMark/>
          </w:tcPr>
          <w:p w14:paraId="3E5F8940" w14:textId="77777777" w:rsidR="00E64E20" w:rsidRPr="00F01655" w:rsidRDefault="00E64E20">
            <w:pPr>
              <w:jc w:val="right"/>
              <w:rPr>
                <w:color w:val="000000"/>
                <w:sz w:val="19"/>
                <w:szCs w:val="19"/>
              </w:rPr>
            </w:pPr>
            <w:r w:rsidRPr="00F01655">
              <w:rPr>
                <w:color w:val="000000"/>
                <w:sz w:val="19"/>
                <w:szCs w:val="19"/>
              </w:rPr>
              <w:t>515</w:t>
            </w:r>
          </w:p>
        </w:tc>
        <w:tc>
          <w:tcPr>
            <w:tcW w:w="1080" w:type="dxa"/>
            <w:tcBorders>
              <w:top w:val="nil"/>
              <w:left w:val="single" w:sz="4" w:space="0" w:color="auto"/>
              <w:bottom w:val="nil"/>
              <w:right w:val="double" w:sz="4" w:space="0" w:color="auto"/>
            </w:tcBorders>
            <w:shd w:val="clear" w:color="000000" w:fill="FFFFFF"/>
            <w:noWrap/>
            <w:vAlign w:val="bottom"/>
            <w:hideMark/>
          </w:tcPr>
          <w:p w14:paraId="72213291" w14:textId="77777777" w:rsidR="00E64E20" w:rsidRPr="00F01655" w:rsidRDefault="00E64E20">
            <w:pPr>
              <w:jc w:val="right"/>
              <w:rPr>
                <w:color w:val="000000"/>
                <w:sz w:val="19"/>
                <w:szCs w:val="19"/>
              </w:rPr>
            </w:pPr>
            <w:r w:rsidRPr="00F01655">
              <w:rPr>
                <w:color w:val="000000"/>
                <w:sz w:val="19"/>
                <w:szCs w:val="19"/>
              </w:rPr>
              <w:t>41.6%</w:t>
            </w:r>
          </w:p>
        </w:tc>
      </w:tr>
      <w:tr w:rsidR="003D4A3F" w:rsidRPr="00F01655" w14:paraId="1C2FB990" w14:textId="77777777" w:rsidTr="00313DF3">
        <w:trPr>
          <w:trHeight w:val="105"/>
        </w:trPr>
        <w:tc>
          <w:tcPr>
            <w:tcW w:w="2317" w:type="dxa"/>
            <w:tcBorders>
              <w:top w:val="nil"/>
              <w:left w:val="double" w:sz="4" w:space="0" w:color="auto"/>
              <w:bottom w:val="nil"/>
              <w:right w:val="single" w:sz="8" w:space="0" w:color="auto"/>
            </w:tcBorders>
            <w:shd w:val="clear" w:color="000000" w:fill="FFFFFF"/>
            <w:noWrap/>
            <w:vAlign w:val="center"/>
            <w:hideMark/>
          </w:tcPr>
          <w:p w14:paraId="06128F26" w14:textId="77777777" w:rsidR="00E64E20" w:rsidRPr="00F01655" w:rsidRDefault="00E64E20">
            <w:pPr>
              <w:ind w:firstLineChars="100" w:firstLine="190"/>
              <w:rPr>
                <w:color w:val="000000"/>
                <w:sz w:val="19"/>
                <w:szCs w:val="19"/>
              </w:rPr>
            </w:pPr>
            <w:r w:rsidRPr="00F01655">
              <w:rPr>
                <w:color w:val="000000"/>
                <w:sz w:val="19"/>
                <w:szCs w:val="19"/>
              </w:rPr>
              <w:t>≥ 4</w:t>
            </w:r>
          </w:p>
        </w:tc>
        <w:tc>
          <w:tcPr>
            <w:tcW w:w="810" w:type="dxa"/>
            <w:tcBorders>
              <w:top w:val="nil"/>
              <w:left w:val="nil"/>
              <w:bottom w:val="nil"/>
              <w:right w:val="single" w:sz="4" w:space="0" w:color="auto"/>
            </w:tcBorders>
            <w:shd w:val="clear" w:color="000000" w:fill="FFFFFF"/>
            <w:noWrap/>
            <w:vAlign w:val="center"/>
            <w:hideMark/>
          </w:tcPr>
          <w:p w14:paraId="110A6878" w14:textId="77777777" w:rsidR="00E64E20" w:rsidRPr="00F01655" w:rsidRDefault="00E64E20">
            <w:pPr>
              <w:jc w:val="right"/>
              <w:rPr>
                <w:color w:val="000000"/>
                <w:sz w:val="19"/>
                <w:szCs w:val="19"/>
              </w:rPr>
            </w:pPr>
            <w:r w:rsidRPr="00F01655">
              <w:rPr>
                <w:color w:val="000000"/>
                <w:sz w:val="19"/>
                <w:szCs w:val="19"/>
              </w:rPr>
              <w:t>291</w:t>
            </w:r>
          </w:p>
        </w:tc>
        <w:tc>
          <w:tcPr>
            <w:tcW w:w="1000" w:type="dxa"/>
            <w:tcBorders>
              <w:top w:val="nil"/>
              <w:left w:val="nil"/>
              <w:bottom w:val="nil"/>
              <w:right w:val="double" w:sz="4" w:space="0" w:color="auto"/>
            </w:tcBorders>
            <w:shd w:val="clear" w:color="000000" w:fill="FFFFFF"/>
            <w:noWrap/>
            <w:vAlign w:val="center"/>
            <w:hideMark/>
          </w:tcPr>
          <w:p w14:paraId="575677E5" w14:textId="77777777" w:rsidR="00E64E20" w:rsidRPr="00F01655" w:rsidRDefault="00E64E20">
            <w:pPr>
              <w:jc w:val="right"/>
              <w:rPr>
                <w:color w:val="000000"/>
                <w:sz w:val="19"/>
                <w:szCs w:val="19"/>
              </w:rPr>
            </w:pPr>
            <w:r w:rsidRPr="00F01655">
              <w:rPr>
                <w:color w:val="000000"/>
                <w:sz w:val="19"/>
                <w:szCs w:val="19"/>
              </w:rPr>
              <w:t>23.5%</w:t>
            </w:r>
          </w:p>
        </w:tc>
        <w:tc>
          <w:tcPr>
            <w:tcW w:w="2690" w:type="dxa"/>
            <w:tcBorders>
              <w:top w:val="nil"/>
              <w:left w:val="double" w:sz="4" w:space="0" w:color="auto"/>
              <w:bottom w:val="nil"/>
              <w:right w:val="single" w:sz="8" w:space="0" w:color="auto"/>
            </w:tcBorders>
            <w:shd w:val="clear" w:color="000000" w:fill="FFFFFF"/>
            <w:noWrap/>
            <w:vAlign w:val="center"/>
            <w:hideMark/>
          </w:tcPr>
          <w:p w14:paraId="2B425DCA" w14:textId="53F5382A" w:rsidR="00E64E20" w:rsidRPr="00F01655" w:rsidRDefault="00E64E20">
            <w:pPr>
              <w:ind w:firstLineChars="100" w:firstLine="190"/>
              <w:rPr>
                <w:color w:val="000000"/>
                <w:sz w:val="19"/>
                <w:szCs w:val="19"/>
              </w:rPr>
            </w:pPr>
            <w:r w:rsidRPr="00F01655">
              <w:rPr>
                <w:color w:val="000000"/>
                <w:sz w:val="19"/>
                <w:szCs w:val="19"/>
              </w:rPr>
              <w:t>W</w:t>
            </w:r>
            <w:r w:rsidR="00F727FF" w:rsidRPr="00F01655">
              <w:rPr>
                <w:color w:val="000000"/>
                <w:sz w:val="19"/>
                <w:szCs w:val="19"/>
              </w:rPr>
              <w:t>ork From Home</w:t>
            </w:r>
          </w:p>
        </w:tc>
        <w:tc>
          <w:tcPr>
            <w:tcW w:w="748" w:type="dxa"/>
            <w:tcBorders>
              <w:top w:val="nil"/>
              <w:left w:val="nil"/>
              <w:bottom w:val="nil"/>
              <w:right w:val="single" w:sz="4" w:space="0" w:color="auto"/>
            </w:tcBorders>
            <w:shd w:val="clear" w:color="000000" w:fill="FFFFFF"/>
            <w:noWrap/>
            <w:vAlign w:val="center"/>
            <w:hideMark/>
          </w:tcPr>
          <w:p w14:paraId="2C14E0CE" w14:textId="77777777" w:rsidR="00E64E20" w:rsidRPr="00F01655" w:rsidRDefault="00E64E20">
            <w:pPr>
              <w:jc w:val="right"/>
              <w:rPr>
                <w:color w:val="000000"/>
                <w:sz w:val="19"/>
                <w:szCs w:val="19"/>
              </w:rPr>
            </w:pPr>
            <w:r w:rsidRPr="00F01655">
              <w:rPr>
                <w:color w:val="000000"/>
                <w:sz w:val="19"/>
                <w:szCs w:val="19"/>
              </w:rPr>
              <w:t>11</w:t>
            </w:r>
          </w:p>
        </w:tc>
        <w:tc>
          <w:tcPr>
            <w:tcW w:w="990" w:type="dxa"/>
            <w:tcBorders>
              <w:top w:val="nil"/>
              <w:left w:val="nil"/>
              <w:bottom w:val="nil"/>
              <w:right w:val="double" w:sz="4" w:space="0" w:color="auto"/>
            </w:tcBorders>
            <w:shd w:val="clear" w:color="000000" w:fill="FFFFFF"/>
            <w:noWrap/>
            <w:vAlign w:val="center"/>
            <w:hideMark/>
          </w:tcPr>
          <w:p w14:paraId="3801112F" w14:textId="77777777" w:rsidR="00E64E20" w:rsidRPr="00F01655" w:rsidRDefault="00E64E20">
            <w:pPr>
              <w:jc w:val="right"/>
              <w:rPr>
                <w:color w:val="000000"/>
                <w:sz w:val="19"/>
                <w:szCs w:val="19"/>
              </w:rPr>
            </w:pPr>
            <w:r w:rsidRPr="00F01655">
              <w:rPr>
                <w:color w:val="000000"/>
                <w:sz w:val="19"/>
                <w:szCs w:val="19"/>
              </w:rPr>
              <w:t>0.9%</w:t>
            </w:r>
          </w:p>
        </w:tc>
        <w:tc>
          <w:tcPr>
            <w:tcW w:w="2492" w:type="dxa"/>
            <w:tcBorders>
              <w:top w:val="nil"/>
              <w:left w:val="double" w:sz="4" w:space="0" w:color="auto"/>
              <w:bottom w:val="nil"/>
              <w:right w:val="nil"/>
            </w:tcBorders>
            <w:shd w:val="clear" w:color="000000" w:fill="FFFFFF"/>
            <w:vAlign w:val="center"/>
            <w:hideMark/>
          </w:tcPr>
          <w:p w14:paraId="1BFD0374" w14:textId="77777777" w:rsidR="00E64E20" w:rsidRPr="00F01655" w:rsidRDefault="00E64E20">
            <w:pPr>
              <w:ind w:firstLineChars="100" w:firstLine="191"/>
              <w:rPr>
                <w:b/>
                <w:bCs/>
                <w:color w:val="000000"/>
                <w:sz w:val="19"/>
                <w:szCs w:val="19"/>
              </w:rPr>
            </w:pPr>
            <w:r w:rsidRPr="00F01655">
              <w:rPr>
                <w:b/>
                <w:bCs/>
                <w:color w:val="000000"/>
                <w:sz w:val="19"/>
                <w:szCs w:val="19"/>
              </w:rPr>
              <w:t>States</w:t>
            </w:r>
          </w:p>
        </w:tc>
        <w:tc>
          <w:tcPr>
            <w:tcW w:w="900" w:type="dxa"/>
            <w:tcBorders>
              <w:top w:val="nil"/>
              <w:left w:val="single" w:sz="8" w:space="0" w:color="auto"/>
              <w:bottom w:val="nil"/>
              <w:right w:val="nil"/>
            </w:tcBorders>
            <w:shd w:val="clear" w:color="000000" w:fill="FFFFFF"/>
            <w:noWrap/>
            <w:vAlign w:val="bottom"/>
            <w:hideMark/>
          </w:tcPr>
          <w:p w14:paraId="547A48A3" w14:textId="77777777" w:rsidR="00E64E20" w:rsidRPr="00F01655" w:rsidRDefault="00E64E20">
            <w:pPr>
              <w:rPr>
                <w:color w:val="000000"/>
                <w:sz w:val="19"/>
                <w:szCs w:val="19"/>
              </w:rPr>
            </w:pPr>
            <w:r w:rsidRPr="00F01655">
              <w:rPr>
                <w:color w:val="000000"/>
                <w:sz w:val="19"/>
                <w:szCs w:val="19"/>
              </w:rPr>
              <w:t> </w:t>
            </w:r>
          </w:p>
        </w:tc>
        <w:tc>
          <w:tcPr>
            <w:tcW w:w="1080" w:type="dxa"/>
            <w:tcBorders>
              <w:top w:val="nil"/>
              <w:left w:val="single" w:sz="4" w:space="0" w:color="auto"/>
              <w:bottom w:val="nil"/>
              <w:right w:val="double" w:sz="4" w:space="0" w:color="auto"/>
            </w:tcBorders>
            <w:shd w:val="clear" w:color="000000" w:fill="FFFFFF"/>
            <w:noWrap/>
            <w:vAlign w:val="bottom"/>
            <w:hideMark/>
          </w:tcPr>
          <w:p w14:paraId="72418AB3" w14:textId="77777777" w:rsidR="00E64E20" w:rsidRPr="00F01655" w:rsidRDefault="00E64E20">
            <w:pPr>
              <w:rPr>
                <w:color w:val="000000"/>
                <w:sz w:val="19"/>
                <w:szCs w:val="19"/>
              </w:rPr>
            </w:pPr>
            <w:r w:rsidRPr="00F01655">
              <w:rPr>
                <w:color w:val="000000"/>
                <w:sz w:val="19"/>
                <w:szCs w:val="19"/>
              </w:rPr>
              <w:t> </w:t>
            </w:r>
          </w:p>
        </w:tc>
      </w:tr>
      <w:tr w:rsidR="003D4A3F" w:rsidRPr="00F01655" w14:paraId="391F2C95" w14:textId="77777777" w:rsidTr="00313DF3">
        <w:trPr>
          <w:trHeight w:val="105"/>
        </w:trPr>
        <w:tc>
          <w:tcPr>
            <w:tcW w:w="2317" w:type="dxa"/>
            <w:vMerge w:val="restart"/>
            <w:tcBorders>
              <w:top w:val="nil"/>
              <w:left w:val="double" w:sz="4" w:space="0" w:color="auto"/>
              <w:bottom w:val="nil"/>
              <w:right w:val="single" w:sz="8" w:space="0" w:color="auto"/>
            </w:tcBorders>
            <w:shd w:val="clear" w:color="000000" w:fill="FFFFFF"/>
            <w:vAlign w:val="center"/>
            <w:hideMark/>
          </w:tcPr>
          <w:p w14:paraId="6F22B698" w14:textId="4A0A29C4" w:rsidR="00E64E20" w:rsidRPr="00F01655" w:rsidRDefault="00E64E20">
            <w:pPr>
              <w:rPr>
                <w:b/>
                <w:bCs/>
                <w:color w:val="000000"/>
                <w:sz w:val="19"/>
                <w:szCs w:val="19"/>
              </w:rPr>
            </w:pPr>
            <w:r w:rsidRPr="00F01655">
              <w:rPr>
                <w:b/>
                <w:bCs/>
                <w:color w:val="000000"/>
                <w:sz w:val="19"/>
                <w:szCs w:val="19"/>
              </w:rPr>
              <w:t>Presence of Children (Including Ages)</w:t>
            </w:r>
            <w:r w:rsidR="005800A2" w:rsidRPr="00F01655">
              <w:rPr>
                <w:color w:val="000000"/>
                <w:sz w:val="19"/>
                <w:szCs w:val="19"/>
              </w:rPr>
              <w:t xml:space="preserve"> *</w:t>
            </w:r>
          </w:p>
        </w:tc>
        <w:tc>
          <w:tcPr>
            <w:tcW w:w="810" w:type="dxa"/>
            <w:tcBorders>
              <w:top w:val="nil"/>
              <w:left w:val="nil"/>
              <w:bottom w:val="nil"/>
              <w:right w:val="nil"/>
            </w:tcBorders>
            <w:shd w:val="clear" w:color="000000" w:fill="FFFFFF"/>
            <w:noWrap/>
            <w:vAlign w:val="center"/>
            <w:hideMark/>
          </w:tcPr>
          <w:p w14:paraId="21C3D191" w14:textId="77777777" w:rsidR="00E64E20" w:rsidRPr="00F01655" w:rsidRDefault="00E64E20">
            <w:pPr>
              <w:jc w:val="right"/>
              <w:rPr>
                <w:color w:val="000000"/>
                <w:sz w:val="19"/>
                <w:szCs w:val="19"/>
              </w:rPr>
            </w:pPr>
            <w:r w:rsidRPr="00F01655">
              <w:rPr>
                <w:color w:val="000000"/>
                <w:sz w:val="19"/>
                <w:szCs w:val="19"/>
              </w:rPr>
              <w:t> </w:t>
            </w:r>
          </w:p>
        </w:tc>
        <w:tc>
          <w:tcPr>
            <w:tcW w:w="1000" w:type="dxa"/>
            <w:tcBorders>
              <w:top w:val="nil"/>
              <w:left w:val="single" w:sz="4" w:space="0" w:color="auto"/>
              <w:bottom w:val="nil"/>
              <w:right w:val="double" w:sz="4" w:space="0" w:color="auto"/>
            </w:tcBorders>
            <w:shd w:val="clear" w:color="000000" w:fill="FFFFFF"/>
            <w:noWrap/>
            <w:vAlign w:val="center"/>
            <w:hideMark/>
          </w:tcPr>
          <w:p w14:paraId="704B7453" w14:textId="77777777" w:rsidR="00E64E20" w:rsidRPr="00F01655" w:rsidRDefault="00E64E20">
            <w:pPr>
              <w:jc w:val="right"/>
              <w:rPr>
                <w:color w:val="000000"/>
                <w:sz w:val="19"/>
                <w:szCs w:val="19"/>
              </w:rPr>
            </w:pPr>
            <w:r w:rsidRPr="00F01655">
              <w:rPr>
                <w:color w:val="000000"/>
                <w:sz w:val="19"/>
                <w:szCs w:val="19"/>
              </w:rPr>
              <w:t> </w:t>
            </w:r>
          </w:p>
        </w:tc>
        <w:tc>
          <w:tcPr>
            <w:tcW w:w="2690" w:type="dxa"/>
            <w:tcBorders>
              <w:top w:val="nil"/>
              <w:left w:val="double" w:sz="4" w:space="0" w:color="auto"/>
              <w:bottom w:val="nil"/>
              <w:right w:val="single" w:sz="8" w:space="0" w:color="auto"/>
            </w:tcBorders>
            <w:shd w:val="clear" w:color="000000" w:fill="FFFFFF"/>
            <w:noWrap/>
            <w:vAlign w:val="center"/>
            <w:hideMark/>
          </w:tcPr>
          <w:p w14:paraId="19BA8D64" w14:textId="77777777" w:rsidR="00E64E20" w:rsidRPr="00F01655" w:rsidRDefault="00E64E20">
            <w:pPr>
              <w:rPr>
                <w:b/>
                <w:bCs/>
                <w:color w:val="000000"/>
                <w:sz w:val="19"/>
                <w:szCs w:val="19"/>
              </w:rPr>
            </w:pPr>
            <w:r w:rsidRPr="00F01655">
              <w:rPr>
                <w:b/>
                <w:bCs/>
                <w:color w:val="000000"/>
                <w:sz w:val="19"/>
                <w:szCs w:val="19"/>
              </w:rPr>
              <w:t>Distance to Work</w:t>
            </w:r>
          </w:p>
        </w:tc>
        <w:tc>
          <w:tcPr>
            <w:tcW w:w="748" w:type="dxa"/>
            <w:tcBorders>
              <w:top w:val="nil"/>
              <w:left w:val="nil"/>
              <w:bottom w:val="nil"/>
              <w:right w:val="single" w:sz="4" w:space="0" w:color="auto"/>
            </w:tcBorders>
            <w:shd w:val="clear" w:color="000000" w:fill="FFFFFF"/>
            <w:noWrap/>
            <w:vAlign w:val="bottom"/>
            <w:hideMark/>
          </w:tcPr>
          <w:p w14:paraId="24CEE4E9" w14:textId="77777777" w:rsidR="00E64E20" w:rsidRPr="00F01655" w:rsidRDefault="00E64E20">
            <w:pPr>
              <w:jc w:val="right"/>
              <w:rPr>
                <w:color w:val="000000"/>
                <w:sz w:val="19"/>
                <w:szCs w:val="19"/>
              </w:rPr>
            </w:pPr>
            <w:r w:rsidRPr="00F01655">
              <w:rPr>
                <w:color w:val="000000"/>
                <w:sz w:val="19"/>
                <w:szCs w:val="19"/>
              </w:rPr>
              <w:t> </w:t>
            </w:r>
          </w:p>
        </w:tc>
        <w:tc>
          <w:tcPr>
            <w:tcW w:w="990" w:type="dxa"/>
            <w:tcBorders>
              <w:top w:val="nil"/>
              <w:left w:val="nil"/>
              <w:bottom w:val="nil"/>
              <w:right w:val="double" w:sz="4" w:space="0" w:color="auto"/>
            </w:tcBorders>
            <w:shd w:val="clear" w:color="000000" w:fill="FFFFFF"/>
            <w:noWrap/>
            <w:vAlign w:val="bottom"/>
            <w:hideMark/>
          </w:tcPr>
          <w:p w14:paraId="30307F3C" w14:textId="77777777" w:rsidR="00E64E20" w:rsidRPr="00F01655" w:rsidRDefault="00E64E20">
            <w:pPr>
              <w:jc w:val="right"/>
              <w:rPr>
                <w:color w:val="000000"/>
                <w:sz w:val="19"/>
                <w:szCs w:val="19"/>
              </w:rPr>
            </w:pPr>
            <w:r w:rsidRPr="00F01655">
              <w:rPr>
                <w:color w:val="000000"/>
                <w:sz w:val="19"/>
                <w:szCs w:val="19"/>
              </w:rPr>
              <w:t> </w:t>
            </w:r>
          </w:p>
        </w:tc>
        <w:tc>
          <w:tcPr>
            <w:tcW w:w="2492" w:type="dxa"/>
            <w:tcBorders>
              <w:top w:val="nil"/>
              <w:left w:val="double" w:sz="4" w:space="0" w:color="auto"/>
              <w:bottom w:val="nil"/>
              <w:right w:val="nil"/>
            </w:tcBorders>
            <w:shd w:val="clear" w:color="000000" w:fill="FFFFFF"/>
            <w:vAlign w:val="center"/>
            <w:hideMark/>
          </w:tcPr>
          <w:p w14:paraId="4F8DEA4D" w14:textId="77777777" w:rsidR="00E64E20" w:rsidRPr="00F01655" w:rsidRDefault="00E64E20">
            <w:pPr>
              <w:ind w:firstLineChars="100" w:firstLine="190"/>
              <w:rPr>
                <w:color w:val="000000"/>
                <w:sz w:val="19"/>
                <w:szCs w:val="19"/>
              </w:rPr>
            </w:pPr>
            <w:r w:rsidRPr="00F01655">
              <w:rPr>
                <w:color w:val="000000"/>
                <w:sz w:val="19"/>
                <w:szCs w:val="19"/>
              </w:rPr>
              <w:t>Arizona</w:t>
            </w:r>
          </w:p>
        </w:tc>
        <w:tc>
          <w:tcPr>
            <w:tcW w:w="900" w:type="dxa"/>
            <w:tcBorders>
              <w:top w:val="nil"/>
              <w:left w:val="single" w:sz="8" w:space="0" w:color="auto"/>
              <w:bottom w:val="nil"/>
              <w:right w:val="nil"/>
            </w:tcBorders>
            <w:shd w:val="clear" w:color="000000" w:fill="FFFFFF"/>
            <w:noWrap/>
            <w:vAlign w:val="bottom"/>
            <w:hideMark/>
          </w:tcPr>
          <w:p w14:paraId="12626D15" w14:textId="77777777" w:rsidR="00E64E20" w:rsidRPr="00F01655" w:rsidRDefault="00E64E20">
            <w:pPr>
              <w:jc w:val="right"/>
              <w:rPr>
                <w:color w:val="000000"/>
                <w:sz w:val="19"/>
                <w:szCs w:val="19"/>
              </w:rPr>
            </w:pPr>
            <w:r w:rsidRPr="00F01655">
              <w:rPr>
                <w:color w:val="000000"/>
                <w:sz w:val="19"/>
                <w:szCs w:val="19"/>
              </w:rPr>
              <w:t>172</w:t>
            </w:r>
          </w:p>
        </w:tc>
        <w:tc>
          <w:tcPr>
            <w:tcW w:w="1080" w:type="dxa"/>
            <w:tcBorders>
              <w:top w:val="nil"/>
              <w:left w:val="single" w:sz="4" w:space="0" w:color="auto"/>
              <w:bottom w:val="nil"/>
              <w:right w:val="double" w:sz="4" w:space="0" w:color="auto"/>
            </w:tcBorders>
            <w:shd w:val="clear" w:color="000000" w:fill="FFFFFF"/>
            <w:noWrap/>
            <w:vAlign w:val="bottom"/>
            <w:hideMark/>
          </w:tcPr>
          <w:p w14:paraId="64FF81B0" w14:textId="77777777" w:rsidR="00E64E20" w:rsidRPr="00F01655" w:rsidRDefault="00E64E20">
            <w:pPr>
              <w:jc w:val="right"/>
              <w:rPr>
                <w:color w:val="000000"/>
                <w:sz w:val="19"/>
                <w:szCs w:val="19"/>
              </w:rPr>
            </w:pPr>
            <w:r w:rsidRPr="00F01655">
              <w:rPr>
                <w:color w:val="000000"/>
                <w:sz w:val="19"/>
                <w:szCs w:val="19"/>
              </w:rPr>
              <w:t>13.9%</w:t>
            </w:r>
          </w:p>
        </w:tc>
      </w:tr>
      <w:tr w:rsidR="003D4A3F" w:rsidRPr="00F01655" w14:paraId="2388B43F" w14:textId="77777777" w:rsidTr="00313DF3">
        <w:trPr>
          <w:trHeight w:val="300"/>
        </w:trPr>
        <w:tc>
          <w:tcPr>
            <w:tcW w:w="2317" w:type="dxa"/>
            <w:vMerge/>
            <w:tcBorders>
              <w:top w:val="nil"/>
              <w:left w:val="double" w:sz="4" w:space="0" w:color="auto"/>
              <w:bottom w:val="nil"/>
              <w:right w:val="single" w:sz="8" w:space="0" w:color="auto"/>
            </w:tcBorders>
            <w:vAlign w:val="center"/>
            <w:hideMark/>
          </w:tcPr>
          <w:p w14:paraId="7BFE1C54" w14:textId="77777777" w:rsidR="00E64E20" w:rsidRPr="00F01655" w:rsidRDefault="00E64E20">
            <w:pPr>
              <w:rPr>
                <w:b/>
                <w:bCs/>
                <w:color w:val="000000"/>
                <w:sz w:val="19"/>
                <w:szCs w:val="19"/>
              </w:rPr>
            </w:pPr>
          </w:p>
        </w:tc>
        <w:tc>
          <w:tcPr>
            <w:tcW w:w="810" w:type="dxa"/>
            <w:tcBorders>
              <w:top w:val="nil"/>
              <w:left w:val="nil"/>
              <w:bottom w:val="nil"/>
              <w:right w:val="single" w:sz="4" w:space="0" w:color="auto"/>
            </w:tcBorders>
            <w:shd w:val="clear" w:color="000000" w:fill="FFFFFF"/>
            <w:noWrap/>
            <w:vAlign w:val="bottom"/>
            <w:hideMark/>
          </w:tcPr>
          <w:p w14:paraId="5E91B84D" w14:textId="77777777" w:rsidR="00E64E20" w:rsidRPr="00F01655" w:rsidRDefault="00E64E20">
            <w:pPr>
              <w:rPr>
                <w:color w:val="000000"/>
                <w:sz w:val="19"/>
                <w:szCs w:val="19"/>
              </w:rPr>
            </w:pPr>
            <w:r w:rsidRPr="00F01655">
              <w:rPr>
                <w:color w:val="000000"/>
                <w:sz w:val="19"/>
                <w:szCs w:val="19"/>
              </w:rPr>
              <w:t> </w:t>
            </w:r>
          </w:p>
        </w:tc>
        <w:tc>
          <w:tcPr>
            <w:tcW w:w="1000" w:type="dxa"/>
            <w:tcBorders>
              <w:top w:val="nil"/>
              <w:left w:val="nil"/>
              <w:bottom w:val="nil"/>
              <w:right w:val="double" w:sz="4" w:space="0" w:color="auto"/>
            </w:tcBorders>
            <w:shd w:val="clear" w:color="000000" w:fill="FFFFFF"/>
            <w:noWrap/>
            <w:vAlign w:val="bottom"/>
            <w:hideMark/>
          </w:tcPr>
          <w:p w14:paraId="1758507F" w14:textId="77777777" w:rsidR="00E64E20" w:rsidRPr="00F01655" w:rsidRDefault="00E64E20">
            <w:pPr>
              <w:rPr>
                <w:color w:val="000000"/>
                <w:sz w:val="19"/>
                <w:szCs w:val="19"/>
              </w:rPr>
            </w:pPr>
            <w:r w:rsidRPr="00F01655">
              <w:rPr>
                <w:color w:val="000000"/>
                <w:sz w:val="19"/>
                <w:szCs w:val="19"/>
              </w:rPr>
              <w:t> </w:t>
            </w:r>
          </w:p>
        </w:tc>
        <w:tc>
          <w:tcPr>
            <w:tcW w:w="2690" w:type="dxa"/>
            <w:tcBorders>
              <w:top w:val="nil"/>
              <w:left w:val="double" w:sz="4" w:space="0" w:color="auto"/>
              <w:bottom w:val="nil"/>
              <w:right w:val="single" w:sz="8" w:space="0" w:color="auto"/>
            </w:tcBorders>
            <w:shd w:val="clear" w:color="000000" w:fill="FFFFFF"/>
            <w:noWrap/>
            <w:vAlign w:val="center"/>
            <w:hideMark/>
          </w:tcPr>
          <w:p w14:paraId="3214C88B" w14:textId="77777777" w:rsidR="00E64E20" w:rsidRPr="00F01655" w:rsidRDefault="00E64E20">
            <w:pPr>
              <w:ind w:firstLineChars="100" w:firstLine="190"/>
              <w:rPr>
                <w:color w:val="000000"/>
                <w:sz w:val="19"/>
                <w:szCs w:val="19"/>
              </w:rPr>
            </w:pPr>
            <w:r w:rsidRPr="00F01655">
              <w:rPr>
                <w:color w:val="000000"/>
                <w:sz w:val="19"/>
                <w:szCs w:val="19"/>
              </w:rPr>
              <w:t>0.00 to 5.99 miles</w:t>
            </w:r>
          </w:p>
        </w:tc>
        <w:tc>
          <w:tcPr>
            <w:tcW w:w="748" w:type="dxa"/>
            <w:tcBorders>
              <w:top w:val="nil"/>
              <w:left w:val="nil"/>
              <w:bottom w:val="nil"/>
              <w:right w:val="single" w:sz="4" w:space="0" w:color="auto"/>
            </w:tcBorders>
            <w:shd w:val="clear" w:color="000000" w:fill="FFFFFF"/>
            <w:noWrap/>
            <w:vAlign w:val="center"/>
            <w:hideMark/>
          </w:tcPr>
          <w:p w14:paraId="625E3D02" w14:textId="77777777" w:rsidR="00E64E20" w:rsidRPr="00F01655" w:rsidRDefault="00E64E20">
            <w:pPr>
              <w:jc w:val="right"/>
              <w:rPr>
                <w:color w:val="000000"/>
                <w:sz w:val="19"/>
                <w:szCs w:val="19"/>
              </w:rPr>
            </w:pPr>
            <w:r w:rsidRPr="00F01655">
              <w:rPr>
                <w:color w:val="000000"/>
                <w:sz w:val="19"/>
                <w:szCs w:val="19"/>
              </w:rPr>
              <w:t>438</w:t>
            </w:r>
          </w:p>
        </w:tc>
        <w:tc>
          <w:tcPr>
            <w:tcW w:w="990" w:type="dxa"/>
            <w:tcBorders>
              <w:top w:val="nil"/>
              <w:left w:val="nil"/>
              <w:bottom w:val="nil"/>
              <w:right w:val="double" w:sz="4" w:space="0" w:color="auto"/>
            </w:tcBorders>
            <w:shd w:val="clear" w:color="000000" w:fill="FFFFFF"/>
            <w:noWrap/>
            <w:vAlign w:val="center"/>
            <w:hideMark/>
          </w:tcPr>
          <w:p w14:paraId="54575EA0" w14:textId="77777777" w:rsidR="00E64E20" w:rsidRPr="00F01655" w:rsidRDefault="00E64E20">
            <w:pPr>
              <w:jc w:val="right"/>
              <w:rPr>
                <w:color w:val="000000"/>
                <w:sz w:val="19"/>
                <w:szCs w:val="19"/>
              </w:rPr>
            </w:pPr>
            <w:r w:rsidRPr="00F01655">
              <w:rPr>
                <w:color w:val="000000"/>
                <w:sz w:val="19"/>
                <w:szCs w:val="19"/>
              </w:rPr>
              <w:t>35.4%</w:t>
            </w:r>
          </w:p>
        </w:tc>
        <w:tc>
          <w:tcPr>
            <w:tcW w:w="2492" w:type="dxa"/>
            <w:tcBorders>
              <w:top w:val="nil"/>
              <w:left w:val="double" w:sz="4" w:space="0" w:color="auto"/>
              <w:bottom w:val="nil"/>
              <w:right w:val="single" w:sz="8" w:space="0" w:color="auto"/>
            </w:tcBorders>
            <w:shd w:val="clear" w:color="000000" w:fill="FFFFFF"/>
            <w:vAlign w:val="center"/>
            <w:hideMark/>
          </w:tcPr>
          <w:p w14:paraId="36D6055B" w14:textId="77777777" w:rsidR="00E64E20" w:rsidRPr="00F01655" w:rsidRDefault="00E64E20">
            <w:pPr>
              <w:ind w:firstLineChars="100" w:firstLine="190"/>
              <w:rPr>
                <w:color w:val="000000"/>
                <w:sz w:val="19"/>
                <w:szCs w:val="19"/>
              </w:rPr>
            </w:pPr>
            <w:r w:rsidRPr="00F01655">
              <w:rPr>
                <w:color w:val="000000"/>
                <w:sz w:val="19"/>
                <w:szCs w:val="19"/>
              </w:rPr>
              <w:t>California</w:t>
            </w:r>
          </w:p>
        </w:tc>
        <w:tc>
          <w:tcPr>
            <w:tcW w:w="900" w:type="dxa"/>
            <w:tcBorders>
              <w:top w:val="nil"/>
              <w:left w:val="nil"/>
              <w:bottom w:val="nil"/>
              <w:right w:val="nil"/>
            </w:tcBorders>
            <w:shd w:val="clear" w:color="000000" w:fill="FFFFFF"/>
            <w:noWrap/>
            <w:vAlign w:val="bottom"/>
            <w:hideMark/>
          </w:tcPr>
          <w:p w14:paraId="4B9836BF" w14:textId="77777777" w:rsidR="00E64E20" w:rsidRPr="00F01655" w:rsidRDefault="00E64E20">
            <w:pPr>
              <w:jc w:val="right"/>
              <w:rPr>
                <w:color w:val="000000"/>
                <w:sz w:val="19"/>
                <w:szCs w:val="19"/>
              </w:rPr>
            </w:pPr>
            <w:r w:rsidRPr="00F01655">
              <w:rPr>
                <w:color w:val="000000"/>
                <w:sz w:val="19"/>
                <w:szCs w:val="19"/>
              </w:rPr>
              <w:t>170</w:t>
            </w:r>
          </w:p>
        </w:tc>
        <w:tc>
          <w:tcPr>
            <w:tcW w:w="1080" w:type="dxa"/>
            <w:tcBorders>
              <w:top w:val="nil"/>
              <w:left w:val="single" w:sz="4" w:space="0" w:color="auto"/>
              <w:bottom w:val="nil"/>
              <w:right w:val="double" w:sz="4" w:space="0" w:color="auto"/>
            </w:tcBorders>
            <w:shd w:val="clear" w:color="000000" w:fill="FFFFFF"/>
            <w:noWrap/>
            <w:vAlign w:val="bottom"/>
            <w:hideMark/>
          </w:tcPr>
          <w:p w14:paraId="29790A31" w14:textId="77777777" w:rsidR="00E64E20" w:rsidRPr="00F01655" w:rsidRDefault="00E64E20">
            <w:pPr>
              <w:jc w:val="right"/>
              <w:rPr>
                <w:color w:val="000000"/>
                <w:sz w:val="19"/>
                <w:szCs w:val="19"/>
              </w:rPr>
            </w:pPr>
            <w:r w:rsidRPr="00F01655">
              <w:rPr>
                <w:color w:val="000000"/>
                <w:sz w:val="19"/>
                <w:szCs w:val="19"/>
              </w:rPr>
              <w:t>13.7%</w:t>
            </w:r>
          </w:p>
        </w:tc>
      </w:tr>
      <w:tr w:rsidR="003D4A3F" w:rsidRPr="00F01655" w14:paraId="1554BB1D" w14:textId="77777777" w:rsidTr="00313DF3">
        <w:trPr>
          <w:trHeight w:val="105"/>
        </w:trPr>
        <w:tc>
          <w:tcPr>
            <w:tcW w:w="2317" w:type="dxa"/>
            <w:tcBorders>
              <w:top w:val="nil"/>
              <w:left w:val="double" w:sz="4" w:space="0" w:color="auto"/>
              <w:bottom w:val="nil"/>
              <w:right w:val="single" w:sz="8" w:space="0" w:color="auto"/>
            </w:tcBorders>
            <w:shd w:val="clear" w:color="000000" w:fill="FFFFFF"/>
            <w:vAlign w:val="center"/>
            <w:hideMark/>
          </w:tcPr>
          <w:p w14:paraId="4E77A270" w14:textId="77777777" w:rsidR="00E64E20" w:rsidRPr="00F01655" w:rsidRDefault="00E64E20">
            <w:pPr>
              <w:ind w:firstLineChars="100" w:firstLine="190"/>
              <w:rPr>
                <w:color w:val="000000"/>
                <w:sz w:val="19"/>
                <w:szCs w:val="19"/>
              </w:rPr>
            </w:pPr>
            <w:r w:rsidRPr="00F01655">
              <w:rPr>
                <w:color w:val="000000"/>
                <w:sz w:val="19"/>
                <w:szCs w:val="19"/>
              </w:rPr>
              <w:t>No Children</w:t>
            </w:r>
          </w:p>
        </w:tc>
        <w:tc>
          <w:tcPr>
            <w:tcW w:w="810" w:type="dxa"/>
            <w:tcBorders>
              <w:top w:val="nil"/>
              <w:left w:val="nil"/>
              <w:bottom w:val="nil"/>
              <w:right w:val="nil"/>
            </w:tcBorders>
            <w:shd w:val="clear" w:color="000000" w:fill="FFFFFF"/>
            <w:noWrap/>
            <w:vAlign w:val="bottom"/>
            <w:hideMark/>
          </w:tcPr>
          <w:p w14:paraId="5E9F7C73" w14:textId="77777777" w:rsidR="00E64E20" w:rsidRPr="00F01655" w:rsidRDefault="00E64E20">
            <w:pPr>
              <w:jc w:val="right"/>
              <w:rPr>
                <w:color w:val="000000"/>
                <w:sz w:val="19"/>
                <w:szCs w:val="19"/>
              </w:rPr>
            </w:pPr>
            <w:r w:rsidRPr="00F01655">
              <w:rPr>
                <w:color w:val="000000"/>
                <w:sz w:val="19"/>
                <w:szCs w:val="19"/>
              </w:rPr>
              <w:t>870</w:t>
            </w:r>
          </w:p>
        </w:tc>
        <w:tc>
          <w:tcPr>
            <w:tcW w:w="1000" w:type="dxa"/>
            <w:tcBorders>
              <w:top w:val="nil"/>
              <w:left w:val="single" w:sz="4" w:space="0" w:color="auto"/>
              <w:bottom w:val="nil"/>
              <w:right w:val="double" w:sz="4" w:space="0" w:color="auto"/>
            </w:tcBorders>
            <w:shd w:val="clear" w:color="000000" w:fill="FFFFFF"/>
            <w:noWrap/>
            <w:vAlign w:val="center"/>
            <w:hideMark/>
          </w:tcPr>
          <w:p w14:paraId="277638D9" w14:textId="77777777" w:rsidR="00E64E20" w:rsidRPr="00F01655" w:rsidRDefault="00E64E20">
            <w:pPr>
              <w:jc w:val="right"/>
              <w:rPr>
                <w:color w:val="000000"/>
                <w:sz w:val="19"/>
                <w:szCs w:val="19"/>
              </w:rPr>
            </w:pPr>
            <w:r w:rsidRPr="00F01655">
              <w:rPr>
                <w:color w:val="000000"/>
                <w:sz w:val="19"/>
                <w:szCs w:val="19"/>
              </w:rPr>
              <w:t>70.2%</w:t>
            </w:r>
          </w:p>
        </w:tc>
        <w:tc>
          <w:tcPr>
            <w:tcW w:w="2690" w:type="dxa"/>
            <w:tcBorders>
              <w:top w:val="nil"/>
              <w:left w:val="double" w:sz="4" w:space="0" w:color="auto"/>
              <w:bottom w:val="nil"/>
              <w:right w:val="single" w:sz="8" w:space="0" w:color="auto"/>
            </w:tcBorders>
            <w:shd w:val="clear" w:color="000000" w:fill="FFFFFF"/>
            <w:noWrap/>
            <w:vAlign w:val="center"/>
            <w:hideMark/>
          </w:tcPr>
          <w:p w14:paraId="7D6F93FA" w14:textId="77777777" w:rsidR="00E64E20" w:rsidRPr="00F01655" w:rsidRDefault="00E64E20">
            <w:pPr>
              <w:ind w:firstLineChars="100" w:firstLine="190"/>
              <w:rPr>
                <w:color w:val="000000"/>
                <w:sz w:val="19"/>
                <w:szCs w:val="19"/>
              </w:rPr>
            </w:pPr>
            <w:r w:rsidRPr="00F01655">
              <w:rPr>
                <w:color w:val="000000"/>
                <w:sz w:val="19"/>
                <w:szCs w:val="19"/>
              </w:rPr>
              <w:t>6.00 to 10.99 miles</w:t>
            </w:r>
          </w:p>
        </w:tc>
        <w:tc>
          <w:tcPr>
            <w:tcW w:w="748" w:type="dxa"/>
            <w:tcBorders>
              <w:top w:val="nil"/>
              <w:left w:val="nil"/>
              <w:bottom w:val="nil"/>
              <w:right w:val="single" w:sz="4" w:space="0" w:color="auto"/>
            </w:tcBorders>
            <w:shd w:val="clear" w:color="000000" w:fill="FFFFFF"/>
            <w:noWrap/>
            <w:vAlign w:val="center"/>
            <w:hideMark/>
          </w:tcPr>
          <w:p w14:paraId="3C8CD209" w14:textId="77777777" w:rsidR="00E64E20" w:rsidRPr="00F01655" w:rsidRDefault="00E64E20">
            <w:pPr>
              <w:jc w:val="right"/>
              <w:rPr>
                <w:color w:val="000000"/>
                <w:sz w:val="19"/>
                <w:szCs w:val="19"/>
              </w:rPr>
            </w:pPr>
            <w:r w:rsidRPr="00F01655">
              <w:rPr>
                <w:color w:val="000000"/>
                <w:sz w:val="19"/>
                <w:szCs w:val="19"/>
              </w:rPr>
              <w:t>262</w:t>
            </w:r>
          </w:p>
        </w:tc>
        <w:tc>
          <w:tcPr>
            <w:tcW w:w="990" w:type="dxa"/>
            <w:tcBorders>
              <w:top w:val="nil"/>
              <w:left w:val="nil"/>
              <w:bottom w:val="nil"/>
              <w:right w:val="double" w:sz="4" w:space="0" w:color="auto"/>
            </w:tcBorders>
            <w:shd w:val="clear" w:color="000000" w:fill="FFFFFF"/>
            <w:noWrap/>
            <w:vAlign w:val="center"/>
            <w:hideMark/>
          </w:tcPr>
          <w:p w14:paraId="0162729F" w14:textId="77777777" w:rsidR="00E64E20" w:rsidRPr="00F01655" w:rsidRDefault="00E64E20">
            <w:pPr>
              <w:jc w:val="right"/>
              <w:rPr>
                <w:color w:val="000000"/>
                <w:sz w:val="19"/>
                <w:szCs w:val="19"/>
              </w:rPr>
            </w:pPr>
            <w:r w:rsidRPr="00F01655">
              <w:rPr>
                <w:color w:val="000000"/>
                <w:sz w:val="19"/>
                <w:szCs w:val="19"/>
              </w:rPr>
              <w:t>21.1%</w:t>
            </w:r>
          </w:p>
        </w:tc>
        <w:tc>
          <w:tcPr>
            <w:tcW w:w="2492" w:type="dxa"/>
            <w:tcBorders>
              <w:top w:val="nil"/>
              <w:left w:val="double" w:sz="4" w:space="0" w:color="auto"/>
              <w:bottom w:val="nil"/>
              <w:right w:val="nil"/>
            </w:tcBorders>
            <w:shd w:val="clear" w:color="000000" w:fill="FFFFFF"/>
            <w:vAlign w:val="center"/>
            <w:hideMark/>
          </w:tcPr>
          <w:p w14:paraId="38D3FEF3" w14:textId="77777777" w:rsidR="00E64E20" w:rsidRPr="00F01655" w:rsidRDefault="00E64E20">
            <w:pPr>
              <w:ind w:firstLineChars="100" w:firstLine="190"/>
              <w:rPr>
                <w:color w:val="000000"/>
                <w:sz w:val="19"/>
                <w:szCs w:val="19"/>
              </w:rPr>
            </w:pPr>
            <w:r w:rsidRPr="00F01655">
              <w:rPr>
                <w:color w:val="000000"/>
                <w:sz w:val="19"/>
                <w:szCs w:val="19"/>
              </w:rPr>
              <w:t>Other</w:t>
            </w:r>
          </w:p>
        </w:tc>
        <w:tc>
          <w:tcPr>
            <w:tcW w:w="900" w:type="dxa"/>
            <w:tcBorders>
              <w:top w:val="nil"/>
              <w:left w:val="single" w:sz="8" w:space="0" w:color="auto"/>
              <w:bottom w:val="nil"/>
              <w:right w:val="single" w:sz="4" w:space="0" w:color="auto"/>
            </w:tcBorders>
            <w:shd w:val="clear" w:color="000000" w:fill="FFFFFF"/>
            <w:noWrap/>
            <w:vAlign w:val="bottom"/>
            <w:hideMark/>
          </w:tcPr>
          <w:p w14:paraId="37E88B2B" w14:textId="77777777" w:rsidR="00E64E20" w:rsidRPr="00F01655" w:rsidRDefault="00E64E20">
            <w:pPr>
              <w:jc w:val="right"/>
              <w:rPr>
                <w:color w:val="000000"/>
                <w:sz w:val="19"/>
                <w:szCs w:val="19"/>
              </w:rPr>
            </w:pPr>
            <w:r w:rsidRPr="00F01655">
              <w:rPr>
                <w:color w:val="000000"/>
                <w:sz w:val="19"/>
                <w:szCs w:val="19"/>
              </w:rPr>
              <w:t>897</w:t>
            </w:r>
          </w:p>
        </w:tc>
        <w:tc>
          <w:tcPr>
            <w:tcW w:w="1080" w:type="dxa"/>
            <w:tcBorders>
              <w:top w:val="nil"/>
              <w:left w:val="nil"/>
              <w:bottom w:val="nil"/>
              <w:right w:val="double" w:sz="4" w:space="0" w:color="auto"/>
            </w:tcBorders>
            <w:shd w:val="clear" w:color="000000" w:fill="FFFFFF"/>
            <w:noWrap/>
            <w:vAlign w:val="bottom"/>
            <w:hideMark/>
          </w:tcPr>
          <w:p w14:paraId="6F2FBC39" w14:textId="77777777" w:rsidR="00E64E20" w:rsidRPr="00F01655" w:rsidRDefault="00E64E20">
            <w:pPr>
              <w:jc w:val="right"/>
              <w:rPr>
                <w:color w:val="000000"/>
                <w:sz w:val="19"/>
                <w:szCs w:val="19"/>
              </w:rPr>
            </w:pPr>
            <w:r w:rsidRPr="00F01655">
              <w:rPr>
                <w:color w:val="000000"/>
                <w:sz w:val="19"/>
                <w:szCs w:val="19"/>
              </w:rPr>
              <w:t>72.4%</w:t>
            </w:r>
          </w:p>
        </w:tc>
      </w:tr>
      <w:tr w:rsidR="003D4A3F" w:rsidRPr="00F01655" w14:paraId="27FB5A90" w14:textId="77777777" w:rsidTr="00313DF3">
        <w:trPr>
          <w:trHeight w:val="105"/>
        </w:trPr>
        <w:tc>
          <w:tcPr>
            <w:tcW w:w="2317" w:type="dxa"/>
            <w:tcBorders>
              <w:top w:val="nil"/>
              <w:left w:val="double" w:sz="4" w:space="0" w:color="auto"/>
              <w:bottom w:val="nil"/>
              <w:right w:val="nil"/>
            </w:tcBorders>
            <w:shd w:val="clear" w:color="000000" w:fill="FFFFFF"/>
            <w:noWrap/>
            <w:vAlign w:val="center"/>
            <w:hideMark/>
          </w:tcPr>
          <w:p w14:paraId="6E9B0A4B" w14:textId="5068D8E4" w:rsidR="00E64E20" w:rsidRPr="00F01655" w:rsidRDefault="00E64E20">
            <w:pPr>
              <w:ind w:firstLineChars="100" w:firstLine="190"/>
              <w:rPr>
                <w:color w:val="000000"/>
                <w:sz w:val="19"/>
                <w:szCs w:val="19"/>
              </w:rPr>
            </w:pPr>
            <w:r w:rsidRPr="00F01655">
              <w:rPr>
                <w:color w:val="000000"/>
                <w:sz w:val="19"/>
                <w:szCs w:val="19"/>
              </w:rPr>
              <w:t>0 to 4</w:t>
            </w:r>
          </w:p>
        </w:tc>
        <w:tc>
          <w:tcPr>
            <w:tcW w:w="810" w:type="dxa"/>
            <w:tcBorders>
              <w:top w:val="nil"/>
              <w:left w:val="single" w:sz="8" w:space="0" w:color="auto"/>
              <w:bottom w:val="nil"/>
              <w:right w:val="single" w:sz="4" w:space="0" w:color="auto"/>
            </w:tcBorders>
            <w:shd w:val="clear" w:color="000000" w:fill="FFFFFF"/>
            <w:noWrap/>
            <w:vAlign w:val="center"/>
            <w:hideMark/>
          </w:tcPr>
          <w:p w14:paraId="4CE6D961" w14:textId="77777777" w:rsidR="00E64E20" w:rsidRPr="00F01655" w:rsidRDefault="00E64E20">
            <w:pPr>
              <w:jc w:val="right"/>
              <w:rPr>
                <w:color w:val="000000"/>
                <w:sz w:val="19"/>
                <w:szCs w:val="19"/>
              </w:rPr>
            </w:pPr>
            <w:r w:rsidRPr="00F01655">
              <w:rPr>
                <w:color w:val="000000"/>
                <w:sz w:val="19"/>
                <w:szCs w:val="19"/>
              </w:rPr>
              <w:t>108</w:t>
            </w:r>
          </w:p>
        </w:tc>
        <w:tc>
          <w:tcPr>
            <w:tcW w:w="1000" w:type="dxa"/>
            <w:tcBorders>
              <w:top w:val="nil"/>
              <w:left w:val="nil"/>
              <w:bottom w:val="nil"/>
              <w:right w:val="double" w:sz="4" w:space="0" w:color="auto"/>
            </w:tcBorders>
            <w:shd w:val="clear" w:color="000000" w:fill="FFFFFF"/>
            <w:noWrap/>
            <w:vAlign w:val="center"/>
            <w:hideMark/>
          </w:tcPr>
          <w:p w14:paraId="4F2E3B13" w14:textId="77777777" w:rsidR="00E64E20" w:rsidRPr="00F01655" w:rsidRDefault="00E64E20">
            <w:pPr>
              <w:jc w:val="right"/>
              <w:rPr>
                <w:color w:val="000000"/>
                <w:sz w:val="19"/>
                <w:szCs w:val="19"/>
              </w:rPr>
            </w:pPr>
            <w:r w:rsidRPr="00F01655">
              <w:rPr>
                <w:color w:val="000000"/>
                <w:sz w:val="19"/>
                <w:szCs w:val="19"/>
              </w:rPr>
              <w:t>8.7%</w:t>
            </w:r>
          </w:p>
        </w:tc>
        <w:tc>
          <w:tcPr>
            <w:tcW w:w="2690" w:type="dxa"/>
            <w:tcBorders>
              <w:top w:val="nil"/>
              <w:left w:val="double" w:sz="4" w:space="0" w:color="auto"/>
              <w:bottom w:val="nil"/>
              <w:right w:val="nil"/>
            </w:tcBorders>
            <w:shd w:val="clear" w:color="000000" w:fill="FFFFFF"/>
            <w:noWrap/>
            <w:vAlign w:val="center"/>
            <w:hideMark/>
          </w:tcPr>
          <w:p w14:paraId="3B9D23C4" w14:textId="77777777" w:rsidR="00E64E20" w:rsidRPr="00F01655" w:rsidRDefault="00E64E20">
            <w:pPr>
              <w:ind w:firstLineChars="100" w:firstLine="190"/>
              <w:rPr>
                <w:color w:val="000000"/>
                <w:sz w:val="19"/>
                <w:szCs w:val="19"/>
              </w:rPr>
            </w:pPr>
            <w:r w:rsidRPr="00F01655">
              <w:rPr>
                <w:color w:val="000000"/>
                <w:sz w:val="19"/>
                <w:szCs w:val="19"/>
              </w:rPr>
              <w:t>11.00 to 30.99 miles</w:t>
            </w:r>
          </w:p>
        </w:tc>
        <w:tc>
          <w:tcPr>
            <w:tcW w:w="748" w:type="dxa"/>
            <w:tcBorders>
              <w:top w:val="nil"/>
              <w:left w:val="single" w:sz="8" w:space="0" w:color="auto"/>
              <w:bottom w:val="nil"/>
              <w:right w:val="nil"/>
            </w:tcBorders>
            <w:shd w:val="clear" w:color="000000" w:fill="FFFFFF"/>
            <w:noWrap/>
            <w:vAlign w:val="center"/>
            <w:hideMark/>
          </w:tcPr>
          <w:p w14:paraId="1671E435" w14:textId="77777777" w:rsidR="00E64E20" w:rsidRPr="00F01655" w:rsidRDefault="00E64E20">
            <w:pPr>
              <w:jc w:val="right"/>
              <w:rPr>
                <w:color w:val="000000"/>
                <w:sz w:val="19"/>
                <w:szCs w:val="19"/>
              </w:rPr>
            </w:pPr>
            <w:r w:rsidRPr="00F01655">
              <w:rPr>
                <w:color w:val="000000"/>
                <w:sz w:val="19"/>
                <w:szCs w:val="19"/>
              </w:rPr>
              <w:t>454</w:t>
            </w:r>
          </w:p>
        </w:tc>
        <w:tc>
          <w:tcPr>
            <w:tcW w:w="990" w:type="dxa"/>
            <w:tcBorders>
              <w:top w:val="nil"/>
              <w:left w:val="single" w:sz="4" w:space="0" w:color="auto"/>
              <w:bottom w:val="nil"/>
              <w:right w:val="double" w:sz="4" w:space="0" w:color="auto"/>
            </w:tcBorders>
            <w:shd w:val="clear" w:color="000000" w:fill="FFFFFF"/>
            <w:noWrap/>
            <w:vAlign w:val="center"/>
            <w:hideMark/>
          </w:tcPr>
          <w:p w14:paraId="2A4C7C1A" w14:textId="77777777" w:rsidR="00E64E20" w:rsidRPr="00F01655" w:rsidRDefault="00E64E20">
            <w:pPr>
              <w:jc w:val="right"/>
              <w:rPr>
                <w:color w:val="000000"/>
                <w:sz w:val="19"/>
                <w:szCs w:val="19"/>
              </w:rPr>
            </w:pPr>
            <w:r w:rsidRPr="00F01655">
              <w:rPr>
                <w:color w:val="000000"/>
                <w:sz w:val="19"/>
                <w:szCs w:val="19"/>
              </w:rPr>
              <w:t>36.6%</w:t>
            </w:r>
          </w:p>
        </w:tc>
        <w:tc>
          <w:tcPr>
            <w:tcW w:w="2492" w:type="dxa"/>
            <w:tcBorders>
              <w:top w:val="nil"/>
              <w:left w:val="double" w:sz="4" w:space="0" w:color="auto"/>
              <w:bottom w:val="nil"/>
              <w:right w:val="nil"/>
            </w:tcBorders>
            <w:shd w:val="clear" w:color="000000" w:fill="FFFFFF"/>
            <w:vAlign w:val="center"/>
            <w:hideMark/>
          </w:tcPr>
          <w:p w14:paraId="5341C9C9" w14:textId="77777777" w:rsidR="00E64E20" w:rsidRPr="00F01655" w:rsidRDefault="00E64E20">
            <w:pPr>
              <w:rPr>
                <w:color w:val="000000"/>
                <w:sz w:val="19"/>
                <w:szCs w:val="19"/>
              </w:rPr>
            </w:pPr>
            <w:r w:rsidRPr="00F01655">
              <w:rPr>
                <w:color w:val="000000"/>
                <w:sz w:val="19"/>
                <w:szCs w:val="19"/>
              </w:rPr>
              <w:t> </w:t>
            </w:r>
          </w:p>
        </w:tc>
        <w:tc>
          <w:tcPr>
            <w:tcW w:w="900" w:type="dxa"/>
            <w:tcBorders>
              <w:top w:val="nil"/>
              <w:left w:val="single" w:sz="8" w:space="0" w:color="auto"/>
              <w:bottom w:val="nil"/>
              <w:right w:val="nil"/>
            </w:tcBorders>
            <w:shd w:val="clear" w:color="000000" w:fill="FFFFFF"/>
            <w:noWrap/>
            <w:vAlign w:val="bottom"/>
            <w:hideMark/>
          </w:tcPr>
          <w:p w14:paraId="1DE703C8" w14:textId="77777777" w:rsidR="00E64E20" w:rsidRPr="00F01655" w:rsidRDefault="00E64E20">
            <w:pPr>
              <w:rPr>
                <w:color w:val="000000"/>
                <w:sz w:val="19"/>
                <w:szCs w:val="19"/>
              </w:rPr>
            </w:pPr>
            <w:r w:rsidRPr="00F01655">
              <w:rPr>
                <w:color w:val="000000"/>
                <w:sz w:val="19"/>
                <w:szCs w:val="19"/>
              </w:rPr>
              <w:t> </w:t>
            </w:r>
          </w:p>
        </w:tc>
        <w:tc>
          <w:tcPr>
            <w:tcW w:w="1080" w:type="dxa"/>
            <w:tcBorders>
              <w:top w:val="nil"/>
              <w:left w:val="single" w:sz="4" w:space="0" w:color="auto"/>
              <w:bottom w:val="nil"/>
              <w:right w:val="double" w:sz="4" w:space="0" w:color="auto"/>
            </w:tcBorders>
            <w:shd w:val="clear" w:color="000000" w:fill="FFFFFF"/>
            <w:noWrap/>
            <w:vAlign w:val="bottom"/>
            <w:hideMark/>
          </w:tcPr>
          <w:p w14:paraId="4288C861" w14:textId="77777777" w:rsidR="00E64E20" w:rsidRPr="00F01655" w:rsidRDefault="00E64E20">
            <w:pPr>
              <w:rPr>
                <w:color w:val="000000"/>
                <w:sz w:val="19"/>
                <w:szCs w:val="19"/>
              </w:rPr>
            </w:pPr>
            <w:r w:rsidRPr="00F01655">
              <w:rPr>
                <w:color w:val="000000"/>
                <w:sz w:val="19"/>
                <w:szCs w:val="19"/>
              </w:rPr>
              <w:t> </w:t>
            </w:r>
          </w:p>
        </w:tc>
      </w:tr>
      <w:tr w:rsidR="003D4A3F" w:rsidRPr="00F01655" w14:paraId="1DC57841" w14:textId="77777777" w:rsidTr="002074ED">
        <w:trPr>
          <w:trHeight w:val="340"/>
        </w:trPr>
        <w:tc>
          <w:tcPr>
            <w:tcW w:w="2317" w:type="dxa"/>
            <w:tcBorders>
              <w:top w:val="nil"/>
              <w:left w:val="double" w:sz="4" w:space="0" w:color="auto"/>
              <w:right w:val="nil"/>
            </w:tcBorders>
            <w:shd w:val="clear" w:color="000000" w:fill="FFFFFF"/>
            <w:noWrap/>
            <w:vAlign w:val="center"/>
            <w:hideMark/>
          </w:tcPr>
          <w:p w14:paraId="72E4D0EA" w14:textId="77777777" w:rsidR="00E64E20" w:rsidRPr="00F01655" w:rsidRDefault="00E64E20">
            <w:pPr>
              <w:ind w:firstLineChars="100" w:firstLine="190"/>
              <w:rPr>
                <w:color w:val="000000"/>
                <w:sz w:val="19"/>
                <w:szCs w:val="19"/>
              </w:rPr>
            </w:pPr>
            <w:r w:rsidRPr="00F01655">
              <w:rPr>
                <w:color w:val="000000"/>
                <w:sz w:val="19"/>
                <w:szCs w:val="19"/>
              </w:rPr>
              <w:t>5 to 12</w:t>
            </w:r>
          </w:p>
        </w:tc>
        <w:tc>
          <w:tcPr>
            <w:tcW w:w="810" w:type="dxa"/>
            <w:tcBorders>
              <w:top w:val="nil"/>
              <w:left w:val="single" w:sz="8" w:space="0" w:color="auto"/>
              <w:right w:val="single" w:sz="4" w:space="0" w:color="auto"/>
            </w:tcBorders>
            <w:shd w:val="clear" w:color="000000" w:fill="FFFFFF"/>
            <w:noWrap/>
            <w:vAlign w:val="center"/>
            <w:hideMark/>
          </w:tcPr>
          <w:p w14:paraId="4F2F8975" w14:textId="77777777" w:rsidR="00E64E20" w:rsidRPr="00F01655" w:rsidRDefault="00E64E20">
            <w:pPr>
              <w:jc w:val="right"/>
              <w:rPr>
                <w:color w:val="000000"/>
                <w:sz w:val="19"/>
                <w:szCs w:val="19"/>
              </w:rPr>
            </w:pPr>
            <w:r w:rsidRPr="00F01655">
              <w:rPr>
                <w:color w:val="000000"/>
                <w:sz w:val="19"/>
                <w:szCs w:val="19"/>
              </w:rPr>
              <w:t>210</w:t>
            </w:r>
          </w:p>
        </w:tc>
        <w:tc>
          <w:tcPr>
            <w:tcW w:w="1000" w:type="dxa"/>
            <w:tcBorders>
              <w:top w:val="nil"/>
              <w:left w:val="nil"/>
              <w:right w:val="double" w:sz="4" w:space="0" w:color="auto"/>
            </w:tcBorders>
            <w:shd w:val="clear" w:color="000000" w:fill="FFFFFF"/>
            <w:noWrap/>
            <w:vAlign w:val="center"/>
            <w:hideMark/>
          </w:tcPr>
          <w:p w14:paraId="6DB92F6F" w14:textId="77777777" w:rsidR="00E64E20" w:rsidRPr="00F01655" w:rsidRDefault="00E64E20">
            <w:pPr>
              <w:jc w:val="right"/>
              <w:rPr>
                <w:color w:val="000000"/>
                <w:sz w:val="19"/>
                <w:szCs w:val="19"/>
              </w:rPr>
            </w:pPr>
            <w:r w:rsidRPr="00F01655">
              <w:rPr>
                <w:color w:val="000000"/>
                <w:sz w:val="19"/>
                <w:szCs w:val="19"/>
              </w:rPr>
              <w:t>16.9%</w:t>
            </w:r>
          </w:p>
        </w:tc>
        <w:tc>
          <w:tcPr>
            <w:tcW w:w="2690" w:type="dxa"/>
            <w:tcBorders>
              <w:top w:val="nil"/>
              <w:left w:val="double" w:sz="4" w:space="0" w:color="auto"/>
              <w:right w:val="nil"/>
            </w:tcBorders>
            <w:shd w:val="clear" w:color="000000" w:fill="FFFFFF"/>
            <w:noWrap/>
            <w:vAlign w:val="center"/>
            <w:hideMark/>
          </w:tcPr>
          <w:p w14:paraId="745D9EAC" w14:textId="77777777" w:rsidR="00E64E20" w:rsidRPr="00F01655" w:rsidRDefault="00E64E20">
            <w:pPr>
              <w:ind w:firstLineChars="100" w:firstLine="190"/>
              <w:rPr>
                <w:color w:val="000000"/>
                <w:sz w:val="19"/>
                <w:szCs w:val="19"/>
              </w:rPr>
            </w:pPr>
            <w:r w:rsidRPr="00F01655">
              <w:rPr>
                <w:color w:val="000000"/>
                <w:sz w:val="19"/>
                <w:szCs w:val="19"/>
              </w:rPr>
              <w:t>≥ 31.00 miles</w:t>
            </w:r>
          </w:p>
        </w:tc>
        <w:tc>
          <w:tcPr>
            <w:tcW w:w="748" w:type="dxa"/>
            <w:tcBorders>
              <w:top w:val="nil"/>
              <w:left w:val="single" w:sz="8" w:space="0" w:color="auto"/>
              <w:right w:val="nil"/>
            </w:tcBorders>
            <w:shd w:val="clear" w:color="000000" w:fill="FFFFFF"/>
            <w:noWrap/>
            <w:vAlign w:val="center"/>
            <w:hideMark/>
          </w:tcPr>
          <w:p w14:paraId="469D154F" w14:textId="77777777" w:rsidR="00E64E20" w:rsidRPr="00F01655" w:rsidRDefault="00E64E20">
            <w:pPr>
              <w:jc w:val="right"/>
              <w:rPr>
                <w:color w:val="000000"/>
                <w:sz w:val="19"/>
                <w:szCs w:val="19"/>
              </w:rPr>
            </w:pPr>
            <w:r w:rsidRPr="00F01655">
              <w:rPr>
                <w:color w:val="000000"/>
                <w:sz w:val="19"/>
                <w:szCs w:val="19"/>
              </w:rPr>
              <w:t>85</w:t>
            </w:r>
          </w:p>
        </w:tc>
        <w:tc>
          <w:tcPr>
            <w:tcW w:w="990" w:type="dxa"/>
            <w:tcBorders>
              <w:top w:val="nil"/>
              <w:left w:val="single" w:sz="4" w:space="0" w:color="auto"/>
              <w:right w:val="double" w:sz="4" w:space="0" w:color="auto"/>
            </w:tcBorders>
            <w:shd w:val="clear" w:color="000000" w:fill="FFFFFF"/>
            <w:noWrap/>
            <w:vAlign w:val="center"/>
            <w:hideMark/>
          </w:tcPr>
          <w:p w14:paraId="13475609" w14:textId="77777777" w:rsidR="00E64E20" w:rsidRPr="00F01655" w:rsidRDefault="00E64E20">
            <w:pPr>
              <w:jc w:val="right"/>
              <w:rPr>
                <w:color w:val="000000"/>
                <w:sz w:val="19"/>
                <w:szCs w:val="19"/>
              </w:rPr>
            </w:pPr>
            <w:r w:rsidRPr="00F01655">
              <w:rPr>
                <w:color w:val="000000"/>
                <w:sz w:val="19"/>
                <w:szCs w:val="19"/>
              </w:rPr>
              <w:t>6.9%</w:t>
            </w:r>
          </w:p>
        </w:tc>
        <w:tc>
          <w:tcPr>
            <w:tcW w:w="2492" w:type="dxa"/>
            <w:tcBorders>
              <w:top w:val="nil"/>
              <w:left w:val="double" w:sz="4" w:space="0" w:color="auto"/>
              <w:right w:val="nil"/>
            </w:tcBorders>
            <w:shd w:val="clear" w:color="000000" w:fill="FFFFFF"/>
            <w:vAlign w:val="center"/>
            <w:hideMark/>
          </w:tcPr>
          <w:p w14:paraId="32BC650C" w14:textId="77777777" w:rsidR="00E64E20" w:rsidRPr="00F01655" w:rsidRDefault="00E64E20">
            <w:pPr>
              <w:rPr>
                <w:color w:val="000000"/>
                <w:sz w:val="19"/>
                <w:szCs w:val="19"/>
              </w:rPr>
            </w:pPr>
            <w:r w:rsidRPr="00F01655">
              <w:rPr>
                <w:color w:val="000000"/>
                <w:sz w:val="19"/>
                <w:szCs w:val="19"/>
              </w:rPr>
              <w:t> </w:t>
            </w:r>
          </w:p>
        </w:tc>
        <w:tc>
          <w:tcPr>
            <w:tcW w:w="900" w:type="dxa"/>
            <w:tcBorders>
              <w:top w:val="nil"/>
              <w:left w:val="single" w:sz="8" w:space="0" w:color="auto"/>
              <w:right w:val="nil"/>
            </w:tcBorders>
            <w:shd w:val="clear" w:color="000000" w:fill="FFFFFF"/>
            <w:noWrap/>
            <w:vAlign w:val="bottom"/>
            <w:hideMark/>
          </w:tcPr>
          <w:p w14:paraId="007D45AB" w14:textId="77777777" w:rsidR="00E64E20" w:rsidRPr="00F01655" w:rsidRDefault="00E64E20">
            <w:pPr>
              <w:rPr>
                <w:color w:val="000000"/>
                <w:sz w:val="19"/>
                <w:szCs w:val="19"/>
              </w:rPr>
            </w:pPr>
            <w:r w:rsidRPr="00F01655">
              <w:rPr>
                <w:color w:val="000000"/>
                <w:sz w:val="19"/>
                <w:szCs w:val="19"/>
              </w:rPr>
              <w:t> </w:t>
            </w:r>
          </w:p>
        </w:tc>
        <w:tc>
          <w:tcPr>
            <w:tcW w:w="1080" w:type="dxa"/>
            <w:tcBorders>
              <w:top w:val="nil"/>
              <w:left w:val="single" w:sz="4" w:space="0" w:color="auto"/>
              <w:right w:val="double" w:sz="4" w:space="0" w:color="auto"/>
            </w:tcBorders>
            <w:shd w:val="clear" w:color="000000" w:fill="FFFFFF"/>
            <w:noWrap/>
            <w:vAlign w:val="bottom"/>
            <w:hideMark/>
          </w:tcPr>
          <w:p w14:paraId="60E66F76" w14:textId="77777777" w:rsidR="00E64E20" w:rsidRPr="00F01655" w:rsidRDefault="00E64E20">
            <w:pPr>
              <w:rPr>
                <w:color w:val="000000"/>
                <w:sz w:val="19"/>
                <w:szCs w:val="19"/>
              </w:rPr>
            </w:pPr>
            <w:r w:rsidRPr="00F01655">
              <w:rPr>
                <w:color w:val="000000"/>
                <w:sz w:val="19"/>
                <w:szCs w:val="19"/>
              </w:rPr>
              <w:t> </w:t>
            </w:r>
          </w:p>
        </w:tc>
      </w:tr>
      <w:tr w:rsidR="003D4A3F" w:rsidRPr="00F01655" w14:paraId="68B4A42E" w14:textId="77777777" w:rsidTr="002074ED">
        <w:trPr>
          <w:trHeight w:val="105"/>
        </w:trPr>
        <w:tc>
          <w:tcPr>
            <w:tcW w:w="2317" w:type="dxa"/>
            <w:tcBorders>
              <w:top w:val="nil"/>
              <w:left w:val="double" w:sz="4" w:space="0" w:color="auto"/>
              <w:bottom w:val="double" w:sz="4" w:space="0" w:color="auto"/>
              <w:right w:val="single" w:sz="8" w:space="0" w:color="auto"/>
            </w:tcBorders>
            <w:shd w:val="clear" w:color="000000" w:fill="FFFFFF"/>
            <w:noWrap/>
            <w:vAlign w:val="center"/>
            <w:hideMark/>
          </w:tcPr>
          <w:p w14:paraId="0407839E" w14:textId="77777777" w:rsidR="00E64E20" w:rsidRPr="00F01655" w:rsidRDefault="00E64E20">
            <w:pPr>
              <w:ind w:firstLineChars="100" w:firstLine="190"/>
              <w:rPr>
                <w:color w:val="000000"/>
                <w:sz w:val="19"/>
                <w:szCs w:val="19"/>
              </w:rPr>
            </w:pPr>
            <w:r w:rsidRPr="00F01655">
              <w:rPr>
                <w:color w:val="000000"/>
                <w:sz w:val="19"/>
                <w:szCs w:val="19"/>
              </w:rPr>
              <w:t>13 to 17</w:t>
            </w:r>
          </w:p>
        </w:tc>
        <w:tc>
          <w:tcPr>
            <w:tcW w:w="810" w:type="dxa"/>
            <w:tcBorders>
              <w:top w:val="nil"/>
              <w:left w:val="nil"/>
              <w:bottom w:val="double" w:sz="4" w:space="0" w:color="auto"/>
              <w:right w:val="single" w:sz="4" w:space="0" w:color="auto"/>
            </w:tcBorders>
            <w:shd w:val="clear" w:color="000000" w:fill="FFFFFF"/>
            <w:noWrap/>
            <w:vAlign w:val="center"/>
            <w:hideMark/>
          </w:tcPr>
          <w:p w14:paraId="2F50F435" w14:textId="77777777" w:rsidR="00E64E20" w:rsidRPr="00F01655" w:rsidRDefault="00E64E20">
            <w:pPr>
              <w:jc w:val="right"/>
              <w:rPr>
                <w:color w:val="000000"/>
                <w:sz w:val="19"/>
                <w:szCs w:val="19"/>
              </w:rPr>
            </w:pPr>
            <w:r w:rsidRPr="00F01655">
              <w:rPr>
                <w:color w:val="000000"/>
                <w:sz w:val="19"/>
                <w:szCs w:val="19"/>
              </w:rPr>
              <w:t>181</w:t>
            </w:r>
          </w:p>
        </w:tc>
        <w:tc>
          <w:tcPr>
            <w:tcW w:w="1000" w:type="dxa"/>
            <w:tcBorders>
              <w:top w:val="nil"/>
              <w:left w:val="nil"/>
              <w:bottom w:val="double" w:sz="4" w:space="0" w:color="auto"/>
              <w:right w:val="double" w:sz="4" w:space="0" w:color="auto"/>
            </w:tcBorders>
            <w:shd w:val="clear" w:color="000000" w:fill="FFFFFF"/>
            <w:noWrap/>
            <w:vAlign w:val="center"/>
            <w:hideMark/>
          </w:tcPr>
          <w:p w14:paraId="4FB55B60" w14:textId="77777777" w:rsidR="00E64E20" w:rsidRPr="00F01655" w:rsidRDefault="00E64E20">
            <w:pPr>
              <w:jc w:val="right"/>
              <w:rPr>
                <w:color w:val="000000"/>
                <w:sz w:val="19"/>
                <w:szCs w:val="19"/>
              </w:rPr>
            </w:pPr>
            <w:r w:rsidRPr="00F01655">
              <w:rPr>
                <w:color w:val="000000"/>
                <w:sz w:val="19"/>
                <w:szCs w:val="19"/>
              </w:rPr>
              <w:t>14.6%</w:t>
            </w:r>
          </w:p>
        </w:tc>
        <w:tc>
          <w:tcPr>
            <w:tcW w:w="2690" w:type="dxa"/>
            <w:tcBorders>
              <w:top w:val="nil"/>
              <w:left w:val="double" w:sz="4" w:space="0" w:color="auto"/>
              <w:bottom w:val="double" w:sz="4" w:space="0" w:color="auto"/>
              <w:right w:val="single" w:sz="8" w:space="0" w:color="auto"/>
            </w:tcBorders>
            <w:shd w:val="clear" w:color="000000" w:fill="FFFFFF"/>
            <w:noWrap/>
            <w:vAlign w:val="center"/>
            <w:hideMark/>
          </w:tcPr>
          <w:p w14:paraId="7B7F636D" w14:textId="77777777" w:rsidR="00E64E20" w:rsidRPr="00F01655" w:rsidRDefault="00E64E20">
            <w:pPr>
              <w:rPr>
                <w:color w:val="000000"/>
                <w:sz w:val="19"/>
                <w:szCs w:val="19"/>
              </w:rPr>
            </w:pPr>
            <w:r w:rsidRPr="00F01655">
              <w:rPr>
                <w:color w:val="000000"/>
                <w:sz w:val="19"/>
                <w:szCs w:val="19"/>
              </w:rPr>
              <w:t> </w:t>
            </w:r>
          </w:p>
        </w:tc>
        <w:tc>
          <w:tcPr>
            <w:tcW w:w="748" w:type="dxa"/>
            <w:tcBorders>
              <w:top w:val="nil"/>
              <w:left w:val="nil"/>
              <w:bottom w:val="double" w:sz="4" w:space="0" w:color="auto"/>
              <w:right w:val="nil"/>
            </w:tcBorders>
            <w:shd w:val="clear" w:color="000000" w:fill="FFFFFF"/>
            <w:noWrap/>
            <w:vAlign w:val="bottom"/>
            <w:hideMark/>
          </w:tcPr>
          <w:p w14:paraId="6116442E" w14:textId="77777777" w:rsidR="00E64E20" w:rsidRPr="00F01655" w:rsidRDefault="00E64E20">
            <w:pPr>
              <w:rPr>
                <w:color w:val="000000"/>
                <w:sz w:val="19"/>
                <w:szCs w:val="19"/>
              </w:rPr>
            </w:pPr>
            <w:r w:rsidRPr="00F01655">
              <w:rPr>
                <w:color w:val="000000"/>
                <w:sz w:val="19"/>
                <w:szCs w:val="19"/>
              </w:rPr>
              <w:t> </w:t>
            </w:r>
          </w:p>
        </w:tc>
        <w:tc>
          <w:tcPr>
            <w:tcW w:w="990" w:type="dxa"/>
            <w:tcBorders>
              <w:top w:val="nil"/>
              <w:left w:val="single" w:sz="4" w:space="0" w:color="auto"/>
              <w:bottom w:val="double" w:sz="4" w:space="0" w:color="auto"/>
              <w:right w:val="double" w:sz="4" w:space="0" w:color="auto"/>
            </w:tcBorders>
            <w:shd w:val="clear" w:color="000000" w:fill="FFFFFF"/>
            <w:noWrap/>
            <w:vAlign w:val="bottom"/>
            <w:hideMark/>
          </w:tcPr>
          <w:p w14:paraId="2E429505" w14:textId="77777777" w:rsidR="00E64E20" w:rsidRPr="00F01655" w:rsidRDefault="00E64E20">
            <w:pPr>
              <w:rPr>
                <w:color w:val="000000"/>
                <w:sz w:val="19"/>
                <w:szCs w:val="19"/>
              </w:rPr>
            </w:pPr>
            <w:r w:rsidRPr="00F01655">
              <w:rPr>
                <w:color w:val="000000"/>
                <w:sz w:val="19"/>
                <w:szCs w:val="19"/>
              </w:rPr>
              <w:t> </w:t>
            </w:r>
          </w:p>
        </w:tc>
        <w:tc>
          <w:tcPr>
            <w:tcW w:w="2492" w:type="dxa"/>
            <w:tcBorders>
              <w:top w:val="nil"/>
              <w:left w:val="double" w:sz="4" w:space="0" w:color="auto"/>
              <w:bottom w:val="double" w:sz="4" w:space="0" w:color="auto"/>
              <w:right w:val="nil"/>
            </w:tcBorders>
            <w:shd w:val="clear" w:color="000000" w:fill="FFFFFF"/>
            <w:vAlign w:val="bottom"/>
            <w:hideMark/>
          </w:tcPr>
          <w:p w14:paraId="4B5BA167" w14:textId="77777777" w:rsidR="00E64E20" w:rsidRPr="00F01655" w:rsidRDefault="00E64E20">
            <w:pPr>
              <w:rPr>
                <w:color w:val="000000"/>
                <w:sz w:val="19"/>
                <w:szCs w:val="19"/>
              </w:rPr>
            </w:pPr>
            <w:r w:rsidRPr="00F01655">
              <w:rPr>
                <w:color w:val="000000"/>
                <w:sz w:val="19"/>
                <w:szCs w:val="19"/>
              </w:rPr>
              <w:t> </w:t>
            </w:r>
          </w:p>
        </w:tc>
        <w:tc>
          <w:tcPr>
            <w:tcW w:w="900" w:type="dxa"/>
            <w:tcBorders>
              <w:top w:val="nil"/>
              <w:left w:val="single" w:sz="8" w:space="0" w:color="auto"/>
              <w:bottom w:val="double" w:sz="4" w:space="0" w:color="auto"/>
              <w:right w:val="nil"/>
            </w:tcBorders>
            <w:shd w:val="clear" w:color="000000" w:fill="FFFFFF"/>
            <w:noWrap/>
            <w:vAlign w:val="bottom"/>
            <w:hideMark/>
          </w:tcPr>
          <w:p w14:paraId="154BDC4A" w14:textId="77777777" w:rsidR="00E64E20" w:rsidRPr="00F01655" w:rsidRDefault="00E64E20">
            <w:pPr>
              <w:rPr>
                <w:color w:val="000000"/>
                <w:sz w:val="19"/>
                <w:szCs w:val="19"/>
              </w:rPr>
            </w:pPr>
            <w:r w:rsidRPr="00F01655">
              <w:rPr>
                <w:color w:val="000000"/>
                <w:sz w:val="19"/>
                <w:szCs w:val="19"/>
              </w:rPr>
              <w:t> </w:t>
            </w:r>
          </w:p>
        </w:tc>
        <w:tc>
          <w:tcPr>
            <w:tcW w:w="1080" w:type="dxa"/>
            <w:tcBorders>
              <w:top w:val="nil"/>
              <w:left w:val="single" w:sz="4" w:space="0" w:color="auto"/>
              <w:bottom w:val="double" w:sz="4" w:space="0" w:color="auto"/>
              <w:right w:val="double" w:sz="4" w:space="0" w:color="auto"/>
            </w:tcBorders>
            <w:shd w:val="clear" w:color="000000" w:fill="FFFFFF"/>
            <w:noWrap/>
            <w:vAlign w:val="bottom"/>
            <w:hideMark/>
          </w:tcPr>
          <w:p w14:paraId="1A4EBDA1" w14:textId="77777777" w:rsidR="00E64E20" w:rsidRPr="00F01655" w:rsidRDefault="00E64E20">
            <w:pPr>
              <w:rPr>
                <w:color w:val="000000"/>
                <w:sz w:val="19"/>
                <w:szCs w:val="19"/>
              </w:rPr>
            </w:pPr>
            <w:r w:rsidRPr="00F01655">
              <w:rPr>
                <w:color w:val="000000"/>
                <w:sz w:val="19"/>
                <w:szCs w:val="19"/>
              </w:rPr>
              <w:t> </w:t>
            </w:r>
          </w:p>
        </w:tc>
      </w:tr>
    </w:tbl>
    <w:p w14:paraId="2CC05AB8" w14:textId="3297BCF0" w:rsidR="00C70308" w:rsidRPr="00F01655" w:rsidRDefault="003D4A3F" w:rsidP="00AD5670">
      <w:pPr>
        <w:pStyle w:val="NormalWeb"/>
        <w:spacing w:before="0" w:beforeAutospacing="0" w:after="0" w:afterAutospacing="0"/>
        <w:rPr>
          <w:rFonts w:ascii="TimesNewRomanPSMT" w:hAnsi="TimesNewRomanPSMT"/>
          <w:b/>
          <w:bCs/>
        </w:rPr>
      </w:pPr>
      <w:r w:rsidRPr="00F01655">
        <w:rPr>
          <w:b/>
          <w:bCs/>
          <w:color w:val="000000" w:themeColor="text1"/>
          <w:sz w:val="20"/>
        </w:rPr>
        <w:t xml:space="preserve">* </w:t>
      </w:r>
      <w:r w:rsidRPr="00F01655">
        <w:rPr>
          <w:sz w:val="20"/>
        </w:rPr>
        <w:t xml:space="preserve">368 households have children in them. The “Presence of Children” categories do not add up to </w:t>
      </w:r>
      <w:r w:rsidR="005800A2">
        <w:rPr>
          <w:sz w:val="20"/>
        </w:rPr>
        <w:t xml:space="preserve">368 </w:t>
      </w:r>
      <w:r w:rsidRPr="00F01655">
        <w:rPr>
          <w:sz w:val="20"/>
        </w:rPr>
        <w:t>because some households have children in multiple age groups</w:t>
      </w:r>
      <w:r w:rsidR="005800A2">
        <w:rPr>
          <w:sz w:val="20"/>
        </w:rPr>
        <w:t>. It is for the same reason that the percentages across the different age categories add up to more than 100%.</w:t>
      </w:r>
    </w:p>
    <w:p w14:paraId="24AF3C30" w14:textId="77777777" w:rsidR="00641F12" w:rsidRPr="00F01655" w:rsidRDefault="00641F12" w:rsidP="00641F12">
      <w:pPr>
        <w:rPr>
          <w:sz w:val="20"/>
        </w:rPr>
      </w:pPr>
    </w:p>
    <w:p w14:paraId="57450C39" w14:textId="77777777" w:rsidR="00641F12" w:rsidRPr="00F01655" w:rsidRDefault="00641F12" w:rsidP="0041433B">
      <w:pPr>
        <w:rPr>
          <w:b/>
          <w:bCs/>
          <w:color w:val="000000" w:themeColor="text1"/>
          <w:sz w:val="20"/>
        </w:rPr>
      </w:pPr>
    </w:p>
    <w:p w14:paraId="5B141A15" w14:textId="77777777" w:rsidR="00232689" w:rsidRPr="00F01655" w:rsidRDefault="00232689" w:rsidP="00232689">
      <w:pPr>
        <w:rPr>
          <w:b/>
          <w:bCs/>
          <w:color w:val="000000" w:themeColor="text1"/>
        </w:rPr>
        <w:sectPr w:rsidR="00232689" w:rsidRPr="00F01655" w:rsidSect="00814124">
          <w:footerReference w:type="even" r:id="rId18"/>
          <w:footerReference w:type="default" r:id="rId19"/>
          <w:pgSz w:w="15840" w:h="12240" w:orient="landscape"/>
          <w:pgMar w:top="1260" w:right="1440" w:bottom="1440" w:left="1440" w:header="720" w:footer="720" w:gutter="0"/>
          <w:cols w:space="720"/>
          <w:docGrid w:linePitch="360"/>
        </w:sectPr>
      </w:pPr>
    </w:p>
    <w:p w14:paraId="2D398420" w14:textId="465F3819" w:rsidR="00232689" w:rsidRPr="003329B4" w:rsidRDefault="00B77EB6" w:rsidP="004F6E0E">
      <w:pPr>
        <w:pStyle w:val="Heading3"/>
        <w:rPr>
          <w:i/>
          <w:color w:val="000000" w:themeColor="text1"/>
          <w:u w:val="single"/>
        </w:rPr>
      </w:pPr>
      <w:r w:rsidRPr="003329B4">
        <w:rPr>
          <w:rFonts w:ascii="Times New Roman" w:hAnsi="Times New Roman" w:cs="Times New Roman"/>
          <w:i/>
          <w:iCs/>
          <w:color w:val="000000" w:themeColor="text1"/>
        </w:rPr>
        <w:lastRenderedPageBreak/>
        <w:t>3.2.2.</w:t>
      </w:r>
      <w:r w:rsidRPr="003329B4">
        <w:rPr>
          <w:rFonts w:ascii="Times New Roman" w:hAnsi="Times New Roman" w:cs="Times New Roman"/>
          <w:i/>
          <w:iCs/>
          <w:color w:val="000000" w:themeColor="text1"/>
        </w:rPr>
        <w:tab/>
      </w:r>
      <w:r w:rsidRPr="003329B4">
        <w:rPr>
          <w:rFonts w:ascii="Times New Roman" w:hAnsi="Times New Roman" w:cs="Times New Roman"/>
          <w:bCs/>
          <w:i/>
          <w:color w:val="000000" w:themeColor="text1"/>
        </w:rPr>
        <w:t xml:space="preserve">Sample Descriptive Statistics of </w:t>
      </w:r>
      <w:r w:rsidR="0029559B" w:rsidRPr="003329B4">
        <w:rPr>
          <w:rFonts w:ascii="Times New Roman" w:hAnsi="Times New Roman" w:cs="Times New Roman"/>
          <w:bCs/>
          <w:i/>
          <w:color w:val="000000" w:themeColor="text1"/>
        </w:rPr>
        <w:t>ETF</w:t>
      </w:r>
      <w:r w:rsidRPr="003329B4">
        <w:rPr>
          <w:rFonts w:ascii="Times New Roman" w:hAnsi="Times New Roman" w:cs="Times New Roman"/>
          <w:bCs/>
          <w:i/>
          <w:color w:val="000000" w:themeColor="text1"/>
        </w:rPr>
        <w:t xml:space="preserve">, </w:t>
      </w:r>
      <w:r w:rsidR="0029559B" w:rsidRPr="003329B4">
        <w:rPr>
          <w:rFonts w:ascii="Times New Roman" w:hAnsi="Times New Roman" w:cs="Times New Roman"/>
          <w:bCs/>
          <w:i/>
          <w:color w:val="000000" w:themeColor="text1"/>
        </w:rPr>
        <w:t>ITF</w:t>
      </w:r>
      <w:r w:rsidRPr="003329B4">
        <w:rPr>
          <w:rFonts w:ascii="Times New Roman" w:hAnsi="Times New Roman" w:cs="Times New Roman"/>
          <w:bCs/>
          <w:i/>
          <w:color w:val="000000" w:themeColor="text1"/>
        </w:rPr>
        <w:t>, and TFD</w:t>
      </w:r>
    </w:p>
    <w:p w14:paraId="7DA79A11" w14:textId="108E4524" w:rsidR="003F2A59" w:rsidRPr="003329B4" w:rsidRDefault="00232689" w:rsidP="003329B4">
      <w:pPr>
        <w:jc w:val="both"/>
        <w:rPr>
          <w:rFonts w:ascii="TimesNewRomanPSMT" w:hAnsi="TimesNewRomanPSMT"/>
        </w:rPr>
      </w:pPr>
      <w:r w:rsidRPr="00F01655">
        <w:rPr>
          <w:rFonts w:ascii="TimesNewRomanPSMT" w:hAnsi="TimesNewRomanPSMT"/>
        </w:rPr>
        <w:t xml:space="preserve">Table 2 presents a detailed description of the endogenous variables of interest. </w:t>
      </w:r>
      <w:r w:rsidR="00B54ACA" w:rsidRPr="00F01655">
        <w:rPr>
          <w:rFonts w:ascii="TimesNewRomanPSMT" w:hAnsi="TimesNewRomanPSMT"/>
        </w:rPr>
        <w:t xml:space="preserve">Note that both ETF and ITF are not revealed behaviors, so there is no way to compare these with </w:t>
      </w:r>
      <w:r w:rsidR="008E008D" w:rsidRPr="00F01655">
        <w:rPr>
          <w:rFonts w:ascii="TimesNewRomanPSMT" w:hAnsi="TimesNewRomanPSMT"/>
        </w:rPr>
        <w:t xml:space="preserve">numbers from the Census Bureau or elsewhere. </w:t>
      </w:r>
      <w:r w:rsidRPr="00F01655">
        <w:rPr>
          <w:rFonts w:ascii="TimesNewRomanPSMT" w:hAnsi="TimesNewRomanPSMT"/>
        </w:rPr>
        <w:t xml:space="preserve">The first part of </w:t>
      </w:r>
      <w:r w:rsidR="008E008D" w:rsidRPr="00F01655">
        <w:rPr>
          <w:rFonts w:ascii="TimesNewRomanPSMT" w:hAnsi="TimesNewRomanPSMT"/>
        </w:rPr>
        <w:t>T</w:t>
      </w:r>
      <w:r w:rsidRPr="00F01655">
        <w:rPr>
          <w:rFonts w:ascii="TimesNewRomanPSMT" w:hAnsi="TimesNewRomanPSMT"/>
        </w:rPr>
        <w:t xml:space="preserve">able </w:t>
      </w:r>
      <w:r w:rsidR="008E008D" w:rsidRPr="00F01655">
        <w:rPr>
          <w:rFonts w:ascii="TimesNewRomanPSMT" w:hAnsi="TimesNewRomanPSMT"/>
        </w:rPr>
        <w:t xml:space="preserve">2 </w:t>
      </w:r>
      <w:r w:rsidR="0085221A" w:rsidRPr="00F01655">
        <w:rPr>
          <w:rFonts w:ascii="TimesNewRomanPSMT" w:hAnsi="TimesNewRomanPSMT"/>
        </w:rPr>
        <w:t xml:space="preserve">provides descriptive statistics of ETF and ITF. </w:t>
      </w:r>
      <w:r w:rsidR="00B258AD" w:rsidRPr="00F01655">
        <w:rPr>
          <w:rFonts w:ascii="TimesNewRomanPSMT" w:hAnsi="TimesNewRomanPSMT"/>
        </w:rPr>
        <w:t xml:space="preserve">In terms of ETF, </w:t>
      </w:r>
      <w:r w:rsidR="009E5B38" w:rsidRPr="00F01655">
        <w:rPr>
          <w:rFonts w:ascii="TimesNewRomanPSMT" w:hAnsi="TimesNewRomanPSMT"/>
        </w:rPr>
        <w:t>a</w:t>
      </w:r>
      <w:r w:rsidRPr="00F01655">
        <w:rPr>
          <w:rFonts w:ascii="TimesNewRomanPSMT" w:hAnsi="TimesNewRomanPSMT"/>
        </w:rPr>
        <w:t xml:space="preserve">bout </w:t>
      </w:r>
      <w:r w:rsidR="00B7027F" w:rsidRPr="00F01655">
        <w:rPr>
          <w:rFonts w:ascii="TimesNewRomanPSMT" w:hAnsi="TimesNewRomanPSMT"/>
        </w:rPr>
        <w:t>28</w:t>
      </w:r>
      <w:r w:rsidRPr="00F01655">
        <w:rPr>
          <w:rFonts w:ascii="TimesNewRomanPSMT" w:hAnsi="TimesNewRomanPSMT"/>
        </w:rPr>
        <w:t xml:space="preserve">% of individuals indicate that they </w:t>
      </w:r>
      <w:r w:rsidR="00B7027F" w:rsidRPr="00F01655">
        <w:rPr>
          <w:rFonts w:ascii="TimesNewRomanPSMT" w:hAnsi="TimesNewRomanPSMT"/>
        </w:rPr>
        <w:t xml:space="preserve">never </w:t>
      </w:r>
      <w:r w:rsidRPr="00F01655">
        <w:rPr>
          <w:rFonts w:ascii="TimesNewRomanPSMT" w:hAnsi="TimesNewRomanPSMT"/>
        </w:rPr>
        <w:t>telecommute</w:t>
      </w:r>
      <w:r w:rsidR="00B7027F" w:rsidRPr="00F01655">
        <w:rPr>
          <w:rFonts w:ascii="TimesNewRomanPSMT" w:hAnsi="TimesNewRomanPSMT"/>
        </w:rPr>
        <w:t xml:space="preserve">, while about a quarter telework </w:t>
      </w:r>
      <w:r w:rsidR="00136D4A" w:rsidRPr="00F01655">
        <w:rPr>
          <w:rFonts w:ascii="TimesNewRomanPSMT" w:hAnsi="TimesNewRomanPSMT"/>
        </w:rPr>
        <w:t>every day</w:t>
      </w:r>
      <w:r w:rsidR="00B7027F" w:rsidRPr="00F01655">
        <w:rPr>
          <w:rFonts w:ascii="TimesNewRomanPSMT" w:hAnsi="TimesNewRomanPSMT"/>
        </w:rPr>
        <w:t xml:space="preserve"> of the week. </w:t>
      </w:r>
      <w:r w:rsidRPr="00F01655">
        <w:rPr>
          <w:rFonts w:ascii="TimesNewRomanPSMT" w:hAnsi="TimesNewRomanPSMT"/>
        </w:rPr>
        <w:t xml:space="preserve"> </w:t>
      </w:r>
      <w:r w:rsidR="00B7027F" w:rsidRPr="00F01655">
        <w:rPr>
          <w:rFonts w:ascii="TimesNewRomanPSMT" w:hAnsi="TimesNewRomanPSMT"/>
        </w:rPr>
        <w:t>The highest percentage of respondents telework a few times</w:t>
      </w:r>
      <w:r w:rsidR="00B258AD" w:rsidRPr="00F01655">
        <w:rPr>
          <w:rFonts w:ascii="TimesNewRomanPSMT" w:hAnsi="TimesNewRomanPSMT"/>
        </w:rPr>
        <w:t xml:space="preserve"> per </w:t>
      </w:r>
      <w:r w:rsidR="00B7027F" w:rsidRPr="00F01655">
        <w:rPr>
          <w:rFonts w:ascii="TimesNewRomanPSMT" w:hAnsi="TimesNewRomanPSMT"/>
        </w:rPr>
        <w:t>week at 30.1%, and the overall percentage of hybrid workers (working both from home and office) is at</w:t>
      </w:r>
      <w:r w:rsidR="00B258AD" w:rsidRPr="00F01655">
        <w:rPr>
          <w:rFonts w:ascii="TimesNewRomanPSMT" w:hAnsi="TimesNewRomanPSMT"/>
        </w:rPr>
        <w:t xml:space="preserve"> 47.5%. The shift toward higher levels of telework desire is </w:t>
      </w:r>
      <w:r w:rsidR="00503AEF" w:rsidRPr="00F01655">
        <w:rPr>
          <w:rFonts w:ascii="TimesNewRomanPSMT" w:hAnsi="TimesNewRomanPSMT"/>
        </w:rPr>
        <w:t>noticeable</w:t>
      </w:r>
      <w:r w:rsidR="00B258AD" w:rsidRPr="00F01655">
        <w:rPr>
          <w:rFonts w:ascii="TimesNewRomanPSMT" w:hAnsi="TimesNewRomanPSMT"/>
        </w:rPr>
        <w:t xml:space="preserve"> when comparing the ITF numbers with the ETF numbers, with only 4.8% of respondents indicating they would never telework in their </w:t>
      </w:r>
      <w:r w:rsidR="00B258AD" w:rsidRPr="003329B4">
        <w:rPr>
          <w:rFonts w:ascii="TimesNewRomanPSMT" w:hAnsi="TimesNewRomanPSMT"/>
        </w:rPr>
        <w:t>ideal scenario</w:t>
      </w:r>
      <w:r w:rsidR="00B7027F" w:rsidRPr="003329B4">
        <w:rPr>
          <w:rFonts w:ascii="TimesNewRomanPSMT" w:hAnsi="TimesNewRomanPSMT"/>
        </w:rPr>
        <w:t xml:space="preserve"> </w:t>
      </w:r>
      <w:r w:rsidR="00B258AD" w:rsidRPr="003329B4">
        <w:rPr>
          <w:rFonts w:ascii="TimesNewRomanPSMT" w:hAnsi="TimesNewRomanPSMT"/>
        </w:rPr>
        <w:t xml:space="preserve">and 44.6% indicating they would telework every day. Interestingly, the percentage who indicate teleworking a few times per week remains stable at about 30% across both ETF and ITF, as does the percentage who desire a hybrid work arrangement (which goes up a little from 47.5% to 50.6%). </w:t>
      </w:r>
      <w:r w:rsidR="003F2A59" w:rsidRPr="003329B4">
        <w:rPr>
          <w:rFonts w:ascii="TimesNewRomanPSMT" w:hAnsi="TimesNewRomanPSMT"/>
        </w:rPr>
        <w:t>T</w:t>
      </w:r>
      <w:r w:rsidR="00B258AD" w:rsidRPr="003329B4">
        <w:rPr>
          <w:rFonts w:ascii="TimesNewRomanPSMT" w:hAnsi="TimesNewRomanPSMT"/>
        </w:rPr>
        <w:t xml:space="preserve">he ITF numbers </w:t>
      </w:r>
      <w:r w:rsidR="003F2A59" w:rsidRPr="003329B4">
        <w:rPr>
          <w:rFonts w:ascii="TimesNewRomanPSMT" w:hAnsi="TimesNewRomanPSMT"/>
        </w:rPr>
        <w:t xml:space="preserve">from Table 2 may be compared </w:t>
      </w:r>
      <w:r w:rsidR="00B258AD" w:rsidRPr="003329B4">
        <w:rPr>
          <w:rFonts w:ascii="TimesNewRomanPSMT" w:hAnsi="TimesNewRomanPSMT"/>
        </w:rPr>
        <w:t>with those from Sweet and Scott</w:t>
      </w:r>
      <w:r w:rsidR="003F2A59" w:rsidRPr="003329B4">
        <w:rPr>
          <w:rFonts w:ascii="TimesNewRomanPSMT" w:hAnsi="TimesNewRomanPSMT" w:hint="eastAsia"/>
        </w:rPr>
        <w:t>’</w:t>
      </w:r>
      <w:r w:rsidR="003F2A59" w:rsidRPr="003329B4">
        <w:rPr>
          <w:rFonts w:ascii="TimesNewRomanPSMT" w:hAnsi="TimesNewRomanPSMT"/>
        </w:rPr>
        <w:t xml:space="preserve">s (2022) </w:t>
      </w:r>
      <w:r w:rsidR="00136D4A" w:rsidRPr="003329B4">
        <w:rPr>
          <w:rFonts w:ascii="TimesNewRomanPSMT" w:hAnsi="TimesNewRomanPSMT"/>
        </w:rPr>
        <w:t>study from</w:t>
      </w:r>
      <w:r w:rsidR="00B258AD" w:rsidRPr="003329B4">
        <w:rPr>
          <w:rFonts w:ascii="TimesNewRomanPSMT" w:hAnsi="TimesNewRomanPSMT"/>
        </w:rPr>
        <w:t xml:space="preserve"> Canada, </w:t>
      </w:r>
      <w:r w:rsidR="003F2A59" w:rsidRPr="003329B4">
        <w:rPr>
          <w:rFonts w:ascii="TimesNewRomanPSMT" w:hAnsi="TimesNewRomanPSMT"/>
        </w:rPr>
        <w:t>where more than half (54.8%) indicate that they would never telework in their ideal scenario and less than one-fifth (18.4%) indicate they would telework every day. Clearly, U</w:t>
      </w:r>
      <w:r w:rsidR="00926E20">
        <w:rPr>
          <w:rFonts w:ascii="TimesNewRomanPSMT" w:hAnsi="TimesNewRomanPSMT"/>
        </w:rPr>
        <w:t>.</w:t>
      </w:r>
      <w:r w:rsidR="003F2A59" w:rsidRPr="003329B4">
        <w:rPr>
          <w:rFonts w:ascii="TimesNewRomanPSMT" w:hAnsi="TimesNewRomanPSMT"/>
        </w:rPr>
        <w:t>S</w:t>
      </w:r>
      <w:r w:rsidR="00926E20">
        <w:rPr>
          <w:rFonts w:ascii="TimesNewRomanPSMT" w:hAnsi="TimesNewRomanPSMT"/>
        </w:rPr>
        <w:t>.</w:t>
      </w:r>
      <w:r w:rsidR="003F2A59" w:rsidRPr="003329B4">
        <w:rPr>
          <w:rFonts w:ascii="TimesNewRomanPSMT" w:hAnsi="TimesNewRomanPSMT"/>
        </w:rPr>
        <w:t xml:space="preserve"> workers </w:t>
      </w:r>
      <w:r w:rsidR="00503AEF" w:rsidRPr="003329B4">
        <w:rPr>
          <w:rFonts w:ascii="TimesNewRomanPSMT" w:hAnsi="TimesNewRomanPSMT"/>
        </w:rPr>
        <w:t>appear to be</w:t>
      </w:r>
      <w:r w:rsidR="003F2A59" w:rsidRPr="003329B4">
        <w:rPr>
          <w:rFonts w:ascii="TimesNewRomanPSMT" w:hAnsi="TimesNewRomanPSMT"/>
        </w:rPr>
        <w:t xml:space="preserve"> much more desirous of teleworking than their Canadian counterparts.   </w:t>
      </w:r>
    </w:p>
    <w:p w14:paraId="4652B48C" w14:textId="0A11F980" w:rsidR="00232689" w:rsidRPr="00F01655" w:rsidRDefault="00232689" w:rsidP="003329B4">
      <w:pPr>
        <w:ind w:firstLine="720"/>
        <w:jc w:val="both"/>
        <w:rPr>
          <w:rFonts w:ascii="TimesNewRomanPSMT" w:hAnsi="TimesNewRomanPSMT"/>
        </w:rPr>
      </w:pPr>
      <w:r w:rsidRPr="003329B4">
        <w:rPr>
          <w:rFonts w:ascii="TimesNewRomanPSMT" w:hAnsi="TimesNewRomanPSMT"/>
        </w:rPr>
        <w:t xml:space="preserve">The </w:t>
      </w:r>
      <w:r w:rsidR="003F2A59" w:rsidRPr="003329B4">
        <w:rPr>
          <w:rFonts w:ascii="TimesNewRomanPSMT" w:hAnsi="TimesNewRomanPSMT"/>
        </w:rPr>
        <w:t xml:space="preserve">first part of the table, while providing overall ETF and ITF split statistics, does not provide </w:t>
      </w:r>
      <w:r w:rsidR="009E5B38" w:rsidRPr="003329B4">
        <w:rPr>
          <w:rFonts w:ascii="TimesNewRomanPSMT" w:hAnsi="TimesNewRomanPSMT"/>
        </w:rPr>
        <w:t xml:space="preserve">information on the movement from specific </w:t>
      </w:r>
      <w:r w:rsidR="003F2A59" w:rsidRPr="003329B4">
        <w:rPr>
          <w:rFonts w:ascii="TimesNewRomanPSMT" w:hAnsi="TimesNewRomanPSMT"/>
        </w:rPr>
        <w:t>ETF levels</w:t>
      </w:r>
      <w:r w:rsidR="009E5B38" w:rsidRPr="003329B4">
        <w:rPr>
          <w:rFonts w:ascii="TimesNewRomanPSMT" w:hAnsi="TimesNewRomanPSMT"/>
        </w:rPr>
        <w:t xml:space="preserve"> </w:t>
      </w:r>
      <w:r w:rsidR="003F2A59" w:rsidRPr="003329B4">
        <w:rPr>
          <w:rFonts w:ascii="TimesNewRomanPSMT" w:hAnsi="TimesNewRomanPSMT"/>
        </w:rPr>
        <w:t xml:space="preserve">to </w:t>
      </w:r>
      <w:r w:rsidR="009E5B38" w:rsidRPr="003329B4">
        <w:rPr>
          <w:rFonts w:ascii="TimesNewRomanPSMT" w:hAnsi="TimesNewRomanPSMT"/>
        </w:rPr>
        <w:t xml:space="preserve">specific </w:t>
      </w:r>
      <w:r w:rsidR="003F2A59" w:rsidRPr="003329B4">
        <w:rPr>
          <w:rFonts w:ascii="TimesNewRomanPSMT" w:hAnsi="TimesNewRomanPSMT"/>
        </w:rPr>
        <w:t xml:space="preserve">ITF levels, which is the basis of consonance versus dissonance. The </w:t>
      </w:r>
      <w:r w:rsidRPr="003329B4">
        <w:rPr>
          <w:rFonts w:ascii="TimesNewRomanPSMT" w:hAnsi="TimesNewRomanPSMT"/>
        </w:rPr>
        <w:t>second part of the table displays th</w:t>
      </w:r>
      <w:r w:rsidR="003F2A59" w:rsidRPr="003329B4">
        <w:rPr>
          <w:rFonts w:ascii="TimesNewRomanPSMT" w:hAnsi="TimesNewRomanPSMT"/>
        </w:rPr>
        <w:t>is</w:t>
      </w:r>
      <w:r w:rsidRPr="003329B4">
        <w:rPr>
          <w:rFonts w:ascii="TimesNewRomanPSMT" w:hAnsi="TimesNewRomanPSMT"/>
        </w:rPr>
        <w:t xml:space="preserve"> joint distribution of </w:t>
      </w:r>
      <w:r w:rsidR="003F2A59" w:rsidRPr="003329B4">
        <w:rPr>
          <w:rFonts w:ascii="TimesNewRomanPSMT" w:hAnsi="TimesNewRomanPSMT"/>
        </w:rPr>
        <w:t>ETF and ITF</w:t>
      </w:r>
      <w:r w:rsidRPr="003329B4">
        <w:rPr>
          <w:rFonts w:ascii="TimesNewRomanPSMT" w:hAnsi="TimesNewRomanPSMT"/>
        </w:rPr>
        <w:t xml:space="preserve">. The </w:t>
      </w:r>
      <w:r w:rsidR="003F2A59" w:rsidRPr="003329B4">
        <w:rPr>
          <w:rFonts w:ascii="TimesNewRomanPSMT" w:hAnsi="TimesNewRomanPSMT"/>
        </w:rPr>
        <w:t xml:space="preserve">diagonal of this matrix </w:t>
      </w:r>
      <w:r w:rsidRPr="003329B4">
        <w:rPr>
          <w:rFonts w:ascii="TimesNewRomanPSMT" w:hAnsi="TimesNewRomanPSMT"/>
        </w:rPr>
        <w:t>represent</w:t>
      </w:r>
      <w:r w:rsidR="009E5B38" w:rsidRPr="003329B4">
        <w:rPr>
          <w:rFonts w:ascii="TimesNewRomanPSMT" w:hAnsi="TimesNewRomanPSMT"/>
        </w:rPr>
        <w:t>s</w:t>
      </w:r>
      <w:r w:rsidRPr="003329B4">
        <w:rPr>
          <w:rFonts w:ascii="TimesNewRomanPSMT" w:hAnsi="TimesNewRomanPSMT"/>
        </w:rPr>
        <w:t xml:space="preserve"> the number and percentage of individuals that experience consonance</w:t>
      </w:r>
      <w:r w:rsidR="003F2A59" w:rsidRPr="003329B4">
        <w:rPr>
          <w:rFonts w:ascii="TimesNewRomanPSMT" w:hAnsi="TimesNewRomanPSMT"/>
        </w:rPr>
        <w:t xml:space="preserve"> (these are the </w:t>
      </w:r>
      <w:r w:rsidR="007D0CB9" w:rsidRPr="003329B4">
        <w:rPr>
          <w:rFonts w:ascii="TimesNewRomanPSMT" w:hAnsi="TimesNewRomanPSMT"/>
        </w:rPr>
        <w:t xml:space="preserve">bolded </w:t>
      </w:r>
      <w:r w:rsidR="003F2A59" w:rsidRPr="003329B4">
        <w:rPr>
          <w:rFonts w:ascii="TimesNewRomanPSMT" w:hAnsi="TimesNewRomanPSMT"/>
        </w:rPr>
        <w:t>cells in the table)</w:t>
      </w:r>
      <w:r w:rsidRPr="003329B4">
        <w:rPr>
          <w:rFonts w:ascii="TimesNewRomanPSMT" w:hAnsi="TimesNewRomanPSMT"/>
        </w:rPr>
        <w:t xml:space="preserve">. </w:t>
      </w:r>
      <w:r w:rsidR="003F2A59" w:rsidRPr="003329B4">
        <w:rPr>
          <w:rFonts w:ascii="TimesNewRomanPSMT" w:hAnsi="TimesNewRomanPSMT"/>
        </w:rPr>
        <w:t xml:space="preserve">The upper non-diagonal elements of the matrix </w:t>
      </w:r>
      <w:r w:rsidRPr="003329B4">
        <w:rPr>
          <w:rFonts w:ascii="TimesNewRomanPSMT" w:hAnsi="TimesNewRomanPSMT"/>
        </w:rPr>
        <w:t xml:space="preserve">represent individuals that experience dissonance and prefer to </w:t>
      </w:r>
      <w:r w:rsidR="003F2A59" w:rsidRPr="003329B4">
        <w:rPr>
          <w:rFonts w:ascii="TimesNewRomanPSMT" w:hAnsi="TimesNewRomanPSMT"/>
        </w:rPr>
        <w:t xml:space="preserve">telework </w:t>
      </w:r>
      <w:r w:rsidRPr="003329B4">
        <w:rPr>
          <w:rFonts w:ascii="TimesNewRomanPSMT" w:hAnsi="TimesNewRomanPSMT"/>
        </w:rPr>
        <w:t>more</w:t>
      </w:r>
      <w:r w:rsidR="003F2A59" w:rsidRPr="003329B4">
        <w:rPr>
          <w:rFonts w:ascii="TimesNewRomanPSMT" w:hAnsi="TimesNewRomanPSMT"/>
        </w:rPr>
        <w:t xml:space="preserve"> than they currently are, while the lower non-diagonal elements represent individuals that experience dissonance and prefer to telework less than they currently are</w:t>
      </w:r>
      <w:r w:rsidRPr="003329B4">
        <w:rPr>
          <w:rFonts w:ascii="TimesNewRomanPSMT" w:hAnsi="TimesNewRomanPSMT"/>
        </w:rPr>
        <w:t xml:space="preserve">. </w:t>
      </w:r>
      <w:r w:rsidR="003E1E39" w:rsidRPr="003329B4">
        <w:rPr>
          <w:rFonts w:ascii="TimesNewRomanPSMT" w:hAnsi="TimesNewRomanPSMT"/>
        </w:rPr>
        <w:t xml:space="preserve">Looking at the diagonal of the matrix, it is clear that those who currently never telework are the least likely to be in a state of consonance with only 15.7% stating that their current “never telework” state is what they would like in their ideal scenario. On the other side, those who currently telework everyday have the highest level of consonance, with 90% stating that that is also their ideal state. The move from lower levels of current </w:t>
      </w:r>
      <w:proofErr w:type="gramStart"/>
      <w:r w:rsidR="003E1E39" w:rsidRPr="003329B4">
        <w:rPr>
          <w:rFonts w:ascii="TimesNewRomanPSMT" w:hAnsi="TimesNewRomanPSMT"/>
        </w:rPr>
        <w:t>telework</w:t>
      </w:r>
      <w:proofErr w:type="gramEnd"/>
      <w:r w:rsidR="003E1E39" w:rsidRPr="003329B4">
        <w:rPr>
          <w:rFonts w:ascii="TimesNewRomanPSMT" w:hAnsi="TimesNewRomanPSMT"/>
        </w:rPr>
        <w:t xml:space="preserve"> levels to higher desired telework levels is quite clear in the loading of the respondents in the upper non-diagonal rather than the lower non-diagonal. To see this even more clearly, the </w:t>
      </w:r>
      <w:r w:rsidRPr="003329B4">
        <w:rPr>
          <w:rFonts w:ascii="TimesNewRomanPSMT" w:hAnsi="TimesNewRomanPSMT"/>
        </w:rPr>
        <w:t xml:space="preserve">third part of the table displays the proportions of individuals that experience dissonance and consonance. </w:t>
      </w:r>
      <w:r w:rsidR="00D77746" w:rsidRPr="003329B4">
        <w:rPr>
          <w:rFonts w:ascii="TimesNewRomanPSMT" w:hAnsi="TimesNewRomanPSMT"/>
        </w:rPr>
        <w:t>More than half</w:t>
      </w:r>
      <w:r w:rsidRPr="003329B4">
        <w:rPr>
          <w:rFonts w:ascii="TimesNewRomanPSMT" w:hAnsi="TimesNewRomanPSMT"/>
        </w:rPr>
        <w:t xml:space="preserve"> </w:t>
      </w:r>
      <w:r w:rsidR="00D77746" w:rsidRPr="003329B4">
        <w:rPr>
          <w:rFonts w:ascii="TimesNewRomanPSMT" w:hAnsi="TimesNewRomanPSMT"/>
        </w:rPr>
        <w:t xml:space="preserve">of </w:t>
      </w:r>
      <w:r w:rsidRPr="003329B4">
        <w:rPr>
          <w:rFonts w:ascii="TimesNewRomanPSMT" w:hAnsi="TimesNewRomanPSMT"/>
        </w:rPr>
        <w:t xml:space="preserve">individuals </w:t>
      </w:r>
      <w:r w:rsidR="00D77746" w:rsidRPr="003329B4">
        <w:rPr>
          <w:rFonts w:ascii="TimesNewRomanPSMT" w:hAnsi="TimesNewRomanPSMT"/>
        </w:rPr>
        <w:t xml:space="preserve">(50.4%) </w:t>
      </w:r>
      <w:r w:rsidRPr="003329B4">
        <w:rPr>
          <w:rFonts w:ascii="TimesNewRomanPSMT" w:hAnsi="TimesNewRomanPSMT"/>
        </w:rPr>
        <w:t>experience dissonance and</w:t>
      </w:r>
      <w:r w:rsidRPr="00F01655">
        <w:rPr>
          <w:rFonts w:ascii="TimesNewRomanPSMT" w:hAnsi="TimesNewRomanPSMT"/>
        </w:rPr>
        <w:t xml:space="preserve"> prefer more</w:t>
      </w:r>
      <w:r w:rsidR="00D77746" w:rsidRPr="00F01655">
        <w:rPr>
          <w:rFonts w:ascii="TimesNewRomanPSMT" w:hAnsi="TimesNewRomanPSMT"/>
        </w:rPr>
        <w:t xml:space="preserve"> tele</w:t>
      </w:r>
      <w:r w:rsidRPr="00F01655">
        <w:rPr>
          <w:rFonts w:ascii="TimesNewRomanPSMT" w:hAnsi="TimesNewRomanPSMT"/>
        </w:rPr>
        <w:t>work than their current arrangement</w:t>
      </w:r>
      <w:r w:rsidR="00D77746" w:rsidRPr="00F01655">
        <w:rPr>
          <w:rFonts w:ascii="TimesNewRomanPSMT" w:hAnsi="TimesNewRomanPSMT"/>
        </w:rPr>
        <w:t>, while a sizeable percentage of close to half (</w:t>
      </w:r>
      <w:r w:rsidRPr="00F01655">
        <w:rPr>
          <w:rFonts w:ascii="TimesNewRomanPSMT" w:hAnsi="TimesNewRomanPSMT"/>
        </w:rPr>
        <w:t>46</w:t>
      </w:r>
      <w:r w:rsidR="00D77746" w:rsidRPr="00F01655">
        <w:rPr>
          <w:rFonts w:ascii="TimesNewRomanPSMT" w:hAnsi="TimesNewRomanPSMT"/>
        </w:rPr>
        <w:t>.3</w:t>
      </w:r>
      <w:r w:rsidRPr="00F01655">
        <w:rPr>
          <w:rFonts w:ascii="TimesNewRomanPSMT" w:hAnsi="TimesNewRomanPSMT"/>
        </w:rPr>
        <w:t>%</w:t>
      </w:r>
      <w:r w:rsidR="00D77746" w:rsidRPr="00F01655">
        <w:rPr>
          <w:rFonts w:ascii="TimesNewRomanPSMT" w:hAnsi="TimesNewRomanPSMT"/>
        </w:rPr>
        <w:t>)</w:t>
      </w:r>
      <w:r w:rsidRPr="00F01655">
        <w:rPr>
          <w:rFonts w:ascii="TimesNewRomanPSMT" w:hAnsi="TimesNewRomanPSMT"/>
        </w:rPr>
        <w:t xml:space="preserve"> experience consonance. </w:t>
      </w:r>
      <w:r w:rsidR="00D77746" w:rsidRPr="00F01655">
        <w:rPr>
          <w:rFonts w:ascii="TimesNewRomanPSMT" w:hAnsi="TimesNewRomanPSMT"/>
        </w:rPr>
        <w:t>A</w:t>
      </w:r>
      <w:r w:rsidRPr="00F01655">
        <w:rPr>
          <w:rFonts w:ascii="TimesNewRomanPSMT" w:hAnsi="TimesNewRomanPSMT"/>
        </w:rPr>
        <w:t xml:space="preserve"> very small percentage of individuals </w:t>
      </w:r>
      <w:r w:rsidR="00D77746" w:rsidRPr="00F01655">
        <w:rPr>
          <w:rFonts w:ascii="TimesNewRomanPSMT" w:hAnsi="TimesNewRomanPSMT"/>
        </w:rPr>
        <w:t xml:space="preserve">experience </w:t>
      </w:r>
      <w:r w:rsidRPr="00F01655">
        <w:rPr>
          <w:rFonts w:ascii="TimesNewRomanPSMT" w:hAnsi="TimesNewRomanPSMT"/>
        </w:rPr>
        <w:t xml:space="preserve">dissonance </w:t>
      </w:r>
      <w:r w:rsidR="00D77746" w:rsidRPr="00F01655">
        <w:rPr>
          <w:rFonts w:ascii="TimesNewRomanPSMT" w:hAnsi="TimesNewRomanPSMT"/>
        </w:rPr>
        <w:t xml:space="preserve">and </w:t>
      </w:r>
      <w:r w:rsidRPr="00F01655">
        <w:rPr>
          <w:rFonts w:ascii="TimesNewRomanPSMT" w:hAnsi="TimesNewRomanPSMT"/>
        </w:rPr>
        <w:t>prefer les</w:t>
      </w:r>
      <w:r w:rsidR="00D77746" w:rsidRPr="00F01655">
        <w:rPr>
          <w:rFonts w:ascii="TimesNewRomanPSMT" w:hAnsi="TimesNewRomanPSMT"/>
        </w:rPr>
        <w:t xml:space="preserve">s telework </w:t>
      </w:r>
      <w:r w:rsidRPr="00F01655">
        <w:rPr>
          <w:rFonts w:ascii="TimesNewRomanPSMT" w:hAnsi="TimesNewRomanPSMT"/>
        </w:rPr>
        <w:t>work than their current arrangement (3</w:t>
      </w:r>
      <w:r w:rsidR="00D77746" w:rsidRPr="00F01655">
        <w:rPr>
          <w:rFonts w:ascii="TimesNewRomanPSMT" w:hAnsi="TimesNewRomanPSMT"/>
        </w:rPr>
        <w:t>.3</w:t>
      </w:r>
      <w:r w:rsidRPr="00F01655">
        <w:rPr>
          <w:rFonts w:ascii="TimesNewRomanPSMT" w:hAnsi="TimesNewRomanPSMT"/>
        </w:rPr>
        <w:t>%).</w:t>
      </w:r>
    </w:p>
    <w:p w14:paraId="6DE534CD" w14:textId="77777777" w:rsidR="00232689" w:rsidRPr="00F01655" w:rsidRDefault="00232689" w:rsidP="00232689">
      <w:pPr>
        <w:spacing w:after="240"/>
        <w:rPr>
          <w:rFonts w:ascii="TimesNewRomanPSMT" w:hAnsi="TimesNewRomanPSMT"/>
        </w:rPr>
        <w:sectPr w:rsidR="00232689" w:rsidRPr="00F01655" w:rsidSect="00AB1C90">
          <w:pgSz w:w="12240" w:h="15840"/>
          <w:pgMar w:top="1440" w:right="1440" w:bottom="1440" w:left="1440" w:header="720" w:footer="720" w:gutter="0"/>
          <w:cols w:space="720"/>
          <w:docGrid w:linePitch="360"/>
        </w:sectPr>
      </w:pPr>
    </w:p>
    <w:p w14:paraId="0D27836D" w14:textId="77777777" w:rsidR="00232689" w:rsidRPr="00F01655" w:rsidRDefault="00232689" w:rsidP="00232689">
      <w:pPr>
        <w:pStyle w:val="Caption"/>
        <w:keepNext/>
        <w:spacing w:after="0"/>
        <w:rPr>
          <w:rFonts w:ascii="Times New Roman" w:hAnsi="Times New Roman" w:cs="Times New Roman"/>
          <w:b/>
          <w:bCs/>
          <w:i w:val="0"/>
          <w:iCs w:val="0"/>
          <w:color w:val="000000" w:themeColor="text1"/>
          <w:sz w:val="24"/>
          <w:szCs w:val="24"/>
        </w:rPr>
      </w:pPr>
      <w:r w:rsidRPr="00F01655">
        <w:rPr>
          <w:rFonts w:ascii="Times New Roman" w:hAnsi="Times New Roman" w:cs="Times New Roman"/>
          <w:b/>
          <w:bCs/>
          <w:i w:val="0"/>
          <w:iCs w:val="0"/>
          <w:color w:val="000000" w:themeColor="text1"/>
          <w:sz w:val="24"/>
          <w:szCs w:val="24"/>
        </w:rPr>
        <w:lastRenderedPageBreak/>
        <w:t>Table 2.  Descriptive Characteristics of Endogenous Work Arrangement Variables</w:t>
      </w:r>
    </w:p>
    <w:tbl>
      <w:tblPr>
        <w:tblW w:w="13395" w:type="dxa"/>
        <w:tblLayout w:type="fixed"/>
        <w:tblLook w:val="04A0" w:firstRow="1" w:lastRow="0" w:firstColumn="1" w:lastColumn="0" w:noHBand="0" w:noVBand="1"/>
      </w:tblPr>
      <w:tblGrid>
        <w:gridCol w:w="2677"/>
        <w:gridCol w:w="2679"/>
        <w:gridCol w:w="2680"/>
        <w:gridCol w:w="2679"/>
        <w:gridCol w:w="2680"/>
      </w:tblGrid>
      <w:tr w:rsidR="00AD5670" w:rsidRPr="00F01655" w14:paraId="520B4686" w14:textId="77777777" w:rsidTr="00E50CB3">
        <w:trPr>
          <w:trHeight w:val="246"/>
        </w:trPr>
        <w:tc>
          <w:tcPr>
            <w:tcW w:w="2677" w:type="dxa"/>
            <w:vMerge w:val="restart"/>
            <w:tcBorders>
              <w:top w:val="double" w:sz="4" w:space="0" w:color="auto"/>
              <w:left w:val="double" w:sz="4" w:space="0" w:color="auto"/>
              <w:bottom w:val="single" w:sz="4" w:space="0" w:color="000000"/>
              <w:right w:val="single" w:sz="8" w:space="0" w:color="000000"/>
            </w:tcBorders>
            <w:shd w:val="clear" w:color="000000" w:fill="FFFFFF"/>
            <w:noWrap/>
            <w:vAlign w:val="center"/>
            <w:hideMark/>
          </w:tcPr>
          <w:p w14:paraId="5020A5E3" w14:textId="77777777" w:rsidR="00AD5670" w:rsidRPr="00F01655" w:rsidRDefault="00AD5670" w:rsidP="000D109B">
            <w:pPr>
              <w:jc w:val="center"/>
              <w:rPr>
                <w:color w:val="000000"/>
              </w:rPr>
            </w:pPr>
            <w:r w:rsidRPr="00F01655">
              <w:rPr>
                <w:color w:val="000000"/>
              </w:rPr>
              <w:t> </w:t>
            </w:r>
          </w:p>
        </w:tc>
        <w:tc>
          <w:tcPr>
            <w:tcW w:w="5359" w:type="dxa"/>
            <w:gridSpan w:val="2"/>
            <w:tcBorders>
              <w:top w:val="double" w:sz="4" w:space="0" w:color="auto"/>
              <w:left w:val="nil"/>
              <w:bottom w:val="single" w:sz="4" w:space="0" w:color="auto"/>
              <w:right w:val="single" w:sz="8" w:space="0" w:color="000000"/>
            </w:tcBorders>
            <w:shd w:val="clear" w:color="000000" w:fill="FFFFFF"/>
            <w:noWrap/>
            <w:vAlign w:val="center"/>
            <w:hideMark/>
          </w:tcPr>
          <w:p w14:paraId="0F88D274" w14:textId="36B3A6E8" w:rsidR="00AD5670" w:rsidRPr="00F01655" w:rsidRDefault="00F20186" w:rsidP="000D109B">
            <w:pPr>
              <w:jc w:val="center"/>
              <w:rPr>
                <w:b/>
                <w:bCs/>
                <w:color w:val="000000"/>
              </w:rPr>
            </w:pPr>
            <w:r w:rsidRPr="00F01655">
              <w:rPr>
                <w:b/>
                <w:bCs/>
                <w:color w:val="000000"/>
              </w:rPr>
              <w:t xml:space="preserve">Existing </w:t>
            </w:r>
            <w:r w:rsidR="00AD5670" w:rsidRPr="00F01655">
              <w:rPr>
                <w:b/>
                <w:bCs/>
                <w:color w:val="000000"/>
              </w:rPr>
              <w:t>Telework Frequency</w:t>
            </w:r>
            <w:r w:rsidRPr="00F01655">
              <w:rPr>
                <w:b/>
                <w:bCs/>
                <w:color w:val="000000"/>
              </w:rPr>
              <w:t xml:space="preserve"> (ETF)</w:t>
            </w:r>
          </w:p>
        </w:tc>
        <w:tc>
          <w:tcPr>
            <w:tcW w:w="5359" w:type="dxa"/>
            <w:gridSpan w:val="2"/>
            <w:tcBorders>
              <w:top w:val="double" w:sz="4" w:space="0" w:color="auto"/>
              <w:left w:val="nil"/>
              <w:bottom w:val="single" w:sz="4" w:space="0" w:color="auto"/>
              <w:right w:val="double" w:sz="4" w:space="0" w:color="auto"/>
            </w:tcBorders>
            <w:shd w:val="clear" w:color="000000" w:fill="FFFFFF"/>
            <w:noWrap/>
            <w:vAlign w:val="center"/>
            <w:hideMark/>
          </w:tcPr>
          <w:p w14:paraId="0EFE6F94" w14:textId="0125878E" w:rsidR="00AD5670" w:rsidRPr="00F01655" w:rsidRDefault="00F20186" w:rsidP="000D109B">
            <w:pPr>
              <w:jc w:val="center"/>
              <w:rPr>
                <w:b/>
                <w:bCs/>
                <w:color w:val="000000"/>
              </w:rPr>
            </w:pPr>
            <w:r w:rsidRPr="00F01655">
              <w:rPr>
                <w:b/>
                <w:bCs/>
                <w:color w:val="000000"/>
              </w:rPr>
              <w:t xml:space="preserve">Ideal </w:t>
            </w:r>
            <w:r w:rsidR="00AD5670" w:rsidRPr="00F01655">
              <w:rPr>
                <w:b/>
                <w:bCs/>
                <w:color w:val="000000"/>
              </w:rPr>
              <w:t xml:space="preserve">Telework </w:t>
            </w:r>
            <w:r w:rsidR="007A0521" w:rsidRPr="00F01655">
              <w:rPr>
                <w:b/>
                <w:bCs/>
                <w:color w:val="000000"/>
              </w:rPr>
              <w:t xml:space="preserve">Frequency </w:t>
            </w:r>
            <w:r w:rsidRPr="00F01655">
              <w:rPr>
                <w:b/>
                <w:bCs/>
                <w:color w:val="000000"/>
              </w:rPr>
              <w:t>(ITF)</w:t>
            </w:r>
          </w:p>
        </w:tc>
      </w:tr>
      <w:tr w:rsidR="00AD5670" w:rsidRPr="00F01655" w14:paraId="255AA7FD" w14:textId="77777777" w:rsidTr="00E50CB3">
        <w:trPr>
          <w:trHeight w:val="231"/>
        </w:trPr>
        <w:tc>
          <w:tcPr>
            <w:tcW w:w="2677" w:type="dxa"/>
            <w:vMerge/>
            <w:tcBorders>
              <w:top w:val="double" w:sz="6" w:space="0" w:color="auto"/>
              <w:left w:val="double" w:sz="4" w:space="0" w:color="auto"/>
              <w:bottom w:val="single" w:sz="4" w:space="0" w:color="000000"/>
              <w:right w:val="single" w:sz="8" w:space="0" w:color="000000"/>
            </w:tcBorders>
            <w:vAlign w:val="center"/>
            <w:hideMark/>
          </w:tcPr>
          <w:p w14:paraId="159D60A5" w14:textId="77777777" w:rsidR="00AD5670" w:rsidRPr="00F01655" w:rsidRDefault="00AD5670" w:rsidP="000D109B">
            <w:pPr>
              <w:rPr>
                <w:color w:val="000000"/>
              </w:rPr>
            </w:pPr>
          </w:p>
        </w:tc>
        <w:tc>
          <w:tcPr>
            <w:tcW w:w="2679" w:type="dxa"/>
            <w:tcBorders>
              <w:top w:val="single" w:sz="4" w:space="0" w:color="auto"/>
              <w:left w:val="nil"/>
              <w:bottom w:val="single" w:sz="4" w:space="0" w:color="auto"/>
              <w:right w:val="single" w:sz="4" w:space="0" w:color="000000"/>
            </w:tcBorders>
            <w:shd w:val="clear" w:color="000000" w:fill="FFFFFF"/>
            <w:noWrap/>
            <w:vAlign w:val="center"/>
            <w:hideMark/>
          </w:tcPr>
          <w:p w14:paraId="519144E0" w14:textId="77777777" w:rsidR="00AD5670" w:rsidRPr="00F01655" w:rsidRDefault="00AD5670" w:rsidP="000D109B">
            <w:pPr>
              <w:jc w:val="center"/>
              <w:rPr>
                <w:color w:val="000000"/>
              </w:rPr>
            </w:pPr>
            <w:r w:rsidRPr="00F01655">
              <w:rPr>
                <w:color w:val="000000"/>
              </w:rPr>
              <w:t>Count</w:t>
            </w:r>
          </w:p>
        </w:tc>
        <w:tc>
          <w:tcPr>
            <w:tcW w:w="2680" w:type="dxa"/>
            <w:tcBorders>
              <w:top w:val="single" w:sz="4" w:space="0" w:color="auto"/>
              <w:left w:val="nil"/>
              <w:bottom w:val="single" w:sz="4" w:space="0" w:color="auto"/>
              <w:right w:val="single" w:sz="8" w:space="0" w:color="000000"/>
            </w:tcBorders>
            <w:shd w:val="clear" w:color="000000" w:fill="FFFFFF"/>
            <w:noWrap/>
            <w:vAlign w:val="center"/>
            <w:hideMark/>
          </w:tcPr>
          <w:p w14:paraId="4D0C2249" w14:textId="77777777" w:rsidR="00AD5670" w:rsidRPr="00F01655" w:rsidRDefault="00AD5670" w:rsidP="000D109B">
            <w:pPr>
              <w:jc w:val="center"/>
              <w:rPr>
                <w:color w:val="000000"/>
              </w:rPr>
            </w:pPr>
            <w:r w:rsidRPr="00F01655">
              <w:rPr>
                <w:color w:val="000000"/>
              </w:rPr>
              <w:t>Percent</w:t>
            </w:r>
          </w:p>
        </w:tc>
        <w:tc>
          <w:tcPr>
            <w:tcW w:w="2679" w:type="dxa"/>
            <w:tcBorders>
              <w:top w:val="single" w:sz="4" w:space="0" w:color="auto"/>
              <w:left w:val="nil"/>
              <w:bottom w:val="single" w:sz="4" w:space="0" w:color="auto"/>
              <w:right w:val="single" w:sz="4" w:space="0" w:color="000000"/>
            </w:tcBorders>
            <w:shd w:val="clear" w:color="000000" w:fill="FFFFFF"/>
            <w:noWrap/>
            <w:vAlign w:val="center"/>
            <w:hideMark/>
          </w:tcPr>
          <w:p w14:paraId="658C2D59" w14:textId="77777777" w:rsidR="00AD5670" w:rsidRPr="00F01655" w:rsidRDefault="00AD5670" w:rsidP="000D109B">
            <w:pPr>
              <w:jc w:val="center"/>
              <w:rPr>
                <w:color w:val="000000"/>
              </w:rPr>
            </w:pPr>
            <w:r w:rsidRPr="00F01655">
              <w:rPr>
                <w:color w:val="000000"/>
              </w:rPr>
              <w:t>Count</w:t>
            </w:r>
          </w:p>
        </w:tc>
        <w:tc>
          <w:tcPr>
            <w:tcW w:w="2680" w:type="dxa"/>
            <w:tcBorders>
              <w:top w:val="single" w:sz="4" w:space="0" w:color="auto"/>
              <w:left w:val="nil"/>
              <w:bottom w:val="single" w:sz="4" w:space="0" w:color="auto"/>
              <w:right w:val="double" w:sz="4" w:space="0" w:color="auto"/>
            </w:tcBorders>
            <w:shd w:val="clear" w:color="000000" w:fill="FFFFFF"/>
            <w:noWrap/>
            <w:vAlign w:val="center"/>
            <w:hideMark/>
          </w:tcPr>
          <w:p w14:paraId="4DB49F93" w14:textId="77777777" w:rsidR="00AD5670" w:rsidRPr="00F01655" w:rsidRDefault="00AD5670" w:rsidP="000D109B">
            <w:pPr>
              <w:jc w:val="center"/>
              <w:rPr>
                <w:color w:val="000000"/>
              </w:rPr>
            </w:pPr>
            <w:r w:rsidRPr="00F01655">
              <w:rPr>
                <w:color w:val="000000"/>
              </w:rPr>
              <w:t>Percent</w:t>
            </w:r>
          </w:p>
        </w:tc>
      </w:tr>
      <w:tr w:rsidR="00AD5670" w:rsidRPr="00F01655" w14:paraId="3D62FA06" w14:textId="77777777" w:rsidTr="00E50CB3">
        <w:trPr>
          <w:trHeight w:val="231"/>
        </w:trPr>
        <w:tc>
          <w:tcPr>
            <w:tcW w:w="2677" w:type="dxa"/>
            <w:tcBorders>
              <w:top w:val="single" w:sz="4" w:space="0" w:color="auto"/>
              <w:left w:val="double" w:sz="4" w:space="0" w:color="auto"/>
              <w:bottom w:val="nil"/>
              <w:right w:val="single" w:sz="8" w:space="0" w:color="000000"/>
            </w:tcBorders>
            <w:shd w:val="clear" w:color="000000" w:fill="FFFFFF"/>
            <w:noWrap/>
            <w:vAlign w:val="center"/>
            <w:hideMark/>
          </w:tcPr>
          <w:p w14:paraId="21EB69BB" w14:textId="77777777" w:rsidR="00AD5670" w:rsidRPr="00F01655" w:rsidRDefault="00AD5670" w:rsidP="000D109B">
            <w:pPr>
              <w:rPr>
                <w:color w:val="000000"/>
              </w:rPr>
            </w:pPr>
            <w:r w:rsidRPr="00F01655">
              <w:rPr>
                <w:color w:val="000000"/>
              </w:rPr>
              <w:t>Never</w:t>
            </w:r>
          </w:p>
        </w:tc>
        <w:tc>
          <w:tcPr>
            <w:tcW w:w="2679" w:type="dxa"/>
            <w:tcBorders>
              <w:top w:val="nil"/>
              <w:left w:val="nil"/>
              <w:bottom w:val="nil"/>
              <w:right w:val="nil"/>
            </w:tcBorders>
            <w:shd w:val="clear" w:color="000000" w:fill="FFFFFF"/>
            <w:noWrap/>
            <w:vAlign w:val="center"/>
            <w:hideMark/>
          </w:tcPr>
          <w:p w14:paraId="5F43F616" w14:textId="77777777" w:rsidR="00AD5670" w:rsidRPr="00F01655" w:rsidRDefault="00AD5670" w:rsidP="00AD5670">
            <w:pPr>
              <w:ind w:right="1093"/>
              <w:jc w:val="right"/>
              <w:rPr>
                <w:color w:val="000000"/>
              </w:rPr>
            </w:pPr>
            <w:r w:rsidRPr="00F01655">
              <w:rPr>
                <w:color w:val="000000"/>
              </w:rPr>
              <w:t>351</w:t>
            </w:r>
          </w:p>
        </w:tc>
        <w:tc>
          <w:tcPr>
            <w:tcW w:w="2680" w:type="dxa"/>
            <w:tcBorders>
              <w:top w:val="single" w:sz="4" w:space="0" w:color="auto"/>
              <w:left w:val="nil"/>
              <w:bottom w:val="nil"/>
              <w:right w:val="single" w:sz="8" w:space="0" w:color="000000"/>
            </w:tcBorders>
            <w:shd w:val="clear" w:color="000000" w:fill="FFFFFF"/>
            <w:noWrap/>
            <w:vAlign w:val="center"/>
            <w:hideMark/>
          </w:tcPr>
          <w:p w14:paraId="4D448AF3" w14:textId="2A235853" w:rsidR="00AD5670" w:rsidRPr="00F01655" w:rsidRDefault="00AD5670" w:rsidP="00AD5670">
            <w:pPr>
              <w:ind w:right="1093"/>
              <w:jc w:val="right"/>
              <w:rPr>
                <w:color w:val="000000"/>
              </w:rPr>
            </w:pPr>
            <w:r w:rsidRPr="00F01655">
              <w:rPr>
                <w:color w:val="000000"/>
              </w:rPr>
              <w:t>28.3</w:t>
            </w:r>
          </w:p>
        </w:tc>
        <w:tc>
          <w:tcPr>
            <w:tcW w:w="2679" w:type="dxa"/>
            <w:tcBorders>
              <w:top w:val="single" w:sz="4" w:space="0" w:color="auto"/>
              <w:left w:val="nil"/>
              <w:bottom w:val="nil"/>
              <w:right w:val="nil"/>
            </w:tcBorders>
            <w:shd w:val="clear" w:color="000000" w:fill="FFFFFF"/>
            <w:noWrap/>
            <w:vAlign w:val="center"/>
            <w:hideMark/>
          </w:tcPr>
          <w:p w14:paraId="599367C3" w14:textId="77777777" w:rsidR="00AD5670" w:rsidRPr="00F01655" w:rsidRDefault="00AD5670" w:rsidP="00AD5670">
            <w:pPr>
              <w:ind w:right="1093"/>
              <w:jc w:val="right"/>
              <w:rPr>
                <w:color w:val="000000"/>
              </w:rPr>
            </w:pPr>
            <w:r w:rsidRPr="00F01655">
              <w:rPr>
                <w:color w:val="000000"/>
              </w:rPr>
              <w:t>59</w:t>
            </w:r>
          </w:p>
        </w:tc>
        <w:tc>
          <w:tcPr>
            <w:tcW w:w="2680" w:type="dxa"/>
            <w:tcBorders>
              <w:top w:val="nil"/>
              <w:left w:val="nil"/>
              <w:bottom w:val="nil"/>
              <w:right w:val="double" w:sz="4" w:space="0" w:color="auto"/>
            </w:tcBorders>
            <w:shd w:val="clear" w:color="000000" w:fill="FFFFFF"/>
            <w:noWrap/>
            <w:vAlign w:val="center"/>
            <w:hideMark/>
          </w:tcPr>
          <w:p w14:paraId="07009BBB" w14:textId="4D0F23FD" w:rsidR="00AD5670" w:rsidRPr="00F01655" w:rsidRDefault="00AD5670" w:rsidP="00AD5670">
            <w:pPr>
              <w:ind w:right="1093"/>
              <w:jc w:val="right"/>
              <w:rPr>
                <w:color w:val="000000"/>
              </w:rPr>
            </w:pPr>
            <w:r w:rsidRPr="00F01655">
              <w:rPr>
                <w:color w:val="000000"/>
              </w:rPr>
              <w:t>4.8</w:t>
            </w:r>
          </w:p>
        </w:tc>
      </w:tr>
      <w:tr w:rsidR="00AD5670" w:rsidRPr="00F01655" w14:paraId="5C510CD8" w14:textId="77777777" w:rsidTr="00E50CB3">
        <w:trPr>
          <w:trHeight w:val="231"/>
        </w:trPr>
        <w:tc>
          <w:tcPr>
            <w:tcW w:w="2677" w:type="dxa"/>
            <w:tcBorders>
              <w:top w:val="nil"/>
              <w:left w:val="double" w:sz="4" w:space="0" w:color="auto"/>
              <w:bottom w:val="nil"/>
              <w:right w:val="single" w:sz="8" w:space="0" w:color="000000"/>
            </w:tcBorders>
            <w:shd w:val="clear" w:color="000000" w:fill="FFFFFF"/>
            <w:noWrap/>
            <w:vAlign w:val="center"/>
            <w:hideMark/>
          </w:tcPr>
          <w:p w14:paraId="191E8EA6" w14:textId="77777777" w:rsidR="00AD5670" w:rsidRPr="00F01655" w:rsidRDefault="00AD5670" w:rsidP="000D109B">
            <w:pPr>
              <w:rPr>
                <w:color w:val="000000"/>
              </w:rPr>
            </w:pPr>
            <w:r w:rsidRPr="00F01655">
              <w:rPr>
                <w:color w:val="000000"/>
              </w:rPr>
              <w:t>A few times/year</w:t>
            </w:r>
          </w:p>
        </w:tc>
        <w:tc>
          <w:tcPr>
            <w:tcW w:w="2679" w:type="dxa"/>
            <w:tcBorders>
              <w:top w:val="nil"/>
              <w:left w:val="nil"/>
              <w:bottom w:val="nil"/>
              <w:right w:val="nil"/>
            </w:tcBorders>
            <w:shd w:val="clear" w:color="000000" w:fill="FFFFFF"/>
            <w:noWrap/>
            <w:vAlign w:val="center"/>
            <w:hideMark/>
          </w:tcPr>
          <w:p w14:paraId="4453414F" w14:textId="77777777" w:rsidR="00AD5670" w:rsidRPr="00F01655" w:rsidRDefault="00AD5670" w:rsidP="00AD5670">
            <w:pPr>
              <w:ind w:right="1093"/>
              <w:jc w:val="right"/>
              <w:rPr>
                <w:color w:val="000000"/>
              </w:rPr>
            </w:pPr>
            <w:r w:rsidRPr="00F01655">
              <w:rPr>
                <w:color w:val="000000"/>
              </w:rPr>
              <w:t>40</w:t>
            </w:r>
          </w:p>
        </w:tc>
        <w:tc>
          <w:tcPr>
            <w:tcW w:w="2680" w:type="dxa"/>
            <w:tcBorders>
              <w:top w:val="nil"/>
              <w:left w:val="nil"/>
              <w:bottom w:val="nil"/>
              <w:right w:val="single" w:sz="8" w:space="0" w:color="000000"/>
            </w:tcBorders>
            <w:shd w:val="clear" w:color="000000" w:fill="FFFFFF"/>
            <w:noWrap/>
            <w:vAlign w:val="center"/>
            <w:hideMark/>
          </w:tcPr>
          <w:p w14:paraId="48FD46B8" w14:textId="290027C5" w:rsidR="00AD5670" w:rsidRPr="00F01655" w:rsidRDefault="00AD5670" w:rsidP="00AD5670">
            <w:pPr>
              <w:ind w:right="1093"/>
              <w:jc w:val="right"/>
              <w:rPr>
                <w:color w:val="000000"/>
              </w:rPr>
            </w:pPr>
            <w:r w:rsidRPr="00F01655">
              <w:rPr>
                <w:color w:val="000000"/>
              </w:rPr>
              <w:t>3.2</w:t>
            </w:r>
          </w:p>
        </w:tc>
        <w:tc>
          <w:tcPr>
            <w:tcW w:w="2679" w:type="dxa"/>
            <w:tcBorders>
              <w:top w:val="nil"/>
              <w:left w:val="nil"/>
              <w:bottom w:val="nil"/>
              <w:right w:val="nil"/>
            </w:tcBorders>
            <w:shd w:val="clear" w:color="000000" w:fill="FFFFFF"/>
            <w:noWrap/>
            <w:vAlign w:val="center"/>
            <w:hideMark/>
          </w:tcPr>
          <w:p w14:paraId="378EE493" w14:textId="77777777" w:rsidR="00AD5670" w:rsidRPr="00F01655" w:rsidRDefault="00AD5670" w:rsidP="00AD5670">
            <w:pPr>
              <w:ind w:right="1093"/>
              <w:jc w:val="right"/>
              <w:rPr>
                <w:color w:val="000000"/>
              </w:rPr>
            </w:pPr>
            <w:r w:rsidRPr="00F01655">
              <w:rPr>
                <w:color w:val="000000"/>
              </w:rPr>
              <w:t>57</w:t>
            </w:r>
          </w:p>
        </w:tc>
        <w:tc>
          <w:tcPr>
            <w:tcW w:w="2680" w:type="dxa"/>
            <w:tcBorders>
              <w:top w:val="nil"/>
              <w:left w:val="nil"/>
              <w:bottom w:val="nil"/>
              <w:right w:val="double" w:sz="4" w:space="0" w:color="auto"/>
            </w:tcBorders>
            <w:shd w:val="clear" w:color="000000" w:fill="FFFFFF"/>
            <w:noWrap/>
            <w:vAlign w:val="center"/>
            <w:hideMark/>
          </w:tcPr>
          <w:p w14:paraId="7FE3AC2C" w14:textId="58E48E28" w:rsidR="00AD5670" w:rsidRPr="00F01655" w:rsidRDefault="00AD5670" w:rsidP="00AD5670">
            <w:pPr>
              <w:ind w:right="1093"/>
              <w:jc w:val="right"/>
              <w:rPr>
                <w:color w:val="000000"/>
              </w:rPr>
            </w:pPr>
            <w:r w:rsidRPr="00F01655">
              <w:rPr>
                <w:color w:val="000000"/>
              </w:rPr>
              <w:t>4.6</w:t>
            </w:r>
          </w:p>
        </w:tc>
      </w:tr>
      <w:tr w:rsidR="00AD5670" w:rsidRPr="00F01655" w14:paraId="65D01E97" w14:textId="77777777" w:rsidTr="00E50CB3">
        <w:trPr>
          <w:trHeight w:val="231"/>
        </w:trPr>
        <w:tc>
          <w:tcPr>
            <w:tcW w:w="2677" w:type="dxa"/>
            <w:tcBorders>
              <w:top w:val="nil"/>
              <w:left w:val="double" w:sz="4" w:space="0" w:color="auto"/>
              <w:bottom w:val="nil"/>
              <w:right w:val="single" w:sz="8" w:space="0" w:color="000000"/>
            </w:tcBorders>
            <w:shd w:val="clear" w:color="000000" w:fill="FFFFFF"/>
            <w:noWrap/>
            <w:vAlign w:val="center"/>
            <w:hideMark/>
          </w:tcPr>
          <w:p w14:paraId="2C6693DC" w14:textId="77777777" w:rsidR="00AD5670" w:rsidRPr="00F01655" w:rsidRDefault="00AD5670" w:rsidP="000D109B">
            <w:pPr>
              <w:rPr>
                <w:color w:val="000000"/>
              </w:rPr>
            </w:pPr>
            <w:r w:rsidRPr="00F01655">
              <w:rPr>
                <w:color w:val="000000"/>
              </w:rPr>
              <w:t>A few times/month</w:t>
            </w:r>
          </w:p>
        </w:tc>
        <w:tc>
          <w:tcPr>
            <w:tcW w:w="2679" w:type="dxa"/>
            <w:tcBorders>
              <w:top w:val="nil"/>
              <w:left w:val="nil"/>
              <w:bottom w:val="nil"/>
              <w:right w:val="nil"/>
            </w:tcBorders>
            <w:shd w:val="clear" w:color="000000" w:fill="FFFFFF"/>
            <w:noWrap/>
            <w:vAlign w:val="center"/>
            <w:hideMark/>
          </w:tcPr>
          <w:p w14:paraId="76432D25" w14:textId="77777777" w:rsidR="00AD5670" w:rsidRPr="00F01655" w:rsidRDefault="00AD5670" w:rsidP="00AD5670">
            <w:pPr>
              <w:ind w:right="1093"/>
              <w:jc w:val="right"/>
              <w:rPr>
                <w:color w:val="000000"/>
              </w:rPr>
            </w:pPr>
            <w:r w:rsidRPr="00F01655">
              <w:rPr>
                <w:color w:val="000000"/>
              </w:rPr>
              <w:t>92</w:t>
            </w:r>
          </w:p>
        </w:tc>
        <w:tc>
          <w:tcPr>
            <w:tcW w:w="2680" w:type="dxa"/>
            <w:tcBorders>
              <w:top w:val="nil"/>
              <w:left w:val="nil"/>
              <w:bottom w:val="nil"/>
              <w:right w:val="single" w:sz="8" w:space="0" w:color="000000"/>
            </w:tcBorders>
            <w:shd w:val="clear" w:color="000000" w:fill="FFFFFF"/>
            <w:noWrap/>
            <w:vAlign w:val="center"/>
            <w:hideMark/>
          </w:tcPr>
          <w:p w14:paraId="0A27D690" w14:textId="5479FC72" w:rsidR="00AD5670" w:rsidRPr="00F01655" w:rsidRDefault="00AD5670" w:rsidP="00AD5670">
            <w:pPr>
              <w:ind w:right="1093"/>
              <w:jc w:val="right"/>
              <w:rPr>
                <w:color w:val="000000"/>
              </w:rPr>
            </w:pPr>
            <w:r w:rsidRPr="00F01655">
              <w:rPr>
                <w:color w:val="000000"/>
              </w:rPr>
              <w:t>7.</w:t>
            </w:r>
            <w:r w:rsidR="00B258AD" w:rsidRPr="00F01655">
              <w:rPr>
                <w:color w:val="000000"/>
              </w:rPr>
              <w:t>5</w:t>
            </w:r>
          </w:p>
        </w:tc>
        <w:tc>
          <w:tcPr>
            <w:tcW w:w="2679" w:type="dxa"/>
            <w:tcBorders>
              <w:top w:val="nil"/>
              <w:left w:val="nil"/>
              <w:bottom w:val="nil"/>
              <w:right w:val="nil"/>
            </w:tcBorders>
            <w:shd w:val="clear" w:color="000000" w:fill="FFFFFF"/>
            <w:noWrap/>
            <w:vAlign w:val="center"/>
            <w:hideMark/>
          </w:tcPr>
          <w:p w14:paraId="355EF801" w14:textId="77777777" w:rsidR="00AD5670" w:rsidRPr="00F01655" w:rsidRDefault="00AD5670" w:rsidP="00AD5670">
            <w:pPr>
              <w:ind w:right="1093"/>
              <w:jc w:val="right"/>
              <w:rPr>
                <w:color w:val="000000"/>
              </w:rPr>
            </w:pPr>
            <w:r w:rsidRPr="00F01655">
              <w:rPr>
                <w:color w:val="000000"/>
              </w:rPr>
              <w:t>113</w:t>
            </w:r>
          </w:p>
        </w:tc>
        <w:tc>
          <w:tcPr>
            <w:tcW w:w="2680" w:type="dxa"/>
            <w:tcBorders>
              <w:top w:val="nil"/>
              <w:left w:val="nil"/>
              <w:bottom w:val="nil"/>
              <w:right w:val="double" w:sz="4" w:space="0" w:color="auto"/>
            </w:tcBorders>
            <w:shd w:val="clear" w:color="000000" w:fill="FFFFFF"/>
            <w:noWrap/>
            <w:vAlign w:val="center"/>
            <w:hideMark/>
          </w:tcPr>
          <w:p w14:paraId="175CFFDA" w14:textId="532E67ED" w:rsidR="00AD5670" w:rsidRPr="00F01655" w:rsidRDefault="00AD5670" w:rsidP="00AD5670">
            <w:pPr>
              <w:ind w:right="1093"/>
              <w:jc w:val="right"/>
              <w:rPr>
                <w:color w:val="000000"/>
              </w:rPr>
            </w:pPr>
            <w:r w:rsidRPr="00F01655">
              <w:rPr>
                <w:color w:val="000000"/>
              </w:rPr>
              <w:t>9.1</w:t>
            </w:r>
          </w:p>
        </w:tc>
      </w:tr>
      <w:tr w:rsidR="00AD5670" w:rsidRPr="00F01655" w14:paraId="2570FDDE" w14:textId="77777777" w:rsidTr="00E50CB3">
        <w:trPr>
          <w:trHeight w:val="231"/>
        </w:trPr>
        <w:tc>
          <w:tcPr>
            <w:tcW w:w="2677" w:type="dxa"/>
            <w:tcBorders>
              <w:top w:val="nil"/>
              <w:left w:val="double" w:sz="4" w:space="0" w:color="auto"/>
              <w:bottom w:val="nil"/>
              <w:right w:val="single" w:sz="8" w:space="0" w:color="000000"/>
            </w:tcBorders>
            <w:shd w:val="clear" w:color="000000" w:fill="FFFFFF"/>
            <w:noWrap/>
            <w:vAlign w:val="center"/>
            <w:hideMark/>
          </w:tcPr>
          <w:p w14:paraId="7C32833C" w14:textId="77777777" w:rsidR="00AD5670" w:rsidRPr="00F01655" w:rsidRDefault="00AD5670" w:rsidP="000D109B">
            <w:pPr>
              <w:rPr>
                <w:color w:val="000000"/>
              </w:rPr>
            </w:pPr>
            <w:r w:rsidRPr="00F01655">
              <w:rPr>
                <w:color w:val="000000"/>
              </w:rPr>
              <w:t>Once/week</w:t>
            </w:r>
          </w:p>
        </w:tc>
        <w:tc>
          <w:tcPr>
            <w:tcW w:w="2679" w:type="dxa"/>
            <w:tcBorders>
              <w:top w:val="nil"/>
              <w:left w:val="nil"/>
              <w:bottom w:val="nil"/>
              <w:right w:val="nil"/>
            </w:tcBorders>
            <w:shd w:val="clear" w:color="000000" w:fill="FFFFFF"/>
            <w:noWrap/>
            <w:vAlign w:val="center"/>
            <w:hideMark/>
          </w:tcPr>
          <w:p w14:paraId="38E182B8" w14:textId="77777777" w:rsidR="00AD5670" w:rsidRPr="00F01655" w:rsidRDefault="00AD5670" w:rsidP="00AD5670">
            <w:pPr>
              <w:ind w:right="1093"/>
              <w:jc w:val="right"/>
              <w:rPr>
                <w:color w:val="000000"/>
              </w:rPr>
            </w:pPr>
            <w:r w:rsidRPr="00F01655">
              <w:rPr>
                <w:color w:val="000000"/>
              </w:rPr>
              <w:t>83</w:t>
            </w:r>
          </w:p>
        </w:tc>
        <w:tc>
          <w:tcPr>
            <w:tcW w:w="2680" w:type="dxa"/>
            <w:tcBorders>
              <w:top w:val="nil"/>
              <w:left w:val="nil"/>
              <w:bottom w:val="nil"/>
              <w:right w:val="single" w:sz="8" w:space="0" w:color="000000"/>
            </w:tcBorders>
            <w:shd w:val="clear" w:color="000000" w:fill="FFFFFF"/>
            <w:noWrap/>
            <w:vAlign w:val="center"/>
            <w:hideMark/>
          </w:tcPr>
          <w:p w14:paraId="3E60924D" w14:textId="25FE1D93" w:rsidR="00AD5670" w:rsidRPr="00F01655" w:rsidRDefault="00AD5670" w:rsidP="00AD5670">
            <w:pPr>
              <w:ind w:right="1093"/>
              <w:jc w:val="right"/>
              <w:rPr>
                <w:color w:val="000000"/>
              </w:rPr>
            </w:pPr>
            <w:r w:rsidRPr="00F01655">
              <w:rPr>
                <w:color w:val="000000"/>
              </w:rPr>
              <w:t>6.7</w:t>
            </w:r>
          </w:p>
        </w:tc>
        <w:tc>
          <w:tcPr>
            <w:tcW w:w="2679" w:type="dxa"/>
            <w:tcBorders>
              <w:top w:val="nil"/>
              <w:left w:val="nil"/>
              <w:bottom w:val="nil"/>
              <w:right w:val="nil"/>
            </w:tcBorders>
            <w:shd w:val="clear" w:color="000000" w:fill="FFFFFF"/>
            <w:noWrap/>
            <w:vAlign w:val="center"/>
            <w:hideMark/>
          </w:tcPr>
          <w:p w14:paraId="19D97C6D" w14:textId="77777777" w:rsidR="00AD5670" w:rsidRPr="00F01655" w:rsidRDefault="00AD5670" w:rsidP="00AD5670">
            <w:pPr>
              <w:ind w:right="1093"/>
              <w:jc w:val="right"/>
              <w:rPr>
                <w:color w:val="000000"/>
              </w:rPr>
            </w:pPr>
            <w:r w:rsidRPr="00F01655">
              <w:rPr>
                <w:color w:val="000000"/>
              </w:rPr>
              <w:t>82</w:t>
            </w:r>
          </w:p>
        </w:tc>
        <w:tc>
          <w:tcPr>
            <w:tcW w:w="2680" w:type="dxa"/>
            <w:tcBorders>
              <w:top w:val="nil"/>
              <w:left w:val="nil"/>
              <w:bottom w:val="nil"/>
              <w:right w:val="double" w:sz="4" w:space="0" w:color="auto"/>
            </w:tcBorders>
            <w:shd w:val="clear" w:color="000000" w:fill="FFFFFF"/>
            <w:noWrap/>
            <w:vAlign w:val="center"/>
            <w:hideMark/>
          </w:tcPr>
          <w:p w14:paraId="47871D04" w14:textId="3655CF4E" w:rsidR="00AD5670" w:rsidRPr="00F01655" w:rsidRDefault="00AD5670" w:rsidP="00AD5670">
            <w:pPr>
              <w:ind w:right="1093"/>
              <w:jc w:val="right"/>
              <w:rPr>
                <w:color w:val="000000"/>
              </w:rPr>
            </w:pPr>
            <w:r w:rsidRPr="00F01655">
              <w:rPr>
                <w:color w:val="000000"/>
              </w:rPr>
              <w:t>6.6</w:t>
            </w:r>
          </w:p>
        </w:tc>
      </w:tr>
      <w:tr w:rsidR="00AD5670" w:rsidRPr="00F01655" w14:paraId="171BFF39" w14:textId="77777777" w:rsidTr="00E50CB3">
        <w:trPr>
          <w:trHeight w:val="231"/>
        </w:trPr>
        <w:tc>
          <w:tcPr>
            <w:tcW w:w="2677" w:type="dxa"/>
            <w:tcBorders>
              <w:top w:val="nil"/>
              <w:left w:val="double" w:sz="4" w:space="0" w:color="auto"/>
              <w:bottom w:val="nil"/>
              <w:right w:val="single" w:sz="8" w:space="0" w:color="000000"/>
            </w:tcBorders>
            <w:shd w:val="clear" w:color="000000" w:fill="FFFFFF"/>
            <w:noWrap/>
            <w:vAlign w:val="center"/>
            <w:hideMark/>
          </w:tcPr>
          <w:p w14:paraId="7AC7F833" w14:textId="77777777" w:rsidR="00AD5670" w:rsidRPr="00F01655" w:rsidRDefault="00AD5670" w:rsidP="000D109B">
            <w:pPr>
              <w:rPr>
                <w:color w:val="000000"/>
              </w:rPr>
            </w:pPr>
            <w:r w:rsidRPr="00F01655">
              <w:rPr>
                <w:color w:val="000000"/>
              </w:rPr>
              <w:t>A few times/week</w:t>
            </w:r>
          </w:p>
        </w:tc>
        <w:tc>
          <w:tcPr>
            <w:tcW w:w="2679" w:type="dxa"/>
            <w:tcBorders>
              <w:top w:val="nil"/>
              <w:left w:val="nil"/>
              <w:bottom w:val="nil"/>
              <w:right w:val="nil"/>
            </w:tcBorders>
            <w:shd w:val="clear" w:color="000000" w:fill="FFFFFF"/>
            <w:noWrap/>
            <w:vAlign w:val="center"/>
            <w:hideMark/>
          </w:tcPr>
          <w:p w14:paraId="6489B276" w14:textId="77777777" w:rsidR="00AD5670" w:rsidRPr="00F01655" w:rsidRDefault="00AD5670" w:rsidP="00AD5670">
            <w:pPr>
              <w:ind w:right="1093"/>
              <w:jc w:val="right"/>
              <w:rPr>
                <w:color w:val="000000"/>
              </w:rPr>
            </w:pPr>
            <w:r w:rsidRPr="00F01655">
              <w:rPr>
                <w:color w:val="000000"/>
              </w:rPr>
              <w:t>373</w:t>
            </w:r>
          </w:p>
        </w:tc>
        <w:tc>
          <w:tcPr>
            <w:tcW w:w="2680" w:type="dxa"/>
            <w:tcBorders>
              <w:top w:val="nil"/>
              <w:left w:val="nil"/>
              <w:bottom w:val="nil"/>
              <w:right w:val="single" w:sz="8" w:space="0" w:color="000000"/>
            </w:tcBorders>
            <w:shd w:val="clear" w:color="000000" w:fill="FFFFFF"/>
            <w:noWrap/>
            <w:vAlign w:val="center"/>
            <w:hideMark/>
          </w:tcPr>
          <w:p w14:paraId="1190557A" w14:textId="20C14E98" w:rsidR="00AD5670" w:rsidRPr="00F01655" w:rsidRDefault="00AD5670" w:rsidP="00AD5670">
            <w:pPr>
              <w:ind w:right="1093"/>
              <w:jc w:val="right"/>
              <w:rPr>
                <w:color w:val="000000"/>
              </w:rPr>
            </w:pPr>
            <w:r w:rsidRPr="00F01655">
              <w:rPr>
                <w:color w:val="000000"/>
              </w:rPr>
              <w:t>30.1</w:t>
            </w:r>
          </w:p>
        </w:tc>
        <w:tc>
          <w:tcPr>
            <w:tcW w:w="2679" w:type="dxa"/>
            <w:tcBorders>
              <w:top w:val="nil"/>
              <w:left w:val="nil"/>
              <w:bottom w:val="nil"/>
              <w:right w:val="nil"/>
            </w:tcBorders>
            <w:shd w:val="clear" w:color="000000" w:fill="FFFFFF"/>
            <w:noWrap/>
            <w:vAlign w:val="center"/>
            <w:hideMark/>
          </w:tcPr>
          <w:p w14:paraId="692BDF6B" w14:textId="77777777" w:rsidR="00AD5670" w:rsidRPr="00F01655" w:rsidRDefault="00AD5670" w:rsidP="00AD5670">
            <w:pPr>
              <w:ind w:right="1093"/>
              <w:jc w:val="right"/>
              <w:rPr>
                <w:color w:val="000000"/>
              </w:rPr>
            </w:pPr>
            <w:r w:rsidRPr="00F01655">
              <w:rPr>
                <w:color w:val="000000"/>
              </w:rPr>
              <w:t>376</w:t>
            </w:r>
          </w:p>
        </w:tc>
        <w:tc>
          <w:tcPr>
            <w:tcW w:w="2680" w:type="dxa"/>
            <w:tcBorders>
              <w:top w:val="nil"/>
              <w:left w:val="nil"/>
              <w:bottom w:val="nil"/>
              <w:right w:val="double" w:sz="4" w:space="0" w:color="auto"/>
            </w:tcBorders>
            <w:shd w:val="clear" w:color="000000" w:fill="FFFFFF"/>
            <w:noWrap/>
            <w:vAlign w:val="center"/>
            <w:hideMark/>
          </w:tcPr>
          <w:p w14:paraId="5326EB41" w14:textId="14FEC5DF" w:rsidR="00AD5670" w:rsidRPr="00F01655" w:rsidRDefault="00AD5670" w:rsidP="00AD5670">
            <w:pPr>
              <w:ind w:right="1093"/>
              <w:jc w:val="right"/>
              <w:rPr>
                <w:color w:val="000000"/>
              </w:rPr>
            </w:pPr>
            <w:r w:rsidRPr="00F01655">
              <w:rPr>
                <w:color w:val="000000"/>
              </w:rPr>
              <w:t>30.3</w:t>
            </w:r>
          </w:p>
        </w:tc>
      </w:tr>
      <w:tr w:rsidR="00AD5670" w:rsidRPr="00F01655" w14:paraId="608C2BA5" w14:textId="77777777" w:rsidTr="00E50CB3">
        <w:trPr>
          <w:trHeight w:val="231"/>
        </w:trPr>
        <w:tc>
          <w:tcPr>
            <w:tcW w:w="2677" w:type="dxa"/>
            <w:tcBorders>
              <w:top w:val="nil"/>
              <w:left w:val="double" w:sz="4" w:space="0" w:color="auto"/>
              <w:bottom w:val="single" w:sz="4" w:space="0" w:color="auto"/>
              <w:right w:val="single" w:sz="8" w:space="0" w:color="000000"/>
            </w:tcBorders>
            <w:shd w:val="clear" w:color="000000" w:fill="FFFFFF"/>
            <w:noWrap/>
            <w:vAlign w:val="bottom"/>
            <w:hideMark/>
          </w:tcPr>
          <w:p w14:paraId="281AE2AF" w14:textId="77777777" w:rsidR="00AD5670" w:rsidRPr="00F01655" w:rsidRDefault="00AD5670" w:rsidP="000D109B">
            <w:pPr>
              <w:rPr>
                <w:color w:val="000000"/>
              </w:rPr>
            </w:pPr>
            <w:r w:rsidRPr="00F01655">
              <w:rPr>
                <w:color w:val="000000"/>
              </w:rPr>
              <w:t>Everyday</w:t>
            </w:r>
          </w:p>
        </w:tc>
        <w:tc>
          <w:tcPr>
            <w:tcW w:w="2679" w:type="dxa"/>
            <w:tcBorders>
              <w:top w:val="nil"/>
              <w:left w:val="nil"/>
              <w:bottom w:val="nil"/>
              <w:right w:val="nil"/>
            </w:tcBorders>
            <w:shd w:val="clear" w:color="000000" w:fill="FFFFFF"/>
            <w:noWrap/>
            <w:vAlign w:val="center"/>
            <w:hideMark/>
          </w:tcPr>
          <w:p w14:paraId="2A771729" w14:textId="77777777" w:rsidR="00AD5670" w:rsidRPr="00F01655" w:rsidRDefault="00AD5670" w:rsidP="00AD5670">
            <w:pPr>
              <w:ind w:right="1093"/>
              <w:jc w:val="right"/>
              <w:rPr>
                <w:color w:val="000000"/>
              </w:rPr>
            </w:pPr>
            <w:r w:rsidRPr="00F01655">
              <w:rPr>
                <w:color w:val="000000"/>
              </w:rPr>
              <w:t>300</w:t>
            </w:r>
          </w:p>
        </w:tc>
        <w:tc>
          <w:tcPr>
            <w:tcW w:w="2680" w:type="dxa"/>
            <w:tcBorders>
              <w:top w:val="nil"/>
              <w:left w:val="nil"/>
              <w:bottom w:val="single" w:sz="4" w:space="0" w:color="auto"/>
              <w:right w:val="single" w:sz="8" w:space="0" w:color="000000"/>
            </w:tcBorders>
            <w:shd w:val="clear" w:color="000000" w:fill="FFFFFF"/>
            <w:noWrap/>
            <w:vAlign w:val="center"/>
            <w:hideMark/>
          </w:tcPr>
          <w:p w14:paraId="35C05397" w14:textId="32F0EDEB" w:rsidR="00AD5670" w:rsidRPr="00F01655" w:rsidRDefault="00AD5670" w:rsidP="00AD5670">
            <w:pPr>
              <w:ind w:right="1093"/>
              <w:jc w:val="right"/>
              <w:rPr>
                <w:color w:val="000000"/>
              </w:rPr>
            </w:pPr>
            <w:r w:rsidRPr="00F01655">
              <w:rPr>
                <w:color w:val="000000"/>
              </w:rPr>
              <w:t>24.2</w:t>
            </w:r>
          </w:p>
        </w:tc>
        <w:tc>
          <w:tcPr>
            <w:tcW w:w="2679" w:type="dxa"/>
            <w:tcBorders>
              <w:top w:val="nil"/>
              <w:left w:val="nil"/>
              <w:bottom w:val="single" w:sz="4" w:space="0" w:color="auto"/>
              <w:right w:val="nil"/>
            </w:tcBorders>
            <w:shd w:val="clear" w:color="000000" w:fill="FFFFFF"/>
            <w:noWrap/>
            <w:vAlign w:val="center"/>
            <w:hideMark/>
          </w:tcPr>
          <w:p w14:paraId="2E539D93" w14:textId="77777777" w:rsidR="00AD5670" w:rsidRPr="00F01655" w:rsidRDefault="00AD5670" w:rsidP="00AD5670">
            <w:pPr>
              <w:ind w:right="1093"/>
              <w:jc w:val="right"/>
              <w:rPr>
                <w:color w:val="000000"/>
              </w:rPr>
            </w:pPr>
            <w:r w:rsidRPr="00F01655">
              <w:rPr>
                <w:color w:val="000000"/>
              </w:rPr>
              <w:t>552</w:t>
            </w:r>
          </w:p>
        </w:tc>
        <w:tc>
          <w:tcPr>
            <w:tcW w:w="2680" w:type="dxa"/>
            <w:tcBorders>
              <w:top w:val="nil"/>
              <w:left w:val="nil"/>
              <w:bottom w:val="single" w:sz="4" w:space="0" w:color="auto"/>
              <w:right w:val="double" w:sz="4" w:space="0" w:color="auto"/>
            </w:tcBorders>
            <w:shd w:val="clear" w:color="000000" w:fill="FFFFFF"/>
            <w:noWrap/>
            <w:vAlign w:val="center"/>
            <w:hideMark/>
          </w:tcPr>
          <w:p w14:paraId="58D0E273" w14:textId="0CF9AA05" w:rsidR="00AD5670" w:rsidRPr="00F01655" w:rsidRDefault="00AD5670" w:rsidP="00AD5670">
            <w:pPr>
              <w:ind w:right="1093"/>
              <w:jc w:val="right"/>
              <w:rPr>
                <w:color w:val="000000"/>
              </w:rPr>
            </w:pPr>
            <w:r w:rsidRPr="00F01655">
              <w:rPr>
                <w:color w:val="000000"/>
              </w:rPr>
              <w:t>44.6</w:t>
            </w:r>
          </w:p>
        </w:tc>
      </w:tr>
      <w:tr w:rsidR="00AD5670" w:rsidRPr="00F01655" w14:paraId="1844B062" w14:textId="77777777" w:rsidTr="00E50CB3">
        <w:trPr>
          <w:trHeight w:val="246"/>
        </w:trPr>
        <w:tc>
          <w:tcPr>
            <w:tcW w:w="2677" w:type="dxa"/>
            <w:tcBorders>
              <w:top w:val="single" w:sz="4" w:space="0" w:color="auto"/>
              <w:left w:val="double" w:sz="4" w:space="0" w:color="auto"/>
              <w:bottom w:val="double" w:sz="4" w:space="0" w:color="auto"/>
              <w:right w:val="single" w:sz="8" w:space="0" w:color="000000"/>
            </w:tcBorders>
            <w:shd w:val="clear" w:color="000000" w:fill="FFFFFF"/>
            <w:noWrap/>
            <w:vAlign w:val="bottom"/>
            <w:hideMark/>
          </w:tcPr>
          <w:p w14:paraId="7C7338EC" w14:textId="77777777" w:rsidR="00AD5670" w:rsidRPr="00F01655" w:rsidRDefault="00AD5670" w:rsidP="000D109B">
            <w:pPr>
              <w:rPr>
                <w:color w:val="000000"/>
              </w:rPr>
            </w:pPr>
            <w:r w:rsidRPr="00F01655">
              <w:rPr>
                <w:color w:val="000000"/>
              </w:rPr>
              <w:t>Total</w:t>
            </w:r>
          </w:p>
        </w:tc>
        <w:tc>
          <w:tcPr>
            <w:tcW w:w="2679" w:type="dxa"/>
            <w:tcBorders>
              <w:top w:val="single" w:sz="4" w:space="0" w:color="auto"/>
              <w:left w:val="nil"/>
              <w:bottom w:val="double" w:sz="4" w:space="0" w:color="auto"/>
              <w:right w:val="nil"/>
            </w:tcBorders>
            <w:shd w:val="clear" w:color="000000" w:fill="FFFFFF"/>
            <w:noWrap/>
            <w:vAlign w:val="center"/>
            <w:hideMark/>
          </w:tcPr>
          <w:p w14:paraId="6B5BA9B9" w14:textId="77777777" w:rsidR="00AD5670" w:rsidRPr="00F01655" w:rsidRDefault="00AD5670" w:rsidP="00AD5670">
            <w:pPr>
              <w:ind w:right="1093"/>
              <w:jc w:val="right"/>
              <w:rPr>
                <w:color w:val="000000"/>
              </w:rPr>
            </w:pPr>
            <w:r w:rsidRPr="00F01655">
              <w:rPr>
                <w:color w:val="000000"/>
              </w:rPr>
              <w:t>1239</w:t>
            </w:r>
          </w:p>
        </w:tc>
        <w:tc>
          <w:tcPr>
            <w:tcW w:w="2680" w:type="dxa"/>
            <w:tcBorders>
              <w:top w:val="single" w:sz="4" w:space="0" w:color="auto"/>
              <w:left w:val="nil"/>
              <w:bottom w:val="double" w:sz="4" w:space="0" w:color="auto"/>
              <w:right w:val="single" w:sz="8" w:space="0" w:color="000000"/>
            </w:tcBorders>
            <w:shd w:val="clear" w:color="000000" w:fill="FFFFFF"/>
            <w:noWrap/>
            <w:vAlign w:val="center"/>
            <w:hideMark/>
          </w:tcPr>
          <w:p w14:paraId="368AFEF1" w14:textId="5FE41BE6" w:rsidR="00AD5670" w:rsidRPr="00F01655" w:rsidRDefault="00AD5670" w:rsidP="00AD5670">
            <w:pPr>
              <w:ind w:right="1093"/>
              <w:jc w:val="right"/>
              <w:rPr>
                <w:color w:val="000000"/>
              </w:rPr>
            </w:pPr>
            <w:r w:rsidRPr="00F01655">
              <w:rPr>
                <w:color w:val="000000"/>
              </w:rPr>
              <w:t>100.0</w:t>
            </w:r>
          </w:p>
        </w:tc>
        <w:tc>
          <w:tcPr>
            <w:tcW w:w="2679" w:type="dxa"/>
            <w:tcBorders>
              <w:top w:val="single" w:sz="4" w:space="0" w:color="auto"/>
              <w:left w:val="nil"/>
              <w:bottom w:val="double" w:sz="4" w:space="0" w:color="auto"/>
              <w:right w:val="nil"/>
            </w:tcBorders>
            <w:shd w:val="clear" w:color="000000" w:fill="FFFFFF"/>
            <w:noWrap/>
            <w:vAlign w:val="center"/>
            <w:hideMark/>
          </w:tcPr>
          <w:p w14:paraId="0D632A36" w14:textId="77777777" w:rsidR="00AD5670" w:rsidRPr="00F01655" w:rsidRDefault="00AD5670" w:rsidP="00AD5670">
            <w:pPr>
              <w:ind w:right="1093"/>
              <w:jc w:val="right"/>
              <w:rPr>
                <w:color w:val="000000"/>
              </w:rPr>
            </w:pPr>
            <w:r w:rsidRPr="00F01655">
              <w:rPr>
                <w:color w:val="000000"/>
              </w:rPr>
              <w:t>1239</w:t>
            </w:r>
          </w:p>
        </w:tc>
        <w:tc>
          <w:tcPr>
            <w:tcW w:w="2680" w:type="dxa"/>
            <w:tcBorders>
              <w:top w:val="nil"/>
              <w:left w:val="nil"/>
              <w:bottom w:val="double" w:sz="4" w:space="0" w:color="auto"/>
              <w:right w:val="double" w:sz="4" w:space="0" w:color="auto"/>
            </w:tcBorders>
            <w:shd w:val="clear" w:color="000000" w:fill="FFFFFF"/>
            <w:noWrap/>
            <w:vAlign w:val="center"/>
            <w:hideMark/>
          </w:tcPr>
          <w:p w14:paraId="3057181C" w14:textId="60FC4985" w:rsidR="00AD5670" w:rsidRPr="00F01655" w:rsidRDefault="00AD5670" w:rsidP="00AD5670">
            <w:pPr>
              <w:ind w:right="1093"/>
              <w:jc w:val="right"/>
              <w:rPr>
                <w:color w:val="000000"/>
              </w:rPr>
            </w:pPr>
            <w:r w:rsidRPr="00F01655">
              <w:rPr>
                <w:color w:val="000000"/>
              </w:rPr>
              <w:t>100.0</w:t>
            </w:r>
          </w:p>
        </w:tc>
      </w:tr>
    </w:tbl>
    <w:p w14:paraId="611E5C21" w14:textId="77777777" w:rsidR="00AD5670" w:rsidRPr="00F01655" w:rsidRDefault="00AD5670"/>
    <w:tbl>
      <w:tblPr>
        <w:tblW w:w="13395" w:type="dxa"/>
        <w:tblLayout w:type="fixed"/>
        <w:tblLook w:val="04A0" w:firstRow="1" w:lastRow="0" w:firstColumn="1" w:lastColumn="0" w:noHBand="0" w:noVBand="1"/>
      </w:tblPr>
      <w:tblGrid>
        <w:gridCol w:w="2099"/>
        <w:gridCol w:w="858"/>
        <w:gridCol w:w="859"/>
        <w:gridCol w:w="859"/>
        <w:gridCol w:w="859"/>
        <w:gridCol w:w="859"/>
        <w:gridCol w:w="859"/>
        <w:gridCol w:w="858"/>
        <w:gridCol w:w="859"/>
        <w:gridCol w:w="859"/>
        <w:gridCol w:w="859"/>
        <w:gridCol w:w="859"/>
        <w:gridCol w:w="859"/>
        <w:gridCol w:w="990"/>
      </w:tblGrid>
      <w:tr w:rsidR="00AD5670" w:rsidRPr="00D03849" w14:paraId="19B54AE1" w14:textId="77777777" w:rsidTr="00E50CB3">
        <w:trPr>
          <w:trHeight w:val="260"/>
        </w:trPr>
        <w:tc>
          <w:tcPr>
            <w:tcW w:w="13395" w:type="dxa"/>
            <w:gridSpan w:val="14"/>
            <w:tcBorders>
              <w:top w:val="double" w:sz="4" w:space="0" w:color="auto"/>
              <w:left w:val="double" w:sz="4" w:space="0" w:color="auto"/>
              <w:bottom w:val="double" w:sz="4" w:space="0" w:color="auto"/>
              <w:right w:val="double" w:sz="4" w:space="0" w:color="auto"/>
            </w:tcBorders>
            <w:shd w:val="clear" w:color="000000" w:fill="FFFFFF"/>
            <w:noWrap/>
            <w:vAlign w:val="center"/>
            <w:hideMark/>
          </w:tcPr>
          <w:p w14:paraId="1E2F5AA6" w14:textId="0D735119" w:rsidR="00AD5670" w:rsidRPr="00D03849" w:rsidRDefault="00B54ACA" w:rsidP="000D109B">
            <w:pPr>
              <w:jc w:val="center"/>
              <w:rPr>
                <w:b/>
                <w:bCs/>
                <w:color w:val="000000"/>
              </w:rPr>
            </w:pPr>
            <w:r w:rsidRPr="00D03849">
              <w:rPr>
                <w:b/>
                <w:bCs/>
                <w:color w:val="000000"/>
              </w:rPr>
              <w:t>ETF</w:t>
            </w:r>
            <w:r w:rsidR="00AD5670" w:rsidRPr="00D03849">
              <w:rPr>
                <w:b/>
                <w:bCs/>
                <w:color w:val="000000"/>
              </w:rPr>
              <w:t xml:space="preserve"> </w:t>
            </w:r>
            <w:r w:rsidR="00EA344B">
              <w:rPr>
                <w:b/>
                <w:bCs/>
                <w:color w:val="000000"/>
              </w:rPr>
              <w:t>v</w:t>
            </w:r>
            <w:r w:rsidR="00AD5670" w:rsidRPr="00D03849">
              <w:rPr>
                <w:b/>
                <w:bCs/>
                <w:color w:val="000000"/>
              </w:rPr>
              <w:t xml:space="preserve">ersus </w:t>
            </w:r>
            <w:r w:rsidRPr="00D03849">
              <w:rPr>
                <w:b/>
                <w:bCs/>
                <w:color w:val="000000"/>
              </w:rPr>
              <w:t>ITF</w:t>
            </w:r>
          </w:p>
        </w:tc>
      </w:tr>
      <w:tr w:rsidR="00AD5670" w:rsidRPr="00D03849" w14:paraId="3959264C" w14:textId="77777777" w:rsidTr="00E50CB3">
        <w:trPr>
          <w:trHeight w:val="508"/>
        </w:trPr>
        <w:tc>
          <w:tcPr>
            <w:tcW w:w="2099" w:type="dxa"/>
            <w:vMerge w:val="restart"/>
            <w:tcBorders>
              <w:top w:val="double" w:sz="4" w:space="0" w:color="auto"/>
              <w:left w:val="double" w:sz="4" w:space="0" w:color="auto"/>
              <w:bottom w:val="single" w:sz="8" w:space="0" w:color="000000"/>
              <w:right w:val="single" w:sz="8" w:space="0" w:color="auto"/>
            </w:tcBorders>
            <w:shd w:val="clear" w:color="000000" w:fill="FFFFFF"/>
            <w:noWrap/>
            <w:vAlign w:val="center"/>
            <w:hideMark/>
          </w:tcPr>
          <w:p w14:paraId="5B065288" w14:textId="3C143416" w:rsidR="00AD5670" w:rsidRPr="00D03849" w:rsidRDefault="00B54ACA" w:rsidP="000D109B">
            <w:pPr>
              <w:jc w:val="center"/>
              <w:rPr>
                <w:b/>
                <w:bCs/>
                <w:color w:val="000000"/>
              </w:rPr>
            </w:pPr>
            <w:r w:rsidRPr="00D03849">
              <w:rPr>
                <w:b/>
                <w:bCs/>
                <w:color w:val="000000"/>
              </w:rPr>
              <w:t>ETF</w:t>
            </w:r>
          </w:p>
        </w:tc>
        <w:tc>
          <w:tcPr>
            <w:tcW w:w="11296" w:type="dxa"/>
            <w:gridSpan w:val="13"/>
            <w:tcBorders>
              <w:top w:val="double" w:sz="4" w:space="0" w:color="auto"/>
              <w:left w:val="nil"/>
              <w:bottom w:val="nil"/>
              <w:right w:val="double" w:sz="4" w:space="0" w:color="auto"/>
            </w:tcBorders>
            <w:shd w:val="clear" w:color="000000" w:fill="FFFFFF"/>
            <w:noWrap/>
            <w:vAlign w:val="center"/>
            <w:hideMark/>
          </w:tcPr>
          <w:p w14:paraId="1C991F79" w14:textId="17CDFFEC" w:rsidR="00AD5670" w:rsidRPr="00D03849" w:rsidRDefault="00B2221E" w:rsidP="000D109B">
            <w:pPr>
              <w:jc w:val="center"/>
              <w:rPr>
                <w:b/>
                <w:bCs/>
                <w:color w:val="000000"/>
              </w:rPr>
            </w:pPr>
            <w:r w:rsidRPr="00D03849">
              <w:rPr>
                <w:b/>
                <w:bCs/>
                <w:color w:val="000000"/>
              </w:rPr>
              <w:t>ITF</w:t>
            </w:r>
          </w:p>
        </w:tc>
      </w:tr>
      <w:tr w:rsidR="00E50CB3" w:rsidRPr="00D03849" w14:paraId="7289C29B" w14:textId="77777777" w:rsidTr="00E50CB3">
        <w:trPr>
          <w:trHeight w:val="493"/>
        </w:trPr>
        <w:tc>
          <w:tcPr>
            <w:tcW w:w="2099" w:type="dxa"/>
            <w:vMerge/>
            <w:tcBorders>
              <w:top w:val="nil"/>
              <w:left w:val="double" w:sz="4" w:space="0" w:color="auto"/>
              <w:bottom w:val="single" w:sz="8" w:space="0" w:color="000000"/>
              <w:right w:val="single" w:sz="8" w:space="0" w:color="auto"/>
            </w:tcBorders>
            <w:vAlign w:val="center"/>
            <w:hideMark/>
          </w:tcPr>
          <w:p w14:paraId="2C1EF413" w14:textId="77777777" w:rsidR="00AD5670" w:rsidRPr="00D03849" w:rsidRDefault="00AD5670" w:rsidP="000D109B">
            <w:pPr>
              <w:rPr>
                <w:b/>
                <w:bCs/>
                <w:color w:val="000000"/>
              </w:rPr>
            </w:pPr>
          </w:p>
        </w:tc>
        <w:tc>
          <w:tcPr>
            <w:tcW w:w="1717"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A8634CD" w14:textId="77777777" w:rsidR="00AD5670" w:rsidRPr="00D03849" w:rsidRDefault="00AD5670" w:rsidP="000D109B">
            <w:pPr>
              <w:jc w:val="center"/>
              <w:rPr>
                <w:color w:val="000000"/>
              </w:rPr>
            </w:pPr>
            <w:r w:rsidRPr="00D03849">
              <w:rPr>
                <w:color w:val="000000"/>
              </w:rPr>
              <w:t xml:space="preserve">Never </w:t>
            </w:r>
          </w:p>
        </w:tc>
        <w:tc>
          <w:tcPr>
            <w:tcW w:w="171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9A46348" w14:textId="77777777" w:rsidR="00AD5670" w:rsidRPr="00D03849" w:rsidRDefault="00AD5670" w:rsidP="000D109B">
            <w:pPr>
              <w:jc w:val="center"/>
              <w:rPr>
                <w:color w:val="000000"/>
              </w:rPr>
            </w:pPr>
            <w:r w:rsidRPr="00D03849">
              <w:rPr>
                <w:color w:val="000000"/>
              </w:rPr>
              <w:t>A few times/year</w:t>
            </w:r>
          </w:p>
        </w:tc>
        <w:tc>
          <w:tcPr>
            <w:tcW w:w="171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2818D95" w14:textId="77777777" w:rsidR="00AD5670" w:rsidRPr="00D03849" w:rsidRDefault="00AD5670" w:rsidP="000D109B">
            <w:pPr>
              <w:jc w:val="center"/>
              <w:rPr>
                <w:color w:val="000000"/>
              </w:rPr>
            </w:pPr>
            <w:r w:rsidRPr="00D03849">
              <w:rPr>
                <w:color w:val="000000"/>
              </w:rPr>
              <w:t>A few times/month</w:t>
            </w:r>
          </w:p>
        </w:tc>
        <w:tc>
          <w:tcPr>
            <w:tcW w:w="1717"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7F217174" w14:textId="77777777" w:rsidR="00AD5670" w:rsidRPr="00D03849" w:rsidRDefault="00AD5670" w:rsidP="000D109B">
            <w:pPr>
              <w:jc w:val="center"/>
              <w:rPr>
                <w:color w:val="000000"/>
              </w:rPr>
            </w:pPr>
            <w:r w:rsidRPr="00D03849">
              <w:rPr>
                <w:color w:val="000000"/>
              </w:rPr>
              <w:t>Once/week</w:t>
            </w:r>
          </w:p>
        </w:tc>
        <w:tc>
          <w:tcPr>
            <w:tcW w:w="171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10A77A9" w14:textId="77777777" w:rsidR="00AD5670" w:rsidRPr="00D03849" w:rsidRDefault="00AD5670" w:rsidP="000D109B">
            <w:pPr>
              <w:jc w:val="center"/>
              <w:rPr>
                <w:color w:val="000000"/>
              </w:rPr>
            </w:pPr>
            <w:r w:rsidRPr="00D03849">
              <w:rPr>
                <w:color w:val="000000"/>
              </w:rPr>
              <w:t>A few times/week</w:t>
            </w:r>
          </w:p>
        </w:tc>
        <w:tc>
          <w:tcPr>
            <w:tcW w:w="171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99D666F" w14:textId="77777777" w:rsidR="00AD5670" w:rsidRPr="00D03849" w:rsidRDefault="00AD5670" w:rsidP="000D109B">
            <w:pPr>
              <w:jc w:val="center"/>
              <w:rPr>
                <w:color w:val="000000"/>
              </w:rPr>
            </w:pPr>
            <w:r w:rsidRPr="00D03849">
              <w:rPr>
                <w:color w:val="000000"/>
              </w:rPr>
              <w:t>Every day</w:t>
            </w:r>
          </w:p>
        </w:tc>
        <w:tc>
          <w:tcPr>
            <w:tcW w:w="990" w:type="dxa"/>
            <w:tcBorders>
              <w:top w:val="single" w:sz="4" w:space="0" w:color="auto"/>
              <w:left w:val="single" w:sz="8" w:space="0" w:color="auto"/>
              <w:bottom w:val="single" w:sz="4" w:space="0" w:color="auto"/>
              <w:right w:val="double" w:sz="4" w:space="0" w:color="auto"/>
            </w:tcBorders>
            <w:shd w:val="clear" w:color="000000" w:fill="FFFFFF"/>
            <w:noWrap/>
            <w:vAlign w:val="center"/>
            <w:hideMark/>
          </w:tcPr>
          <w:p w14:paraId="366F9A93" w14:textId="77777777" w:rsidR="00AD5670" w:rsidRPr="00D03849" w:rsidRDefault="00AD5670" w:rsidP="000D109B">
            <w:pPr>
              <w:jc w:val="center"/>
              <w:rPr>
                <w:color w:val="000000"/>
              </w:rPr>
            </w:pPr>
            <w:r w:rsidRPr="00D03849">
              <w:rPr>
                <w:color w:val="000000"/>
              </w:rPr>
              <w:t>Total</w:t>
            </w:r>
          </w:p>
        </w:tc>
      </w:tr>
      <w:tr w:rsidR="00E50CB3" w:rsidRPr="00D03849" w14:paraId="41456C86" w14:textId="77777777" w:rsidTr="00E50CB3">
        <w:trPr>
          <w:trHeight w:val="260"/>
        </w:trPr>
        <w:tc>
          <w:tcPr>
            <w:tcW w:w="2099" w:type="dxa"/>
            <w:vMerge/>
            <w:tcBorders>
              <w:top w:val="nil"/>
              <w:left w:val="double" w:sz="4" w:space="0" w:color="auto"/>
              <w:bottom w:val="single" w:sz="8" w:space="0" w:color="000000"/>
              <w:right w:val="single" w:sz="8" w:space="0" w:color="auto"/>
            </w:tcBorders>
            <w:vAlign w:val="center"/>
            <w:hideMark/>
          </w:tcPr>
          <w:p w14:paraId="29FB9FE8" w14:textId="77777777" w:rsidR="00AD5670" w:rsidRPr="00D03849" w:rsidRDefault="00AD5670" w:rsidP="000D109B">
            <w:pPr>
              <w:rPr>
                <w:b/>
                <w:bCs/>
                <w:color w:val="000000"/>
              </w:rPr>
            </w:pPr>
          </w:p>
        </w:tc>
        <w:tc>
          <w:tcPr>
            <w:tcW w:w="858" w:type="dxa"/>
            <w:tcBorders>
              <w:top w:val="nil"/>
              <w:left w:val="nil"/>
              <w:bottom w:val="single" w:sz="8" w:space="0" w:color="auto"/>
              <w:right w:val="single" w:sz="4" w:space="0" w:color="auto"/>
            </w:tcBorders>
            <w:shd w:val="clear" w:color="000000" w:fill="FFFFFF"/>
            <w:noWrap/>
            <w:tcMar>
              <w:left w:w="58" w:type="dxa"/>
              <w:right w:w="58" w:type="dxa"/>
            </w:tcMar>
            <w:vAlign w:val="center"/>
            <w:hideMark/>
          </w:tcPr>
          <w:p w14:paraId="35325AD4" w14:textId="77777777" w:rsidR="00AD5670" w:rsidRPr="00D03849" w:rsidRDefault="00AD5670" w:rsidP="000D109B">
            <w:pPr>
              <w:jc w:val="center"/>
              <w:rPr>
                <w:color w:val="000000"/>
                <w:sz w:val="23"/>
                <w:szCs w:val="23"/>
              </w:rPr>
            </w:pPr>
            <w:r w:rsidRPr="00D03849">
              <w:rPr>
                <w:color w:val="000000"/>
                <w:sz w:val="23"/>
                <w:szCs w:val="23"/>
              </w:rPr>
              <w:t>Count</w:t>
            </w:r>
          </w:p>
        </w:tc>
        <w:tc>
          <w:tcPr>
            <w:tcW w:w="859"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67D33ECB" w14:textId="77777777" w:rsidR="00AD5670" w:rsidRPr="00D03849" w:rsidRDefault="00AD5670" w:rsidP="000D109B">
            <w:pPr>
              <w:jc w:val="center"/>
              <w:rPr>
                <w:color w:val="000000"/>
                <w:sz w:val="23"/>
                <w:szCs w:val="23"/>
              </w:rPr>
            </w:pPr>
            <w:r w:rsidRPr="00D03849">
              <w:rPr>
                <w:color w:val="000000"/>
                <w:sz w:val="23"/>
                <w:szCs w:val="23"/>
              </w:rPr>
              <w:t>Percent</w:t>
            </w:r>
          </w:p>
        </w:tc>
        <w:tc>
          <w:tcPr>
            <w:tcW w:w="859" w:type="dxa"/>
            <w:tcBorders>
              <w:top w:val="nil"/>
              <w:left w:val="nil"/>
              <w:bottom w:val="single" w:sz="8" w:space="0" w:color="auto"/>
              <w:right w:val="single" w:sz="4" w:space="0" w:color="auto"/>
            </w:tcBorders>
            <w:shd w:val="clear" w:color="000000" w:fill="FFFFFF"/>
            <w:noWrap/>
            <w:tcMar>
              <w:left w:w="58" w:type="dxa"/>
              <w:right w:w="58" w:type="dxa"/>
            </w:tcMar>
            <w:vAlign w:val="center"/>
            <w:hideMark/>
          </w:tcPr>
          <w:p w14:paraId="2E1CF266" w14:textId="77777777" w:rsidR="00AD5670" w:rsidRPr="00D03849" w:rsidRDefault="00AD5670" w:rsidP="000D109B">
            <w:pPr>
              <w:jc w:val="center"/>
              <w:rPr>
                <w:color w:val="000000"/>
                <w:sz w:val="23"/>
                <w:szCs w:val="23"/>
              </w:rPr>
            </w:pPr>
            <w:r w:rsidRPr="00D03849">
              <w:rPr>
                <w:color w:val="000000"/>
                <w:sz w:val="23"/>
                <w:szCs w:val="23"/>
              </w:rPr>
              <w:t>Count</w:t>
            </w:r>
          </w:p>
        </w:tc>
        <w:tc>
          <w:tcPr>
            <w:tcW w:w="859"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278C082D" w14:textId="77777777" w:rsidR="00AD5670" w:rsidRPr="00D03849" w:rsidRDefault="00AD5670" w:rsidP="000D109B">
            <w:pPr>
              <w:jc w:val="center"/>
              <w:rPr>
                <w:color w:val="000000"/>
                <w:sz w:val="23"/>
                <w:szCs w:val="23"/>
              </w:rPr>
            </w:pPr>
            <w:r w:rsidRPr="00D03849">
              <w:rPr>
                <w:color w:val="000000"/>
                <w:sz w:val="23"/>
                <w:szCs w:val="23"/>
              </w:rPr>
              <w:t>Percent</w:t>
            </w:r>
          </w:p>
        </w:tc>
        <w:tc>
          <w:tcPr>
            <w:tcW w:w="859" w:type="dxa"/>
            <w:tcBorders>
              <w:top w:val="nil"/>
              <w:left w:val="nil"/>
              <w:bottom w:val="single" w:sz="8" w:space="0" w:color="auto"/>
              <w:right w:val="single" w:sz="4" w:space="0" w:color="auto"/>
            </w:tcBorders>
            <w:shd w:val="clear" w:color="000000" w:fill="FFFFFF"/>
            <w:noWrap/>
            <w:tcMar>
              <w:left w:w="58" w:type="dxa"/>
              <w:right w:w="58" w:type="dxa"/>
            </w:tcMar>
            <w:vAlign w:val="center"/>
            <w:hideMark/>
          </w:tcPr>
          <w:p w14:paraId="42226703" w14:textId="77777777" w:rsidR="00AD5670" w:rsidRPr="00D03849" w:rsidRDefault="00AD5670" w:rsidP="000D109B">
            <w:pPr>
              <w:jc w:val="center"/>
              <w:rPr>
                <w:color w:val="000000"/>
                <w:sz w:val="23"/>
                <w:szCs w:val="23"/>
              </w:rPr>
            </w:pPr>
            <w:r w:rsidRPr="00D03849">
              <w:rPr>
                <w:color w:val="000000"/>
                <w:sz w:val="23"/>
                <w:szCs w:val="23"/>
              </w:rPr>
              <w:t>Count</w:t>
            </w:r>
          </w:p>
        </w:tc>
        <w:tc>
          <w:tcPr>
            <w:tcW w:w="859"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3CD6AE90" w14:textId="77777777" w:rsidR="00AD5670" w:rsidRPr="00D03849" w:rsidRDefault="00AD5670" w:rsidP="000D109B">
            <w:pPr>
              <w:jc w:val="center"/>
              <w:rPr>
                <w:color w:val="000000"/>
                <w:sz w:val="23"/>
                <w:szCs w:val="23"/>
              </w:rPr>
            </w:pPr>
            <w:r w:rsidRPr="00D03849">
              <w:rPr>
                <w:color w:val="000000"/>
                <w:sz w:val="23"/>
                <w:szCs w:val="23"/>
              </w:rPr>
              <w:t>Percent</w:t>
            </w:r>
          </w:p>
        </w:tc>
        <w:tc>
          <w:tcPr>
            <w:tcW w:w="858" w:type="dxa"/>
            <w:tcBorders>
              <w:top w:val="nil"/>
              <w:left w:val="nil"/>
              <w:bottom w:val="single" w:sz="8" w:space="0" w:color="auto"/>
              <w:right w:val="single" w:sz="4" w:space="0" w:color="auto"/>
            </w:tcBorders>
            <w:shd w:val="clear" w:color="000000" w:fill="FFFFFF"/>
            <w:noWrap/>
            <w:tcMar>
              <w:left w:w="58" w:type="dxa"/>
              <w:right w:w="58" w:type="dxa"/>
            </w:tcMar>
            <w:vAlign w:val="center"/>
            <w:hideMark/>
          </w:tcPr>
          <w:p w14:paraId="12F3A74D" w14:textId="77777777" w:rsidR="00AD5670" w:rsidRPr="00D03849" w:rsidRDefault="00AD5670" w:rsidP="000D109B">
            <w:pPr>
              <w:jc w:val="center"/>
              <w:rPr>
                <w:color w:val="000000"/>
                <w:sz w:val="23"/>
                <w:szCs w:val="23"/>
              </w:rPr>
            </w:pPr>
            <w:r w:rsidRPr="00D03849">
              <w:rPr>
                <w:color w:val="000000"/>
                <w:sz w:val="23"/>
                <w:szCs w:val="23"/>
              </w:rPr>
              <w:t>Count</w:t>
            </w:r>
          </w:p>
        </w:tc>
        <w:tc>
          <w:tcPr>
            <w:tcW w:w="859"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2865F869" w14:textId="77777777" w:rsidR="00AD5670" w:rsidRPr="00D03849" w:rsidRDefault="00AD5670" w:rsidP="000D109B">
            <w:pPr>
              <w:jc w:val="center"/>
              <w:rPr>
                <w:color w:val="000000"/>
                <w:sz w:val="23"/>
                <w:szCs w:val="23"/>
              </w:rPr>
            </w:pPr>
            <w:r w:rsidRPr="00D03849">
              <w:rPr>
                <w:color w:val="000000"/>
                <w:sz w:val="23"/>
                <w:szCs w:val="23"/>
              </w:rPr>
              <w:t>Percent</w:t>
            </w:r>
          </w:p>
        </w:tc>
        <w:tc>
          <w:tcPr>
            <w:tcW w:w="859" w:type="dxa"/>
            <w:tcBorders>
              <w:top w:val="nil"/>
              <w:left w:val="nil"/>
              <w:bottom w:val="single" w:sz="8" w:space="0" w:color="auto"/>
              <w:right w:val="single" w:sz="4" w:space="0" w:color="auto"/>
            </w:tcBorders>
            <w:shd w:val="clear" w:color="000000" w:fill="FFFFFF"/>
            <w:noWrap/>
            <w:tcMar>
              <w:left w:w="58" w:type="dxa"/>
              <w:right w:w="58" w:type="dxa"/>
            </w:tcMar>
            <w:vAlign w:val="center"/>
            <w:hideMark/>
          </w:tcPr>
          <w:p w14:paraId="6AF799E7" w14:textId="77777777" w:rsidR="00AD5670" w:rsidRPr="00D03849" w:rsidRDefault="00AD5670" w:rsidP="000D109B">
            <w:pPr>
              <w:jc w:val="center"/>
              <w:rPr>
                <w:color w:val="000000"/>
                <w:sz w:val="23"/>
                <w:szCs w:val="23"/>
              </w:rPr>
            </w:pPr>
            <w:r w:rsidRPr="00D03849">
              <w:rPr>
                <w:color w:val="000000"/>
                <w:sz w:val="23"/>
                <w:szCs w:val="23"/>
              </w:rPr>
              <w:t>Count</w:t>
            </w:r>
          </w:p>
        </w:tc>
        <w:tc>
          <w:tcPr>
            <w:tcW w:w="859"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37D810E1" w14:textId="77777777" w:rsidR="00AD5670" w:rsidRPr="00D03849" w:rsidRDefault="00AD5670" w:rsidP="000D109B">
            <w:pPr>
              <w:jc w:val="center"/>
              <w:rPr>
                <w:color w:val="000000"/>
                <w:sz w:val="23"/>
                <w:szCs w:val="23"/>
              </w:rPr>
            </w:pPr>
            <w:r w:rsidRPr="00D03849">
              <w:rPr>
                <w:color w:val="000000"/>
                <w:sz w:val="23"/>
                <w:szCs w:val="23"/>
              </w:rPr>
              <w:t>Percent</w:t>
            </w:r>
          </w:p>
        </w:tc>
        <w:tc>
          <w:tcPr>
            <w:tcW w:w="859" w:type="dxa"/>
            <w:tcBorders>
              <w:top w:val="nil"/>
              <w:left w:val="nil"/>
              <w:bottom w:val="single" w:sz="8" w:space="0" w:color="auto"/>
              <w:right w:val="single" w:sz="4" w:space="0" w:color="auto"/>
            </w:tcBorders>
            <w:shd w:val="clear" w:color="000000" w:fill="FFFFFF"/>
            <w:noWrap/>
            <w:tcMar>
              <w:left w:w="58" w:type="dxa"/>
              <w:right w:w="58" w:type="dxa"/>
            </w:tcMar>
            <w:vAlign w:val="center"/>
            <w:hideMark/>
          </w:tcPr>
          <w:p w14:paraId="770C592F" w14:textId="77777777" w:rsidR="00AD5670" w:rsidRPr="00D03849" w:rsidRDefault="00AD5670" w:rsidP="000D109B">
            <w:pPr>
              <w:jc w:val="center"/>
              <w:rPr>
                <w:color w:val="000000"/>
                <w:sz w:val="23"/>
                <w:szCs w:val="23"/>
              </w:rPr>
            </w:pPr>
            <w:r w:rsidRPr="00D03849">
              <w:rPr>
                <w:color w:val="000000"/>
                <w:sz w:val="23"/>
                <w:szCs w:val="23"/>
              </w:rPr>
              <w:t>Count</w:t>
            </w:r>
          </w:p>
        </w:tc>
        <w:tc>
          <w:tcPr>
            <w:tcW w:w="859"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2FC64AEC" w14:textId="77777777" w:rsidR="00AD5670" w:rsidRPr="00D03849" w:rsidRDefault="00AD5670" w:rsidP="000D109B">
            <w:pPr>
              <w:jc w:val="center"/>
              <w:rPr>
                <w:color w:val="000000"/>
                <w:sz w:val="23"/>
                <w:szCs w:val="23"/>
              </w:rPr>
            </w:pPr>
            <w:r w:rsidRPr="00D03849">
              <w:rPr>
                <w:color w:val="000000"/>
                <w:sz w:val="23"/>
                <w:szCs w:val="23"/>
              </w:rPr>
              <w:t>Percent</w:t>
            </w:r>
          </w:p>
        </w:tc>
        <w:tc>
          <w:tcPr>
            <w:tcW w:w="990" w:type="dxa"/>
            <w:tcBorders>
              <w:top w:val="single" w:sz="4" w:space="0" w:color="auto"/>
              <w:left w:val="single" w:sz="8" w:space="0" w:color="auto"/>
              <w:bottom w:val="single" w:sz="8" w:space="0" w:color="000000"/>
              <w:right w:val="double" w:sz="4" w:space="0" w:color="auto"/>
            </w:tcBorders>
            <w:tcMar>
              <w:left w:w="58" w:type="dxa"/>
              <w:right w:w="58" w:type="dxa"/>
            </w:tcMar>
            <w:vAlign w:val="center"/>
            <w:hideMark/>
          </w:tcPr>
          <w:p w14:paraId="65351A78" w14:textId="2184E960" w:rsidR="00AD5670" w:rsidRPr="00D03849" w:rsidRDefault="00AD5670" w:rsidP="00E50CB3">
            <w:pPr>
              <w:jc w:val="center"/>
              <w:rPr>
                <w:color w:val="000000"/>
                <w:sz w:val="23"/>
                <w:szCs w:val="23"/>
              </w:rPr>
            </w:pPr>
            <w:r w:rsidRPr="00D03849">
              <w:rPr>
                <w:color w:val="000000"/>
                <w:sz w:val="23"/>
                <w:szCs w:val="23"/>
              </w:rPr>
              <w:t>Percent</w:t>
            </w:r>
          </w:p>
        </w:tc>
      </w:tr>
      <w:tr w:rsidR="00E50CB3" w:rsidRPr="00D03849" w14:paraId="0A60345E" w14:textId="77777777" w:rsidTr="00E50CB3">
        <w:trPr>
          <w:trHeight w:val="231"/>
        </w:trPr>
        <w:tc>
          <w:tcPr>
            <w:tcW w:w="2099" w:type="dxa"/>
            <w:tcBorders>
              <w:top w:val="nil"/>
              <w:left w:val="double" w:sz="4" w:space="0" w:color="auto"/>
              <w:bottom w:val="nil"/>
              <w:right w:val="single" w:sz="8" w:space="0" w:color="auto"/>
            </w:tcBorders>
            <w:shd w:val="clear" w:color="000000" w:fill="FFFFFF"/>
            <w:noWrap/>
            <w:vAlign w:val="center"/>
            <w:hideMark/>
          </w:tcPr>
          <w:p w14:paraId="1F611EFB" w14:textId="77777777" w:rsidR="00AD5670" w:rsidRPr="00D03849" w:rsidRDefault="00AD5670" w:rsidP="000D109B">
            <w:pPr>
              <w:rPr>
                <w:color w:val="000000"/>
              </w:rPr>
            </w:pPr>
            <w:r w:rsidRPr="00D03849">
              <w:rPr>
                <w:color w:val="000000"/>
              </w:rPr>
              <w:t>Never</w:t>
            </w:r>
          </w:p>
        </w:tc>
        <w:tc>
          <w:tcPr>
            <w:tcW w:w="858" w:type="dxa"/>
            <w:tcBorders>
              <w:top w:val="nil"/>
              <w:left w:val="nil"/>
              <w:bottom w:val="nil"/>
              <w:right w:val="nil"/>
            </w:tcBorders>
            <w:shd w:val="clear" w:color="000000" w:fill="FFFFFF"/>
            <w:noWrap/>
            <w:vAlign w:val="center"/>
            <w:hideMark/>
          </w:tcPr>
          <w:p w14:paraId="6BEE55E7" w14:textId="77777777" w:rsidR="00AD5670" w:rsidRPr="00D03849" w:rsidRDefault="00AD5670" w:rsidP="00AD5670">
            <w:pPr>
              <w:jc w:val="right"/>
              <w:rPr>
                <w:b/>
                <w:bCs/>
                <w:color w:val="000000"/>
              </w:rPr>
            </w:pPr>
            <w:r w:rsidRPr="00D03849">
              <w:rPr>
                <w:b/>
                <w:bCs/>
                <w:color w:val="000000"/>
              </w:rPr>
              <w:t>55</w:t>
            </w:r>
          </w:p>
        </w:tc>
        <w:tc>
          <w:tcPr>
            <w:tcW w:w="859" w:type="dxa"/>
            <w:tcBorders>
              <w:top w:val="nil"/>
              <w:left w:val="nil"/>
              <w:bottom w:val="nil"/>
              <w:right w:val="single" w:sz="8" w:space="0" w:color="auto"/>
            </w:tcBorders>
            <w:shd w:val="clear" w:color="000000" w:fill="FFFFFF"/>
            <w:noWrap/>
            <w:vAlign w:val="center"/>
            <w:hideMark/>
          </w:tcPr>
          <w:p w14:paraId="31626D24" w14:textId="703753C7" w:rsidR="00AD5670" w:rsidRPr="00D03849" w:rsidRDefault="00AD5670" w:rsidP="00AD5670">
            <w:pPr>
              <w:jc w:val="right"/>
              <w:rPr>
                <w:color w:val="000000"/>
              </w:rPr>
            </w:pPr>
            <w:r w:rsidRPr="00D03849">
              <w:rPr>
                <w:color w:val="000000"/>
              </w:rPr>
              <w:t>15.7</w:t>
            </w:r>
          </w:p>
        </w:tc>
        <w:tc>
          <w:tcPr>
            <w:tcW w:w="859" w:type="dxa"/>
            <w:tcBorders>
              <w:top w:val="nil"/>
              <w:left w:val="nil"/>
              <w:bottom w:val="nil"/>
              <w:right w:val="nil"/>
            </w:tcBorders>
            <w:shd w:val="clear" w:color="000000" w:fill="FFFFFF"/>
            <w:noWrap/>
            <w:vAlign w:val="center"/>
            <w:hideMark/>
          </w:tcPr>
          <w:p w14:paraId="2801B90C" w14:textId="77777777" w:rsidR="00AD5670" w:rsidRPr="00D03849" w:rsidRDefault="00AD5670" w:rsidP="00AD5670">
            <w:pPr>
              <w:jc w:val="right"/>
              <w:rPr>
                <w:color w:val="000000"/>
              </w:rPr>
            </w:pPr>
            <w:r w:rsidRPr="00D03849">
              <w:rPr>
                <w:color w:val="000000"/>
              </w:rPr>
              <w:t>32</w:t>
            </w:r>
          </w:p>
        </w:tc>
        <w:tc>
          <w:tcPr>
            <w:tcW w:w="859" w:type="dxa"/>
            <w:tcBorders>
              <w:top w:val="nil"/>
              <w:left w:val="nil"/>
              <w:bottom w:val="nil"/>
              <w:right w:val="single" w:sz="8" w:space="0" w:color="auto"/>
            </w:tcBorders>
            <w:shd w:val="clear" w:color="000000" w:fill="FFFFFF"/>
            <w:noWrap/>
            <w:vAlign w:val="center"/>
            <w:hideMark/>
          </w:tcPr>
          <w:p w14:paraId="6524D953" w14:textId="42779CDA" w:rsidR="00AD5670" w:rsidRPr="00D03849" w:rsidRDefault="00AD5670" w:rsidP="00AD5670">
            <w:pPr>
              <w:jc w:val="right"/>
              <w:rPr>
                <w:color w:val="000000"/>
              </w:rPr>
            </w:pPr>
            <w:r w:rsidRPr="00D03849">
              <w:rPr>
                <w:color w:val="000000"/>
              </w:rPr>
              <w:t>9.1</w:t>
            </w:r>
          </w:p>
        </w:tc>
        <w:tc>
          <w:tcPr>
            <w:tcW w:w="859" w:type="dxa"/>
            <w:tcBorders>
              <w:top w:val="nil"/>
              <w:left w:val="nil"/>
              <w:bottom w:val="nil"/>
              <w:right w:val="nil"/>
            </w:tcBorders>
            <w:shd w:val="clear" w:color="000000" w:fill="FFFFFF"/>
            <w:noWrap/>
            <w:vAlign w:val="center"/>
            <w:hideMark/>
          </w:tcPr>
          <w:p w14:paraId="51B2286E" w14:textId="77777777" w:rsidR="00AD5670" w:rsidRPr="00D03849" w:rsidRDefault="00AD5670" w:rsidP="00AD5670">
            <w:pPr>
              <w:jc w:val="right"/>
              <w:rPr>
                <w:color w:val="000000"/>
              </w:rPr>
            </w:pPr>
            <w:r w:rsidRPr="00D03849">
              <w:rPr>
                <w:color w:val="000000"/>
              </w:rPr>
              <w:t>50</w:t>
            </w:r>
          </w:p>
        </w:tc>
        <w:tc>
          <w:tcPr>
            <w:tcW w:w="859" w:type="dxa"/>
            <w:tcBorders>
              <w:top w:val="nil"/>
              <w:left w:val="nil"/>
              <w:bottom w:val="nil"/>
              <w:right w:val="single" w:sz="8" w:space="0" w:color="auto"/>
            </w:tcBorders>
            <w:shd w:val="clear" w:color="000000" w:fill="FFFFFF"/>
            <w:noWrap/>
            <w:vAlign w:val="center"/>
            <w:hideMark/>
          </w:tcPr>
          <w:p w14:paraId="3AC5F7A7" w14:textId="2EE43536" w:rsidR="00AD5670" w:rsidRPr="00D03849" w:rsidRDefault="00AD5670" w:rsidP="00AD5670">
            <w:pPr>
              <w:jc w:val="right"/>
              <w:rPr>
                <w:color w:val="000000"/>
              </w:rPr>
            </w:pPr>
            <w:r w:rsidRPr="00D03849">
              <w:rPr>
                <w:color w:val="000000"/>
              </w:rPr>
              <w:t>14.2</w:t>
            </w:r>
          </w:p>
        </w:tc>
        <w:tc>
          <w:tcPr>
            <w:tcW w:w="858" w:type="dxa"/>
            <w:tcBorders>
              <w:top w:val="nil"/>
              <w:left w:val="nil"/>
              <w:bottom w:val="nil"/>
              <w:right w:val="nil"/>
            </w:tcBorders>
            <w:shd w:val="clear" w:color="000000" w:fill="FFFFFF"/>
            <w:noWrap/>
            <w:vAlign w:val="center"/>
            <w:hideMark/>
          </w:tcPr>
          <w:p w14:paraId="57BA8687" w14:textId="77777777" w:rsidR="00AD5670" w:rsidRPr="00D03849" w:rsidRDefault="00AD5670" w:rsidP="00AD5670">
            <w:pPr>
              <w:jc w:val="right"/>
              <w:rPr>
                <w:color w:val="000000"/>
              </w:rPr>
            </w:pPr>
            <w:r w:rsidRPr="00D03849">
              <w:rPr>
                <w:color w:val="000000"/>
              </w:rPr>
              <w:t>49</w:t>
            </w:r>
          </w:p>
        </w:tc>
        <w:tc>
          <w:tcPr>
            <w:tcW w:w="859" w:type="dxa"/>
            <w:tcBorders>
              <w:top w:val="nil"/>
              <w:left w:val="nil"/>
              <w:bottom w:val="nil"/>
              <w:right w:val="single" w:sz="8" w:space="0" w:color="auto"/>
            </w:tcBorders>
            <w:shd w:val="clear" w:color="000000" w:fill="FFFFFF"/>
            <w:noWrap/>
            <w:vAlign w:val="center"/>
            <w:hideMark/>
          </w:tcPr>
          <w:p w14:paraId="29C7C01C" w14:textId="37FD11BE" w:rsidR="00AD5670" w:rsidRPr="00D03849" w:rsidRDefault="00AD5670" w:rsidP="00AD5670">
            <w:pPr>
              <w:jc w:val="right"/>
              <w:rPr>
                <w:color w:val="000000"/>
              </w:rPr>
            </w:pPr>
            <w:r w:rsidRPr="00D03849">
              <w:rPr>
                <w:color w:val="000000"/>
              </w:rPr>
              <w:t>14.0</w:t>
            </w:r>
          </w:p>
        </w:tc>
        <w:tc>
          <w:tcPr>
            <w:tcW w:w="859" w:type="dxa"/>
            <w:tcBorders>
              <w:top w:val="nil"/>
              <w:left w:val="nil"/>
              <w:bottom w:val="nil"/>
              <w:right w:val="nil"/>
            </w:tcBorders>
            <w:shd w:val="clear" w:color="000000" w:fill="FFFFFF"/>
            <w:noWrap/>
            <w:vAlign w:val="center"/>
            <w:hideMark/>
          </w:tcPr>
          <w:p w14:paraId="6F21CE8E" w14:textId="77777777" w:rsidR="00AD5670" w:rsidRPr="00D03849" w:rsidRDefault="00AD5670" w:rsidP="00AD5670">
            <w:pPr>
              <w:jc w:val="right"/>
              <w:rPr>
                <w:color w:val="000000"/>
              </w:rPr>
            </w:pPr>
            <w:r w:rsidRPr="00D03849">
              <w:rPr>
                <w:color w:val="000000"/>
              </w:rPr>
              <w:t>146</w:t>
            </w:r>
          </w:p>
        </w:tc>
        <w:tc>
          <w:tcPr>
            <w:tcW w:w="859" w:type="dxa"/>
            <w:tcBorders>
              <w:top w:val="nil"/>
              <w:left w:val="nil"/>
              <w:bottom w:val="nil"/>
              <w:right w:val="single" w:sz="8" w:space="0" w:color="auto"/>
            </w:tcBorders>
            <w:shd w:val="clear" w:color="000000" w:fill="FFFFFF"/>
            <w:noWrap/>
            <w:vAlign w:val="center"/>
            <w:hideMark/>
          </w:tcPr>
          <w:p w14:paraId="7EFE1C5C" w14:textId="68816323" w:rsidR="00AD5670" w:rsidRPr="00D03849" w:rsidRDefault="00AD5670" w:rsidP="00AD5670">
            <w:pPr>
              <w:jc w:val="right"/>
              <w:rPr>
                <w:color w:val="000000"/>
              </w:rPr>
            </w:pPr>
            <w:r w:rsidRPr="00D03849">
              <w:rPr>
                <w:color w:val="000000"/>
              </w:rPr>
              <w:t>41.6</w:t>
            </w:r>
          </w:p>
        </w:tc>
        <w:tc>
          <w:tcPr>
            <w:tcW w:w="859" w:type="dxa"/>
            <w:tcBorders>
              <w:top w:val="nil"/>
              <w:left w:val="nil"/>
              <w:bottom w:val="nil"/>
              <w:right w:val="nil"/>
            </w:tcBorders>
            <w:shd w:val="clear" w:color="000000" w:fill="FFFFFF"/>
            <w:noWrap/>
            <w:vAlign w:val="center"/>
            <w:hideMark/>
          </w:tcPr>
          <w:p w14:paraId="75930282" w14:textId="77777777" w:rsidR="00AD5670" w:rsidRPr="00D03849" w:rsidRDefault="00AD5670" w:rsidP="00AD5670">
            <w:pPr>
              <w:jc w:val="right"/>
              <w:rPr>
                <w:color w:val="000000"/>
              </w:rPr>
            </w:pPr>
            <w:r w:rsidRPr="00D03849">
              <w:rPr>
                <w:color w:val="000000"/>
              </w:rPr>
              <w:t>19</w:t>
            </w:r>
          </w:p>
        </w:tc>
        <w:tc>
          <w:tcPr>
            <w:tcW w:w="859" w:type="dxa"/>
            <w:tcBorders>
              <w:top w:val="nil"/>
              <w:left w:val="nil"/>
              <w:bottom w:val="nil"/>
              <w:right w:val="single" w:sz="8" w:space="0" w:color="auto"/>
            </w:tcBorders>
            <w:shd w:val="clear" w:color="000000" w:fill="FFFFFF"/>
            <w:noWrap/>
            <w:vAlign w:val="center"/>
            <w:hideMark/>
          </w:tcPr>
          <w:p w14:paraId="23D436A1" w14:textId="3B7B2AF6" w:rsidR="00AD5670" w:rsidRPr="00D03849" w:rsidRDefault="00AD5670" w:rsidP="00AD5670">
            <w:pPr>
              <w:jc w:val="right"/>
              <w:rPr>
                <w:color w:val="000000"/>
              </w:rPr>
            </w:pPr>
            <w:r w:rsidRPr="00D03849">
              <w:rPr>
                <w:color w:val="000000"/>
              </w:rPr>
              <w:t>5.4</w:t>
            </w:r>
          </w:p>
        </w:tc>
        <w:tc>
          <w:tcPr>
            <w:tcW w:w="990" w:type="dxa"/>
            <w:tcBorders>
              <w:top w:val="nil"/>
              <w:left w:val="nil"/>
              <w:bottom w:val="nil"/>
              <w:right w:val="double" w:sz="4" w:space="0" w:color="auto"/>
            </w:tcBorders>
            <w:shd w:val="clear" w:color="000000" w:fill="FFFFFF"/>
            <w:noWrap/>
            <w:vAlign w:val="center"/>
            <w:hideMark/>
          </w:tcPr>
          <w:p w14:paraId="1F408CA4" w14:textId="1FA2019C" w:rsidR="00AD5670" w:rsidRPr="00D03849" w:rsidRDefault="00AD5670" w:rsidP="00AD5670">
            <w:pPr>
              <w:jc w:val="right"/>
              <w:rPr>
                <w:color w:val="000000"/>
              </w:rPr>
            </w:pPr>
            <w:r w:rsidRPr="00D03849">
              <w:rPr>
                <w:color w:val="000000"/>
              </w:rPr>
              <w:t>100.0</w:t>
            </w:r>
          </w:p>
        </w:tc>
      </w:tr>
      <w:tr w:rsidR="00E50CB3" w:rsidRPr="00D03849" w14:paraId="6E7A96B7" w14:textId="77777777" w:rsidTr="00E50CB3">
        <w:trPr>
          <w:trHeight w:val="231"/>
        </w:trPr>
        <w:tc>
          <w:tcPr>
            <w:tcW w:w="2099" w:type="dxa"/>
            <w:tcBorders>
              <w:top w:val="nil"/>
              <w:left w:val="double" w:sz="4" w:space="0" w:color="auto"/>
              <w:bottom w:val="nil"/>
              <w:right w:val="single" w:sz="8" w:space="0" w:color="auto"/>
            </w:tcBorders>
            <w:shd w:val="clear" w:color="000000" w:fill="FFFFFF"/>
            <w:noWrap/>
            <w:vAlign w:val="center"/>
            <w:hideMark/>
          </w:tcPr>
          <w:p w14:paraId="27C5A3E3" w14:textId="77777777" w:rsidR="00AD5670" w:rsidRPr="00D03849" w:rsidRDefault="00AD5670" w:rsidP="000D109B">
            <w:pPr>
              <w:rPr>
                <w:color w:val="000000"/>
              </w:rPr>
            </w:pPr>
            <w:r w:rsidRPr="00D03849">
              <w:rPr>
                <w:color w:val="000000"/>
              </w:rPr>
              <w:t>A few times/year</w:t>
            </w:r>
          </w:p>
        </w:tc>
        <w:tc>
          <w:tcPr>
            <w:tcW w:w="858" w:type="dxa"/>
            <w:tcBorders>
              <w:top w:val="nil"/>
              <w:left w:val="nil"/>
              <w:bottom w:val="nil"/>
              <w:right w:val="nil"/>
            </w:tcBorders>
            <w:shd w:val="clear" w:color="000000" w:fill="FFFFFF"/>
            <w:noWrap/>
            <w:vAlign w:val="center"/>
            <w:hideMark/>
          </w:tcPr>
          <w:p w14:paraId="642CF59B" w14:textId="77777777" w:rsidR="00AD5670" w:rsidRPr="00D03849" w:rsidRDefault="00AD5670" w:rsidP="00AD5670">
            <w:pPr>
              <w:jc w:val="right"/>
              <w:rPr>
                <w:color w:val="000000"/>
              </w:rPr>
            </w:pPr>
            <w:r w:rsidRPr="00D03849">
              <w:rPr>
                <w:color w:val="000000"/>
              </w:rPr>
              <w:t>1</w:t>
            </w:r>
          </w:p>
        </w:tc>
        <w:tc>
          <w:tcPr>
            <w:tcW w:w="859" w:type="dxa"/>
            <w:tcBorders>
              <w:top w:val="nil"/>
              <w:left w:val="nil"/>
              <w:bottom w:val="nil"/>
              <w:right w:val="single" w:sz="8" w:space="0" w:color="auto"/>
            </w:tcBorders>
            <w:shd w:val="clear" w:color="000000" w:fill="FFFFFF"/>
            <w:noWrap/>
            <w:vAlign w:val="center"/>
            <w:hideMark/>
          </w:tcPr>
          <w:p w14:paraId="2BD739B7" w14:textId="1595ECC3" w:rsidR="00AD5670" w:rsidRPr="00D03849" w:rsidRDefault="00AD5670" w:rsidP="00AD5670">
            <w:pPr>
              <w:jc w:val="right"/>
              <w:rPr>
                <w:color w:val="000000"/>
              </w:rPr>
            </w:pPr>
            <w:r w:rsidRPr="00D03849">
              <w:rPr>
                <w:color w:val="000000"/>
              </w:rPr>
              <w:t>2.5</w:t>
            </w:r>
          </w:p>
        </w:tc>
        <w:tc>
          <w:tcPr>
            <w:tcW w:w="859" w:type="dxa"/>
            <w:tcBorders>
              <w:top w:val="nil"/>
              <w:left w:val="nil"/>
              <w:bottom w:val="nil"/>
              <w:right w:val="nil"/>
            </w:tcBorders>
            <w:shd w:val="clear" w:color="000000" w:fill="FFFFFF"/>
            <w:noWrap/>
            <w:vAlign w:val="center"/>
            <w:hideMark/>
          </w:tcPr>
          <w:p w14:paraId="7ACDE55D" w14:textId="77777777" w:rsidR="00AD5670" w:rsidRPr="00D03849" w:rsidRDefault="00AD5670" w:rsidP="00AD5670">
            <w:pPr>
              <w:jc w:val="right"/>
              <w:rPr>
                <w:b/>
                <w:bCs/>
                <w:color w:val="000000"/>
              </w:rPr>
            </w:pPr>
            <w:r w:rsidRPr="00D03849">
              <w:rPr>
                <w:b/>
                <w:bCs/>
                <w:color w:val="000000"/>
              </w:rPr>
              <w:t>19</w:t>
            </w:r>
          </w:p>
        </w:tc>
        <w:tc>
          <w:tcPr>
            <w:tcW w:w="859" w:type="dxa"/>
            <w:tcBorders>
              <w:top w:val="nil"/>
              <w:left w:val="nil"/>
              <w:bottom w:val="nil"/>
              <w:right w:val="single" w:sz="8" w:space="0" w:color="auto"/>
            </w:tcBorders>
            <w:shd w:val="clear" w:color="000000" w:fill="FFFFFF"/>
            <w:noWrap/>
            <w:vAlign w:val="center"/>
            <w:hideMark/>
          </w:tcPr>
          <w:p w14:paraId="47E5105A" w14:textId="01C93E4D" w:rsidR="00AD5670" w:rsidRPr="00D03849" w:rsidRDefault="00AD5670" w:rsidP="00AD5670">
            <w:pPr>
              <w:jc w:val="right"/>
              <w:rPr>
                <w:color w:val="000000"/>
              </w:rPr>
            </w:pPr>
            <w:r w:rsidRPr="00D03849">
              <w:rPr>
                <w:color w:val="000000"/>
              </w:rPr>
              <w:t>47.5</w:t>
            </w:r>
          </w:p>
        </w:tc>
        <w:tc>
          <w:tcPr>
            <w:tcW w:w="859" w:type="dxa"/>
            <w:tcBorders>
              <w:top w:val="nil"/>
              <w:left w:val="nil"/>
              <w:bottom w:val="nil"/>
              <w:right w:val="nil"/>
            </w:tcBorders>
            <w:shd w:val="clear" w:color="000000" w:fill="FFFFFF"/>
            <w:noWrap/>
            <w:vAlign w:val="center"/>
            <w:hideMark/>
          </w:tcPr>
          <w:p w14:paraId="39B1385E" w14:textId="77777777" w:rsidR="00AD5670" w:rsidRPr="00D03849" w:rsidRDefault="00AD5670" w:rsidP="00AD5670">
            <w:pPr>
              <w:jc w:val="right"/>
              <w:rPr>
                <w:color w:val="000000"/>
              </w:rPr>
            </w:pPr>
            <w:r w:rsidRPr="00D03849">
              <w:rPr>
                <w:color w:val="000000"/>
              </w:rPr>
              <w:t>7</w:t>
            </w:r>
          </w:p>
        </w:tc>
        <w:tc>
          <w:tcPr>
            <w:tcW w:w="859" w:type="dxa"/>
            <w:tcBorders>
              <w:top w:val="nil"/>
              <w:left w:val="nil"/>
              <w:bottom w:val="nil"/>
              <w:right w:val="single" w:sz="8" w:space="0" w:color="auto"/>
            </w:tcBorders>
            <w:shd w:val="clear" w:color="000000" w:fill="FFFFFF"/>
            <w:noWrap/>
            <w:vAlign w:val="center"/>
            <w:hideMark/>
          </w:tcPr>
          <w:p w14:paraId="5ECC48A9" w14:textId="03DA2BB7" w:rsidR="00AD5670" w:rsidRPr="00D03849" w:rsidRDefault="00AD5670" w:rsidP="00AD5670">
            <w:pPr>
              <w:jc w:val="right"/>
              <w:rPr>
                <w:color w:val="000000"/>
              </w:rPr>
            </w:pPr>
            <w:r w:rsidRPr="00D03849">
              <w:rPr>
                <w:color w:val="000000"/>
              </w:rPr>
              <w:t>17.5</w:t>
            </w:r>
          </w:p>
        </w:tc>
        <w:tc>
          <w:tcPr>
            <w:tcW w:w="858" w:type="dxa"/>
            <w:tcBorders>
              <w:top w:val="nil"/>
              <w:left w:val="nil"/>
              <w:bottom w:val="nil"/>
              <w:right w:val="nil"/>
            </w:tcBorders>
            <w:shd w:val="clear" w:color="000000" w:fill="FFFFFF"/>
            <w:noWrap/>
            <w:vAlign w:val="center"/>
            <w:hideMark/>
          </w:tcPr>
          <w:p w14:paraId="5E0C656B" w14:textId="77777777" w:rsidR="00AD5670" w:rsidRPr="00D03849" w:rsidRDefault="00AD5670" w:rsidP="00AD5670">
            <w:pPr>
              <w:jc w:val="right"/>
              <w:rPr>
                <w:color w:val="000000"/>
              </w:rPr>
            </w:pPr>
            <w:r w:rsidRPr="00D03849">
              <w:rPr>
                <w:color w:val="000000"/>
              </w:rPr>
              <w:t>0</w:t>
            </w:r>
          </w:p>
        </w:tc>
        <w:tc>
          <w:tcPr>
            <w:tcW w:w="859" w:type="dxa"/>
            <w:tcBorders>
              <w:top w:val="nil"/>
              <w:left w:val="nil"/>
              <w:bottom w:val="nil"/>
              <w:right w:val="single" w:sz="8" w:space="0" w:color="auto"/>
            </w:tcBorders>
            <w:shd w:val="clear" w:color="000000" w:fill="FFFFFF"/>
            <w:noWrap/>
            <w:vAlign w:val="center"/>
            <w:hideMark/>
          </w:tcPr>
          <w:p w14:paraId="1C9B9489" w14:textId="029E77C6" w:rsidR="00AD5670" w:rsidRPr="00D03849" w:rsidRDefault="00AD5670" w:rsidP="00AD5670">
            <w:pPr>
              <w:jc w:val="right"/>
              <w:rPr>
                <w:color w:val="000000"/>
              </w:rPr>
            </w:pPr>
            <w:r w:rsidRPr="00D03849">
              <w:rPr>
                <w:color w:val="000000"/>
              </w:rPr>
              <w:t>0.0</w:t>
            </w:r>
          </w:p>
        </w:tc>
        <w:tc>
          <w:tcPr>
            <w:tcW w:w="859" w:type="dxa"/>
            <w:tcBorders>
              <w:top w:val="nil"/>
              <w:left w:val="nil"/>
              <w:bottom w:val="nil"/>
              <w:right w:val="nil"/>
            </w:tcBorders>
            <w:shd w:val="clear" w:color="000000" w:fill="FFFFFF"/>
            <w:noWrap/>
            <w:vAlign w:val="center"/>
            <w:hideMark/>
          </w:tcPr>
          <w:p w14:paraId="179E1D5F" w14:textId="77777777" w:rsidR="00AD5670" w:rsidRPr="00D03849" w:rsidRDefault="00AD5670" w:rsidP="00AD5670">
            <w:pPr>
              <w:jc w:val="right"/>
              <w:rPr>
                <w:color w:val="000000"/>
              </w:rPr>
            </w:pPr>
            <w:r w:rsidRPr="00D03849">
              <w:rPr>
                <w:color w:val="000000"/>
              </w:rPr>
              <w:t>5</w:t>
            </w:r>
          </w:p>
        </w:tc>
        <w:tc>
          <w:tcPr>
            <w:tcW w:w="859" w:type="dxa"/>
            <w:tcBorders>
              <w:top w:val="nil"/>
              <w:left w:val="nil"/>
              <w:bottom w:val="nil"/>
              <w:right w:val="single" w:sz="8" w:space="0" w:color="auto"/>
            </w:tcBorders>
            <w:shd w:val="clear" w:color="000000" w:fill="FFFFFF"/>
            <w:noWrap/>
            <w:vAlign w:val="center"/>
            <w:hideMark/>
          </w:tcPr>
          <w:p w14:paraId="27D97192" w14:textId="46C53265" w:rsidR="00AD5670" w:rsidRPr="00D03849" w:rsidRDefault="00AD5670" w:rsidP="00AD5670">
            <w:pPr>
              <w:jc w:val="right"/>
              <w:rPr>
                <w:color w:val="000000"/>
              </w:rPr>
            </w:pPr>
            <w:r w:rsidRPr="00D03849">
              <w:rPr>
                <w:color w:val="000000"/>
              </w:rPr>
              <w:t>12.5</w:t>
            </w:r>
          </w:p>
        </w:tc>
        <w:tc>
          <w:tcPr>
            <w:tcW w:w="859" w:type="dxa"/>
            <w:tcBorders>
              <w:top w:val="nil"/>
              <w:left w:val="nil"/>
              <w:bottom w:val="nil"/>
              <w:right w:val="nil"/>
            </w:tcBorders>
            <w:shd w:val="clear" w:color="000000" w:fill="FFFFFF"/>
            <w:noWrap/>
            <w:vAlign w:val="center"/>
            <w:hideMark/>
          </w:tcPr>
          <w:p w14:paraId="5BE6C062" w14:textId="77777777" w:rsidR="00AD5670" w:rsidRPr="00D03849" w:rsidRDefault="00AD5670" w:rsidP="00AD5670">
            <w:pPr>
              <w:jc w:val="right"/>
              <w:rPr>
                <w:color w:val="000000"/>
              </w:rPr>
            </w:pPr>
            <w:r w:rsidRPr="00D03849">
              <w:rPr>
                <w:color w:val="000000"/>
              </w:rPr>
              <w:t>8</w:t>
            </w:r>
          </w:p>
        </w:tc>
        <w:tc>
          <w:tcPr>
            <w:tcW w:w="859" w:type="dxa"/>
            <w:tcBorders>
              <w:top w:val="nil"/>
              <w:left w:val="nil"/>
              <w:bottom w:val="nil"/>
              <w:right w:val="single" w:sz="8" w:space="0" w:color="auto"/>
            </w:tcBorders>
            <w:shd w:val="clear" w:color="000000" w:fill="FFFFFF"/>
            <w:noWrap/>
            <w:vAlign w:val="center"/>
            <w:hideMark/>
          </w:tcPr>
          <w:p w14:paraId="3E6F6158" w14:textId="7F2BF4EF" w:rsidR="00AD5670" w:rsidRPr="00D03849" w:rsidRDefault="00AD5670" w:rsidP="00AD5670">
            <w:pPr>
              <w:jc w:val="right"/>
              <w:rPr>
                <w:color w:val="000000"/>
              </w:rPr>
            </w:pPr>
            <w:r w:rsidRPr="00D03849">
              <w:rPr>
                <w:color w:val="000000"/>
              </w:rPr>
              <w:t>20.0</w:t>
            </w:r>
          </w:p>
        </w:tc>
        <w:tc>
          <w:tcPr>
            <w:tcW w:w="990" w:type="dxa"/>
            <w:tcBorders>
              <w:top w:val="nil"/>
              <w:left w:val="nil"/>
              <w:bottom w:val="nil"/>
              <w:right w:val="double" w:sz="4" w:space="0" w:color="auto"/>
            </w:tcBorders>
            <w:shd w:val="clear" w:color="000000" w:fill="FFFFFF"/>
            <w:noWrap/>
            <w:vAlign w:val="center"/>
            <w:hideMark/>
          </w:tcPr>
          <w:p w14:paraId="51F63C78" w14:textId="25247CFD" w:rsidR="00AD5670" w:rsidRPr="00D03849" w:rsidRDefault="00AD5670" w:rsidP="00AD5670">
            <w:pPr>
              <w:jc w:val="right"/>
              <w:rPr>
                <w:color w:val="000000"/>
              </w:rPr>
            </w:pPr>
            <w:r w:rsidRPr="00D03849">
              <w:rPr>
                <w:color w:val="000000"/>
              </w:rPr>
              <w:t>100.0</w:t>
            </w:r>
          </w:p>
        </w:tc>
      </w:tr>
      <w:tr w:rsidR="00E50CB3" w:rsidRPr="00D03849" w14:paraId="18D6128D" w14:textId="77777777" w:rsidTr="00E50CB3">
        <w:trPr>
          <w:trHeight w:val="231"/>
        </w:trPr>
        <w:tc>
          <w:tcPr>
            <w:tcW w:w="2099" w:type="dxa"/>
            <w:tcBorders>
              <w:top w:val="nil"/>
              <w:left w:val="double" w:sz="4" w:space="0" w:color="auto"/>
              <w:bottom w:val="nil"/>
              <w:right w:val="single" w:sz="8" w:space="0" w:color="auto"/>
            </w:tcBorders>
            <w:shd w:val="clear" w:color="000000" w:fill="FFFFFF"/>
            <w:noWrap/>
            <w:vAlign w:val="center"/>
            <w:hideMark/>
          </w:tcPr>
          <w:p w14:paraId="6FF4E37D" w14:textId="77777777" w:rsidR="00AD5670" w:rsidRPr="00D03849" w:rsidRDefault="00AD5670" w:rsidP="000D109B">
            <w:pPr>
              <w:rPr>
                <w:color w:val="000000"/>
              </w:rPr>
            </w:pPr>
            <w:r w:rsidRPr="00D03849">
              <w:rPr>
                <w:color w:val="000000"/>
              </w:rPr>
              <w:t>A few times/month</w:t>
            </w:r>
          </w:p>
        </w:tc>
        <w:tc>
          <w:tcPr>
            <w:tcW w:w="858" w:type="dxa"/>
            <w:tcBorders>
              <w:top w:val="nil"/>
              <w:left w:val="nil"/>
              <w:bottom w:val="nil"/>
              <w:right w:val="nil"/>
            </w:tcBorders>
            <w:shd w:val="clear" w:color="000000" w:fill="FFFFFF"/>
            <w:noWrap/>
            <w:vAlign w:val="center"/>
            <w:hideMark/>
          </w:tcPr>
          <w:p w14:paraId="20C819BD" w14:textId="77777777" w:rsidR="00AD5670" w:rsidRPr="00D03849" w:rsidRDefault="00AD5670" w:rsidP="00AD5670">
            <w:pPr>
              <w:jc w:val="right"/>
              <w:rPr>
                <w:color w:val="000000"/>
              </w:rPr>
            </w:pPr>
            <w:r w:rsidRPr="00D03849">
              <w:rPr>
                <w:color w:val="000000"/>
              </w:rPr>
              <w:t>1</w:t>
            </w:r>
          </w:p>
        </w:tc>
        <w:tc>
          <w:tcPr>
            <w:tcW w:w="859" w:type="dxa"/>
            <w:tcBorders>
              <w:top w:val="nil"/>
              <w:left w:val="nil"/>
              <w:bottom w:val="nil"/>
              <w:right w:val="single" w:sz="8" w:space="0" w:color="auto"/>
            </w:tcBorders>
            <w:shd w:val="clear" w:color="000000" w:fill="FFFFFF"/>
            <w:noWrap/>
            <w:vAlign w:val="center"/>
            <w:hideMark/>
          </w:tcPr>
          <w:p w14:paraId="37902DB8" w14:textId="33A8A4DF" w:rsidR="00AD5670" w:rsidRPr="00D03849" w:rsidRDefault="00AD5670" w:rsidP="00AD5670">
            <w:pPr>
              <w:jc w:val="right"/>
              <w:rPr>
                <w:color w:val="000000"/>
              </w:rPr>
            </w:pPr>
            <w:r w:rsidRPr="00D03849">
              <w:rPr>
                <w:color w:val="000000"/>
              </w:rPr>
              <w:t>1.1</w:t>
            </w:r>
          </w:p>
        </w:tc>
        <w:tc>
          <w:tcPr>
            <w:tcW w:w="859" w:type="dxa"/>
            <w:tcBorders>
              <w:top w:val="nil"/>
              <w:left w:val="nil"/>
              <w:bottom w:val="nil"/>
              <w:right w:val="nil"/>
            </w:tcBorders>
            <w:shd w:val="clear" w:color="000000" w:fill="FFFFFF"/>
            <w:noWrap/>
            <w:vAlign w:val="center"/>
            <w:hideMark/>
          </w:tcPr>
          <w:p w14:paraId="3136BF51" w14:textId="77777777" w:rsidR="00AD5670" w:rsidRPr="00D03849" w:rsidRDefault="00AD5670" w:rsidP="00AD5670">
            <w:pPr>
              <w:jc w:val="right"/>
              <w:rPr>
                <w:color w:val="000000"/>
              </w:rPr>
            </w:pPr>
            <w:r w:rsidRPr="00D03849">
              <w:rPr>
                <w:color w:val="000000"/>
              </w:rPr>
              <w:t>2</w:t>
            </w:r>
          </w:p>
        </w:tc>
        <w:tc>
          <w:tcPr>
            <w:tcW w:w="859" w:type="dxa"/>
            <w:tcBorders>
              <w:top w:val="nil"/>
              <w:left w:val="nil"/>
              <w:bottom w:val="nil"/>
              <w:right w:val="single" w:sz="8" w:space="0" w:color="auto"/>
            </w:tcBorders>
            <w:shd w:val="clear" w:color="000000" w:fill="FFFFFF"/>
            <w:noWrap/>
            <w:vAlign w:val="center"/>
            <w:hideMark/>
          </w:tcPr>
          <w:p w14:paraId="1C56473E" w14:textId="2067C10E" w:rsidR="00AD5670" w:rsidRPr="00D03849" w:rsidRDefault="00AD5670" w:rsidP="00AD5670">
            <w:pPr>
              <w:jc w:val="right"/>
              <w:rPr>
                <w:color w:val="000000"/>
              </w:rPr>
            </w:pPr>
            <w:r w:rsidRPr="00D03849">
              <w:rPr>
                <w:color w:val="000000"/>
              </w:rPr>
              <w:t>2.2</w:t>
            </w:r>
          </w:p>
        </w:tc>
        <w:tc>
          <w:tcPr>
            <w:tcW w:w="859" w:type="dxa"/>
            <w:tcBorders>
              <w:top w:val="nil"/>
              <w:left w:val="nil"/>
              <w:bottom w:val="nil"/>
              <w:right w:val="nil"/>
            </w:tcBorders>
            <w:shd w:val="clear" w:color="000000" w:fill="FFFFFF"/>
            <w:noWrap/>
            <w:vAlign w:val="center"/>
            <w:hideMark/>
          </w:tcPr>
          <w:p w14:paraId="34F7CD92" w14:textId="77777777" w:rsidR="00AD5670" w:rsidRPr="00D03849" w:rsidRDefault="00AD5670" w:rsidP="00AD5670">
            <w:pPr>
              <w:jc w:val="right"/>
              <w:rPr>
                <w:b/>
                <w:bCs/>
                <w:color w:val="000000"/>
              </w:rPr>
            </w:pPr>
            <w:r w:rsidRPr="00D03849">
              <w:rPr>
                <w:b/>
                <w:bCs/>
                <w:color w:val="000000"/>
              </w:rPr>
              <w:t>48</w:t>
            </w:r>
          </w:p>
        </w:tc>
        <w:tc>
          <w:tcPr>
            <w:tcW w:w="859" w:type="dxa"/>
            <w:tcBorders>
              <w:top w:val="nil"/>
              <w:left w:val="nil"/>
              <w:bottom w:val="nil"/>
              <w:right w:val="single" w:sz="8" w:space="0" w:color="auto"/>
            </w:tcBorders>
            <w:shd w:val="clear" w:color="000000" w:fill="FFFFFF"/>
            <w:noWrap/>
            <w:vAlign w:val="center"/>
            <w:hideMark/>
          </w:tcPr>
          <w:p w14:paraId="21962EC9" w14:textId="63CBCFD0" w:rsidR="00AD5670" w:rsidRPr="00D03849" w:rsidRDefault="00AD5670" w:rsidP="00AD5670">
            <w:pPr>
              <w:jc w:val="right"/>
              <w:rPr>
                <w:color w:val="000000"/>
              </w:rPr>
            </w:pPr>
            <w:r w:rsidRPr="00D03849">
              <w:rPr>
                <w:color w:val="000000"/>
              </w:rPr>
              <w:t>52.2</w:t>
            </w:r>
          </w:p>
        </w:tc>
        <w:tc>
          <w:tcPr>
            <w:tcW w:w="858" w:type="dxa"/>
            <w:tcBorders>
              <w:top w:val="nil"/>
              <w:left w:val="nil"/>
              <w:bottom w:val="nil"/>
              <w:right w:val="nil"/>
            </w:tcBorders>
            <w:shd w:val="clear" w:color="000000" w:fill="FFFFFF"/>
            <w:noWrap/>
            <w:vAlign w:val="center"/>
            <w:hideMark/>
          </w:tcPr>
          <w:p w14:paraId="198D9935" w14:textId="77777777" w:rsidR="00AD5670" w:rsidRPr="00D03849" w:rsidRDefault="00AD5670" w:rsidP="00AD5670">
            <w:pPr>
              <w:jc w:val="right"/>
              <w:rPr>
                <w:color w:val="000000"/>
              </w:rPr>
            </w:pPr>
            <w:r w:rsidRPr="00D03849">
              <w:rPr>
                <w:color w:val="000000"/>
              </w:rPr>
              <w:t>9</w:t>
            </w:r>
          </w:p>
        </w:tc>
        <w:tc>
          <w:tcPr>
            <w:tcW w:w="859" w:type="dxa"/>
            <w:tcBorders>
              <w:top w:val="nil"/>
              <w:left w:val="nil"/>
              <w:bottom w:val="nil"/>
              <w:right w:val="single" w:sz="8" w:space="0" w:color="auto"/>
            </w:tcBorders>
            <w:shd w:val="clear" w:color="000000" w:fill="FFFFFF"/>
            <w:noWrap/>
            <w:vAlign w:val="center"/>
            <w:hideMark/>
          </w:tcPr>
          <w:p w14:paraId="683B44F7" w14:textId="1465A0ED" w:rsidR="00AD5670" w:rsidRPr="00D03849" w:rsidRDefault="00AD5670" w:rsidP="00AD5670">
            <w:pPr>
              <w:jc w:val="right"/>
              <w:rPr>
                <w:color w:val="000000"/>
              </w:rPr>
            </w:pPr>
            <w:r w:rsidRPr="00D03849">
              <w:rPr>
                <w:color w:val="000000"/>
              </w:rPr>
              <w:t>9.8</w:t>
            </w:r>
          </w:p>
        </w:tc>
        <w:tc>
          <w:tcPr>
            <w:tcW w:w="859" w:type="dxa"/>
            <w:tcBorders>
              <w:top w:val="nil"/>
              <w:left w:val="nil"/>
              <w:bottom w:val="nil"/>
              <w:right w:val="nil"/>
            </w:tcBorders>
            <w:shd w:val="clear" w:color="000000" w:fill="FFFFFF"/>
            <w:noWrap/>
            <w:vAlign w:val="center"/>
            <w:hideMark/>
          </w:tcPr>
          <w:p w14:paraId="44D1B935" w14:textId="77777777" w:rsidR="00AD5670" w:rsidRPr="00D03849" w:rsidRDefault="00AD5670" w:rsidP="00AD5670">
            <w:pPr>
              <w:jc w:val="right"/>
              <w:rPr>
                <w:color w:val="000000"/>
              </w:rPr>
            </w:pPr>
            <w:r w:rsidRPr="00D03849">
              <w:rPr>
                <w:color w:val="000000"/>
              </w:rPr>
              <w:t>16</w:t>
            </w:r>
          </w:p>
        </w:tc>
        <w:tc>
          <w:tcPr>
            <w:tcW w:w="859" w:type="dxa"/>
            <w:tcBorders>
              <w:top w:val="nil"/>
              <w:left w:val="nil"/>
              <w:bottom w:val="nil"/>
              <w:right w:val="single" w:sz="8" w:space="0" w:color="auto"/>
            </w:tcBorders>
            <w:shd w:val="clear" w:color="000000" w:fill="FFFFFF"/>
            <w:noWrap/>
            <w:vAlign w:val="center"/>
            <w:hideMark/>
          </w:tcPr>
          <w:p w14:paraId="3CBAFB4C" w14:textId="162B3020" w:rsidR="00AD5670" w:rsidRPr="00D03849" w:rsidRDefault="00AD5670" w:rsidP="00AD5670">
            <w:pPr>
              <w:jc w:val="right"/>
              <w:rPr>
                <w:color w:val="000000"/>
              </w:rPr>
            </w:pPr>
            <w:r w:rsidRPr="00D03849">
              <w:rPr>
                <w:color w:val="000000"/>
              </w:rPr>
              <w:t>17.4</w:t>
            </w:r>
          </w:p>
        </w:tc>
        <w:tc>
          <w:tcPr>
            <w:tcW w:w="859" w:type="dxa"/>
            <w:tcBorders>
              <w:top w:val="nil"/>
              <w:left w:val="nil"/>
              <w:bottom w:val="nil"/>
              <w:right w:val="nil"/>
            </w:tcBorders>
            <w:shd w:val="clear" w:color="000000" w:fill="FFFFFF"/>
            <w:noWrap/>
            <w:vAlign w:val="center"/>
            <w:hideMark/>
          </w:tcPr>
          <w:p w14:paraId="6C4772AA" w14:textId="77777777" w:rsidR="00AD5670" w:rsidRPr="00D03849" w:rsidRDefault="00AD5670" w:rsidP="00AD5670">
            <w:pPr>
              <w:jc w:val="right"/>
              <w:rPr>
                <w:color w:val="000000"/>
              </w:rPr>
            </w:pPr>
            <w:r w:rsidRPr="00D03849">
              <w:rPr>
                <w:color w:val="000000"/>
              </w:rPr>
              <w:t>16</w:t>
            </w:r>
          </w:p>
        </w:tc>
        <w:tc>
          <w:tcPr>
            <w:tcW w:w="859" w:type="dxa"/>
            <w:tcBorders>
              <w:top w:val="nil"/>
              <w:left w:val="nil"/>
              <w:bottom w:val="nil"/>
              <w:right w:val="single" w:sz="8" w:space="0" w:color="auto"/>
            </w:tcBorders>
            <w:shd w:val="clear" w:color="000000" w:fill="FFFFFF"/>
            <w:noWrap/>
            <w:vAlign w:val="center"/>
            <w:hideMark/>
          </w:tcPr>
          <w:p w14:paraId="0C06DEB8" w14:textId="54605F4C" w:rsidR="00AD5670" w:rsidRPr="00D03849" w:rsidRDefault="00AD5670" w:rsidP="00AD5670">
            <w:pPr>
              <w:jc w:val="right"/>
              <w:rPr>
                <w:color w:val="000000"/>
              </w:rPr>
            </w:pPr>
            <w:r w:rsidRPr="00D03849">
              <w:rPr>
                <w:color w:val="000000"/>
              </w:rPr>
              <w:t>17.4</w:t>
            </w:r>
          </w:p>
        </w:tc>
        <w:tc>
          <w:tcPr>
            <w:tcW w:w="990" w:type="dxa"/>
            <w:tcBorders>
              <w:top w:val="nil"/>
              <w:left w:val="nil"/>
              <w:bottom w:val="nil"/>
              <w:right w:val="double" w:sz="4" w:space="0" w:color="auto"/>
            </w:tcBorders>
            <w:shd w:val="clear" w:color="000000" w:fill="FFFFFF"/>
            <w:noWrap/>
            <w:vAlign w:val="center"/>
            <w:hideMark/>
          </w:tcPr>
          <w:p w14:paraId="7E9AEF2A" w14:textId="02F9D189" w:rsidR="00AD5670" w:rsidRPr="00D03849" w:rsidRDefault="00AD5670" w:rsidP="00AD5670">
            <w:pPr>
              <w:jc w:val="right"/>
              <w:rPr>
                <w:color w:val="000000"/>
              </w:rPr>
            </w:pPr>
            <w:r w:rsidRPr="00D03849">
              <w:rPr>
                <w:color w:val="000000"/>
              </w:rPr>
              <w:t>100.0</w:t>
            </w:r>
          </w:p>
        </w:tc>
      </w:tr>
      <w:tr w:rsidR="00E50CB3" w:rsidRPr="00D03849" w14:paraId="1823F4C8" w14:textId="77777777" w:rsidTr="00E50CB3">
        <w:trPr>
          <w:trHeight w:val="231"/>
        </w:trPr>
        <w:tc>
          <w:tcPr>
            <w:tcW w:w="2099" w:type="dxa"/>
            <w:tcBorders>
              <w:top w:val="nil"/>
              <w:left w:val="double" w:sz="4" w:space="0" w:color="auto"/>
              <w:bottom w:val="nil"/>
              <w:right w:val="single" w:sz="8" w:space="0" w:color="auto"/>
            </w:tcBorders>
            <w:shd w:val="clear" w:color="000000" w:fill="FFFFFF"/>
            <w:noWrap/>
            <w:vAlign w:val="center"/>
            <w:hideMark/>
          </w:tcPr>
          <w:p w14:paraId="67925B1A" w14:textId="77777777" w:rsidR="00AD5670" w:rsidRPr="00D03849" w:rsidRDefault="00AD5670" w:rsidP="000D109B">
            <w:pPr>
              <w:rPr>
                <w:color w:val="000000"/>
              </w:rPr>
            </w:pPr>
            <w:r w:rsidRPr="00D03849">
              <w:rPr>
                <w:color w:val="000000"/>
              </w:rPr>
              <w:t>Once/week</w:t>
            </w:r>
          </w:p>
        </w:tc>
        <w:tc>
          <w:tcPr>
            <w:tcW w:w="858" w:type="dxa"/>
            <w:tcBorders>
              <w:top w:val="nil"/>
              <w:left w:val="nil"/>
              <w:bottom w:val="nil"/>
              <w:right w:val="nil"/>
            </w:tcBorders>
            <w:shd w:val="clear" w:color="000000" w:fill="FFFFFF"/>
            <w:noWrap/>
            <w:vAlign w:val="center"/>
            <w:hideMark/>
          </w:tcPr>
          <w:p w14:paraId="74BDD0E7" w14:textId="77777777" w:rsidR="00AD5670" w:rsidRPr="00D03849" w:rsidRDefault="00AD5670" w:rsidP="00AD5670">
            <w:pPr>
              <w:jc w:val="right"/>
              <w:rPr>
                <w:color w:val="000000"/>
              </w:rPr>
            </w:pPr>
            <w:r w:rsidRPr="00D03849">
              <w:rPr>
                <w:color w:val="000000"/>
              </w:rPr>
              <w:t>0</w:t>
            </w:r>
          </w:p>
        </w:tc>
        <w:tc>
          <w:tcPr>
            <w:tcW w:w="859" w:type="dxa"/>
            <w:tcBorders>
              <w:top w:val="nil"/>
              <w:left w:val="nil"/>
              <w:bottom w:val="nil"/>
              <w:right w:val="single" w:sz="8" w:space="0" w:color="auto"/>
            </w:tcBorders>
            <w:shd w:val="clear" w:color="000000" w:fill="FFFFFF"/>
            <w:noWrap/>
            <w:vAlign w:val="center"/>
            <w:hideMark/>
          </w:tcPr>
          <w:p w14:paraId="310433AB" w14:textId="67C9C30B" w:rsidR="00AD5670" w:rsidRPr="00D03849" w:rsidRDefault="00AD5670" w:rsidP="00AD5670">
            <w:pPr>
              <w:jc w:val="right"/>
              <w:rPr>
                <w:color w:val="000000"/>
              </w:rPr>
            </w:pPr>
            <w:r w:rsidRPr="00D03849">
              <w:rPr>
                <w:color w:val="000000"/>
              </w:rPr>
              <w:t>0.0</w:t>
            </w:r>
          </w:p>
        </w:tc>
        <w:tc>
          <w:tcPr>
            <w:tcW w:w="859" w:type="dxa"/>
            <w:tcBorders>
              <w:top w:val="nil"/>
              <w:left w:val="nil"/>
              <w:bottom w:val="nil"/>
              <w:right w:val="nil"/>
            </w:tcBorders>
            <w:shd w:val="clear" w:color="000000" w:fill="FFFFFF"/>
            <w:noWrap/>
            <w:vAlign w:val="center"/>
            <w:hideMark/>
          </w:tcPr>
          <w:p w14:paraId="093EE371" w14:textId="77777777" w:rsidR="00AD5670" w:rsidRPr="00D03849" w:rsidRDefault="00AD5670" w:rsidP="00AD5670">
            <w:pPr>
              <w:jc w:val="right"/>
              <w:rPr>
                <w:color w:val="000000"/>
              </w:rPr>
            </w:pPr>
            <w:r w:rsidRPr="00D03849">
              <w:rPr>
                <w:color w:val="000000"/>
              </w:rPr>
              <w:t>1</w:t>
            </w:r>
          </w:p>
        </w:tc>
        <w:tc>
          <w:tcPr>
            <w:tcW w:w="859" w:type="dxa"/>
            <w:tcBorders>
              <w:top w:val="nil"/>
              <w:left w:val="nil"/>
              <w:bottom w:val="nil"/>
              <w:right w:val="single" w:sz="8" w:space="0" w:color="auto"/>
            </w:tcBorders>
            <w:shd w:val="clear" w:color="000000" w:fill="FFFFFF"/>
            <w:noWrap/>
            <w:vAlign w:val="center"/>
            <w:hideMark/>
          </w:tcPr>
          <w:p w14:paraId="4CA821FE" w14:textId="4765E897" w:rsidR="00AD5670" w:rsidRPr="00D03849" w:rsidRDefault="00AD5670" w:rsidP="00AD5670">
            <w:pPr>
              <w:jc w:val="right"/>
              <w:rPr>
                <w:color w:val="000000"/>
              </w:rPr>
            </w:pPr>
            <w:r w:rsidRPr="00D03849">
              <w:rPr>
                <w:color w:val="000000"/>
              </w:rPr>
              <w:t>1.2</w:t>
            </w:r>
          </w:p>
        </w:tc>
        <w:tc>
          <w:tcPr>
            <w:tcW w:w="859" w:type="dxa"/>
            <w:tcBorders>
              <w:top w:val="nil"/>
              <w:left w:val="nil"/>
              <w:bottom w:val="nil"/>
              <w:right w:val="nil"/>
            </w:tcBorders>
            <w:shd w:val="clear" w:color="000000" w:fill="FFFFFF"/>
            <w:noWrap/>
            <w:vAlign w:val="center"/>
            <w:hideMark/>
          </w:tcPr>
          <w:p w14:paraId="692CF319" w14:textId="77777777" w:rsidR="00AD5670" w:rsidRPr="00D03849" w:rsidRDefault="00AD5670" w:rsidP="00AD5670">
            <w:pPr>
              <w:jc w:val="right"/>
              <w:rPr>
                <w:color w:val="000000"/>
              </w:rPr>
            </w:pPr>
            <w:r w:rsidRPr="00D03849">
              <w:rPr>
                <w:color w:val="000000"/>
              </w:rPr>
              <w:t>3</w:t>
            </w:r>
          </w:p>
        </w:tc>
        <w:tc>
          <w:tcPr>
            <w:tcW w:w="859" w:type="dxa"/>
            <w:tcBorders>
              <w:top w:val="nil"/>
              <w:left w:val="nil"/>
              <w:bottom w:val="nil"/>
              <w:right w:val="single" w:sz="8" w:space="0" w:color="auto"/>
            </w:tcBorders>
            <w:shd w:val="clear" w:color="000000" w:fill="FFFFFF"/>
            <w:noWrap/>
            <w:vAlign w:val="center"/>
            <w:hideMark/>
          </w:tcPr>
          <w:p w14:paraId="7C770083" w14:textId="1CF05194" w:rsidR="00AD5670" w:rsidRPr="00D03849" w:rsidRDefault="00AD5670" w:rsidP="00AD5670">
            <w:pPr>
              <w:jc w:val="right"/>
              <w:rPr>
                <w:color w:val="000000"/>
              </w:rPr>
            </w:pPr>
            <w:r w:rsidRPr="00D03849">
              <w:rPr>
                <w:color w:val="000000"/>
              </w:rPr>
              <w:t>3.6</w:t>
            </w:r>
          </w:p>
        </w:tc>
        <w:tc>
          <w:tcPr>
            <w:tcW w:w="858" w:type="dxa"/>
            <w:tcBorders>
              <w:top w:val="nil"/>
              <w:left w:val="nil"/>
              <w:bottom w:val="nil"/>
              <w:right w:val="nil"/>
            </w:tcBorders>
            <w:shd w:val="clear" w:color="000000" w:fill="FFFFFF"/>
            <w:noWrap/>
            <w:vAlign w:val="center"/>
            <w:hideMark/>
          </w:tcPr>
          <w:p w14:paraId="7C5B9A25" w14:textId="77777777" w:rsidR="00AD5670" w:rsidRPr="00D03849" w:rsidRDefault="00AD5670" w:rsidP="00AD5670">
            <w:pPr>
              <w:jc w:val="right"/>
              <w:rPr>
                <w:b/>
                <w:bCs/>
                <w:color w:val="000000"/>
              </w:rPr>
            </w:pPr>
            <w:r w:rsidRPr="00D03849">
              <w:rPr>
                <w:b/>
                <w:bCs/>
                <w:color w:val="000000"/>
              </w:rPr>
              <w:t>22</w:t>
            </w:r>
          </w:p>
        </w:tc>
        <w:tc>
          <w:tcPr>
            <w:tcW w:w="859" w:type="dxa"/>
            <w:tcBorders>
              <w:top w:val="nil"/>
              <w:left w:val="nil"/>
              <w:bottom w:val="nil"/>
              <w:right w:val="single" w:sz="8" w:space="0" w:color="auto"/>
            </w:tcBorders>
            <w:shd w:val="clear" w:color="000000" w:fill="FFFFFF"/>
            <w:noWrap/>
            <w:vAlign w:val="center"/>
            <w:hideMark/>
          </w:tcPr>
          <w:p w14:paraId="613587AF" w14:textId="19DB6E35" w:rsidR="00AD5670" w:rsidRPr="00D03849" w:rsidRDefault="00AD5670" w:rsidP="00AD5670">
            <w:pPr>
              <w:jc w:val="right"/>
              <w:rPr>
                <w:color w:val="000000"/>
              </w:rPr>
            </w:pPr>
            <w:r w:rsidRPr="00D03849">
              <w:rPr>
                <w:color w:val="000000"/>
              </w:rPr>
              <w:t>26.5</w:t>
            </w:r>
          </w:p>
        </w:tc>
        <w:tc>
          <w:tcPr>
            <w:tcW w:w="859" w:type="dxa"/>
            <w:tcBorders>
              <w:top w:val="nil"/>
              <w:left w:val="nil"/>
              <w:bottom w:val="nil"/>
              <w:right w:val="nil"/>
            </w:tcBorders>
            <w:shd w:val="clear" w:color="000000" w:fill="FFFFFF"/>
            <w:noWrap/>
            <w:vAlign w:val="center"/>
            <w:hideMark/>
          </w:tcPr>
          <w:p w14:paraId="5DA3235B" w14:textId="77777777" w:rsidR="00AD5670" w:rsidRPr="00D03849" w:rsidRDefault="00AD5670" w:rsidP="00AD5670">
            <w:pPr>
              <w:jc w:val="right"/>
              <w:rPr>
                <w:color w:val="000000"/>
              </w:rPr>
            </w:pPr>
            <w:r w:rsidRPr="00D03849">
              <w:rPr>
                <w:color w:val="000000"/>
              </w:rPr>
              <w:t>28</w:t>
            </w:r>
          </w:p>
        </w:tc>
        <w:tc>
          <w:tcPr>
            <w:tcW w:w="859" w:type="dxa"/>
            <w:tcBorders>
              <w:top w:val="nil"/>
              <w:left w:val="nil"/>
              <w:bottom w:val="nil"/>
              <w:right w:val="single" w:sz="8" w:space="0" w:color="auto"/>
            </w:tcBorders>
            <w:shd w:val="clear" w:color="000000" w:fill="FFFFFF"/>
            <w:noWrap/>
            <w:vAlign w:val="center"/>
            <w:hideMark/>
          </w:tcPr>
          <w:p w14:paraId="569051A5" w14:textId="11E1F087" w:rsidR="00AD5670" w:rsidRPr="00D03849" w:rsidRDefault="00AD5670" w:rsidP="00AD5670">
            <w:pPr>
              <w:jc w:val="right"/>
              <w:rPr>
                <w:color w:val="000000"/>
              </w:rPr>
            </w:pPr>
            <w:r w:rsidRPr="00D03849">
              <w:rPr>
                <w:color w:val="000000"/>
              </w:rPr>
              <w:t>33.7</w:t>
            </w:r>
          </w:p>
        </w:tc>
        <w:tc>
          <w:tcPr>
            <w:tcW w:w="859" w:type="dxa"/>
            <w:tcBorders>
              <w:top w:val="nil"/>
              <w:left w:val="nil"/>
              <w:bottom w:val="nil"/>
              <w:right w:val="nil"/>
            </w:tcBorders>
            <w:shd w:val="clear" w:color="000000" w:fill="FFFFFF"/>
            <w:noWrap/>
            <w:vAlign w:val="center"/>
            <w:hideMark/>
          </w:tcPr>
          <w:p w14:paraId="7998FCE2" w14:textId="77777777" w:rsidR="00AD5670" w:rsidRPr="00D03849" w:rsidRDefault="00AD5670" w:rsidP="00AD5670">
            <w:pPr>
              <w:jc w:val="right"/>
              <w:rPr>
                <w:color w:val="000000"/>
              </w:rPr>
            </w:pPr>
            <w:r w:rsidRPr="00D03849">
              <w:rPr>
                <w:color w:val="000000"/>
              </w:rPr>
              <w:t>29</w:t>
            </w:r>
          </w:p>
        </w:tc>
        <w:tc>
          <w:tcPr>
            <w:tcW w:w="859" w:type="dxa"/>
            <w:tcBorders>
              <w:top w:val="nil"/>
              <w:left w:val="nil"/>
              <w:bottom w:val="nil"/>
              <w:right w:val="single" w:sz="8" w:space="0" w:color="auto"/>
            </w:tcBorders>
            <w:shd w:val="clear" w:color="000000" w:fill="FFFFFF"/>
            <w:noWrap/>
            <w:vAlign w:val="center"/>
            <w:hideMark/>
          </w:tcPr>
          <w:p w14:paraId="7D2A510D" w14:textId="1034C4CC" w:rsidR="00AD5670" w:rsidRPr="00D03849" w:rsidRDefault="00AD5670" w:rsidP="00AD5670">
            <w:pPr>
              <w:jc w:val="right"/>
              <w:rPr>
                <w:color w:val="000000"/>
              </w:rPr>
            </w:pPr>
            <w:r w:rsidRPr="00D03849">
              <w:rPr>
                <w:color w:val="000000"/>
              </w:rPr>
              <w:t>34.9</w:t>
            </w:r>
          </w:p>
        </w:tc>
        <w:tc>
          <w:tcPr>
            <w:tcW w:w="990" w:type="dxa"/>
            <w:tcBorders>
              <w:top w:val="nil"/>
              <w:left w:val="nil"/>
              <w:bottom w:val="nil"/>
              <w:right w:val="double" w:sz="4" w:space="0" w:color="auto"/>
            </w:tcBorders>
            <w:shd w:val="clear" w:color="000000" w:fill="FFFFFF"/>
            <w:noWrap/>
            <w:vAlign w:val="center"/>
            <w:hideMark/>
          </w:tcPr>
          <w:p w14:paraId="5B744FBD" w14:textId="44E81716" w:rsidR="00AD5670" w:rsidRPr="00D03849" w:rsidRDefault="00AD5670" w:rsidP="00AD5670">
            <w:pPr>
              <w:jc w:val="right"/>
              <w:rPr>
                <w:color w:val="000000"/>
              </w:rPr>
            </w:pPr>
            <w:r w:rsidRPr="00D03849">
              <w:rPr>
                <w:color w:val="000000"/>
              </w:rPr>
              <w:t>100.0</w:t>
            </w:r>
          </w:p>
        </w:tc>
      </w:tr>
      <w:tr w:rsidR="00E50CB3" w:rsidRPr="00D03849" w14:paraId="60F5D68B" w14:textId="77777777" w:rsidTr="00E50CB3">
        <w:trPr>
          <w:trHeight w:val="231"/>
        </w:trPr>
        <w:tc>
          <w:tcPr>
            <w:tcW w:w="2099" w:type="dxa"/>
            <w:tcBorders>
              <w:top w:val="nil"/>
              <w:left w:val="double" w:sz="4" w:space="0" w:color="auto"/>
              <w:bottom w:val="nil"/>
              <w:right w:val="single" w:sz="8" w:space="0" w:color="auto"/>
            </w:tcBorders>
            <w:shd w:val="clear" w:color="000000" w:fill="FFFFFF"/>
            <w:noWrap/>
            <w:vAlign w:val="center"/>
            <w:hideMark/>
          </w:tcPr>
          <w:p w14:paraId="36725E72" w14:textId="77777777" w:rsidR="00AD5670" w:rsidRPr="00D03849" w:rsidRDefault="00AD5670" w:rsidP="000D109B">
            <w:pPr>
              <w:rPr>
                <w:color w:val="000000"/>
              </w:rPr>
            </w:pPr>
            <w:r w:rsidRPr="00D03849">
              <w:rPr>
                <w:color w:val="000000"/>
              </w:rPr>
              <w:t>A few times/week</w:t>
            </w:r>
          </w:p>
        </w:tc>
        <w:tc>
          <w:tcPr>
            <w:tcW w:w="858" w:type="dxa"/>
            <w:tcBorders>
              <w:top w:val="nil"/>
              <w:left w:val="nil"/>
              <w:bottom w:val="nil"/>
              <w:right w:val="nil"/>
            </w:tcBorders>
            <w:shd w:val="clear" w:color="000000" w:fill="FFFFFF"/>
            <w:noWrap/>
            <w:vAlign w:val="center"/>
            <w:hideMark/>
          </w:tcPr>
          <w:p w14:paraId="5C9E0152" w14:textId="77777777" w:rsidR="00AD5670" w:rsidRPr="00D03849" w:rsidRDefault="00AD5670" w:rsidP="00AD5670">
            <w:pPr>
              <w:jc w:val="right"/>
              <w:rPr>
                <w:color w:val="000000"/>
              </w:rPr>
            </w:pPr>
            <w:r w:rsidRPr="00D03849">
              <w:rPr>
                <w:color w:val="000000"/>
              </w:rPr>
              <w:t>1</w:t>
            </w:r>
          </w:p>
        </w:tc>
        <w:tc>
          <w:tcPr>
            <w:tcW w:w="859" w:type="dxa"/>
            <w:tcBorders>
              <w:top w:val="nil"/>
              <w:left w:val="nil"/>
              <w:bottom w:val="nil"/>
              <w:right w:val="single" w:sz="8" w:space="0" w:color="auto"/>
            </w:tcBorders>
            <w:shd w:val="clear" w:color="000000" w:fill="FFFFFF"/>
            <w:noWrap/>
            <w:vAlign w:val="center"/>
            <w:hideMark/>
          </w:tcPr>
          <w:p w14:paraId="34A592B0" w14:textId="424C7A80" w:rsidR="00AD5670" w:rsidRPr="00D03849" w:rsidRDefault="00AD5670" w:rsidP="00AD5670">
            <w:pPr>
              <w:jc w:val="right"/>
              <w:rPr>
                <w:color w:val="000000"/>
              </w:rPr>
            </w:pPr>
            <w:r w:rsidRPr="00D03849">
              <w:rPr>
                <w:color w:val="000000"/>
              </w:rPr>
              <w:t>0.3</w:t>
            </w:r>
          </w:p>
        </w:tc>
        <w:tc>
          <w:tcPr>
            <w:tcW w:w="859" w:type="dxa"/>
            <w:tcBorders>
              <w:top w:val="nil"/>
              <w:left w:val="nil"/>
              <w:bottom w:val="nil"/>
              <w:right w:val="nil"/>
            </w:tcBorders>
            <w:shd w:val="clear" w:color="000000" w:fill="FFFFFF"/>
            <w:noWrap/>
            <w:vAlign w:val="center"/>
            <w:hideMark/>
          </w:tcPr>
          <w:p w14:paraId="4EF932FE" w14:textId="77777777" w:rsidR="00AD5670" w:rsidRPr="00D03849" w:rsidRDefault="00AD5670" w:rsidP="00AD5670">
            <w:pPr>
              <w:jc w:val="right"/>
              <w:rPr>
                <w:color w:val="000000"/>
              </w:rPr>
            </w:pPr>
            <w:r w:rsidRPr="00D03849">
              <w:rPr>
                <w:color w:val="000000"/>
              </w:rPr>
              <w:t>1</w:t>
            </w:r>
          </w:p>
        </w:tc>
        <w:tc>
          <w:tcPr>
            <w:tcW w:w="859" w:type="dxa"/>
            <w:tcBorders>
              <w:top w:val="nil"/>
              <w:left w:val="nil"/>
              <w:bottom w:val="nil"/>
              <w:right w:val="single" w:sz="8" w:space="0" w:color="auto"/>
            </w:tcBorders>
            <w:shd w:val="clear" w:color="000000" w:fill="FFFFFF"/>
            <w:noWrap/>
            <w:vAlign w:val="center"/>
            <w:hideMark/>
          </w:tcPr>
          <w:p w14:paraId="492617EF" w14:textId="2B98C3AC" w:rsidR="00AD5670" w:rsidRPr="00D03849" w:rsidRDefault="00AD5670" w:rsidP="00AD5670">
            <w:pPr>
              <w:jc w:val="right"/>
              <w:rPr>
                <w:color w:val="000000"/>
              </w:rPr>
            </w:pPr>
            <w:r w:rsidRPr="00D03849">
              <w:rPr>
                <w:color w:val="000000"/>
              </w:rPr>
              <w:t>0.3</w:t>
            </w:r>
          </w:p>
        </w:tc>
        <w:tc>
          <w:tcPr>
            <w:tcW w:w="859" w:type="dxa"/>
            <w:tcBorders>
              <w:top w:val="nil"/>
              <w:left w:val="nil"/>
              <w:bottom w:val="nil"/>
              <w:right w:val="nil"/>
            </w:tcBorders>
            <w:shd w:val="clear" w:color="000000" w:fill="FFFFFF"/>
            <w:noWrap/>
            <w:vAlign w:val="center"/>
            <w:hideMark/>
          </w:tcPr>
          <w:p w14:paraId="5571079C" w14:textId="77777777" w:rsidR="00AD5670" w:rsidRPr="00D03849" w:rsidRDefault="00AD5670" w:rsidP="00AD5670">
            <w:pPr>
              <w:jc w:val="right"/>
              <w:rPr>
                <w:color w:val="000000"/>
              </w:rPr>
            </w:pPr>
            <w:r w:rsidRPr="00D03849">
              <w:rPr>
                <w:color w:val="000000"/>
              </w:rPr>
              <w:t>0</w:t>
            </w:r>
          </w:p>
        </w:tc>
        <w:tc>
          <w:tcPr>
            <w:tcW w:w="859" w:type="dxa"/>
            <w:tcBorders>
              <w:top w:val="nil"/>
              <w:left w:val="nil"/>
              <w:bottom w:val="nil"/>
              <w:right w:val="single" w:sz="8" w:space="0" w:color="auto"/>
            </w:tcBorders>
            <w:shd w:val="clear" w:color="000000" w:fill="FFFFFF"/>
            <w:noWrap/>
            <w:vAlign w:val="center"/>
            <w:hideMark/>
          </w:tcPr>
          <w:p w14:paraId="6C3DD911" w14:textId="4A766DA3" w:rsidR="00AD5670" w:rsidRPr="00D03849" w:rsidRDefault="00AD5670" w:rsidP="00AD5670">
            <w:pPr>
              <w:jc w:val="right"/>
              <w:rPr>
                <w:color w:val="000000"/>
              </w:rPr>
            </w:pPr>
            <w:r w:rsidRPr="00D03849">
              <w:rPr>
                <w:color w:val="000000"/>
              </w:rPr>
              <w:t>0.0</w:t>
            </w:r>
          </w:p>
        </w:tc>
        <w:tc>
          <w:tcPr>
            <w:tcW w:w="858" w:type="dxa"/>
            <w:tcBorders>
              <w:top w:val="nil"/>
              <w:left w:val="nil"/>
              <w:bottom w:val="nil"/>
              <w:right w:val="nil"/>
            </w:tcBorders>
            <w:shd w:val="clear" w:color="000000" w:fill="FFFFFF"/>
            <w:noWrap/>
            <w:vAlign w:val="center"/>
            <w:hideMark/>
          </w:tcPr>
          <w:p w14:paraId="1BBD4283" w14:textId="77777777" w:rsidR="00AD5670" w:rsidRPr="00D03849" w:rsidRDefault="00AD5670" w:rsidP="00AD5670">
            <w:pPr>
              <w:jc w:val="right"/>
              <w:rPr>
                <w:color w:val="000000"/>
              </w:rPr>
            </w:pPr>
            <w:r w:rsidRPr="00D03849">
              <w:rPr>
                <w:color w:val="000000"/>
              </w:rPr>
              <w:t>1</w:t>
            </w:r>
          </w:p>
        </w:tc>
        <w:tc>
          <w:tcPr>
            <w:tcW w:w="859" w:type="dxa"/>
            <w:tcBorders>
              <w:top w:val="nil"/>
              <w:left w:val="nil"/>
              <w:bottom w:val="nil"/>
              <w:right w:val="single" w:sz="8" w:space="0" w:color="auto"/>
            </w:tcBorders>
            <w:shd w:val="clear" w:color="000000" w:fill="FFFFFF"/>
            <w:noWrap/>
            <w:vAlign w:val="center"/>
            <w:hideMark/>
          </w:tcPr>
          <w:p w14:paraId="46AD4D44" w14:textId="121FA406" w:rsidR="00AD5670" w:rsidRPr="00D03849" w:rsidRDefault="00AD5670" w:rsidP="00AD5670">
            <w:pPr>
              <w:jc w:val="right"/>
              <w:rPr>
                <w:color w:val="000000"/>
              </w:rPr>
            </w:pPr>
            <w:r w:rsidRPr="00D03849">
              <w:rPr>
                <w:color w:val="000000"/>
              </w:rPr>
              <w:t>0.3</w:t>
            </w:r>
          </w:p>
        </w:tc>
        <w:tc>
          <w:tcPr>
            <w:tcW w:w="859" w:type="dxa"/>
            <w:tcBorders>
              <w:top w:val="nil"/>
              <w:left w:val="nil"/>
              <w:bottom w:val="nil"/>
              <w:right w:val="nil"/>
            </w:tcBorders>
            <w:shd w:val="clear" w:color="000000" w:fill="FFFFFF"/>
            <w:noWrap/>
            <w:vAlign w:val="center"/>
            <w:hideMark/>
          </w:tcPr>
          <w:p w14:paraId="017A13F5" w14:textId="77777777" w:rsidR="00AD5670" w:rsidRPr="00D03849" w:rsidRDefault="00AD5670" w:rsidP="00AD5670">
            <w:pPr>
              <w:jc w:val="right"/>
              <w:rPr>
                <w:b/>
                <w:bCs/>
                <w:color w:val="000000"/>
              </w:rPr>
            </w:pPr>
            <w:r w:rsidRPr="00D03849">
              <w:rPr>
                <w:b/>
                <w:bCs/>
                <w:color w:val="000000"/>
              </w:rPr>
              <w:t>160</w:t>
            </w:r>
          </w:p>
        </w:tc>
        <w:tc>
          <w:tcPr>
            <w:tcW w:w="859" w:type="dxa"/>
            <w:tcBorders>
              <w:top w:val="nil"/>
              <w:left w:val="nil"/>
              <w:bottom w:val="nil"/>
              <w:right w:val="single" w:sz="8" w:space="0" w:color="auto"/>
            </w:tcBorders>
            <w:shd w:val="clear" w:color="000000" w:fill="FFFFFF"/>
            <w:noWrap/>
            <w:vAlign w:val="center"/>
            <w:hideMark/>
          </w:tcPr>
          <w:p w14:paraId="435C40D8" w14:textId="23D527A9" w:rsidR="00AD5670" w:rsidRPr="00D03849" w:rsidRDefault="00AD5670" w:rsidP="00AD5670">
            <w:pPr>
              <w:jc w:val="right"/>
              <w:rPr>
                <w:color w:val="000000"/>
              </w:rPr>
            </w:pPr>
            <w:r w:rsidRPr="00D03849">
              <w:rPr>
                <w:color w:val="000000"/>
              </w:rPr>
              <w:t>42.9</w:t>
            </w:r>
          </w:p>
        </w:tc>
        <w:tc>
          <w:tcPr>
            <w:tcW w:w="859" w:type="dxa"/>
            <w:tcBorders>
              <w:top w:val="nil"/>
              <w:left w:val="nil"/>
              <w:bottom w:val="nil"/>
              <w:right w:val="nil"/>
            </w:tcBorders>
            <w:shd w:val="clear" w:color="000000" w:fill="FFFFFF"/>
            <w:noWrap/>
            <w:vAlign w:val="center"/>
            <w:hideMark/>
          </w:tcPr>
          <w:p w14:paraId="45308A11" w14:textId="77777777" w:rsidR="00AD5670" w:rsidRPr="00D03849" w:rsidRDefault="00AD5670" w:rsidP="00AD5670">
            <w:pPr>
              <w:jc w:val="right"/>
              <w:rPr>
                <w:color w:val="000000"/>
              </w:rPr>
            </w:pPr>
            <w:r w:rsidRPr="00D03849">
              <w:rPr>
                <w:color w:val="000000"/>
              </w:rPr>
              <w:t>210</w:t>
            </w:r>
          </w:p>
        </w:tc>
        <w:tc>
          <w:tcPr>
            <w:tcW w:w="859" w:type="dxa"/>
            <w:tcBorders>
              <w:top w:val="nil"/>
              <w:left w:val="nil"/>
              <w:bottom w:val="nil"/>
              <w:right w:val="single" w:sz="8" w:space="0" w:color="auto"/>
            </w:tcBorders>
            <w:shd w:val="clear" w:color="000000" w:fill="FFFFFF"/>
            <w:noWrap/>
            <w:vAlign w:val="center"/>
            <w:hideMark/>
          </w:tcPr>
          <w:p w14:paraId="722D8D2F" w14:textId="536E85F3" w:rsidR="00AD5670" w:rsidRPr="00D03849" w:rsidRDefault="00AD5670" w:rsidP="00AD5670">
            <w:pPr>
              <w:jc w:val="right"/>
              <w:rPr>
                <w:color w:val="000000"/>
              </w:rPr>
            </w:pPr>
            <w:r w:rsidRPr="00D03849">
              <w:rPr>
                <w:color w:val="000000"/>
              </w:rPr>
              <w:t>56.3</w:t>
            </w:r>
          </w:p>
        </w:tc>
        <w:tc>
          <w:tcPr>
            <w:tcW w:w="990" w:type="dxa"/>
            <w:tcBorders>
              <w:top w:val="nil"/>
              <w:left w:val="nil"/>
              <w:bottom w:val="nil"/>
              <w:right w:val="double" w:sz="4" w:space="0" w:color="auto"/>
            </w:tcBorders>
            <w:shd w:val="clear" w:color="000000" w:fill="FFFFFF"/>
            <w:noWrap/>
            <w:vAlign w:val="center"/>
            <w:hideMark/>
          </w:tcPr>
          <w:p w14:paraId="588E2A33" w14:textId="16CA882E" w:rsidR="00AD5670" w:rsidRPr="00D03849" w:rsidRDefault="00AD5670" w:rsidP="00AD5670">
            <w:pPr>
              <w:jc w:val="right"/>
              <w:rPr>
                <w:color w:val="000000"/>
              </w:rPr>
            </w:pPr>
            <w:r w:rsidRPr="00D03849">
              <w:rPr>
                <w:color w:val="000000"/>
              </w:rPr>
              <w:t>100.0</w:t>
            </w:r>
          </w:p>
        </w:tc>
      </w:tr>
      <w:tr w:rsidR="00E50CB3" w:rsidRPr="00D03849" w14:paraId="07B05108" w14:textId="77777777" w:rsidTr="00E50CB3">
        <w:trPr>
          <w:trHeight w:val="246"/>
        </w:trPr>
        <w:tc>
          <w:tcPr>
            <w:tcW w:w="2099" w:type="dxa"/>
            <w:tcBorders>
              <w:top w:val="nil"/>
              <w:left w:val="double" w:sz="4" w:space="0" w:color="auto"/>
              <w:bottom w:val="double" w:sz="4" w:space="0" w:color="auto"/>
              <w:right w:val="single" w:sz="8" w:space="0" w:color="auto"/>
            </w:tcBorders>
            <w:shd w:val="clear" w:color="000000" w:fill="FFFFFF"/>
            <w:noWrap/>
            <w:vAlign w:val="center"/>
            <w:hideMark/>
          </w:tcPr>
          <w:p w14:paraId="5234818A" w14:textId="77777777" w:rsidR="00AD5670" w:rsidRPr="00D03849" w:rsidRDefault="00AD5670" w:rsidP="000D109B">
            <w:pPr>
              <w:rPr>
                <w:color w:val="000000"/>
              </w:rPr>
            </w:pPr>
            <w:r w:rsidRPr="00D03849">
              <w:rPr>
                <w:color w:val="000000"/>
              </w:rPr>
              <w:t>Everyday</w:t>
            </w:r>
          </w:p>
        </w:tc>
        <w:tc>
          <w:tcPr>
            <w:tcW w:w="858" w:type="dxa"/>
            <w:tcBorders>
              <w:top w:val="nil"/>
              <w:left w:val="nil"/>
              <w:bottom w:val="double" w:sz="4" w:space="0" w:color="auto"/>
              <w:right w:val="nil"/>
            </w:tcBorders>
            <w:shd w:val="clear" w:color="000000" w:fill="FFFFFF"/>
            <w:noWrap/>
            <w:vAlign w:val="center"/>
            <w:hideMark/>
          </w:tcPr>
          <w:p w14:paraId="435A6C51" w14:textId="77777777" w:rsidR="00AD5670" w:rsidRPr="00D03849" w:rsidRDefault="00AD5670" w:rsidP="00AD5670">
            <w:pPr>
              <w:jc w:val="right"/>
              <w:rPr>
                <w:color w:val="000000"/>
              </w:rPr>
            </w:pPr>
            <w:r w:rsidRPr="00D03849">
              <w:rPr>
                <w:color w:val="000000"/>
              </w:rPr>
              <w:t>1</w:t>
            </w:r>
          </w:p>
        </w:tc>
        <w:tc>
          <w:tcPr>
            <w:tcW w:w="859" w:type="dxa"/>
            <w:tcBorders>
              <w:top w:val="nil"/>
              <w:left w:val="nil"/>
              <w:bottom w:val="double" w:sz="4" w:space="0" w:color="auto"/>
              <w:right w:val="single" w:sz="8" w:space="0" w:color="auto"/>
            </w:tcBorders>
            <w:shd w:val="clear" w:color="000000" w:fill="FFFFFF"/>
            <w:noWrap/>
            <w:vAlign w:val="center"/>
            <w:hideMark/>
          </w:tcPr>
          <w:p w14:paraId="7EFA2974" w14:textId="0B0463DC" w:rsidR="00AD5670" w:rsidRPr="00D03849" w:rsidRDefault="00AD5670" w:rsidP="00AD5670">
            <w:pPr>
              <w:jc w:val="right"/>
              <w:rPr>
                <w:color w:val="000000"/>
              </w:rPr>
            </w:pPr>
            <w:r w:rsidRPr="00D03849">
              <w:rPr>
                <w:color w:val="000000"/>
              </w:rPr>
              <w:t>0.3</w:t>
            </w:r>
          </w:p>
        </w:tc>
        <w:tc>
          <w:tcPr>
            <w:tcW w:w="859" w:type="dxa"/>
            <w:tcBorders>
              <w:top w:val="nil"/>
              <w:left w:val="nil"/>
              <w:bottom w:val="double" w:sz="4" w:space="0" w:color="auto"/>
              <w:right w:val="nil"/>
            </w:tcBorders>
            <w:shd w:val="clear" w:color="000000" w:fill="FFFFFF"/>
            <w:noWrap/>
            <w:vAlign w:val="center"/>
            <w:hideMark/>
          </w:tcPr>
          <w:p w14:paraId="5E1532A9" w14:textId="77777777" w:rsidR="00AD5670" w:rsidRPr="00D03849" w:rsidRDefault="00AD5670" w:rsidP="00AD5670">
            <w:pPr>
              <w:jc w:val="right"/>
              <w:rPr>
                <w:color w:val="000000"/>
              </w:rPr>
            </w:pPr>
            <w:r w:rsidRPr="00D03849">
              <w:rPr>
                <w:color w:val="000000"/>
              </w:rPr>
              <w:t>2</w:t>
            </w:r>
          </w:p>
        </w:tc>
        <w:tc>
          <w:tcPr>
            <w:tcW w:w="859" w:type="dxa"/>
            <w:tcBorders>
              <w:top w:val="nil"/>
              <w:left w:val="nil"/>
              <w:bottom w:val="double" w:sz="4" w:space="0" w:color="auto"/>
              <w:right w:val="single" w:sz="8" w:space="0" w:color="auto"/>
            </w:tcBorders>
            <w:shd w:val="clear" w:color="000000" w:fill="FFFFFF"/>
            <w:noWrap/>
            <w:vAlign w:val="center"/>
            <w:hideMark/>
          </w:tcPr>
          <w:p w14:paraId="6E457068" w14:textId="1E9756A8" w:rsidR="00AD5670" w:rsidRPr="00D03849" w:rsidRDefault="00AD5670" w:rsidP="00AD5670">
            <w:pPr>
              <w:jc w:val="right"/>
              <w:rPr>
                <w:color w:val="000000"/>
              </w:rPr>
            </w:pPr>
            <w:r w:rsidRPr="00D03849">
              <w:rPr>
                <w:color w:val="000000"/>
              </w:rPr>
              <w:t>0.7</w:t>
            </w:r>
          </w:p>
        </w:tc>
        <w:tc>
          <w:tcPr>
            <w:tcW w:w="859" w:type="dxa"/>
            <w:tcBorders>
              <w:top w:val="nil"/>
              <w:left w:val="nil"/>
              <w:bottom w:val="double" w:sz="4" w:space="0" w:color="auto"/>
              <w:right w:val="nil"/>
            </w:tcBorders>
            <w:shd w:val="clear" w:color="000000" w:fill="FFFFFF"/>
            <w:noWrap/>
            <w:vAlign w:val="center"/>
            <w:hideMark/>
          </w:tcPr>
          <w:p w14:paraId="78F63F03" w14:textId="77777777" w:rsidR="00AD5670" w:rsidRPr="00D03849" w:rsidRDefault="00AD5670" w:rsidP="00AD5670">
            <w:pPr>
              <w:jc w:val="right"/>
              <w:rPr>
                <w:color w:val="000000"/>
              </w:rPr>
            </w:pPr>
            <w:r w:rsidRPr="00D03849">
              <w:rPr>
                <w:color w:val="000000"/>
              </w:rPr>
              <w:t>5</w:t>
            </w:r>
          </w:p>
        </w:tc>
        <w:tc>
          <w:tcPr>
            <w:tcW w:w="859" w:type="dxa"/>
            <w:tcBorders>
              <w:top w:val="nil"/>
              <w:left w:val="nil"/>
              <w:bottom w:val="double" w:sz="4" w:space="0" w:color="auto"/>
              <w:right w:val="single" w:sz="8" w:space="0" w:color="auto"/>
            </w:tcBorders>
            <w:shd w:val="clear" w:color="000000" w:fill="FFFFFF"/>
            <w:noWrap/>
            <w:vAlign w:val="center"/>
            <w:hideMark/>
          </w:tcPr>
          <w:p w14:paraId="19DC5266" w14:textId="3C58DC02" w:rsidR="00AD5670" w:rsidRPr="00D03849" w:rsidRDefault="00AD5670" w:rsidP="00AD5670">
            <w:pPr>
              <w:jc w:val="right"/>
              <w:rPr>
                <w:color w:val="000000"/>
              </w:rPr>
            </w:pPr>
            <w:r w:rsidRPr="00D03849">
              <w:rPr>
                <w:color w:val="000000"/>
              </w:rPr>
              <w:t>1.7</w:t>
            </w:r>
          </w:p>
        </w:tc>
        <w:tc>
          <w:tcPr>
            <w:tcW w:w="858" w:type="dxa"/>
            <w:tcBorders>
              <w:top w:val="nil"/>
              <w:left w:val="nil"/>
              <w:bottom w:val="double" w:sz="4" w:space="0" w:color="auto"/>
              <w:right w:val="nil"/>
            </w:tcBorders>
            <w:shd w:val="clear" w:color="000000" w:fill="FFFFFF"/>
            <w:noWrap/>
            <w:vAlign w:val="center"/>
            <w:hideMark/>
          </w:tcPr>
          <w:p w14:paraId="3451D3B8" w14:textId="77777777" w:rsidR="00AD5670" w:rsidRPr="00D03849" w:rsidRDefault="00AD5670" w:rsidP="00AD5670">
            <w:pPr>
              <w:jc w:val="right"/>
              <w:rPr>
                <w:color w:val="000000"/>
              </w:rPr>
            </w:pPr>
            <w:r w:rsidRPr="00D03849">
              <w:rPr>
                <w:color w:val="000000"/>
              </w:rPr>
              <w:t>1</w:t>
            </w:r>
          </w:p>
        </w:tc>
        <w:tc>
          <w:tcPr>
            <w:tcW w:w="859" w:type="dxa"/>
            <w:tcBorders>
              <w:top w:val="nil"/>
              <w:left w:val="nil"/>
              <w:bottom w:val="double" w:sz="4" w:space="0" w:color="auto"/>
              <w:right w:val="single" w:sz="8" w:space="0" w:color="auto"/>
            </w:tcBorders>
            <w:shd w:val="clear" w:color="000000" w:fill="FFFFFF"/>
            <w:noWrap/>
            <w:vAlign w:val="center"/>
            <w:hideMark/>
          </w:tcPr>
          <w:p w14:paraId="42340A51" w14:textId="62E43991" w:rsidR="00AD5670" w:rsidRPr="00D03849" w:rsidRDefault="00AD5670" w:rsidP="00AD5670">
            <w:pPr>
              <w:jc w:val="right"/>
              <w:rPr>
                <w:color w:val="000000"/>
              </w:rPr>
            </w:pPr>
            <w:r w:rsidRPr="00D03849">
              <w:rPr>
                <w:color w:val="000000"/>
              </w:rPr>
              <w:t>0.3</w:t>
            </w:r>
          </w:p>
        </w:tc>
        <w:tc>
          <w:tcPr>
            <w:tcW w:w="859" w:type="dxa"/>
            <w:tcBorders>
              <w:top w:val="nil"/>
              <w:left w:val="nil"/>
              <w:bottom w:val="double" w:sz="4" w:space="0" w:color="auto"/>
              <w:right w:val="nil"/>
            </w:tcBorders>
            <w:shd w:val="clear" w:color="000000" w:fill="FFFFFF"/>
            <w:noWrap/>
            <w:vAlign w:val="center"/>
            <w:hideMark/>
          </w:tcPr>
          <w:p w14:paraId="617CA269" w14:textId="77777777" w:rsidR="00AD5670" w:rsidRPr="00D03849" w:rsidRDefault="00AD5670" w:rsidP="00AD5670">
            <w:pPr>
              <w:jc w:val="right"/>
              <w:rPr>
                <w:color w:val="000000"/>
              </w:rPr>
            </w:pPr>
            <w:r w:rsidRPr="00D03849">
              <w:rPr>
                <w:color w:val="000000"/>
              </w:rPr>
              <w:t>21</w:t>
            </w:r>
          </w:p>
        </w:tc>
        <w:tc>
          <w:tcPr>
            <w:tcW w:w="859" w:type="dxa"/>
            <w:tcBorders>
              <w:top w:val="nil"/>
              <w:left w:val="nil"/>
              <w:bottom w:val="double" w:sz="4" w:space="0" w:color="auto"/>
              <w:right w:val="single" w:sz="8" w:space="0" w:color="auto"/>
            </w:tcBorders>
            <w:shd w:val="clear" w:color="000000" w:fill="FFFFFF"/>
            <w:noWrap/>
            <w:vAlign w:val="center"/>
            <w:hideMark/>
          </w:tcPr>
          <w:p w14:paraId="056F7FF2" w14:textId="435F5636" w:rsidR="00AD5670" w:rsidRPr="00D03849" w:rsidRDefault="00AD5670" w:rsidP="00AD5670">
            <w:pPr>
              <w:jc w:val="right"/>
              <w:rPr>
                <w:color w:val="000000"/>
              </w:rPr>
            </w:pPr>
            <w:r w:rsidRPr="00D03849">
              <w:rPr>
                <w:color w:val="000000"/>
              </w:rPr>
              <w:t>7.0</w:t>
            </w:r>
          </w:p>
        </w:tc>
        <w:tc>
          <w:tcPr>
            <w:tcW w:w="859" w:type="dxa"/>
            <w:tcBorders>
              <w:top w:val="nil"/>
              <w:left w:val="nil"/>
              <w:bottom w:val="double" w:sz="4" w:space="0" w:color="auto"/>
              <w:right w:val="nil"/>
            </w:tcBorders>
            <w:shd w:val="clear" w:color="000000" w:fill="FFFFFF"/>
            <w:noWrap/>
            <w:vAlign w:val="center"/>
            <w:hideMark/>
          </w:tcPr>
          <w:p w14:paraId="218C2CAD" w14:textId="77777777" w:rsidR="00AD5670" w:rsidRPr="00D03849" w:rsidRDefault="00AD5670" w:rsidP="00AD5670">
            <w:pPr>
              <w:jc w:val="right"/>
              <w:rPr>
                <w:b/>
                <w:bCs/>
                <w:color w:val="000000"/>
              </w:rPr>
            </w:pPr>
            <w:r w:rsidRPr="00D03849">
              <w:rPr>
                <w:b/>
                <w:bCs/>
                <w:color w:val="000000"/>
              </w:rPr>
              <w:t>270</w:t>
            </w:r>
          </w:p>
        </w:tc>
        <w:tc>
          <w:tcPr>
            <w:tcW w:w="859" w:type="dxa"/>
            <w:tcBorders>
              <w:top w:val="nil"/>
              <w:left w:val="nil"/>
              <w:bottom w:val="double" w:sz="4" w:space="0" w:color="auto"/>
              <w:right w:val="single" w:sz="8" w:space="0" w:color="auto"/>
            </w:tcBorders>
            <w:shd w:val="clear" w:color="000000" w:fill="FFFFFF"/>
            <w:noWrap/>
            <w:vAlign w:val="center"/>
            <w:hideMark/>
          </w:tcPr>
          <w:p w14:paraId="199AA072" w14:textId="52158BD3" w:rsidR="00AD5670" w:rsidRPr="00D03849" w:rsidRDefault="00AD5670" w:rsidP="00AD5670">
            <w:pPr>
              <w:jc w:val="right"/>
              <w:rPr>
                <w:color w:val="000000"/>
              </w:rPr>
            </w:pPr>
            <w:r w:rsidRPr="00D03849">
              <w:rPr>
                <w:color w:val="000000"/>
              </w:rPr>
              <w:t>90.0</w:t>
            </w:r>
          </w:p>
        </w:tc>
        <w:tc>
          <w:tcPr>
            <w:tcW w:w="990" w:type="dxa"/>
            <w:tcBorders>
              <w:top w:val="nil"/>
              <w:left w:val="nil"/>
              <w:bottom w:val="double" w:sz="4" w:space="0" w:color="auto"/>
              <w:right w:val="double" w:sz="4" w:space="0" w:color="auto"/>
            </w:tcBorders>
            <w:shd w:val="clear" w:color="000000" w:fill="FFFFFF"/>
            <w:noWrap/>
            <w:vAlign w:val="center"/>
            <w:hideMark/>
          </w:tcPr>
          <w:p w14:paraId="5C0A06B6" w14:textId="72D70761" w:rsidR="00AD5670" w:rsidRPr="00D03849" w:rsidRDefault="00AD5670" w:rsidP="00AD5670">
            <w:pPr>
              <w:jc w:val="right"/>
              <w:rPr>
                <w:color w:val="000000"/>
              </w:rPr>
            </w:pPr>
            <w:r w:rsidRPr="00D03849">
              <w:rPr>
                <w:color w:val="000000"/>
              </w:rPr>
              <w:t>100.0</w:t>
            </w:r>
          </w:p>
        </w:tc>
      </w:tr>
    </w:tbl>
    <w:p w14:paraId="64C1405E" w14:textId="77777777" w:rsidR="00AD5670" w:rsidRPr="00F01655" w:rsidRDefault="00AD5670"/>
    <w:tbl>
      <w:tblPr>
        <w:tblW w:w="13395" w:type="dxa"/>
        <w:tblLayout w:type="fixed"/>
        <w:tblLook w:val="04A0" w:firstRow="1" w:lastRow="0" w:firstColumn="1" w:lastColumn="0" w:noHBand="0" w:noVBand="1"/>
      </w:tblPr>
      <w:tblGrid>
        <w:gridCol w:w="8985"/>
        <w:gridCol w:w="2205"/>
        <w:gridCol w:w="2205"/>
      </w:tblGrid>
      <w:tr w:rsidR="00AD5670" w:rsidRPr="00F01655" w14:paraId="178404D9" w14:textId="77777777" w:rsidTr="00E50CB3">
        <w:trPr>
          <w:trHeight w:val="246"/>
        </w:trPr>
        <w:tc>
          <w:tcPr>
            <w:tcW w:w="8985" w:type="dxa"/>
            <w:tcBorders>
              <w:top w:val="double" w:sz="4" w:space="0" w:color="auto"/>
              <w:left w:val="double" w:sz="4" w:space="0" w:color="auto"/>
              <w:bottom w:val="nil"/>
              <w:right w:val="single" w:sz="8" w:space="0" w:color="000000"/>
            </w:tcBorders>
            <w:shd w:val="clear" w:color="000000" w:fill="FFFFFF"/>
            <w:noWrap/>
            <w:vAlign w:val="center"/>
            <w:hideMark/>
          </w:tcPr>
          <w:p w14:paraId="12215C60" w14:textId="77777777" w:rsidR="00AD5670" w:rsidRPr="00F01655" w:rsidRDefault="00AD5670" w:rsidP="000D109B">
            <w:pPr>
              <w:jc w:val="center"/>
              <w:rPr>
                <w:rFonts w:ascii="Times" w:hAnsi="Times" w:cs="Calibri"/>
                <w:b/>
                <w:bCs/>
                <w:color w:val="000000"/>
              </w:rPr>
            </w:pPr>
            <w:r w:rsidRPr="00F01655">
              <w:rPr>
                <w:rFonts w:ascii="Times" w:hAnsi="Times" w:cs="Calibri"/>
                <w:b/>
                <w:bCs/>
                <w:color w:val="000000"/>
              </w:rPr>
              <w:t>Does the Individual Experience Dissonance?</w:t>
            </w:r>
          </w:p>
        </w:tc>
        <w:tc>
          <w:tcPr>
            <w:tcW w:w="2205" w:type="dxa"/>
            <w:tcBorders>
              <w:top w:val="double" w:sz="4" w:space="0" w:color="auto"/>
              <w:left w:val="nil"/>
              <w:bottom w:val="single" w:sz="4" w:space="0" w:color="auto"/>
              <w:right w:val="single" w:sz="4" w:space="0" w:color="000000"/>
            </w:tcBorders>
            <w:shd w:val="clear" w:color="000000" w:fill="FFFFFF"/>
            <w:noWrap/>
            <w:vAlign w:val="center"/>
            <w:hideMark/>
          </w:tcPr>
          <w:p w14:paraId="24E198C2" w14:textId="77777777" w:rsidR="00AD5670" w:rsidRPr="00F01655" w:rsidRDefault="00AD5670" w:rsidP="000D109B">
            <w:pPr>
              <w:jc w:val="center"/>
              <w:rPr>
                <w:rFonts w:ascii="Times" w:hAnsi="Times" w:cs="Calibri"/>
                <w:color w:val="000000"/>
              </w:rPr>
            </w:pPr>
            <w:r w:rsidRPr="00F01655">
              <w:rPr>
                <w:rFonts w:ascii="Times" w:hAnsi="Times" w:cs="Calibri"/>
                <w:color w:val="000000"/>
              </w:rPr>
              <w:t>Count</w:t>
            </w:r>
          </w:p>
        </w:tc>
        <w:tc>
          <w:tcPr>
            <w:tcW w:w="2205" w:type="dxa"/>
            <w:tcBorders>
              <w:top w:val="double" w:sz="4" w:space="0" w:color="auto"/>
              <w:left w:val="nil"/>
              <w:bottom w:val="single" w:sz="4" w:space="0" w:color="auto"/>
              <w:right w:val="double" w:sz="4" w:space="0" w:color="auto"/>
            </w:tcBorders>
            <w:shd w:val="clear" w:color="000000" w:fill="FFFFFF"/>
            <w:noWrap/>
            <w:vAlign w:val="center"/>
            <w:hideMark/>
          </w:tcPr>
          <w:p w14:paraId="7DAE01B2" w14:textId="77777777" w:rsidR="00AD5670" w:rsidRPr="00F01655" w:rsidRDefault="00AD5670" w:rsidP="000D109B">
            <w:pPr>
              <w:jc w:val="center"/>
              <w:rPr>
                <w:rFonts w:ascii="Times" w:hAnsi="Times" w:cs="Calibri"/>
                <w:color w:val="000000"/>
              </w:rPr>
            </w:pPr>
            <w:r w:rsidRPr="00F01655">
              <w:rPr>
                <w:rFonts w:ascii="Times" w:hAnsi="Times" w:cs="Calibri"/>
                <w:color w:val="000000"/>
              </w:rPr>
              <w:t>Percent</w:t>
            </w:r>
          </w:p>
        </w:tc>
      </w:tr>
      <w:tr w:rsidR="00AD5670" w:rsidRPr="00F01655" w14:paraId="31C05138" w14:textId="77777777" w:rsidTr="00E50CB3">
        <w:trPr>
          <w:trHeight w:val="246"/>
        </w:trPr>
        <w:tc>
          <w:tcPr>
            <w:tcW w:w="8985" w:type="dxa"/>
            <w:tcBorders>
              <w:top w:val="single" w:sz="4" w:space="0" w:color="auto"/>
              <w:left w:val="double" w:sz="4" w:space="0" w:color="auto"/>
              <w:bottom w:val="nil"/>
              <w:right w:val="single" w:sz="8" w:space="0" w:color="000000"/>
            </w:tcBorders>
            <w:shd w:val="clear" w:color="000000" w:fill="FFFFFF"/>
            <w:vAlign w:val="center"/>
            <w:hideMark/>
          </w:tcPr>
          <w:p w14:paraId="3EBAC3FC" w14:textId="1F442C7B" w:rsidR="00AD5670" w:rsidRPr="00F01655" w:rsidRDefault="00AD5670" w:rsidP="000D109B">
            <w:pPr>
              <w:rPr>
                <w:rFonts w:ascii="Times" w:hAnsi="Times" w:cs="Calibri"/>
                <w:color w:val="000000"/>
              </w:rPr>
            </w:pPr>
            <w:r w:rsidRPr="00F01655">
              <w:rPr>
                <w:rFonts w:ascii="Times" w:hAnsi="Times" w:cs="Calibri"/>
                <w:color w:val="000000"/>
              </w:rPr>
              <w:t xml:space="preserve">Yes </w:t>
            </w:r>
            <w:r w:rsidR="00AC02B7">
              <w:rPr>
                <w:rFonts w:ascii="Times" w:hAnsi="Times" w:cs="Calibri"/>
                <w:color w:val="000000"/>
              </w:rPr>
              <w:t>and</w:t>
            </w:r>
            <w:r w:rsidRPr="00F01655">
              <w:rPr>
                <w:rFonts w:ascii="Times" w:hAnsi="Times" w:cs="Calibri"/>
                <w:color w:val="000000"/>
              </w:rPr>
              <w:t xml:space="preserve"> individual would prefer to work from home LESS than they do right now</w:t>
            </w:r>
          </w:p>
        </w:tc>
        <w:tc>
          <w:tcPr>
            <w:tcW w:w="2205" w:type="dxa"/>
            <w:tcBorders>
              <w:top w:val="nil"/>
              <w:left w:val="nil"/>
              <w:bottom w:val="nil"/>
              <w:right w:val="nil"/>
            </w:tcBorders>
            <w:shd w:val="clear" w:color="000000" w:fill="FFFFFF"/>
            <w:noWrap/>
            <w:vAlign w:val="center"/>
            <w:hideMark/>
          </w:tcPr>
          <w:p w14:paraId="1DFD7B82" w14:textId="77777777" w:rsidR="00AD5670" w:rsidRPr="00F01655" w:rsidRDefault="00AD5670" w:rsidP="00AD5670">
            <w:pPr>
              <w:ind w:right="813"/>
              <w:jc w:val="right"/>
              <w:rPr>
                <w:rFonts w:ascii="Times" w:hAnsi="Times" w:cs="Calibri"/>
                <w:color w:val="000000"/>
              </w:rPr>
            </w:pPr>
            <w:r w:rsidRPr="00F01655">
              <w:rPr>
                <w:rFonts w:ascii="Times" w:hAnsi="Times" w:cs="Calibri"/>
                <w:color w:val="000000"/>
              </w:rPr>
              <w:t>41</w:t>
            </w:r>
          </w:p>
        </w:tc>
        <w:tc>
          <w:tcPr>
            <w:tcW w:w="2205" w:type="dxa"/>
            <w:tcBorders>
              <w:top w:val="nil"/>
              <w:left w:val="nil"/>
              <w:bottom w:val="nil"/>
              <w:right w:val="double" w:sz="4" w:space="0" w:color="auto"/>
            </w:tcBorders>
            <w:shd w:val="clear" w:color="000000" w:fill="FFFFFF"/>
            <w:noWrap/>
            <w:vAlign w:val="center"/>
            <w:hideMark/>
          </w:tcPr>
          <w:p w14:paraId="2077DF5A" w14:textId="3E42F6B2" w:rsidR="00AD5670" w:rsidRPr="00F01655" w:rsidRDefault="00AD5670" w:rsidP="00AD5670">
            <w:pPr>
              <w:ind w:right="813"/>
              <w:jc w:val="right"/>
              <w:rPr>
                <w:rFonts w:ascii="Times" w:hAnsi="Times" w:cs="Calibri"/>
                <w:color w:val="000000"/>
              </w:rPr>
            </w:pPr>
            <w:r w:rsidRPr="00F01655">
              <w:rPr>
                <w:rFonts w:ascii="Times" w:hAnsi="Times" w:cs="Calibri"/>
                <w:color w:val="000000"/>
              </w:rPr>
              <w:t>3.3</w:t>
            </w:r>
          </w:p>
        </w:tc>
      </w:tr>
      <w:tr w:rsidR="00AD5670" w:rsidRPr="00F01655" w14:paraId="10462497" w14:textId="77777777" w:rsidTr="00E50CB3">
        <w:trPr>
          <w:trHeight w:val="231"/>
        </w:trPr>
        <w:tc>
          <w:tcPr>
            <w:tcW w:w="8985" w:type="dxa"/>
            <w:tcBorders>
              <w:top w:val="nil"/>
              <w:left w:val="double" w:sz="4" w:space="0" w:color="auto"/>
              <w:bottom w:val="nil"/>
              <w:right w:val="single" w:sz="8" w:space="0" w:color="000000"/>
            </w:tcBorders>
            <w:shd w:val="clear" w:color="000000" w:fill="FFFFFF"/>
            <w:vAlign w:val="center"/>
            <w:hideMark/>
          </w:tcPr>
          <w:p w14:paraId="39F89CCC" w14:textId="5D87848A" w:rsidR="00AD5670" w:rsidRPr="00F01655" w:rsidRDefault="00AD5670" w:rsidP="000D109B">
            <w:pPr>
              <w:rPr>
                <w:rFonts w:ascii="Times" w:hAnsi="Times" w:cs="Calibri"/>
                <w:color w:val="000000"/>
              </w:rPr>
            </w:pPr>
            <w:r w:rsidRPr="00F01655">
              <w:rPr>
                <w:rFonts w:ascii="Times" w:hAnsi="Times" w:cs="Calibri"/>
                <w:color w:val="000000"/>
              </w:rPr>
              <w:t xml:space="preserve">Yes </w:t>
            </w:r>
            <w:r w:rsidR="00AC02B7">
              <w:rPr>
                <w:rFonts w:ascii="Times" w:hAnsi="Times" w:cs="Calibri"/>
                <w:color w:val="000000"/>
              </w:rPr>
              <w:t>and</w:t>
            </w:r>
            <w:r w:rsidRPr="00F01655">
              <w:rPr>
                <w:rFonts w:ascii="Times" w:hAnsi="Times" w:cs="Calibri"/>
                <w:color w:val="000000"/>
              </w:rPr>
              <w:t xml:space="preserve"> individual would prefer to work from home MORE than they do right now</w:t>
            </w:r>
          </w:p>
        </w:tc>
        <w:tc>
          <w:tcPr>
            <w:tcW w:w="2205" w:type="dxa"/>
            <w:tcBorders>
              <w:top w:val="nil"/>
              <w:left w:val="nil"/>
              <w:bottom w:val="nil"/>
              <w:right w:val="nil"/>
            </w:tcBorders>
            <w:shd w:val="clear" w:color="000000" w:fill="FFFFFF"/>
            <w:noWrap/>
            <w:vAlign w:val="center"/>
            <w:hideMark/>
          </w:tcPr>
          <w:p w14:paraId="11A41494" w14:textId="77777777" w:rsidR="00AD5670" w:rsidRPr="00F01655" w:rsidRDefault="00AD5670" w:rsidP="00AD5670">
            <w:pPr>
              <w:ind w:right="813"/>
              <w:jc w:val="right"/>
              <w:rPr>
                <w:rFonts w:ascii="Times" w:hAnsi="Times" w:cs="Calibri"/>
                <w:color w:val="000000"/>
              </w:rPr>
            </w:pPr>
            <w:r w:rsidRPr="00F01655">
              <w:rPr>
                <w:rFonts w:ascii="Times" w:hAnsi="Times" w:cs="Calibri"/>
                <w:color w:val="000000"/>
              </w:rPr>
              <w:t>624</w:t>
            </w:r>
          </w:p>
        </w:tc>
        <w:tc>
          <w:tcPr>
            <w:tcW w:w="2205" w:type="dxa"/>
            <w:tcBorders>
              <w:top w:val="nil"/>
              <w:left w:val="nil"/>
              <w:bottom w:val="nil"/>
              <w:right w:val="double" w:sz="4" w:space="0" w:color="auto"/>
            </w:tcBorders>
            <w:shd w:val="clear" w:color="000000" w:fill="FFFFFF"/>
            <w:noWrap/>
            <w:vAlign w:val="center"/>
            <w:hideMark/>
          </w:tcPr>
          <w:p w14:paraId="5EB63CC4" w14:textId="29FED837" w:rsidR="00AD5670" w:rsidRPr="00F01655" w:rsidRDefault="00AD5670" w:rsidP="00AD5670">
            <w:pPr>
              <w:ind w:right="813"/>
              <w:jc w:val="right"/>
              <w:rPr>
                <w:rFonts w:ascii="Times" w:hAnsi="Times" w:cs="Calibri"/>
                <w:color w:val="000000"/>
              </w:rPr>
            </w:pPr>
            <w:r w:rsidRPr="00F01655">
              <w:rPr>
                <w:rFonts w:ascii="Times" w:hAnsi="Times" w:cs="Calibri"/>
                <w:color w:val="000000"/>
              </w:rPr>
              <w:t>50.4</w:t>
            </w:r>
          </w:p>
        </w:tc>
      </w:tr>
      <w:tr w:rsidR="00AD5670" w:rsidRPr="00F01655" w14:paraId="2AEDC7C5" w14:textId="77777777" w:rsidTr="00E50CB3">
        <w:trPr>
          <w:trHeight w:val="231"/>
        </w:trPr>
        <w:tc>
          <w:tcPr>
            <w:tcW w:w="8985" w:type="dxa"/>
            <w:tcBorders>
              <w:top w:val="nil"/>
              <w:left w:val="double" w:sz="4" w:space="0" w:color="auto"/>
              <w:bottom w:val="single" w:sz="4" w:space="0" w:color="auto"/>
              <w:right w:val="single" w:sz="8" w:space="0" w:color="000000"/>
            </w:tcBorders>
            <w:shd w:val="clear" w:color="000000" w:fill="FFFFFF"/>
            <w:vAlign w:val="center"/>
            <w:hideMark/>
          </w:tcPr>
          <w:p w14:paraId="6DF67238" w14:textId="77777777" w:rsidR="00AD5670" w:rsidRPr="00F01655" w:rsidRDefault="00AD5670" w:rsidP="000D109B">
            <w:pPr>
              <w:rPr>
                <w:rFonts w:ascii="Times" w:hAnsi="Times" w:cs="Calibri"/>
                <w:color w:val="000000"/>
              </w:rPr>
            </w:pPr>
            <w:r w:rsidRPr="00F01655">
              <w:rPr>
                <w:rFonts w:ascii="Times" w:hAnsi="Times" w:cs="Calibri"/>
                <w:color w:val="000000"/>
              </w:rPr>
              <w:t>No (individual experiences consonance)</w:t>
            </w:r>
          </w:p>
        </w:tc>
        <w:tc>
          <w:tcPr>
            <w:tcW w:w="2205" w:type="dxa"/>
            <w:tcBorders>
              <w:top w:val="nil"/>
              <w:left w:val="nil"/>
              <w:bottom w:val="single" w:sz="4" w:space="0" w:color="auto"/>
              <w:right w:val="nil"/>
            </w:tcBorders>
            <w:shd w:val="clear" w:color="000000" w:fill="FFFFFF"/>
            <w:noWrap/>
            <w:vAlign w:val="center"/>
            <w:hideMark/>
          </w:tcPr>
          <w:p w14:paraId="2288C57B" w14:textId="77777777" w:rsidR="00AD5670" w:rsidRPr="00F01655" w:rsidRDefault="00AD5670" w:rsidP="00AD5670">
            <w:pPr>
              <w:ind w:right="813"/>
              <w:jc w:val="right"/>
              <w:rPr>
                <w:rFonts w:ascii="Times" w:hAnsi="Times" w:cs="Calibri"/>
                <w:color w:val="000000"/>
              </w:rPr>
            </w:pPr>
            <w:r w:rsidRPr="00F01655">
              <w:rPr>
                <w:rFonts w:ascii="Times" w:hAnsi="Times" w:cs="Calibri"/>
                <w:color w:val="000000"/>
              </w:rPr>
              <w:t>574</w:t>
            </w:r>
          </w:p>
        </w:tc>
        <w:tc>
          <w:tcPr>
            <w:tcW w:w="2205" w:type="dxa"/>
            <w:tcBorders>
              <w:top w:val="nil"/>
              <w:left w:val="nil"/>
              <w:bottom w:val="single" w:sz="4" w:space="0" w:color="auto"/>
              <w:right w:val="double" w:sz="4" w:space="0" w:color="auto"/>
            </w:tcBorders>
            <w:shd w:val="clear" w:color="000000" w:fill="FFFFFF"/>
            <w:noWrap/>
            <w:vAlign w:val="center"/>
            <w:hideMark/>
          </w:tcPr>
          <w:p w14:paraId="740CD254" w14:textId="30B98FBF" w:rsidR="00AD5670" w:rsidRPr="00F01655" w:rsidRDefault="00AD5670" w:rsidP="00AD5670">
            <w:pPr>
              <w:ind w:right="813"/>
              <w:jc w:val="right"/>
              <w:rPr>
                <w:rFonts w:ascii="Times" w:hAnsi="Times" w:cs="Calibri"/>
                <w:color w:val="000000"/>
              </w:rPr>
            </w:pPr>
            <w:r w:rsidRPr="00F01655">
              <w:rPr>
                <w:rFonts w:ascii="Times" w:hAnsi="Times" w:cs="Calibri"/>
                <w:color w:val="000000"/>
              </w:rPr>
              <w:t>46.3</w:t>
            </w:r>
          </w:p>
        </w:tc>
      </w:tr>
      <w:tr w:rsidR="00AD5670" w:rsidRPr="00F01655" w14:paraId="7C590742" w14:textId="77777777" w:rsidTr="00E50CB3">
        <w:trPr>
          <w:trHeight w:val="246"/>
        </w:trPr>
        <w:tc>
          <w:tcPr>
            <w:tcW w:w="8985" w:type="dxa"/>
            <w:tcBorders>
              <w:top w:val="single" w:sz="4" w:space="0" w:color="auto"/>
              <w:left w:val="double" w:sz="4" w:space="0" w:color="auto"/>
              <w:bottom w:val="double" w:sz="4" w:space="0" w:color="auto"/>
              <w:right w:val="single" w:sz="8" w:space="0" w:color="000000"/>
            </w:tcBorders>
            <w:shd w:val="clear" w:color="000000" w:fill="FFFFFF"/>
            <w:noWrap/>
            <w:vAlign w:val="bottom"/>
            <w:hideMark/>
          </w:tcPr>
          <w:p w14:paraId="7F158FBA" w14:textId="77777777" w:rsidR="00AD5670" w:rsidRPr="00F01655" w:rsidRDefault="00AD5670" w:rsidP="000D109B">
            <w:pPr>
              <w:rPr>
                <w:rFonts w:ascii="Times" w:hAnsi="Times" w:cs="Calibri"/>
                <w:color w:val="000000"/>
              </w:rPr>
            </w:pPr>
            <w:r w:rsidRPr="00F01655">
              <w:rPr>
                <w:rFonts w:ascii="Times" w:hAnsi="Times" w:cs="Calibri"/>
                <w:color w:val="000000"/>
              </w:rPr>
              <w:t>Total</w:t>
            </w:r>
          </w:p>
        </w:tc>
        <w:tc>
          <w:tcPr>
            <w:tcW w:w="2205" w:type="dxa"/>
            <w:tcBorders>
              <w:top w:val="single" w:sz="4" w:space="0" w:color="auto"/>
              <w:left w:val="nil"/>
              <w:bottom w:val="double" w:sz="4" w:space="0" w:color="auto"/>
              <w:right w:val="nil"/>
            </w:tcBorders>
            <w:shd w:val="clear" w:color="000000" w:fill="FFFFFF"/>
            <w:noWrap/>
            <w:vAlign w:val="center"/>
            <w:hideMark/>
          </w:tcPr>
          <w:p w14:paraId="7937D77D" w14:textId="77777777" w:rsidR="00AD5670" w:rsidRPr="00F01655" w:rsidRDefault="00AD5670" w:rsidP="00AD5670">
            <w:pPr>
              <w:ind w:right="813"/>
              <w:jc w:val="right"/>
              <w:rPr>
                <w:rFonts w:ascii="Times" w:hAnsi="Times" w:cs="Calibri"/>
                <w:color w:val="000000"/>
              </w:rPr>
            </w:pPr>
            <w:r w:rsidRPr="00F01655">
              <w:rPr>
                <w:rFonts w:ascii="Times" w:hAnsi="Times" w:cs="Calibri"/>
                <w:color w:val="000000"/>
              </w:rPr>
              <w:t>1239</w:t>
            </w:r>
          </w:p>
        </w:tc>
        <w:tc>
          <w:tcPr>
            <w:tcW w:w="2205" w:type="dxa"/>
            <w:tcBorders>
              <w:top w:val="single" w:sz="4" w:space="0" w:color="auto"/>
              <w:left w:val="nil"/>
              <w:bottom w:val="double" w:sz="4" w:space="0" w:color="auto"/>
              <w:right w:val="double" w:sz="4" w:space="0" w:color="auto"/>
            </w:tcBorders>
            <w:shd w:val="clear" w:color="000000" w:fill="FFFFFF"/>
            <w:noWrap/>
            <w:vAlign w:val="center"/>
            <w:hideMark/>
          </w:tcPr>
          <w:p w14:paraId="6E52DF9A" w14:textId="59CC5D17" w:rsidR="00AD5670" w:rsidRPr="00F01655" w:rsidRDefault="00AD5670" w:rsidP="00AD5670">
            <w:pPr>
              <w:ind w:right="813"/>
              <w:jc w:val="right"/>
              <w:rPr>
                <w:rFonts w:ascii="Times" w:hAnsi="Times" w:cs="Calibri"/>
                <w:color w:val="000000"/>
              </w:rPr>
            </w:pPr>
            <w:r w:rsidRPr="00F01655">
              <w:rPr>
                <w:rFonts w:ascii="Times" w:hAnsi="Times" w:cs="Calibri"/>
                <w:color w:val="000000"/>
              </w:rPr>
              <w:t>100.0</w:t>
            </w:r>
          </w:p>
        </w:tc>
      </w:tr>
    </w:tbl>
    <w:p w14:paraId="3FE9B641" w14:textId="5B61C071" w:rsidR="00232689" w:rsidRPr="00F01655" w:rsidRDefault="00232689" w:rsidP="00232689">
      <w:pPr>
        <w:sectPr w:rsidR="00232689" w:rsidRPr="00F01655" w:rsidSect="00971968">
          <w:pgSz w:w="15840" w:h="12240" w:orient="landscape"/>
          <w:pgMar w:top="1440" w:right="1440" w:bottom="1440" w:left="1440" w:header="720" w:footer="720" w:gutter="0"/>
          <w:cols w:space="720"/>
          <w:docGrid w:linePitch="360"/>
        </w:sectPr>
      </w:pPr>
    </w:p>
    <w:p w14:paraId="460E76DF" w14:textId="0F9B1B5E" w:rsidR="00C80DCE" w:rsidRPr="00F01655" w:rsidRDefault="00232689" w:rsidP="002966B2">
      <w:pPr>
        <w:pStyle w:val="Heading2"/>
        <w:ind w:left="540" w:hanging="540"/>
      </w:pPr>
      <w:r w:rsidRPr="00F01655">
        <w:rPr>
          <w:rFonts w:ascii="Times New Roman" w:hAnsi="Times New Roman" w:cs="Times New Roman"/>
          <w:b/>
          <w:bCs/>
          <w:color w:val="000000" w:themeColor="text1"/>
          <w:sz w:val="24"/>
          <w:szCs w:val="24"/>
        </w:rPr>
        <w:lastRenderedPageBreak/>
        <w:t>3.</w:t>
      </w:r>
      <w:r w:rsidR="004F6E0E" w:rsidRPr="00F01655">
        <w:rPr>
          <w:rFonts w:ascii="Times New Roman" w:hAnsi="Times New Roman" w:cs="Times New Roman"/>
          <w:b/>
          <w:bCs/>
          <w:color w:val="000000" w:themeColor="text1"/>
          <w:sz w:val="24"/>
          <w:szCs w:val="24"/>
        </w:rPr>
        <w:t>3</w:t>
      </w:r>
      <w:r w:rsidRPr="00F01655">
        <w:rPr>
          <w:rFonts w:ascii="Times New Roman" w:hAnsi="Times New Roman" w:cs="Times New Roman"/>
          <w:b/>
          <w:bCs/>
          <w:color w:val="000000" w:themeColor="text1"/>
          <w:sz w:val="24"/>
          <w:szCs w:val="24"/>
        </w:rPr>
        <w:t>.</w:t>
      </w:r>
      <w:r w:rsidRPr="00F01655">
        <w:rPr>
          <w:rFonts w:ascii="Times New Roman" w:hAnsi="Times New Roman" w:cs="Times New Roman"/>
          <w:b/>
          <w:bCs/>
          <w:color w:val="000000" w:themeColor="text1"/>
          <w:sz w:val="24"/>
          <w:szCs w:val="24"/>
        </w:rPr>
        <w:tab/>
        <w:t>Modeling Framework</w:t>
      </w:r>
    </w:p>
    <w:p w14:paraId="694CFCA8" w14:textId="7F55D17D" w:rsidR="00C80DCE" w:rsidRPr="003329B4" w:rsidRDefault="00C80DCE" w:rsidP="00C80DCE">
      <w:pPr>
        <w:pStyle w:val="Heading3"/>
        <w:rPr>
          <w:rFonts w:ascii="Times New Roman" w:hAnsi="Times New Roman" w:cs="Times New Roman"/>
          <w:i/>
          <w:color w:val="000000" w:themeColor="text1"/>
          <w:u w:val="single"/>
        </w:rPr>
      </w:pPr>
      <w:r w:rsidRPr="003329B4">
        <w:rPr>
          <w:rFonts w:ascii="Times New Roman" w:hAnsi="Times New Roman" w:cs="Times New Roman"/>
          <w:i/>
          <w:color w:val="000000" w:themeColor="text1"/>
        </w:rPr>
        <w:t>3.</w:t>
      </w:r>
      <w:r w:rsidR="004F6E0E" w:rsidRPr="003329B4">
        <w:rPr>
          <w:rFonts w:ascii="Times New Roman" w:hAnsi="Times New Roman" w:cs="Times New Roman"/>
          <w:i/>
          <w:color w:val="000000" w:themeColor="text1"/>
        </w:rPr>
        <w:t>3</w:t>
      </w:r>
      <w:r w:rsidRPr="003329B4">
        <w:rPr>
          <w:rFonts w:ascii="Times New Roman" w:hAnsi="Times New Roman" w:cs="Times New Roman"/>
          <w:i/>
          <w:color w:val="000000" w:themeColor="text1"/>
        </w:rPr>
        <w:t>.1.</w:t>
      </w:r>
      <w:r w:rsidRPr="003329B4">
        <w:rPr>
          <w:rFonts w:ascii="Times New Roman" w:hAnsi="Times New Roman" w:cs="Times New Roman"/>
          <w:i/>
          <w:color w:val="000000" w:themeColor="text1"/>
        </w:rPr>
        <w:tab/>
      </w:r>
      <w:r w:rsidRPr="003329B4">
        <w:rPr>
          <w:rFonts w:ascii="Times New Roman" w:hAnsi="Times New Roman" w:cs="Times New Roman"/>
          <w:i/>
          <w:iCs/>
          <w:color w:val="000000" w:themeColor="text1"/>
        </w:rPr>
        <w:t>Analytic Framework</w:t>
      </w:r>
    </w:p>
    <w:p w14:paraId="25676941" w14:textId="0ED2D3E9" w:rsidR="00313F20" w:rsidRDefault="00C80DCE" w:rsidP="005F6BF6">
      <w:pPr>
        <w:jc w:val="both"/>
        <w:rPr>
          <w:color w:val="000000" w:themeColor="text1"/>
        </w:rPr>
      </w:pPr>
      <w:r w:rsidRPr="00F01655">
        <w:t xml:space="preserve">The exogeneous variables </w:t>
      </w:r>
      <w:r w:rsidR="00BC3224" w:rsidRPr="00F01655">
        <w:t xml:space="preserve">in our model </w:t>
      </w:r>
      <w:r w:rsidRPr="00F01655">
        <w:t>include individual and household demographics, job-related characteristics, and residential attributes</w:t>
      </w:r>
      <w:r w:rsidR="001D0A56" w:rsidRPr="00F01655">
        <w:t xml:space="preserve">, </w:t>
      </w:r>
      <w:r w:rsidR="009E5B38" w:rsidRPr="00F01655">
        <w:t>based on</w:t>
      </w:r>
      <w:r w:rsidR="00BC3224" w:rsidRPr="00F01655">
        <w:t xml:space="preserve"> the findings from the earlier literature. T</w:t>
      </w:r>
      <w:r w:rsidR="001D0A56" w:rsidRPr="00F01655">
        <w:t xml:space="preserve">he two </w:t>
      </w:r>
      <w:r w:rsidR="00BC3224" w:rsidRPr="00F01655">
        <w:t xml:space="preserve">endogenous </w:t>
      </w:r>
      <w:r w:rsidR="001D0A56" w:rsidRPr="003329B4">
        <w:t xml:space="preserve">outcomes </w:t>
      </w:r>
      <w:r w:rsidR="00BC3224" w:rsidRPr="003329B4">
        <w:t xml:space="preserve">of interest </w:t>
      </w:r>
      <w:r w:rsidR="00630145" w:rsidRPr="003329B4">
        <w:t>constitute</w:t>
      </w:r>
      <w:r w:rsidR="001D0A56" w:rsidRPr="003329B4">
        <w:t xml:space="preserve"> ETF and ITF</w:t>
      </w:r>
      <w:r w:rsidRPr="003329B4">
        <w:t xml:space="preserve">. </w:t>
      </w:r>
      <w:r w:rsidR="001D0A56" w:rsidRPr="003329B4">
        <w:t>In our analysis, consistent with the ordinal capture of telework levels for ETF and ITF in the survey, we use an ordered-response modeling mechanism for each of ETF and ITF</w:t>
      </w:r>
      <w:r w:rsidR="00333168" w:rsidRPr="003329B4">
        <w:t xml:space="preserve"> (in such a mechanism, the telework frequency ordinal outcome is viewed as originating from an underlying latent propensity variable extending over the real line</w:t>
      </w:r>
      <w:r w:rsidR="009E5B38" w:rsidRPr="003329B4">
        <w:t>, and</w:t>
      </w:r>
      <w:r w:rsidR="00333168" w:rsidRPr="003329B4">
        <w:t xml:space="preserve"> whose horizontal partitioning through appropriately spaced thresholds maps into the observed outcome; see </w:t>
      </w:r>
      <w:r w:rsidR="006707A3" w:rsidRPr="003329B4">
        <w:t xml:space="preserve">McKelvey and </w:t>
      </w:r>
      <w:proofErr w:type="spellStart"/>
      <w:r w:rsidR="006707A3" w:rsidRPr="003329B4">
        <w:t>Zavoina</w:t>
      </w:r>
      <w:proofErr w:type="spellEnd"/>
      <w:r w:rsidR="006707A3" w:rsidRPr="003329B4">
        <w:t>,</w:t>
      </w:r>
      <w:r w:rsidR="00333168" w:rsidRPr="003329B4">
        <w:t xml:space="preserve"> 19</w:t>
      </w:r>
      <w:r w:rsidR="00424B1F" w:rsidRPr="003329B4">
        <w:t>7</w:t>
      </w:r>
      <w:r w:rsidR="007B4579" w:rsidRPr="003329B4">
        <w:t>5</w:t>
      </w:r>
      <w:r w:rsidR="00333168" w:rsidRPr="003329B4">
        <w:t xml:space="preserve"> and </w:t>
      </w:r>
      <w:r w:rsidR="007D0CB9" w:rsidRPr="003329B4">
        <w:t>Bhat</w:t>
      </w:r>
      <w:r w:rsidR="00B75241" w:rsidRPr="003329B4">
        <w:t xml:space="preserve"> and Koppelman</w:t>
      </w:r>
      <w:r w:rsidR="007D0CB9" w:rsidRPr="003329B4">
        <w:t>, 1993</w:t>
      </w:r>
      <w:r w:rsidR="00333168" w:rsidRPr="003329B4">
        <w:t>)</w:t>
      </w:r>
      <w:r w:rsidR="001D0A56" w:rsidRPr="003329B4">
        <w:t>.</w:t>
      </w:r>
      <w:r w:rsidR="007B4579" w:rsidRPr="003329B4">
        <w:t xml:space="preserve"> </w:t>
      </w:r>
      <w:r w:rsidR="001D0A56" w:rsidRPr="003329B4">
        <w:t>But</w:t>
      </w:r>
      <w:r w:rsidR="00333168" w:rsidRPr="003329B4">
        <w:t>, unlike in Sweet and Scott (2022),</w:t>
      </w:r>
      <w:r w:rsidR="001D0A56" w:rsidRPr="003329B4">
        <w:t xml:space="preserve"> ETF and ITF are not modeled independently but as a joint bivariate system with correlated effects that </w:t>
      </w:r>
      <w:r w:rsidR="00D51620" w:rsidRPr="003329B4">
        <w:t>recognize</w:t>
      </w:r>
      <w:r w:rsidR="001D0A56" w:rsidRPr="003329B4">
        <w:t>s</w:t>
      </w:r>
      <w:r w:rsidR="00D51620" w:rsidRPr="003329B4">
        <w:t xml:space="preserve"> the potential presence of </w:t>
      </w:r>
      <w:r w:rsidR="00630145" w:rsidRPr="003329B4">
        <w:t xml:space="preserve">correlated </w:t>
      </w:r>
      <w:r w:rsidR="00D51620" w:rsidRPr="003329B4">
        <w:t>unobserved individual-specific effects</w:t>
      </w:r>
      <w:r w:rsidR="001D0A56" w:rsidRPr="003329B4">
        <w:t>. We</w:t>
      </w:r>
      <w:r w:rsidR="00D51620" w:rsidRPr="003329B4">
        <w:t xml:space="preserve"> also accommodate for heterogeneity</w:t>
      </w:r>
      <w:r w:rsidR="00D51620" w:rsidRPr="00F01655">
        <w:t xml:space="preserve"> across individuals in the extent of the</w:t>
      </w:r>
      <w:r w:rsidR="001D0A56" w:rsidRPr="00F01655">
        <w:t>se</w:t>
      </w:r>
      <w:r w:rsidR="00D51620" w:rsidRPr="00F01655">
        <w:t xml:space="preserve"> unobserved effects by allowing th</w:t>
      </w:r>
      <w:r w:rsidR="001D0A56" w:rsidRPr="00F01655">
        <w:t>e</w:t>
      </w:r>
      <w:r w:rsidR="00D51620" w:rsidRPr="00F01655">
        <w:t xml:space="preserve"> </w:t>
      </w:r>
      <w:r w:rsidR="001D0A56" w:rsidRPr="00F01655">
        <w:t xml:space="preserve">correlation in the bivariate system to vary as a function of </w:t>
      </w:r>
      <w:r w:rsidR="001D0A56" w:rsidRPr="00DE5DFB">
        <w:t xml:space="preserve">observed individual characteristics. </w:t>
      </w:r>
      <w:r w:rsidR="00227564" w:rsidRPr="00DE5DFB">
        <w:t xml:space="preserve">Allowing for such correlation, and the heterogeneity across individuals in this correlation, enables us to better tease out the extent of </w:t>
      </w:r>
      <w:r w:rsidR="001D0A56" w:rsidRPr="00DE5DFB">
        <w:t>telework frequency dissonance</w:t>
      </w:r>
      <w:r w:rsidR="00227564" w:rsidRPr="00DE5DFB">
        <w:t xml:space="preserve"> (TFD) </w:t>
      </w:r>
      <w:r w:rsidR="00DC4235">
        <w:t>due to observed characteristics of individuals</w:t>
      </w:r>
      <w:r w:rsidR="00227564" w:rsidRPr="00DE5DFB">
        <w:t xml:space="preserve">. </w:t>
      </w:r>
      <w:r w:rsidR="00DE5DFB" w:rsidRPr="00886CF5">
        <w:rPr>
          <w:color w:val="222222"/>
          <w:shd w:val="clear" w:color="auto" w:fill="FFFFFF"/>
        </w:rPr>
        <w:t>For example, as we expect, there is a high level of positive correlation among the ETF and ITF ordinal levels (say introverted individuals, who may have high levels of both ETF and ITF</w:t>
      </w:r>
      <w:r w:rsidR="00DC4235">
        <w:rPr>
          <w:color w:val="222222"/>
          <w:shd w:val="clear" w:color="auto" w:fill="FFFFFF"/>
        </w:rPr>
        <w:t>, which implies that there are unobserved individual factors that increase consonance and reduce dissonance</w:t>
      </w:r>
      <w:r w:rsidR="00DE5DFB" w:rsidRPr="00886CF5">
        <w:rPr>
          <w:color w:val="222222"/>
          <w:shd w:val="clear" w:color="auto" w:fill="FFFFFF"/>
        </w:rPr>
        <w:t xml:space="preserve">). </w:t>
      </w:r>
      <w:r w:rsidR="00DC4235">
        <w:rPr>
          <w:color w:val="222222"/>
          <w:shd w:val="clear" w:color="auto" w:fill="FFFFFF"/>
        </w:rPr>
        <w:t xml:space="preserve">By controlling for such unobserved determinants of TFD, we are more accurately able to capture the effects of observed individual attributes that characterize TFD (which is </w:t>
      </w:r>
      <w:r w:rsidR="003F6E68">
        <w:rPr>
          <w:color w:val="222222"/>
          <w:shd w:val="clear" w:color="auto" w:fill="FFFFFF"/>
        </w:rPr>
        <w:t>achieved</w:t>
      </w:r>
      <w:r w:rsidR="00DC4235">
        <w:rPr>
          <w:color w:val="222222"/>
          <w:shd w:val="clear" w:color="auto" w:fill="FFFFFF"/>
        </w:rPr>
        <w:t xml:space="preserve"> in our econometric framework</w:t>
      </w:r>
      <w:r w:rsidR="00325E30">
        <w:rPr>
          <w:color w:val="222222"/>
          <w:shd w:val="clear" w:color="auto" w:fill="FFFFFF"/>
        </w:rPr>
        <w:t>, in part,</w:t>
      </w:r>
      <w:r w:rsidR="00DC4235">
        <w:rPr>
          <w:color w:val="222222"/>
          <w:shd w:val="clear" w:color="auto" w:fill="FFFFFF"/>
        </w:rPr>
        <w:t xml:space="preserve"> using </w:t>
      </w:r>
      <w:r w:rsidR="00F207D1">
        <w:rPr>
          <w:color w:val="222222"/>
          <w:shd w:val="clear" w:color="auto" w:fill="FFFFFF"/>
        </w:rPr>
        <w:t xml:space="preserve">ITF-specific </w:t>
      </w:r>
      <w:r w:rsidR="008E7E0A">
        <w:rPr>
          <w:color w:val="222222"/>
          <w:shd w:val="clear" w:color="auto" w:fill="FFFFFF"/>
        </w:rPr>
        <w:t xml:space="preserve">propensity </w:t>
      </w:r>
      <w:r w:rsidR="00DC4235">
        <w:rPr>
          <w:color w:val="222222"/>
          <w:shd w:val="clear" w:color="auto" w:fill="FFFFFF"/>
        </w:rPr>
        <w:t xml:space="preserve">shift terms that capture the differential effects of observed individual attributes on ITF </w:t>
      </w:r>
      <w:r w:rsidR="008E7E0A">
        <w:rPr>
          <w:color w:val="222222"/>
          <w:shd w:val="clear" w:color="auto" w:fill="FFFFFF"/>
        </w:rPr>
        <w:t xml:space="preserve">propensity </w:t>
      </w:r>
      <w:r w:rsidR="00DC4235">
        <w:rPr>
          <w:color w:val="222222"/>
          <w:shd w:val="clear" w:color="auto" w:fill="FFFFFF"/>
        </w:rPr>
        <w:t>relative to ETF</w:t>
      </w:r>
      <w:r w:rsidR="008E7E0A">
        <w:rPr>
          <w:color w:val="222222"/>
          <w:shd w:val="clear" w:color="auto" w:fill="FFFFFF"/>
        </w:rPr>
        <w:t xml:space="preserve"> propensity</w:t>
      </w:r>
      <w:r w:rsidR="00DC4235">
        <w:rPr>
          <w:color w:val="222222"/>
          <w:shd w:val="clear" w:color="auto" w:fill="FFFFFF"/>
        </w:rPr>
        <w:t xml:space="preserve">). </w:t>
      </w:r>
      <w:r w:rsidR="00BB39B8">
        <w:rPr>
          <w:color w:val="222222"/>
          <w:shd w:val="clear" w:color="auto" w:fill="FFFFFF"/>
        </w:rPr>
        <w:t xml:space="preserve">For instance, </w:t>
      </w:r>
      <w:r w:rsidR="00325E30">
        <w:rPr>
          <w:color w:val="222222"/>
          <w:shd w:val="clear" w:color="auto" w:fill="FFFFFF"/>
        </w:rPr>
        <w:t xml:space="preserve">relative to workers in other professions, </w:t>
      </w:r>
      <w:r w:rsidR="00BB39B8">
        <w:rPr>
          <w:color w:val="000000" w:themeColor="text1"/>
        </w:rPr>
        <w:t xml:space="preserve">those in the medical profession may </w:t>
      </w:r>
      <w:r w:rsidR="00F207D1">
        <w:rPr>
          <w:color w:val="000000" w:themeColor="text1"/>
        </w:rPr>
        <w:t xml:space="preserve">have a positive ITF </w:t>
      </w:r>
      <w:r w:rsidR="008E7E0A">
        <w:rPr>
          <w:color w:val="000000" w:themeColor="text1"/>
        </w:rPr>
        <w:t xml:space="preserve">propensity </w:t>
      </w:r>
      <w:r w:rsidR="00F207D1">
        <w:rPr>
          <w:color w:val="000000" w:themeColor="text1"/>
        </w:rPr>
        <w:t>shift effect, as we found in our empirical results (that is, th</w:t>
      </w:r>
      <w:r w:rsidR="00893B53">
        <w:rPr>
          <w:color w:val="000000" w:themeColor="text1"/>
        </w:rPr>
        <w:t>ose in the medical profession</w:t>
      </w:r>
      <w:r w:rsidR="00F207D1">
        <w:rPr>
          <w:color w:val="000000" w:themeColor="text1"/>
        </w:rPr>
        <w:t xml:space="preserve"> </w:t>
      </w:r>
      <w:r w:rsidR="00BB39B8">
        <w:rPr>
          <w:color w:val="000000" w:themeColor="text1"/>
        </w:rPr>
        <w:t xml:space="preserve">prefer a higher telework propensity in their ideal state (higher ITF) relative to their existing telework ability (ETF), leading to </w:t>
      </w:r>
      <w:r w:rsidR="00F207D1">
        <w:rPr>
          <w:color w:val="000000" w:themeColor="text1"/>
        </w:rPr>
        <w:t>more dissonance in medical workers relative to those in other professions</w:t>
      </w:r>
      <w:r w:rsidR="00325E30">
        <w:rPr>
          <w:color w:val="000000" w:themeColor="text1"/>
        </w:rPr>
        <w:t>)</w:t>
      </w:r>
      <w:r w:rsidR="00F207D1">
        <w:rPr>
          <w:color w:val="000000" w:themeColor="text1"/>
        </w:rPr>
        <w:t>. But if the consonance due to unobserved factors (as</w:t>
      </w:r>
      <w:r w:rsidR="00325E30">
        <w:rPr>
          <w:color w:val="000000" w:themeColor="text1"/>
        </w:rPr>
        <w:t xml:space="preserve"> reflected </w:t>
      </w:r>
      <w:r w:rsidR="00F207D1">
        <w:rPr>
          <w:color w:val="000000" w:themeColor="text1"/>
        </w:rPr>
        <w:t xml:space="preserve">in the positive correlation in ETF and ITF propensities) </w:t>
      </w:r>
      <w:r w:rsidR="00893B53">
        <w:rPr>
          <w:color w:val="000000" w:themeColor="text1"/>
        </w:rPr>
        <w:t>were to be</w:t>
      </w:r>
      <w:r w:rsidR="00F207D1">
        <w:rPr>
          <w:color w:val="000000" w:themeColor="text1"/>
        </w:rPr>
        <w:t xml:space="preserve"> ignored, this would </w:t>
      </w:r>
      <w:r w:rsidR="00325E30">
        <w:rPr>
          <w:color w:val="000000" w:themeColor="text1"/>
        </w:rPr>
        <w:t>get manifested as</w:t>
      </w:r>
      <w:r w:rsidR="00F207D1">
        <w:rPr>
          <w:color w:val="000000" w:themeColor="text1"/>
        </w:rPr>
        <w:t xml:space="preserve"> </w:t>
      </w:r>
      <w:r w:rsidR="008E7E0A">
        <w:rPr>
          <w:color w:val="000000" w:themeColor="text1"/>
        </w:rPr>
        <w:t>a</w:t>
      </w:r>
      <w:r w:rsidR="008B7613">
        <w:rPr>
          <w:color w:val="000000" w:themeColor="text1"/>
        </w:rPr>
        <w:t xml:space="preserve"> depressed</w:t>
      </w:r>
      <w:r w:rsidR="00325E30">
        <w:rPr>
          <w:color w:val="000000" w:themeColor="text1"/>
        </w:rPr>
        <w:t xml:space="preserve"> </w:t>
      </w:r>
      <w:r w:rsidR="00F207D1">
        <w:rPr>
          <w:color w:val="000000" w:themeColor="text1"/>
        </w:rPr>
        <w:t xml:space="preserve">ITF </w:t>
      </w:r>
      <w:r w:rsidR="008E7E0A">
        <w:rPr>
          <w:color w:val="000000" w:themeColor="text1"/>
        </w:rPr>
        <w:t xml:space="preserve">propensity shift </w:t>
      </w:r>
      <w:r w:rsidR="00F207D1">
        <w:rPr>
          <w:color w:val="000000" w:themeColor="text1"/>
        </w:rPr>
        <w:t>effect</w:t>
      </w:r>
      <w:r w:rsidR="00325E30">
        <w:rPr>
          <w:color w:val="000000" w:themeColor="text1"/>
        </w:rPr>
        <w:t>,</w:t>
      </w:r>
      <w:r w:rsidR="00F207D1">
        <w:rPr>
          <w:color w:val="000000" w:themeColor="text1"/>
        </w:rPr>
        <w:t xml:space="preserve"> </w:t>
      </w:r>
      <w:r w:rsidR="00325E30">
        <w:rPr>
          <w:color w:val="000000" w:themeColor="text1"/>
        </w:rPr>
        <w:t xml:space="preserve">incorrectly </w:t>
      </w:r>
      <w:r w:rsidR="008B7613">
        <w:rPr>
          <w:color w:val="000000" w:themeColor="text1"/>
        </w:rPr>
        <w:t>under</w:t>
      </w:r>
      <w:r w:rsidR="00F207D1">
        <w:rPr>
          <w:color w:val="000000" w:themeColor="text1"/>
        </w:rPr>
        <w:t xml:space="preserve">estimating the </w:t>
      </w:r>
      <w:r w:rsidR="00325E30">
        <w:rPr>
          <w:color w:val="000000" w:themeColor="text1"/>
        </w:rPr>
        <w:t xml:space="preserve">TFD </w:t>
      </w:r>
      <w:r w:rsidR="00F207D1">
        <w:rPr>
          <w:color w:val="000000" w:themeColor="text1"/>
        </w:rPr>
        <w:t xml:space="preserve">effect among medical workers.  </w:t>
      </w:r>
    </w:p>
    <w:p w14:paraId="3B1A8027" w14:textId="01EE21F6" w:rsidR="000907AC" w:rsidRPr="00F01655" w:rsidRDefault="000907AC" w:rsidP="003329B4">
      <w:pPr>
        <w:ind w:firstLine="720"/>
        <w:jc w:val="both"/>
      </w:pPr>
      <w:r w:rsidRPr="00F01655">
        <w:t>Th</w:t>
      </w:r>
      <w:r w:rsidR="00313F20">
        <w:t>e</w:t>
      </w:r>
      <w:r w:rsidRPr="00F01655">
        <w:t xml:space="preserve"> </w:t>
      </w:r>
      <w:r w:rsidR="00313F20">
        <w:t xml:space="preserve">ITF </w:t>
      </w:r>
      <w:r w:rsidR="008E7E0A">
        <w:t xml:space="preserve">propensity </w:t>
      </w:r>
      <w:r w:rsidR="00313F20">
        <w:t>shift effect</w:t>
      </w:r>
      <w:r w:rsidR="003424EC">
        <w:t xml:space="preserve"> in </w:t>
      </w:r>
      <w:r w:rsidR="00AE7392">
        <w:t xml:space="preserve">the underlying </w:t>
      </w:r>
      <w:r w:rsidR="003424EC">
        <w:t xml:space="preserve">telework propensity </w:t>
      </w:r>
      <w:r w:rsidR="00313F20">
        <w:t xml:space="preserve">just discussed </w:t>
      </w:r>
      <w:r w:rsidRPr="00F01655">
        <w:t>is achieved through a data set up mechanism during estimation. Specifically, we stack the dataset in a configuration as depicted in Figure 2. For each respondent, there is a pair of records – one corresponding to ETF and a second corresponding to ITF. The ETF outcomes for all individuals are first stacked up in the top row panel labeled “ETF”, followed by ITF outcomes in the bottom row panel labeled “ITF”. Next, there is a constant followed by a set of exogenous variables, all of which take the same set of values for each individual across the ETF and ITF panels (labeled as</w:t>
      </w:r>
      <w:r w:rsidR="00636FB7">
        <w:t xml:space="preserve"> data</w:t>
      </w:r>
      <w:r w:rsidR="00636FB7" w:rsidRPr="00636FB7">
        <w:rPr>
          <w:vertAlign w:val="subscript"/>
        </w:rPr>
        <w:t>1</w:t>
      </w:r>
      <w:r w:rsidR="003329B4">
        <w:rPr>
          <w:noProof/>
        </w:rPr>
        <w:t xml:space="preserve"> </w:t>
      </w:r>
      <w:r w:rsidRPr="00F01655">
        <w:t xml:space="preserve">for the first individual, </w:t>
      </w:r>
      <w:r w:rsidR="00636FB7">
        <w:t>data</w:t>
      </w:r>
      <w:r w:rsidR="00636FB7">
        <w:rPr>
          <w:vertAlign w:val="subscript"/>
        </w:rPr>
        <w:t>2</w:t>
      </w:r>
      <w:r w:rsidR="00636FB7">
        <w:t xml:space="preserve"> f</w:t>
      </w:r>
      <w:r w:rsidRPr="00F01655">
        <w:t xml:space="preserve">or the second individual, and so on). </w:t>
      </w:r>
      <w:r w:rsidR="00636FB7">
        <w:t xml:space="preserve"> </w:t>
      </w:r>
      <w:r w:rsidRPr="00F01655">
        <w:t>This is followed by an “ITF record” indicator that takes a value of 1 if a row record corresponds to the ITF</w:t>
      </w:r>
      <w:r w:rsidRPr="00F01655">
        <w:rPr>
          <w:i/>
        </w:rPr>
        <w:t xml:space="preserve"> </w:t>
      </w:r>
      <w:r w:rsidRPr="00F01655">
        <w:rPr>
          <w:iCs/>
        </w:rPr>
        <w:t xml:space="preserve">dimension </w:t>
      </w:r>
      <w:r w:rsidRPr="00F01655">
        <w:t xml:space="preserve">and 0 otherwise. Finally, the dataset has an interaction element, corresponding to interaction terms between the exogenous variables and the “ITF record” indicator. Essentially, this configuration allows the estimation of a model system that is capable of revealing three types of effects, as identified at the </w:t>
      </w:r>
      <w:r w:rsidRPr="00F01655">
        <w:rPr>
          <w:u w:val="single"/>
        </w:rPr>
        <w:t>bottom of the figure</w:t>
      </w:r>
      <w:r w:rsidRPr="00F01655">
        <w:t xml:space="preserve"> – (1) an ETF </w:t>
      </w:r>
      <w:r w:rsidR="008E7E0A">
        <w:t xml:space="preserve">propensity </w:t>
      </w:r>
      <w:r w:rsidRPr="00F01655">
        <w:t xml:space="preserve">effect corresponding to the column labeled at the top as “constant” and “exogenous variables”, (2) a generic ITF </w:t>
      </w:r>
      <w:r w:rsidR="008E7E0A">
        <w:t xml:space="preserve">propensity </w:t>
      </w:r>
      <w:r w:rsidRPr="00F01655">
        <w:t xml:space="preserve">shift effect </w:t>
      </w:r>
      <w:r w:rsidRPr="00F01655">
        <w:lastRenderedPageBreak/>
        <w:t xml:space="preserve">(from the ETF effect) corresponding to the column labeled at the top as “ITF record indicator”, and (3) an exogenous variable ITF </w:t>
      </w:r>
      <w:r w:rsidR="008E7E0A">
        <w:t xml:space="preserve">propensity </w:t>
      </w:r>
      <w:r w:rsidRPr="00F01655">
        <w:t xml:space="preserve">shift effect from the ETF effect, corresponding to the column labeled at the top as “exogenous variables*ITF record indicator. It should be noted that the ETF </w:t>
      </w:r>
      <w:r w:rsidR="008E7E0A">
        <w:t xml:space="preserve">propensity </w:t>
      </w:r>
      <w:r w:rsidRPr="00F01655">
        <w:t xml:space="preserve">effects and ITF </w:t>
      </w:r>
      <w:r w:rsidR="008E7E0A">
        <w:t xml:space="preserve">propensity </w:t>
      </w:r>
      <w:r w:rsidRPr="00F01655">
        <w:t xml:space="preserve">shift effects for the constant or any exogenous variable may manifest themselves in different forms. Both the ETF </w:t>
      </w:r>
      <w:r w:rsidR="008E7E0A">
        <w:t xml:space="preserve">propensity </w:t>
      </w:r>
      <w:r w:rsidRPr="00F01655">
        <w:t xml:space="preserve">effect and the ITF </w:t>
      </w:r>
      <w:r w:rsidR="008E7E0A">
        <w:t xml:space="preserve">propensity </w:t>
      </w:r>
      <w:r w:rsidRPr="00F01655">
        <w:t xml:space="preserve">shift effect may be positive, or both effects may be negative, or they may be of opposite sign; by algebraically adding the two effects, it will be possible to determine the overall effect of the exogenous variable on the ITF latent propensity underlying the ITF outcomes. Also, if an exogenous variable shows up as an ETF </w:t>
      </w:r>
      <w:r w:rsidR="008E7E0A">
        <w:t xml:space="preserve">propensity </w:t>
      </w:r>
      <w:r w:rsidRPr="00F01655">
        <w:t xml:space="preserve">effect with no shift effect, that implies that the effect of the exogenous variable is the same across </w:t>
      </w:r>
      <w:r w:rsidR="008E7E0A">
        <w:t xml:space="preserve">the </w:t>
      </w:r>
      <w:r w:rsidRPr="00F01655">
        <w:t>ETF and ITF</w:t>
      </w:r>
      <w:r w:rsidR="008E7E0A">
        <w:t xml:space="preserve"> propensities</w:t>
      </w:r>
      <w:r w:rsidRPr="00F01655">
        <w:t>. On the other hand, if an exogenous variable only has a</w:t>
      </w:r>
      <w:r w:rsidR="008E7E0A">
        <w:t>n ITF propensity</w:t>
      </w:r>
      <w:r w:rsidRPr="00F01655">
        <w:t xml:space="preserve"> shift effect and no ETF </w:t>
      </w:r>
      <w:r w:rsidR="008E7E0A">
        <w:t xml:space="preserve">propensity </w:t>
      </w:r>
      <w:r w:rsidRPr="00F01655">
        <w:t>effect, it implies that the variable d</w:t>
      </w:r>
      <w:r w:rsidR="007D0CB9" w:rsidRPr="00F01655">
        <w:t>oes</w:t>
      </w:r>
      <w:r w:rsidRPr="00F01655">
        <w:t xml:space="preserve"> not have an impact for ETF </w:t>
      </w:r>
      <w:r w:rsidR="004F6E0E" w:rsidRPr="00F01655">
        <w:t>outcome but</w:t>
      </w:r>
      <w:r w:rsidRPr="00F01655">
        <w:t xml:space="preserve"> ha</w:t>
      </w:r>
      <w:r w:rsidR="007D0CB9" w:rsidRPr="00F01655">
        <w:t>s</w:t>
      </w:r>
      <w:r w:rsidRPr="00F01655">
        <w:t xml:space="preserve"> an impact </w:t>
      </w:r>
      <w:r w:rsidR="007D0CB9" w:rsidRPr="00F01655">
        <w:t>on</w:t>
      </w:r>
      <w:r w:rsidRPr="00F01655">
        <w:t xml:space="preserve"> the ITF </w:t>
      </w:r>
      <w:r w:rsidRPr="00F01655">
        <w:rPr>
          <w:iCs/>
        </w:rPr>
        <w:t>outcome.</w:t>
      </w:r>
      <w:r w:rsidRPr="00F01655">
        <w:t xml:space="preserve"> </w:t>
      </w:r>
    </w:p>
    <w:p w14:paraId="02B32307" w14:textId="7A0C858B" w:rsidR="000907AC" w:rsidRPr="00F01655" w:rsidRDefault="000907AC" w:rsidP="000907AC">
      <w:pPr>
        <w:spacing w:line="276" w:lineRule="auto"/>
      </w:pPr>
    </w:p>
    <w:p w14:paraId="1785B0EB" w14:textId="095FF001" w:rsidR="000907AC" w:rsidRPr="00F01655" w:rsidRDefault="00774DAA" w:rsidP="003329B4">
      <w:pPr>
        <w:spacing w:line="276" w:lineRule="auto"/>
        <w:jc w:val="center"/>
        <w:rPr>
          <w:b/>
          <w:bCs/>
        </w:rPr>
      </w:pPr>
      <w:r w:rsidRPr="00F01655">
        <w:rPr>
          <w:b/>
          <w:bCs/>
          <w:noProof/>
        </w:rPr>
        <w:drawing>
          <wp:inline distT="0" distB="0" distL="0" distR="0" wp14:anchorId="4087032C" wp14:editId="39986189">
            <wp:extent cx="5943600" cy="2703055"/>
            <wp:effectExtent l="0" t="0" r="0" b="2540"/>
            <wp:docPr id="2065625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25795" name="Picture 2065625795"/>
                    <pic:cNvPicPr/>
                  </pic:nvPicPr>
                  <pic:blipFill rotWithShape="1">
                    <a:blip r:embed="rId20" cstate="print">
                      <a:extLst>
                        <a:ext uri="{28A0092B-C50C-407E-A947-70E740481C1C}">
                          <a14:useLocalDpi xmlns:a14="http://schemas.microsoft.com/office/drawing/2010/main" val="0"/>
                        </a:ext>
                      </a:extLst>
                    </a:blip>
                    <a:srcRect l="996" t="9902" r="1455" b="1955"/>
                    <a:stretch/>
                  </pic:blipFill>
                  <pic:spPr bwMode="auto">
                    <a:xfrm>
                      <a:off x="0" y="0"/>
                      <a:ext cx="5943600" cy="2703055"/>
                    </a:xfrm>
                    <a:prstGeom prst="rect">
                      <a:avLst/>
                    </a:prstGeom>
                    <a:ln>
                      <a:noFill/>
                    </a:ln>
                    <a:extLst>
                      <a:ext uri="{53640926-AAD7-44D8-BBD7-CCE9431645EC}">
                        <a14:shadowObscured xmlns:a14="http://schemas.microsoft.com/office/drawing/2010/main"/>
                      </a:ext>
                    </a:extLst>
                  </pic:spPr>
                </pic:pic>
              </a:graphicData>
            </a:graphic>
          </wp:inline>
        </w:drawing>
      </w:r>
      <w:r w:rsidR="000907AC" w:rsidRPr="00F01655">
        <w:rPr>
          <w:b/>
          <w:bCs/>
        </w:rPr>
        <w:t xml:space="preserve">Figure </w:t>
      </w:r>
      <w:r w:rsidR="00383F93" w:rsidRPr="00F01655">
        <w:rPr>
          <w:b/>
          <w:bCs/>
        </w:rPr>
        <w:t>2</w:t>
      </w:r>
      <w:r w:rsidR="000907AC" w:rsidRPr="00F01655">
        <w:rPr>
          <w:b/>
          <w:bCs/>
        </w:rPr>
        <w:t>. Data Set-Up</w:t>
      </w:r>
    </w:p>
    <w:p w14:paraId="60A3B85E" w14:textId="77777777" w:rsidR="00FA4EBF" w:rsidRDefault="00FA4EBF" w:rsidP="00383F93">
      <w:pPr>
        <w:ind w:firstLine="720"/>
        <w:jc w:val="both"/>
      </w:pPr>
    </w:p>
    <w:p w14:paraId="2B2CA8BB" w14:textId="29EA66E0" w:rsidR="009E315A" w:rsidRPr="00F01655" w:rsidRDefault="007D0CB9" w:rsidP="00FA4EBF">
      <w:pPr>
        <w:ind w:firstLine="720"/>
        <w:jc w:val="both"/>
      </w:pPr>
      <w:r w:rsidRPr="00F01655">
        <w:t>The</w:t>
      </w:r>
      <w:r w:rsidR="003424EC">
        <w:t xml:space="preserve"> ITF </w:t>
      </w:r>
      <w:r w:rsidR="008E7E0A">
        <w:t xml:space="preserve">propensity </w:t>
      </w:r>
      <w:r w:rsidR="003424EC">
        <w:t xml:space="preserve">shift </w:t>
      </w:r>
      <w:r w:rsidR="002D745A" w:rsidRPr="00F01655">
        <w:t xml:space="preserve">effect </w:t>
      </w:r>
      <w:r w:rsidR="00017870" w:rsidRPr="00F01655">
        <w:t xml:space="preserve">would </w:t>
      </w:r>
      <w:r w:rsidR="009E5B38" w:rsidRPr="00F01655">
        <w:t xml:space="preserve">still </w:t>
      </w:r>
      <w:r w:rsidR="00017870" w:rsidRPr="00F01655">
        <w:t xml:space="preserve">not adequately capture the substantial consonance effects </w:t>
      </w:r>
      <w:r w:rsidR="002939F8" w:rsidRPr="00F01655">
        <w:t>(</w:t>
      </w:r>
      <w:r w:rsidR="00017870" w:rsidRPr="00F01655">
        <w:t>and the variation in the consonance effects based on ETF outcomes</w:t>
      </w:r>
      <w:r w:rsidR="002939F8" w:rsidRPr="00F01655">
        <w:t>)</w:t>
      </w:r>
      <w:r w:rsidR="00017870" w:rsidRPr="00F01655">
        <w:t xml:space="preserve"> as </w:t>
      </w:r>
      <w:r w:rsidR="009E5B38" w:rsidRPr="00F01655">
        <w:t xml:space="preserve">observed </w:t>
      </w:r>
      <w:r w:rsidR="002939F8" w:rsidRPr="00F01655">
        <w:t xml:space="preserve">from </w:t>
      </w:r>
      <w:r w:rsidR="00017870" w:rsidRPr="00F01655">
        <w:t>the descriptive statistics of the previous section.</w:t>
      </w:r>
      <w:r w:rsidR="002939F8" w:rsidRPr="00F01655">
        <w:t xml:space="preserve"> That is, the ITF ordered-response component can reflect the aggregate ITF counts on the right side of the first </w:t>
      </w:r>
      <w:r w:rsidRPr="00F01655">
        <w:t xml:space="preserve">(top) </w:t>
      </w:r>
      <w:r w:rsidR="002939F8" w:rsidRPr="00F01655">
        <w:t xml:space="preserve">part of Table 2 </w:t>
      </w:r>
      <w:r w:rsidR="004F6E0E" w:rsidRPr="00F01655">
        <w:t>well</w:t>
      </w:r>
      <w:r w:rsidRPr="00F01655">
        <w:t>,</w:t>
      </w:r>
      <w:r w:rsidR="004F6E0E" w:rsidRPr="00F01655">
        <w:t xml:space="preserve"> but</w:t>
      </w:r>
      <w:r w:rsidR="002939F8" w:rsidRPr="00F01655">
        <w:t xml:space="preserve"> will not be able to capture</w:t>
      </w:r>
      <w:r w:rsidRPr="00F01655">
        <w:t xml:space="preserve"> </w:t>
      </w:r>
      <w:r w:rsidR="002939F8" w:rsidRPr="00F01655">
        <w:t xml:space="preserve">the bivariate clustering representing consonance (even after allowing for unobserved correlation between </w:t>
      </w:r>
      <w:r w:rsidR="00AE7392">
        <w:t xml:space="preserve">the </w:t>
      </w:r>
      <w:r w:rsidR="002939F8" w:rsidRPr="00F01655">
        <w:t>ITF and ETF</w:t>
      </w:r>
      <w:r w:rsidR="00AE7392">
        <w:t xml:space="preserve"> underlying propensities</w:t>
      </w:r>
      <w:r w:rsidR="002939F8" w:rsidRPr="00F01655">
        <w:t>). For example, of the 59 respondents having an ITF of “never teleworking”, 55 respondents also have an ETF of “never teleworking”. A simple bivariate ordered-response model will not capture such consonance-based clustering</w:t>
      </w:r>
      <w:r w:rsidR="002D745A" w:rsidRPr="00F01655">
        <w:t xml:space="preserve"> across the two outcomes</w:t>
      </w:r>
      <w:r w:rsidR="0022369F">
        <w:t xml:space="preserve">, attributable to </w:t>
      </w:r>
      <w:r w:rsidR="00DD3E2B">
        <w:t xml:space="preserve">individuals </w:t>
      </w:r>
      <w:r w:rsidR="00831173">
        <w:t xml:space="preserve">better coping with the dissonance-caused stress by </w:t>
      </w:r>
      <w:r w:rsidR="00831173" w:rsidRPr="003329B4">
        <w:t>modifying (decreasing) ITF to bring it closer to ETF</w:t>
      </w:r>
      <w:r w:rsidR="00831173">
        <w:t xml:space="preserve"> </w:t>
      </w:r>
      <w:r w:rsidR="00DD3E2B" w:rsidRPr="000916EF">
        <w:rPr>
          <w:noProof/>
          <w:color w:val="000000" w:themeColor="text1"/>
        </w:rPr>
        <w:t>(Festinger, 1957</w:t>
      </w:r>
      <w:r w:rsidR="00831173">
        <w:rPr>
          <w:noProof/>
          <w:color w:val="000000" w:themeColor="text1"/>
        </w:rPr>
        <w:t xml:space="preserve">). </w:t>
      </w:r>
      <w:r w:rsidR="00017870" w:rsidRPr="00F01655">
        <w:t xml:space="preserve">To accommodate </w:t>
      </w:r>
      <w:r w:rsidR="002939F8" w:rsidRPr="00F01655">
        <w:t>such bivariate consonan</w:t>
      </w:r>
      <w:r w:rsidRPr="00F01655">
        <w:t>ce</w:t>
      </w:r>
      <w:r w:rsidR="00017870" w:rsidRPr="00F01655">
        <w:t xml:space="preserve"> effects, we introduce </w:t>
      </w:r>
      <w:r w:rsidR="00BC3224" w:rsidRPr="00F01655">
        <w:t>a se</w:t>
      </w:r>
      <w:r w:rsidRPr="00F01655">
        <w:t>t</w:t>
      </w:r>
      <w:r w:rsidR="00BC3224" w:rsidRPr="00F01655">
        <w:t xml:space="preserve"> of additional </w:t>
      </w:r>
      <w:r w:rsidR="00017870" w:rsidRPr="00F01655">
        <w:t>ETF outcome-specific shifter effects for the ITF thresholds</w:t>
      </w:r>
      <w:r w:rsidR="002939F8" w:rsidRPr="00F01655">
        <w:t>, in an innovative (and, to our knowledge, first extension of ordered-response modeling)</w:t>
      </w:r>
      <w:r w:rsidR="00BC3224" w:rsidRPr="00F01655">
        <w:t xml:space="preserve"> methodology. To visually </w:t>
      </w:r>
      <w:r w:rsidRPr="00F01655">
        <w:t xml:space="preserve">illustrate </w:t>
      </w:r>
      <w:r w:rsidR="00BC3224" w:rsidRPr="00F01655">
        <w:t xml:space="preserve">our thresholding innovation, we provide a simple example in Figure </w:t>
      </w:r>
      <w:r w:rsidRPr="00F01655">
        <w:t>3</w:t>
      </w:r>
      <w:r w:rsidR="00BC3224" w:rsidRPr="00F01655">
        <w:t xml:space="preserve"> for the case of a person </w:t>
      </w:r>
      <w:r w:rsidR="0031118A" w:rsidRPr="00F01655">
        <w:t xml:space="preserve">A </w:t>
      </w:r>
      <w:r w:rsidR="00BC3224" w:rsidRPr="00F01655">
        <w:t xml:space="preserve">with an ETF that is not “never teleworking” (top panel) and for a person </w:t>
      </w:r>
      <w:r w:rsidR="0031118A" w:rsidRPr="00F01655">
        <w:t xml:space="preserve">B </w:t>
      </w:r>
      <w:r w:rsidR="00BC3224" w:rsidRPr="00F01655">
        <w:t xml:space="preserve">with an ETF of “never </w:t>
      </w:r>
      <w:r w:rsidR="00BC3224" w:rsidRPr="00F01655">
        <w:lastRenderedPageBreak/>
        <w:t>telew</w:t>
      </w:r>
      <w:r w:rsidR="00BC3224" w:rsidRPr="009F4467">
        <w:t>orking” (bottom panel). The underlying propensities for ETF and ITF are shown by the horizontal lines, which are allowed to be correlated as shown by the curved double arrow between the horizontal lines</w:t>
      </w:r>
      <w:r w:rsidR="008C3C63">
        <w:t xml:space="preserve"> (th</w:t>
      </w:r>
      <w:r w:rsidR="008E59BE">
        <w:t>is</w:t>
      </w:r>
      <w:r w:rsidR="008C3C63">
        <w:t xml:space="preserve"> correlation</w:t>
      </w:r>
      <w:r w:rsidR="008E59BE">
        <w:t xml:space="preserve">, </w:t>
      </w:r>
      <w:r w:rsidR="008C3C63">
        <w:t xml:space="preserve">labeled as </w:t>
      </w:r>
      <w:r w:rsidR="00926E20" w:rsidRPr="003820B7">
        <w:rPr>
          <w:noProof/>
          <w:position w:val="-12"/>
        </w:rPr>
        <w:object w:dxaOrig="320" w:dyaOrig="360" w14:anchorId="3C5D6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5pt;height:18pt" o:ole="" o:preferrelative="f">
            <v:imagedata r:id="rId21" o:title=""/>
            <o:lock v:ext="edit" aspectratio="f"/>
          </v:shape>
          <o:OLEObject Type="Embed" ProgID="Equation.DSMT4" ShapeID="_x0000_i1025" DrawAspect="Content" ObjectID="_1778681258" r:id="rId22"/>
        </w:object>
      </w:r>
      <w:r w:rsidR="008E59BE">
        <w:rPr>
          <w:noProof/>
        </w:rPr>
        <w:t xml:space="preserve"> and </w:t>
      </w:r>
      <w:r w:rsidR="00926E20" w:rsidRPr="008B5FA3">
        <w:rPr>
          <w:noProof/>
          <w:position w:val="-12"/>
        </w:rPr>
        <w:object w:dxaOrig="320" w:dyaOrig="360" w14:anchorId="1C898699">
          <v:shape id="_x0000_i1026" type="#_x0000_t75" alt="" style="width:15.85pt;height:18pt" o:ole="" o:preferrelative="f">
            <v:imagedata r:id="rId23" o:title=""/>
            <o:lock v:ext="edit" aspectratio="f"/>
          </v:shape>
          <o:OLEObject Type="Embed" ProgID="Equation.DSMT4" ShapeID="_x0000_i1026" DrawAspect="Content" ObjectID="_1778681259" r:id="rId24"/>
        </w:object>
      </w:r>
      <w:r w:rsidR="008E59BE">
        <w:rPr>
          <w:noProof/>
        </w:rPr>
        <w:t xml:space="preserve"> in Figure 3 for person A and person B, respectively, is labeled more generically as </w:t>
      </w:r>
      <w:r w:rsidR="005F6BF6" w:rsidRPr="003820B7">
        <w:rPr>
          <w:noProof/>
          <w:position w:val="-14"/>
        </w:rPr>
        <w:object w:dxaOrig="300" w:dyaOrig="380" w14:anchorId="10E869C2">
          <v:shape id="_x0000_i1027" type="#_x0000_t75" alt="" style="width:15pt;height:18.85pt" o:ole="" o:preferrelative="f">
            <v:imagedata r:id="rId25" o:title=""/>
            <o:lock v:ext="edit" aspectratio="f"/>
          </v:shape>
          <o:OLEObject Type="Embed" ProgID="Equation.DSMT4" ShapeID="_x0000_i1027" DrawAspect="Content" ObjectID="_1778681260" r:id="rId26"/>
        </w:object>
      </w:r>
      <w:r w:rsidR="008E59BE">
        <w:rPr>
          <w:noProof/>
        </w:rPr>
        <w:t xml:space="preserve"> for the </w:t>
      </w:r>
      <w:r w:rsidR="008E59BE" w:rsidRPr="00CF0E6D">
        <w:rPr>
          <w:i/>
          <w:iCs/>
          <w:noProof/>
        </w:rPr>
        <w:t>q</w:t>
      </w:r>
      <w:r w:rsidR="008E59BE">
        <w:rPr>
          <w:noProof/>
        </w:rPr>
        <w:t>th individual in the subsequent methodology section)</w:t>
      </w:r>
      <w:r w:rsidR="00BC3224" w:rsidRPr="009F4467">
        <w:t xml:space="preserve">. </w:t>
      </w:r>
      <w:r w:rsidR="00254153" w:rsidRPr="009F4467">
        <w:t>The thresholds</w:t>
      </w:r>
      <w:r w:rsidR="00254153" w:rsidRPr="00F01655">
        <w:t xml:space="preserve"> for the ITF </w:t>
      </w:r>
      <w:r w:rsidRPr="00F01655">
        <w:t>propensity</w:t>
      </w:r>
      <w:r w:rsidR="00254153" w:rsidRPr="00F01655">
        <w:t xml:space="preserve"> </w:t>
      </w:r>
      <w:r w:rsidR="0031118A" w:rsidRPr="00F01655">
        <w:t xml:space="preserve">(the </w:t>
      </w:r>
      <w:r w:rsidR="005F6BF6" w:rsidRPr="00EB10A0">
        <w:rPr>
          <w:noProof/>
          <w:position w:val="-10"/>
        </w:rPr>
        <w:object w:dxaOrig="260" w:dyaOrig="279" w14:anchorId="34227CA9">
          <v:shape id="_x0000_i1028" type="#_x0000_t75" alt="" style="width:12.85pt;height:13.7pt;mso-width-percent:0;mso-height-percent:0;mso-width-percent:0;mso-height-percent:0" o:ole="" o:preferrelative="f">
            <v:imagedata r:id="rId27" o:title=""/>
            <o:lock v:ext="edit" aspectratio="f"/>
          </v:shape>
          <o:OLEObject Type="Embed" ProgID="Equation.DSMT4" ShapeID="_x0000_i1028" DrawAspect="Content" ObjectID="_1778681261" r:id="rId28"/>
        </w:object>
      </w:r>
      <w:r w:rsidR="0031118A" w:rsidRPr="00F01655">
        <w:t xml:space="preserve"> thresholds in Figure </w:t>
      </w:r>
      <w:r w:rsidRPr="00F01655">
        <w:t>3</w:t>
      </w:r>
      <w:r w:rsidR="0031118A" w:rsidRPr="00F01655">
        <w:t xml:space="preserve">) </w:t>
      </w:r>
      <w:r w:rsidR="00254153" w:rsidRPr="00F01655">
        <w:t xml:space="preserve">are shown to be generally toward the left of those for the ETF </w:t>
      </w:r>
      <w:r w:rsidRPr="00F01655">
        <w:t>propensity</w:t>
      </w:r>
      <w:r w:rsidR="0031118A" w:rsidRPr="00F01655">
        <w:t xml:space="preserve"> (the </w:t>
      </w:r>
      <w:r w:rsidR="005F6BF6" w:rsidRPr="00EB10A0">
        <w:rPr>
          <w:noProof/>
          <w:position w:val="-10"/>
        </w:rPr>
        <w:object w:dxaOrig="240" w:dyaOrig="260" w14:anchorId="03926EA5">
          <v:shape id="_x0000_i1029" type="#_x0000_t75" alt="" style="width:12.85pt;height:12.85pt;mso-width-percent:0;mso-height-percent:0;mso-width-percent:0;mso-height-percent:0" o:ole="" o:preferrelative="f">
            <v:imagedata r:id="rId29" o:title=""/>
            <o:lock v:ext="edit" aspectratio="f"/>
          </v:shape>
          <o:OLEObject Type="Embed" ProgID="Equation.DSMT4" ShapeID="_x0000_i1029" DrawAspect="Content" ObjectID="_1778681262" r:id="rId30"/>
        </w:object>
      </w:r>
      <w:r w:rsidR="0031118A" w:rsidRPr="00F01655">
        <w:t xml:space="preserve"> thresholds)</w:t>
      </w:r>
      <w:r w:rsidR="00254153" w:rsidRPr="00F01655">
        <w:t xml:space="preserve">, because of the loading of ITF toward higher levels of teleworking (the gap between thresholds corresponding to each teleworking level is an indicator of the size of each teleworking level). Then, for the person </w:t>
      </w:r>
      <w:r w:rsidR="0031118A" w:rsidRPr="00F01655">
        <w:t xml:space="preserve">B </w:t>
      </w:r>
      <w:r w:rsidR="00254153" w:rsidRPr="00F01655">
        <w:t>with an ETF of “never teleworking”</w:t>
      </w:r>
      <w:r w:rsidR="0031118A" w:rsidRPr="00F01655">
        <w:t xml:space="preserve"> (but not for person A)</w:t>
      </w:r>
      <w:r w:rsidR="00254153" w:rsidRPr="00F01655">
        <w:t xml:space="preserve">, we introduce a </w:t>
      </w:r>
      <w:r w:rsidR="008E7E0A">
        <w:t xml:space="preserve">threshold </w:t>
      </w:r>
      <w:r w:rsidR="00254153" w:rsidRPr="00F01655">
        <w:t>shift</w:t>
      </w:r>
      <w:r w:rsidR="0031118A" w:rsidRPr="00F01655">
        <w:t xml:space="preserve"> effect for </w:t>
      </w:r>
      <w:r w:rsidR="00254153" w:rsidRPr="00F01655">
        <w:t xml:space="preserve">the first ITF threshold </w:t>
      </w:r>
      <w:r w:rsidR="00E7606E">
        <w:t xml:space="preserve">(that is, the upper bound threshold for the ITF ordinal category of “never teleworking”) </w:t>
      </w:r>
      <w:r w:rsidR="00254153" w:rsidRPr="00F01655">
        <w:t>toward the right, increasing the bivariate consonan</w:t>
      </w:r>
      <w:r w:rsidR="009A4778" w:rsidRPr="00F01655">
        <w:t>ce</w:t>
      </w:r>
      <w:r w:rsidR="00254153" w:rsidRPr="00F01655">
        <w:t xml:space="preserve"> </w:t>
      </w:r>
      <w:r w:rsidRPr="00F01655">
        <w:t xml:space="preserve">for the </w:t>
      </w:r>
      <w:r w:rsidR="00254153" w:rsidRPr="00F01655">
        <w:t xml:space="preserve">combination corresponding </w:t>
      </w:r>
      <w:r w:rsidRPr="00F01655">
        <w:t>to</w:t>
      </w:r>
      <w:r w:rsidR="00254153" w:rsidRPr="00F01655">
        <w:t xml:space="preserve"> ETF “never teleworking” and ITF “never teleworking”. </w:t>
      </w:r>
      <w:r w:rsidR="0031118A" w:rsidRPr="00F01655">
        <w:t xml:space="preserve">This </w:t>
      </w:r>
      <w:r w:rsidR="008E7E0A">
        <w:t xml:space="preserve">threshold </w:t>
      </w:r>
      <w:r w:rsidR="0031118A" w:rsidRPr="00F01655">
        <w:t>shift effect</w:t>
      </w:r>
      <w:r w:rsidR="00E7606E">
        <w:t xml:space="preserve"> is</w:t>
      </w:r>
      <w:r w:rsidR="0031118A" w:rsidRPr="00F01655">
        <w:t xml:space="preserve"> shown in Figure </w:t>
      </w:r>
      <w:r w:rsidRPr="00F01655">
        <w:t>3</w:t>
      </w:r>
      <w:r w:rsidR="0031118A" w:rsidRPr="00F01655">
        <w:t xml:space="preserve"> as</w:t>
      </w:r>
      <w:r w:rsidR="005F6BF6">
        <w:t xml:space="preserve"> </w:t>
      </w:r>
      <w:r w:rsidR="005F6BF6" w:rsidRPr="008B5FA3">
        <w:rPr>
          <w:noProof/>
          <w:position w:val="-12"/>
        </w:rPr>
        <w:object w:dxaOrig="380" w:dyaOrig="360" w14:anchorId="0B68D7F1">
          <v:shape id="_x0000_i1030" type="#_x0000_t75" alt="" style="width:18.85pt;height:18pt" o:ole="" o:preferrelative="f">
            <v:imagedata r:id="rId31" o:title=""/>
            <o:lock v:ext="edit" aspectratio="f"/>
          </v:shape>
          <o:OLEObject Type="Embed" ProgID="Equation.DSMT4" ShapeID="_x0000_i1030" DrawAspect="Content" ObjectID="_1778681263" r:id="rId32"/>
        </w:object>
      </w:r>
      <w:r w:rsidR="00EF4956">
        <w:rPr>
          <w:color w:val="222222"/>
          <w:shd w:val="clear" w:color="auto" w:fill="FFFFFF"/>
        </w:rPr>
        <w:t xml:space="preserve"> (the subscript ‘B’ refer</w:t>
      </w:r>
      <w:r w:rsidR="00E7606E">
        <w:rPr>
          <w:color w:val="222222"/>
          <w:shd w:val="clear" w:color="auto" w:fill="FFFFFF"/>
        </w:rPr>
        <w:t>s</w:t>
      </w:r>
      <w:r w:rsidR="00EF4956">
        <w:rPr>
          <w:color w:val="222222"/>
          <w:shd w:val="clear" w:color="auto" w:fill="FFFFFF"/>
        </w:rPr>
        <w:t xml:space="preserve"> to person B, and the subscript ‘1’ refer</w:t>
      </w:r>
      <w:r w:rsidR="00E7606E">
        <w:rPr>
          <w:color w:val="222222"/>
          <w:shd w:val="clear" w:color="auto" w:fill="FFFFFF"/>
        </w:rPr>
        <w:t>s</w:t>
      </w:r>
      <w:r w:rsidR="00EF4956">
        <w:rPr>
          <w:color w:val="222222"/>
          <w:shd w:val="clear" w:color="auto" w:fill="FFFFFF"/>
        </w:rPr>
        <w:t xml:space="preserve"> to the fact that this is an ITF shift for the first ordinal category of “never teleworking</w:t>
      </w:r>
      <w:r w:rsidR="00E7606E">
        <w:rPr>
          <w:color w:val="222222"/>
          <w:shd w:val="clear" w:color="auto" w:fill="FFFFFF"/>
        </w:rPr>
        <w:t>)</w:t>
      </w:r>
      <w:r w:rsidR="00E7606E">
        <w:t>.</w:t>
      </w:r>
      <w:r w:rsidR="007E2307">
        <w:t xml:space="preserve"> </w:t>
      </w:r>
      <w:r w:rsidR="00E7606E">
        <w:t>W</w:t>
      </w:r>
      <w:r w:rsidR="007E2307">
        <w:t>e refer to such threshold shift effects as “same threshold shifts”, to denote that they refer to a shift in threshold for a specific ITF outcome based on whether the same corresponding ETF outcome is chosen by the individual</w:t>
      </w:r>
      <w:r w:rsidR="00EF4956">
        <w:t xml:space="preserve">; also to allow the “same threshold shifts” to vary across individuals </w:t>
      </w:r>
      <w:r w:rsidR="00EF4956" w:rsidRPr="00CF0E6D">
        <w:rPr>
          <w:i/>
          <w:iCs/>
        </w:rPr>
        <w:t>q</w:t>
      </w:r>
      <w:r w:rsidR="00EF4956">
        <w:t xml:space="preserve"> and ITF ordinal categories </w:t>
      </w:r>
      <w:r w:rsidR="00EF4956" w:rsidRPr="00CF0E6D">
        <w:rPr>
          <w:i/>
          <w:iCs/>
        </w:rPr>
        <w:t>j</w:t>
      </w:r>
      <w:r w:rsidR="00EF4956">
        <w:t xml:space="preserve">, we will refer to it as </w:t>
      </w:r>
      <w:r w:rsidR="00926E20" w:rsidRPr="00EF4956">
        <w:rPr>
          <w:noProof/>
          <w:position w:val="-14"/>
        </w:rPr>
        <w:object w:dxaOrig="340" w:dyaOrig="380" w14:anchorId="1B17F281">
          <v:shape id="_x0000_i1031" type="#_x0000_t75" alt="" style="width:17.15pt;height:18.85pt" o:ole="" o:preferrelative="f">
            <v:imagedata r:id="rId33" o:title=""/>
            <o:lock v:ext="edit" aspectratio="f"/>
          </v:shape>
          <o:OLEObject Type="Embed" ProgID="Equation.DSMT4" ShapeID="_x0000_i1031" DrawAspect="Content" ObjectID="_1778681264" r:id="rId34"/>
        </w:object>
      </w:r>
      <w:r w:rsidR="005F6BF6">
        <w:rPr>
          <w:noProof/>
        </w:rPr>
        <w:t xml:space="preserve"> </w:t>
      </w:r>
      <w:r w:rsidR="00EF4956">
        <w:rPr>
          <w:noProof/>
        </w:rPr>
        <w:t>in the following methodological section</w:t>
      </w:r>
      <w:r w:rsidR="009E2A4F">
        <w:rPr>
          <w:noProof/>
        </w:rPr>
        <w:t xml:space="preserve">, which gets applied only if the ETF for the individual is </w:t>
      </w:r>
      <w:r w:rsidR="00E7606E">
        <w:rPr>
          <w:noProof/>
        </w:rPr>
        <w:t xml:space="preserve">also </w:t>
      </w:r>
      <w:r w:rsidR="009E2A4F">
        <w:rPr>
          <w:noProof/>
        </w:rPr>
        <w:t xml:space="preserve">ordinal category </w:t>
      </w:r>
      <w:r w:rsidR="009E2A4F" w:rsidRPr="00CF0E6D">
        <w:rPr>
          <w:i/>
          <w:iCs/>
          <w:noProof/>
        </w:rPr>
        <w:t>j</w:t>
      </w:r>
      <w:r w:rsidR="007E2307">
        <w:t>)</w:t>
      </w:r>
      <w:r w:rsidR="00057381" w:rsidRPr="00F01655">
        <w:t xml:space="preserve">. </w:t>
      </w:r>
      <w:r w:rsidR="009001F8" w:rsidRPr="00F01655">
        <w:t>Also, important to note is that introducing ETF outcome-specific shifter effects for the ITF thresholds does not introduce any endogeneity bias, because the potential endogeneity of ETF to ITF is already captured through the unobserved correlation effects.</w:t>
      </w:r>
    </w:p>
    <w:p w14:paraId="4CFE7CBC" w14:textId="458A1DC4" w:rsidR="0011418D" w:rsidRPr="00F01655" w:rsidRDefault="009E315A" w:rsidP="00FA4EBF">
      <w:pPr>
        <w:ind w:firstLine="720"/>
        <w:jc w:val="both"/>
      </w:pPr>
      <w:r w:rsidRPr="00F01655">
        <w:t>Along the same lines as discussed above, the se</w:t>
      </w:r>
      <w:r w:rsidR="007D0CB9" w:rsidRPr="00F01655">
        <w:t>t</w:t>
      </w:r>
      <w:r w:rsidRPr="00F01655">
        <w:t xml:space="preserve"> of additional ETF-outcome specific shifter effects for the ITF thresholds can also accommodate for specific </w:t>
      </w:r>
      <w:r w:rsidR="0011418D" w:rsidRPr="00F01655">
        <w:t xml:space="preserve">cross </w:t>
      </w:r>
      <w:r w:rsidRPr="00F01655">
        <w:t xml:space="preserve">ETF-ITF combination levels </w:t>
      </w:r>
      <w:r w:rsidR="0011418D" w:rsidRPr="00F01655">
        <w:t xml:space="preserve">(that is ETF level ≠ ITF level) </w:t>
      </w:r>
      <w:r w:rsidRPr="00F01655">
        <w:t xml:space="preserve">that are </w:t>
      </w:r>
      <w:r w:rsidR="00C4344E" w:rsidRPr="00F01655">
        <w:t xml:space="preserve">seldom likely to occur. </w:t>
      </w:r>
      <w:r w:rsidRPr="00F01655">
        <w:t>As an example, of the 351 respondents who have an ETF level of “never”, only 19 have an ITF level of “everyday”</w:t>
      </w:r>
      <w:r w:rsidR="00C4344E" w:rsidRPr="00F01655">
        <w:t xml:space="preserve">. </w:t>
      </w:r>
      <w:r w:rsidR="00831173">
        <w:t xml:space="preserve">Again, such </w:t>
      </w:r>
      <w:r w:rsidR="00C4344E" w:rsidRPr="00F01655">
        <w:t xml:space="preserve">infrequent combinations </w:t>
      </w:r>
      <w:r w:rsidR="00831173">
        <w:t>of low ETF and high ITF outcomes (or high ETF or low ITF outcomes) may be associated with individuals doing all they can to reduce TFD as a means to reduce stress levels</w:t>
      </w:r>
      <w:r w:rsidR="008B7613">
        <w:t>,</w:t>
      </w:r>
      <w:r w:rsidR="00831173">
        <w:t xml:space="preserve"> </w:t>
      </w:r>
      <w:r w:rsidR="00C4344E" w:rsidRPr="00F01655">
        <w:t xml:space="preserve"> </w:t>
      </w:r>
      <w:r w:rsidR="008B7613">
        <w:t xml:space="preserve">which </w:t>
      </w:r>
      <w:r w:rsidR="00C4344E" w:rsidRPr="00F01655">
        <w:t>c</w:t>
      </w:r>
      <w:r w:rsidR="0011418D" w:rsidRPr="00F01655">
        <w:t xml:space="preserve">an </w:t>
      </w:r>
      <w:r w:rsidR="00C4344E" w:rsidRPr="00F01655">
        <w:t xml:space="preserve">be </w:t>
      </w:r>
      <w:r w:rsidR="0011418D" w:rsidRPr="00F01655">
        <w:t xml:space="preserve">accommodated </w:t>
      </w:r>
      <w:r w:rsidR="00C4344E" w:rsidRPr="00F01655">
        <w:t xml:space="preserve">by shifting appropriate thresholds based on the </w:t>
      </w:r>
      <w:r w:rsidR="008D2CE7" w:rsidRPr="00F01655">
        <w:t xml:space="preserve">observed </w:t>
      </w:r>
      <w:r w:rsidR="00C4344E" w:rsidRPr="00F01655">
        <w:t xml:space="preserve">ETF level. </w:t>
      </w:r>
      <w:r w:rsidR="0011418D" w:rsidRPr="00F01655">
        <w:t xml:space="preserve">In our empirical analysis, our many specification tests for such cross ETF-ITF threshold </w:t>
      </w:r>
      <w:r w:rsidR="00831173">
        <w:t xml:space="preserve">shift </w:t>
      </w:r>
      <w:r w:rsidR="0011418D" w:rsidRPr="00F01655">
        <w:t>adjustments indicated only the need for two such adjustments, one corresponding to the ETF level of “never” and the ITF level of “</w:t>
      </w:r>
      <w:r w:rsidR="00AE1B67" w:rsidRPr="00F01655">
        <w:t>a</w:t>
      </w:r>
      <w:r w:rsidR="0011418D" w:rsidRPr="00F01655">
        <w:t xml:space="preserve"> few days/week”, and another corresponding to the ETF level of “never” and the ITF level of “everyday”. </w:t>
      </w:r>
      <w:r w:rsidR="00831173">
        <w:t>Visually, in Figure 1, these cross</w:t>
      </w:r>
      <w:r w:rsidR="00295CD1">
        <w:t>-</w:t>
      </w:r>
      <w:r w:rsidR="00831173">
        <w:t xml:space="preserve">threshold shifts are shown </w:t>
      </w:r>
      <w:r w:rsidR="00082E88">
        <w:t xml:space="preserve">as the </w:t>
      </w:r>
      <w:r w:rsidR="005F6BF6" w:rsidRPr="00381459">
        <w:rPr>
          <w:noProof/>
          <w:position w:val="-12"/>
        </w:rPr>
        <w:object w:dxaOrig="1320" w:dyaOrig="360" w14:anchorId="1ED36658">
          <v:shape id="_x0000_i1032" type="#_x0000_t75" alt="" style="width:66.85pt;height:18pt" o:ole="" o:preferrelative="f">
            <v:imagedata r:id="rId35" o:title=""/>
            <o:lock v:ext="edit" aspectratio="f"/>
          </v:shape>
          <o:OLEObject Type="Embed" ProgID="Equation.DSMT4" ShapeID="_x0000_i1032" DrawAspect="Content" ObjectID="_1778681265" r:id="rId36"/>
        </w:object>
      </w:r>
      <w:r w:rsidR="00082E88">
        <w:rPr>
          <w:noProof/>
        </w:rPr>
        <w:t xml:space="preserve"> terms</w:t>
      </w:r>
      <w:r w:rsidR="00381459">
        <w:rPr>
          <w:noProof/>
        </w:rPr>
        <w:t xml:space="preserve"> (the first subscript referring to the individual, followed by the subscript for the ETF ordinal category and the subscript for the upper bound of the ITF ordinal category threshold that is cross-shifted). These two terms </w:t>
      </w:r>
      <w:r w:rsidR="00082E88">
        <w:rPr>
          <w:noProof/>
        </w:rPr>
        <w:t xml:space="preserve">have the effect of reducing the </w:t>
      </w:r>
      <w:r w:rsidR="00CA7934">
        <w:rPr>
          <w:noProof/>
        </w:rPr>
        <w:t>“</w:t>
      </w:r>
      <w:r w:rsidR="00082E88">
        <w:rPr>
          <w:noProof/>
        </w:rPr>
        <w:t>never ETF-Few days per week</w:t>
      </w:r>
      <w:r w:rsidR="00CA7934">
        <w:rPr>
          <w:noProof/>
        </w:rPr>
        <w:t xml:space="preserve"> </w:t>
      </w:r>
      <w:r w:rsidR="00082E88">
        <w:t>ITF</w:t>
      </w:r>
      <w:r w:rsidR="00CA7934">
        <w:t>”</w:t>
      </w:r>
      <w:r w:rsidR="00082E88">
        <w:t xml:space="preserve"> combination outcome and the </w:t>
      </w:r>
      <w:r w:rsidR="00CA7934">
        <w:t>“</w:t>
      </w:r>
      <w:r w:rsidR="00082E88">
        <w:t>never ETF-everyday ITF</w:t>
      </w:r>
      <w:r w:rsidR="00CA7934">
        <w:t>”</w:t>
      </w:r>
      <w:r w:rsidR="00082E88">
        <w:t xml:space="preserve"> combination outcome. </w:t>
      </w:r>
      <w:r w:rsidR="00381459">
        <w:t xml:space="preserve">More generally, in the subsequent methodology section, these cross-threshold shifters for the ITF based on chosen ETF are referred to as </w:t>
      </w:r>
      <w:r w:rsidR="00926E20" w:rsidRPr="003820B7">
        <w:rPr>
          <w:noProof/>
          <w:position w:val="-14"/>
        </w:rPr>
        <w:object w:dxaOrig="460" w:dyaOrig="380" w14:anchorId="7CFDCDF5">
          <v:shape id="_x0000_i1033" type="#_x0000_t75" alt="" style="width:23.15pt;height:18.85pt" o:ole="" o:preferrelative="f">
            <v:imagedata r:id="rId37" o:title=""/>
            <o:lock v:ext="edit" aspectratio="f"/>
          </v:shape>
          <o:OLEObject Type="Embed" ProgID="Equation.DSMT4" ShapeID="_x0000_i1033" DrawAspect="Content" ObjectID="_1778681266" r:id="rId38"/>
        </w:object>
      </w:r>
      <w:r w:rsidR="00E7606E">
        <w:rPr>
          <w:noProof/>
        </w:rPr>
        <w:t xml:space="preserve">applied to ITF outcome </w:t>
      </w:r>
      <w:r w:rsidR="00E7606E" w:rsidRPr="00CF0E6D">
        <w:rPr>
          <w:i/>
          <w:iCs/>
          <w:noProof/>
        </w:rPr>
        <w:t>j</w:t>
      </w:r>
      <w:r w:rsidR="00E7606E">
        <w:rPr>
          <w:noProof/>
        </w:rPr>
        <w:t xml:space="preserve"> if ETF outcome </w:t>
      </w:r>
      <w:r w:rsidR="00E7606E" w:rsidRPr="00CF0E6D">
        <w:rPr>
          <w:i/>
          <w:iCs/>
          <w:noProof/>
        </w:rPr>
        <w:t>k</w:t>
      </w:r>
      <w:r w:rsidR="00E7606E">
        <w:rPr>
          <w:noProof/>
        </w:rPr>
        <w:t xml:space="preserve"> is chosen</w:t>
      </w:r>
      <w:r w:rsidR="00926E20">
        <w:rPr>
          <w:noProof/>
        </w:rPr>
        <w:t xml:space="preserve"> </w:t>
      </w:r>
      <w:r w:rsidR="005F6BF6" w:rsidRPr="003820B7">
        <w:rPr>
          <w:noProof/>
          <w:position w:val="-10"/>
        </w:rPr>
        <w:object w:dxaOrig="740" w:dyaOrig="320" w14:anchorId="7D5FC713">
          <v:shape id="_x0000_i1034" type="#_x0000_t75" alt="" style="width:36.85pt;height:15.85pt" o:ole="" o:preferrelative="f">
            <v:imagedata r:id="rId39" o:title=""/>
            <o:lock v:ext="edit" aspectratio="f"/>
          </v:shape>
          <o:OLEObject Type="Embed" ProgID="Equation.DSMT4" ShapeID="_x0000_i1034" DrawAspect="Content" ObjectID="_1778681267" r:id="rId40"/>
        </w:object>
      </w:r>
      <w:r w:rsidR="005F6BF6">
        <w:rPr>
          <w:noProof/>
        </w:rPr>
        <w:t>.</w:t>
      </w:r>
    </w:p>
    <w:p w14:paraId="6ACB914B" w14:textId="72486B2B" w:rsidR="00254153" w:rsidRPr="00F01655" w:rsidRDefault="008C7D4F" w:rsidP="00FA4EBF">
      <w:pPr>
        <w:jc w:val="both"/>
      </w:pPr>
      <w:r w:rsidRPr="00F01655">
        <w:tab/>
        <w:t xml:space="preserve">The analysis framework above represents an elegant structure that, while accounting for associations due to unobserved correlation effects between ETF and ITF, also immediately </w:t>
      </w:r>
      <w:r w:rsidR="009E315A" w:rsidRPr="00F01655">
        <w:t xml:space="preserve">and simultaneously </w:t>
      </w:r>
      <w:r w:rsidRPr="00F01655">
        <w:t>is able to identify the characteristics of individuals who are concordant/discordant</w:t>
      </w:r>
      <w:r w:rsidR="009E315A" w:rsidRPr="00F01655">
        <w:t>,</w:t>
      </w:r>
      <w:r w:rsidRPr="00F01655">
        <w:t xml:space="preserve"> </w:t>
      </w:r>
      <w:r w:rsidRPr="00F01655">
        <w:lastRenderedPageBreak/>
        <w:t xml:space="preserve">as well as provide the predicted teleworking levels of concordant individuals as well as the ETF-ITF </w:t>
      </w:r>
      <w:r w:rsidR="009E315A" w:rsidRPr="00F01655">
        <w:t xml:space="preserve">bivariate combination levels for discordant individuals. </w:t>
      </w:r>
    </w:p>
    <w:p w14:paraId="5CFC050C" w14:textId="77777777" w:rsidR="00254153" w:rsidRPr="00F01655" w:rsidRDefault="00254153" w:rsidP="00FA4EBF">
      <w:pPr>
        <w:ind w:firstLine="720"/>
        <w:jc w:val="both"/>
      </w:pPr>
    </w:p>
    <w:p w14:paraId="6C7CBCE3" w14:textId="67BD39FA" w:rsidR="008C0EE0" w:rsidRPr="00F01655" w:rsidRDefault="00863EE3" w:rsidP="00FA4EBF">
      <w:pPr>
        <w:keepNext/>
      </w:pPr>
      <w:r w:rsidRPr="00863EE3">
        <w:rPr>
          <w:noProof/>
        </w:rPr>
        <w:drawing>
          <wp:inline distT="0" distB="0" distL="0" distR="0" wp14:anchorId="27FC59AB" wp14:editId="10F461ED">
            <wp:extent cx="5962190" cy="24066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rotWithShape="1">
                    <a:blip r:embed="rId41">
                      <a:extLst>
                        <a:ext uri="{28A0092B-C50C-407E-A947-70E740481C1C}">
                          <a14:useLocalDpi xmlns:a14="http://schemas.microsoft.com/office/drawing/2010/main" val="0"/>
                        </a:ext>
                      </a:extLst>
                    </a:blip>
                    <a:srcRect l="5662" r="5662" b="7628"/>
                    <a:stretch/>
                  </pic:blipFill>
                  <pic:spPr bwMode="auto">
                    <a:xfrm>
                      <a:off x="0" y="0"/>
                      <a:ext cx="5972209" cy="2410694"/>
                    </a:xfrm>
                    <a:prstGeom prst="rect">
                      <a:avLst/>
                    </a:prstGeom>
                    <a:noFill/>
                    <a:ln>
                      <a:noFill/>
                    </a:ln>
                    <a:extLst>
                      <a:ext uri="{53640926-AAD7-44D8-BBD7-CCE9431645EC}">
                        <a14:shadowObscured xmlns:a14="http://schemas.microsoft.com/office/drawing/2010/main"/>
                      </a:ext>
                    </a:extLst>
                  </pic:spPr>
                </pic:pic>
              </a:graphicData>
            </a:graphic>
          </wp:inline>
        </w:drawing>
      </w:r>
    </w:p>
    <w:p w14:paraId="36AC98E8" w14:textId="2572DCF9" w:rsidR="008C0EE0" w:rsidRPr="00F01655" w:rsidRDefault="00C80DCE" w:rsidP="00FA4EBF">
      <w:pPr>
        <w:pStyle w:val="Caption"/>
        <w:spacing w:after="0"/>
        <w:jc w:val="center"/>
        <w:rPr>
          <w:rFonts w:ascii="Times New Roman" w:hAnsi="Times New Roman" w:cs="Times New Roman"/>
          <w:b/>
          <w:bCs/>
          <w:i w:val="0"/>
          <w:iCs w:val="0"/>
          <w:color w:val="000000" w:themeColor="text1"/>
          <w:sz w:val="24"/>
          <w:szCs w:val="24"/>
        </w:rPr>
      </w:pPr>
      <w:r w:rsidRPr="00F01655">
        <w:rPr>
          <w:rFonts w:ascii="Times New Roman" w:hAnsi="Times New Roman" w:cs="Times New Roman"/>
          <w:b/>
          <w:bCs/>
          <w:i w:val="0"/>
          <w:iCs w:val="0"/>
          <w:color w:val="000000" w:themeColor="text1"/>
          <w:sz w:val="24"/>
          <w:szCs w:val="24"/>
        </w:rPr>
        <w:t xml:space="preserve">Figure </w:t>
      </w:r>
      <w:r w:rsidR="00383F93" w:rsidRPr="00F01655">
        <w:rPr>
          <w:rFonts w:ascii="Times New Roman" w:hAnsi="Times New Roman" w:cs="Times New Roman"/>
          <w:b/>
          <w:bCs/>
          <w:i w:val="0"/>
          <w:iCs w:val="0"/>
          <w:color w:val="000000" w:themeColor="text1"/>
          <w:sz w:val="24"/>
          <w:szCs w:val="24"/>
        </w:rPr>
        <w:t>3</w:t>
      </w:r>
      <w:r w:rsidRPr="00F01655">
        <w:rPr>
          <w:rFonts w:ascii="Times New Roman" w:hAnsi="Times New Roman" w:cs="Times New Roman"/>
          <w:b/>
          <w:bCs/>
          <w:i w:val="0"/>
          <w:iCs w:val="0"/>
          <w:color w:val="000000" w:themeColor="text1"/>
          <w:sz w:val="24"/>
          <w:szCs w:val="24"/>
        </w:rPr>
        <w:t>.</w:t>
      </w:r>
      <w:r w:rsidR="002D745A" w:rsidRPr="00F01655">
        <w:rPr>
          <w:rFonts w:ascii="Times New Roman" w:hAnsi="Times New Roman" w:cs="Times New Roman"/>
          <w:b/>
          <w:bCs/>
          <w:i w:val="0"/>
          <w:iCs w:val="0"/>
          <w:color w:val="000000" w:themeColor="text1"/>
          <w:sz w:val="24"/>
          <w:szCs w:val="24"/>
        </w:rPr>
        <w:t xml:space="preserve"> </w:t>
      </w:r>
      <w:r w:rsidR="008C0EE0" w:rsidRPr="00F01655">
        <w:rPr>
          <w:rFonts w:ascii="Times New Roman" w:hAnsi="Times New Roman" w:cs="Times New Roman"/>
          <w:b/>
          <w:bCs/>
          <w:i w:val="0"/>
          <w:iCs w:val="0"/>
          <w:color w:val="000000" w:themeColor="text1"/>
          <w:sz w:val="24"/>
          <w:szCs w:val="24"/>
        </w:rPr>
        <w:t>ETF Outcome-Specific ITF Threshold Shifts</w:t>
      </w:r>
    </w:p>
    <w:p w14:paraId="524A627E" w14:textId="77777777" w:rsidR="00B63EC5" w:rsidRPr="00F01655" w:rsidRDefault="00B63EC5" w:rsidP="00FA4EBF">
      <w:pPr>
        <w:jc w:val="both"/>
        <w:rPr>
          <w:i/>
          <w:iCs/>
        </w:rPr>
      </w:pPr>
    </w:p>
    <w:p w14:paraId="02E828AC" w14:textId="1C38C4A8" w:rsidR="00B63EC5" w:rsidRPr="00F01655" w:rsidRDefault="00B63EC5" w:rsidP="00FA4EBF">
      <w:pPr>
        <w:jc w:val="both"/>
      </w:pPr>
      <w:r w:rsidRPr="00FA4EBF">
        <w:rPr>
          <w:i/>
        </w:rPr>
        <w:t>3.</w:t>
      </w:r>
      <w:r w:rsidR="00664674" w:rsidRPr="00FA4EBF">
        <w:rPr>
          <w:i/>
        </w:rPr>
        <w:t>3</w:t>
      </w:r>
      <w:r w:rsidRPr="00FA4EBF">
        <w:rPr>
          <w:i/>
        </w:rPr>
        <w:t>.2</w:t>
      </w:r>
      <w:r w:rsidRPr="00FA4EBF">
        <w:rPr>
          <w:i/>
        </w:rPr>
        <w:tab/>
      </w:r>
      <w:r w:rsidRPr="00F01655">
        <w:rPr>
          <w:i/>
          <w:iCs/>
        </w:rPr>
        <w:t>Methodology</w:t>
      </w:r>
    </w:p>
    <w:p w14:paraId="3BA7EA07" w14:textId="59C7DDED" w:rsidR="004A40EE" w:rsidRPr="00F01655" w:rsidRDefault="004A40EE" w:rsidP="00FA4EBF">
      <w:pPr>
        <w:jc w:val="both"/>
      </w:pPr>
      <w:r w:rsidRPr="00F01655">
        <w:t xml:space="preserve">Let </w:t>
      </w:r>
      <w:r w:rsidRPr="00F01655">
        <w:rPr>
          <w:i/>
          <w:iCs/>
        </w:rPr>
        <w:t xml:space="preserve">q </w:t>
      </w:r>
      <w:r w:rsidR="0041050D" w:rsidRPr="00F01655">
        <w:t>(</w:t>
      </w:r>
      <w:r w:rsidR="005F6BF6" w:rsidRPr="007E6B02">
        <w:rPr>
          <w:noProof/>
          <w:position w:val="-10"/>
        </w:rPr>
        <w:object w:dxaOrig="1320" w:dyaOrig="320" w14:anchorId="29FC250B">
          <v:shape id="_x0000_i1035" type="#_x0000_t75" alt="" style="width:66.85pt;height:15.85pt;mso-width-percent:0;mso-height-percent:0;mso-width-percent:0;mso-height-percent:0" o:ole="" o:preferrelative="f">
            <v:imagedata r:id="rId42" o:title=""/>
            <o:lock v:ext="edit" aspectratio="f"/>
          </v:shape>
          <o:OLEObject Type="Embed" ProgID="Equation.DSMT4" ShapeID="_x0000_i1035" DrawAspect="Content" ObjectID="_1778681268" r:id="rId43"/>
        </w:object>
      </w:r>
      <w:r w:rsidR="0041050D" w:rsidRPr="00F01655">
        <w:rPr>
          <w:noProof/>
        </w:rPr>
        <w:t>) b</w:t>
      </w:r>
      <w:r w:rsidRPr="00F01655">
        <w:t xml:space="preserve">e an index for </w:t>
      </w:r>
      <w:r w:rsidR="001825DF" w:rsidRPr="00F01655">
        <w:t xml:space="preserve">the </w:t>
      </w:r>
      <w:r w:rsidRPr="00F01655">
        <w:t>individual</w:t>
      </w:r>
      <w:r w:rsidR="002301CC" w:rsidRPr="00F01655">
        <w:t xml:space="preserve">, </w:t>
      </w:r>
      <w:r w:rsidR="002301CC" w:rsidRPr="00F01655">
        <w:rPr>
          <w:i/>
        </w:rPr>
        <w:t>k</w:t>
      </w:r>
      <w:r w:rsidR="002301CC" w:rsidRPr="00F01655">
        <w:t xml:space="preserve"> be the index for the ordinal ETF level (</w:t>
      </w:r>
      <w:r w:rsidR="002301CC" w:rsidRPr="00F01655">
        <w:rPr>
          <w:i/>
        </w:rPr>
        <w:t>k</w:t>
      </w:r>
      <w:r w:rsidR="002301CC" w:rsidRPr="00F01655">
        <w:t xml:space="preserve">=1,2,…,6 as shown in Figure 3), and </w:t>
      </w:r>
      <w:r w:rsidR="002301CC" w:rsidRPr="00F01655">
        <w:rPr>
          <w:i/>
        </w:rPr>
        <w:t>j</w:t>
      </w:r>
      <w:r w:rsidR="002301CC" w:rsidRPr="00F01655">
        <w:t xml:space="preserve"> be the index for the ordinal ITF level (</w:t>
      </w:r>
      <w:r w:rsidR="002301CC" w:rsidRPr="00F01655">
        <w:rPr>
          <w:i/>
        </w:rPr>
        <w:t>j</w:t>
      </w:r>
      <w:r w:rsidR="002301CC" w:rsidRPr="00F01655">
        <w:t xml:space="preserve">=1,2,…,6). </w:t>
      </w:r>
      <w:r w:rsidR="0041050D" w:rsidRPr="00F01655">
        <w:t>D</w:t>
      </w:r>
      <w:r w:rsidR="00F41DDC" w:rsidRPr="00F01655">
        <w:t>efin</w:t>
      </w:r>
      <w:r w:rsidR="0041050D" w:rsidRPr="00F01655">
        <w:t xml:space="preserve">e </w:t>
      </w:r>
      <w:r w:rsidR="002C5487" w:rsidRPr="00F01655">
        <w:t>underlying</w:t>
      </w:r>
      <w:r w:rsidR="00F41DDC" w:rsidRPr="00F01655">
        <w:t xml:space="preserve"> latent propensit</w:t>
      </w:r>
      <w:r w:rsidR="002C5487" w:rsidRPr="00F01655">
        <w:t>ies</w:t>
      </w:r>
      <w:r w:rsidR="00F41DDC" w:rsidRPr="00F01655">
        <w:t xml:space="preserve"> </w:t>
      </w:r>
      <w:r w:rsidR="00FA4EBF" w:rsidRPr="005039AE">
        <w:rPr>
          <w:noProof/>
          <w:position w:val="-14"/>
        </w:rPr>
        <w:object w:dxaOrig="340" w:dyaOrig="400" w14:anchorId="2E8F17CD">
          <v:shape id="_x0000_i1036" type="#_x0000_t75" alt="" style="width:17.15pt;height:20.15pt" o:ole="" o:preferrelative="f">
            <v:imagedata r:id="rId44" o:title=""/>
            <o:lock v:ext="edit" aspectratio="f"/>
          </v:shape>
          <o:OLEObject Type="Embed" ProgID="Equation.DSMT4" ShapeID="_x0000_i1036" DrawAspect="Content" ObjectID="_1778681269" r:id="rId45"/>
        </w:object>
      </w:r>
      <w:r w:rsidR="002301CC" w:rsidRPr="00F01655">
        <w:t xml:space="preserve"> (for ETF propensity) and </w:t>
      </w:r>
      <w:r w:rsidR="00FA4EBF" w:rsidRPr="005039AE">
        <w:rPr>
          <w:noProof/>
          <w:position w:val="-14"/>
        </w:rPr>
        <w:object w:dxaOrig="380" w:dyaOrig="420" w14:anchorId="47851BEC">
          <v:shape id="_x0000_i1037" type="#_x0000_t75" alt="" style="width:18.85pt;height:21.85pt;mso-width-percent:0;mso-height-percent:0;mso-width-percent:0;mso-height-percent:0" o:ole="" o:preferrelative="f">
            <v:imagedata r:id="rId46" o:title=""/>
            <o:lock v:ext="edit" aspectratio="f"/>
          </v:shape>
          <o:OLEObject Type="Embed" ProgID="Equation.DSMT4" ShapeID="_x0000_i1037" DrawAspect="Content" ObjectID="_1778681270" r:id="rId47"/>
        </w:object>
      </w:r>
      <w:r w:rsidR="002301CC" w:rsidRPr="00F01655">
        <w:t xml:space="preserve"> (for ITF propensity) a</w:t>
      </w:r>
      <w:r w:rsidR="002C5487" w:rsidRPr="00F01655">
        <w:t>s</w:t>
      </w:r>
      <w:r w:rsidR="0041050D" w:rsidRPr="00F01655">
        <w:t xml:space="preserve"> follows</w:t>
      </w:r>
      <w:r w:rsidR="002C5487" w:rsidRPr="00F01655">
        <w:t>:</w:t>
      </w:r>
    </w:p>
    <w:p w14:paraId="64008DAE" w14:textId="37D46049" w:rsidR="00374668" w:rsidRPr="00F01655" w:rsidRDefault="00926E20" w:rsidP="00CF0E6D">
      <w:pPr>
        <w:jc w:val="both"/>
      </w:pPr>
      <w:r w:rsidRPr="00374668">
        <w:rPr>
          <w:noProof/>
          <w:position w:val="-38"/>
        </w:rPr>
        <w:object w:dxaOrig="5340" w:dyaOrig="900" w14:anchorId="6BF31E1D">
          <v:shape id="_x0000_i1038" type="#_x0000_t75" alt="" style="width:266.55pt;height:45.85pt" o:ole="" o:preferrelative="f">
            <v:imagedata r:id="rId48" o:title=""/>
            <o:lock v:ext="edit" aspectratio="f"/>
          </v:shape>
          <o:OLEObject Type="Embed" ProgID="Equation.DSMT4" ShapeID="_x0000_i1038" DrawAspect="Content" ObjectID="_1778681271" r:id="rId49"/>
        </w:object>
      </w:r>
      <w:r w:rsidR="00D0752F" w:rsidRPr="00F01655">
        <w:tab/>
      </w:r>
      <w:r w:rsidR="00D0752F" w:rsidRPr="00F01655">
        <w:tab/>
      </w:r>
      <w:r w:rsidR="00D0752F" w:rsidRPr="00F01655">
        <w:tab/>
      </w:r>
      <w:r w:rsidR="00897091" w:rsidRPr="00F01655">
        <w:tab/>
        <w:t xml:space="preserve">   </w:t>
      </w:r>
      <w:r w:rsidR="00975BF9">
        <w:t xml:space="preserve">  </w:t>
      </w:r>
      <w:r w:rsidR="00897091" w:rsidRPr="00F01655">
        <w:t xml:space="preserve">  </w:t>
      </w:r>
      <w:r w:rsidR="0041365F">
        <w:t xml:space="preserve">            </w:t>
      </w:r>
      <w:r w:rsidR="00D0752F" w:rsidRPr="00F01655">
        <w:t>(1)</w:t>
      </w:r>
    </w:p>
    <w:p w14:paraId="0246FF51" w14:textId="60ED60EA" w:rsidR="004126BD" w:rsidRPr="00F01655" w:rsidRDefault="002C5487" w:rsidP="00FA4EBF">
      <w:pPr>
        <w:jc w:val="both"/>
      </w:pPr>
      <w:r w:rsidRPr="00F01655">
        <w:t xml:space="preserve">where </w:t>
      </w:r>
      <w:r w:rsidR="00FA4EBF" w:rsidRPr="00BB6ABA">
        <w:rPr>
          <w:noProof/>
          <w:position w:val="-14"/>
        </w:rPr>
        <w:object w:dxaOrig="360" w:dyaOrig="380" w14:anchorId="39ED434E">
          <v:shape id="_x0000_i1039" type="#_x0000_t75" alt="" style="width:18pt;height:18.85pt;mso-width-percent:0;mso-height-percent:0;mso-width-percent:0;mso-height-percent:0" o:ole="" o:preferrelative="f">
            <v:imagedata r:id="rId50" o:title=""/>
            <o:lock v:ext="edit" aspectratio="f"/>
          </v:shape>
          <o:OLEObject Type="Embed" ProgID="Equation.DSMT4" ShapeID="_x0000_i1039" DrawAspect="Content" ObjectID="_1778681272" r:id="rId51"/>
        </w:object>
      </w:r>
      <w:r w:rsidRPr="00F01655">
        <w:t xml:space="preserve"> is a</w:t>
      </w:r>
      <w:r w:rsidR="00D0752F" w:rsidRPr="00F01655">
        <w:t xml:space="preserve">n </w:t>
      </w:r>
      <w:r w:rsidR="004E7CE0" w:rsidRPr="00FA2CE6">
        <w:rPr>
          <w:i/>
          <w:iCs/>
        </w:rPr>
        <w:t>H</w:t>
      </w:r>
      <w:r w:rsidR="004E7CE0">
        <w:t xml:space="preserve">×1 </w:t>
      </w:r>
      <w:r w:rsidRPr="00F01655">
        <w:t>vector of exogenous variables (without a constant)</w:t>
      </w:r>
      <w:r w:rsidR="0093185E" w:rsidRPr="00F01655">
        <w:t xml:space="preserve"> </w:t>
      </w:r>
      <w:r w:rsidR="00B60706" w:rsidRPr="00F01655">
        <w:t>that enters</w:t>
      </w:r>
      <w:r w:rsidR="0093185E" w:rsidRPr="00F01655">
        <w:t xml:space="preserve"> both the underlying preference equations (i.e.</w:t>
      </w:r>
      <w:r w:rsidR="00D0752F" w:rsidRPr="00F01655">
        <w:t xml:space="preserve">, </w:t>
      </w:r>
      <w:r w:rsidR="00AB110C" w:rsidRPr="005039AE">
        <w:rPr>
          <w:noProof/>
          <w:position w:val="-14"/>
        </w:rPr>
        <w:object w:dxaOrig="340" w:dyaOrig="400" w14:anchorId="516E701F">
          <v:shape id="_x0000_i1040" type="#_x0000_t75" alt="" style="width:17.15pt;height:20.15pt" o:ole="" o:preferrelative="f">
            <v:imagedata r:id="rId44" o:title=""/>
            <o:lock v:ext="edit" aspectratio="f"/>
          </v:shape>
          <o:OLEObject Type="Embed" ProgID="Equation.DSMT4" ShapeID="_x0000_i1040" DrawAspect="Content" ObjectID="_1778681273" r:id="rId52"/>
        </w:object>
      </w:r>
      <w:r w:rsidR="0093185E" w:rsidRPr="00F01655">
        <w:t xml:space="preserve"> and </w:t>
      </w:r>
      <w:r w:rsidR="00AB110C" w:rsidRPr="005039AE">
        <w:rPr>
          <w:noProof/>
          <w:position w:val="-14"/>
        </w:rPr>
        <w:object w:dxaOrig="380" w:dyaOrig="420" w14:anchorId="50F38D7D">
          <v:shape id="_x0000_i1041" type="#_x0000_t75" alt="" style="width:18.85pt;height:21pt;mso-width-percent:0;mso-height-percent:0;mso-width-percent:0;mso-height-percent:0" o:ole="" o:preferrelative="f">
            <v:imagedata r:id="rId46" o:title=""/>
            <o:lock v:ext="edit" aspectratio="f"/>
          </v:shape>
          <o:OLEObject Type="Embed" ProgID="Equation.DSMT4" ShapeID="_x0000_i1041" DrawAspect="Content" ObjectID="_1778681274" r:id="rId53"/>
        </w:object>
      </w:r>
      <w:r w:rsidR="0093185E" w:rsidRPr="00F01655">
        <w:t>)</w:t>
      </w:r>
      <w:r w:rsidR="0041050D" w:rsidRPr="00F01655">
        <w:t xml:space="preserve">. </w:t>
      </w:r>
      <w:r w:rsidR="00926E20" w:rsidRPr="00210D89">
        <w:rPr>
          <w:position w:val="-6"/>
        </w:rPr>
        <w:object w:dxaOrig="200" w:dyaOrig="220" w14:anchorId="23494886">
          <v:shape id="_x0000_i1042" type="#_x0000_t75" style="width:10.3pt;height:10.7pt" o:ole="" o:preferrelative="f">
            <v:imagedata r:id="rId54" o:title=""/>
            <o:lock v:ext="edit" aspectratio="f"/>
          </v:shape>
          <o:OLEObject Type="Embed" ProgID="Equation.DSMT4" ShapeID="_x0000_i1042" DrawAspect="Content" ObjectID="_1778681275" r:id="rId55"/>
        </w:object>
      </w:r>
      <w:r w:rsidR="00645455" w:rsidRPr="00F01655">
        <w:t xml:space="preserve"> </w:t>
      </w:r>
      <w:r w:rsidR="0041050D" w:rsidRPr="00F01655">
        <w:t xml:space="preserve">represents </w:t>
      </w:r>
      <w:r w:rsidR="00645455" w:rsidRPr="00F01655">
        <w:t>the corresponding parameter</w:t>
      </w:r>
      <w:r w:rsidR="00BD2699" w:rsidRPr="00F01655">
        <w:t xml:space="preserve"> vector</w:t>
      </w:r>
      <w:r w:rsidR="00D0752F" w:rsidRPr="00F01655">
        <w:t xml:space="preserve"> of dimension </w:t>
      </w:r>
      <w:r w:rsidR="004E7CE0" w:rsidRPr="00FA2CE6">
        <w:rPr>
          <w:i/>
          <w:iCs/>
        </w:rPr>
        <w:t>H</w:t>
      </w:r>
      <w:r w:rsidR="004E7CE0">
        <w:t>×1</w:t>
      </w:r>
      <w:r w:rsidR="0041050D" w:rsidRPr="00F01655">
        <w:rPr>
          <w:noProof/>
        </w:rPr>
        <w:t xml:space="preserve"> of exogenous variable</w:t>
      </w:r>
      <w:r w:rsidR="00CA4B59" w:rsidRPr="00F01655">
        <w:rPr>
          <w:noProof/>
        </w:rPr>
        <w:t xml:space="preserve"> effects</w:t>
      </w:r>
      <w:r w:rsidR="0041050D" w:rsidRPr="00F01655">
        <w:rPr>
          <w:noProof/>
        </w:rPr>
        <w:t xml:space="preserve"> on ETF propensity</w:t>
      </w:r>
      <w:r w:rsidR="005E1E5F" w:rsidRPr="00F01655">
        <w:rPr>
          <w:noProof/>
        </w:rPr>
        <w:t xml:space="preserve"> </w:t>
      </w:r>
      <w:r w:rsidR="00FA4EBF" w:rsidRPr="00BB6ABA">
        <w:rPr>
          <w:noProof/>
          <w:position w:val="-14"/>
        </w:rPr>
        <w:object w:dxaOrig="340" w:dyaOrig="400" w14:anchorId="7446E45C">
          <v:shape id="_x0000_i1043" type="#_x0000_t75" alt="" style="width:17.15pt;height:20.15pt" o:ole="" o:preferrelative="f">
            <v:imagedata r:id="rId44" o:title=""/>
            <o:lock v:ext="edit" aspectratio="f"/>
          </v:shape>
          <o:OLEObject Type="Embed" ProgID="Equation.DSMT4" ShapeID="_x0000_i1043" DrawAspect="Content" ObjectID="_1778681276" r:id="rId56"/>
        </w:object>
      </w:r>
      <w:r w:rsidR="0041050D" w:rsidRPr="00F01655">
        <w:rPr>
          <w:noProof/>
        </w:rPr>
        <w:t xml:space="preserve"> </w:t>
      </w:r>
      <w:r w:rsidR="005E1E5F" w:rsidRPr="00F01655">
        <w:rPr>
          <w:noProof/>
        </w:rPr>
        <w:t xml:space="preserve"> (the ETF effect)</w:t>
      </w:r>
      <w:r w:rsidR="009C6DA3" w:rsidRPr="00F01655">
        <w:t>.</w:t>
      </w:r>
      <w:r w:rsidR="002236BD" w:rsidRPr="00F01655">
        <w:t xml:space="preserve"> </w:t>
      </w:r>
      <w:r w:rsidR="00AB110C" w:rsidRPr="00645455">
        <w:rPr>
          <w:noProof/>
          <w:position w:val="-6"/>
        </w:rPr>
        <w:object w:dxaOrig="200" w:dyaOrig="279" w14:anchorId="02123EF1">
          <v:shape id="_x0000_i1044" type="#_x0000_t75" alt="" style="width:10.7pt;height:13.7pt" o:ole="" o:preferrelative="f">
            <v:imagedata r:id="rId57" o:title=""/>
            <o:lock v:ext="edit" aspectratio="f"/>
          </v:shape>
          <o:OLEObject Type="Embed" ProgID="Equation.DSMT4" ShapeID="_x0000_i1044" DrawAspect="Content" ObjectID="_1778681277" r:id="rId58"/>
        </w:object>
      </w:r>
      <w:r w:rsidR="004D2E5B" w:rsidRPr="00F01655">
        <w:t xml:space="preserve"> (</w:t>
      </w:r>
      <w:r w:rsidR="007E6B02" w:rsidRPr="00F01655">
        <w:t xml:space="preserve">a </w:t>
      </w:r>
      <w:r w:rsidR="004D2E5B" w:rsidRPr="00F01655">
        <w:t xml:space="preserve">vector of dimension </w:t>
      </w:r>
      <w:r w:rsidR="004E7CE0" w:rsidRPr="00FA2CE6">
        <w:rPr>
          <w:i/>
          <w:iCs/>
        </w:rPr>
        <w:t>H</w:t>
      </w:r>
      <w:r w:rsidR="004E7CE0">
        <w:t>×1</w:t>
      </w:r>
      <w:r w:rsidR="004D2E5B" w:rsidRPr="00F01655">
        <w:t>)</w:t>
      </w:r>
      <w:r w:rsidR="007E6B02" w:rsidRPr="00F01655">
        <w:t>)</w:t>
      </w:r>
      <w:r w:rsidR="00BD2699" w:rsidRPr="00F01655">
        <w:t xml:space="preserve"> corresponds to</w:t>
      </w:r>
      <w:r w:rsidR="007E6B02" w:rsidRPr="00F01655">
        <w:t xml:space="preserve"> the </w:t>
      </w:r>
      <w:r w:rsidR="005E1E5F" w:rsidRPr="00F01655">
        <w:t xml:space="preserve">vector of </w:t>
      </w:r>
      <w:r w:rsidR="007D0CB9" w:rsidRPr="00F01655">
        <w:t xml:space="preserve">first </w:t>
      </w:r>
      <w:r w:rsidR="005E1E5F" w:rsidRPr="00F01655">
        <w:t xml:space="preserve">ITF shift effects mentioned in the previous section, </w:t>
      </w:r>
      <w:r w:rsidR="00BD2699" w:rsidRPr="00F01655">
        <w:t>interpreted as the differential influence of exogenous variable</w:t>
      </w:r>
      <w:r w:rsidR="005E1E5F" w:rsidRPr="00F01655">
        <w:t>s</w:t>
      </w:r>
      <w:r w:rsidR="00BD2699" w:rsidRPr="00F01655">
        <w:t xml:space="preserve"> on </w:t>
      </w:r>
      <w:r w:rsidR="005E1E5F" w:rsidRPr="00F01655">
        <w:t>ITF propensity relative to ETF propensity</w:t>
      </w:r>
      <w:r w:rsidR="00365FE8" w:rsidRPr="00F01655">
        <w:t xml:space="preserve">. </w:t>
      </w:r>
      <w:r w:rsidR="005E1E5F" w:rsidRPr="00F01655">
        <w:t xml:space="preserve">The latent propensities </w:t>
      </w:r>
      <w:r w:rsidR="00FA4EBF" w:rsidRPr="00BB6ABA">
        <w:rPr>
          <w:noProof/>
          <w:position w:val="-14"/>
        </w:rPr>
        <w:object w:dxaOrig="340" w:dyaOrig="400" w14:anchorId="5EA5581D">
          <v:shape id="_x0000_i1045" type="#_x0000_t75" alt="" style="width:17.15pt;height:20.15pt" o:ole="" o:preferrelative="f">
            <v:imagedata r:id="rId44" o:title=""/>
            <o:lock v:ext="edit" aspectratio="f"/>
          </v:shape>
          <o:OLEObject Type="Embed" ProgID="Equation.DSMT4" ShapeID="_x0000_i1045" DrawAspect="Content" ObjectID="_1778681278" r:id="rId59"/>
        </w:object>
      </w:r>
      <w:r w:rsidR="005E1E5F" w:rsidRPr="00F01655">
        <w:t xml:space="preserve"> and </w:t>
      </w:r>
      <w:r w:rsidR="00AB110C" w:rsidRPr="005039AE">
        <w:rPr>
          <w:noProof/>
          <w:position w:val="-14"/>
        </w:rPr>
        <w:object w:dxaOrig="380" w:dyaOrig="420" w14:anchorId="0195BD7C">
          <v:shape id="_x0000_i1046" type="#_x0000_t75" alt="" style="width:18.85pt;height:21pt;mso-width-percent:0;mso-height-percent:0;mso-width-percent:0;mso-height-percent:0" o:ole="" o:preferrelative="f">
            <v:imagedata r:id="rId46" o:title=""/>
            <o:lock v:ext="edit" aspectratio="f"/>
          </v:shape>
          <o:OLEObject Type="Embed" ProgID="Equation.DSMT4" ShapeID="_x0000_i1046" DrawAspect="Content" ObjectID="_1778681279" r:id="rId60"/>
        </w:object>
      </w:r>
      <w:r w:rsidR="005E1E5F" w:rsidRPr="00F01655">
        <w:t xml:space="preserve"> are mapped to the</w:t>
      </w:r>
      <w:r w:rsidR="002301CC" w:rsidRPr="00F01655">
        <w:t xml:space="preserve"> observed </w:t>
      </w:r>
      <w:r w:rsidR="005E1E5F" w:rsidRPr="00F01655">
        <w:t xml:space="preserve">ordinal levels </w:t>
      </w:r>
      <w:r w:rsidR="002301CC" w:rsidRPr="00F01655">
        <w:t xml:space="preserve">of ETF (i.e., </w:t>
      </w:r>
      <w:r w:rsidR="00FA4EBF" w:rsidRPr="005E1E5F">
        <w:rPr>
          <w:noProof/>
          <w:position w:val="-14"/>
        </w:rPr>
        <w:object w:dxaOrig="360" w:dyaOrig="380" w14:anchorId="67A01F18">
          <v:shape id="_x0000_i1047" type="#_x0000_t75" alt="" style="width:18pt;height:18.85pt;mso-width-percent:0;mso-height-percent:0;mso-width-percent:0;mso-height-percent:0" o:ole="" o:preferrelative="f">
            <v:imagedata r:id="rId61" o:title=""/>
            <o:lock v:ext="edit" aspectratio="f"/>
          </v:shape>
          <o:OLEObject Type="Embed" ProgID="Equation.DSMT4" ShapeID="_x0000_i1047" DrawAspect="Content" ObjectID="_1778681280" r:id="rId62"/>
        </w:object>
      </w:r>
      <w:r w:rsidR="002301CC" w:rsidRPr="00F01655">
        <w:t xml:space="preserve">) and ITF (i.e., </w:t>
      </w:r>
      <w:r w:rsidR="00FA4EBF" w:rsidRPr="005E1E5F">
        <w:rPr>
          <w:noProof/>
          <w:position w:val="-14"/>
        </w:rPr>
        <w:object w:dxaOrig="380" w:dyaOrig="380" w14:anchorId="7866737B">
          <v:shape id="_x0000_i1048" type="#_x0000_t75" alt="" style="width:18.85pt;height:18.85pt;mso-width-percent:0;mso-height-percent:0;mso-width-percent:0;mso-height-percent:0" o:ole="" o:preferrelative="f">
            <v:imagedata r:id="rId63" o:title=""/>
            <o:lock v:ext="edit" aspectratio="f"/>
          </v:shape>
          <o:OLEObject Type="Embed" ProgID="Equation.DSMT4" ShapeID="_x0000_i1048" DrawAspect="Content" ObjectID="_1778681281" r:id="rId64"/>
        </w:object>
      </w:r>
      <w:r w:rsidR="002301CC" w:rsidRPr="00F01655">
        <w:t xml:space="preserve">) </w:t>
      </w:r>
      <w:r w:rsidR="005E1E5F" w:rsidRPr="00F01655">
        <w:t xml:space="preserve">through elements of a </w:t>
      </w:r>
      <w:r w:rsidR="002236BD" w:rsidRPr="00F01655">
        <w:t>threshold</w:t>
      </w:r>
      <w:r w:rsidR="00B11C43" w:rsidRPr="00F01655">
        <w:t xml:space="preserve"> vector</w:t>
      </w:r>
      <w:r w:rsidR="009C6DA3" w:rsidRPr="00F01655">
        <w:t xml:space="preserve"> </w:t>
      </w:r>
      <w:r w:rsidR="00843D2C" w:rsidRPr="00C018CB">
        <w:rPr>
          <w:noProof/>
          <w:position w:val="-12"/>
        </w:rPr>
        <w:object w:dxaOrig="1820" w:dyaOrig="360" w14:anchorId="7326B9A6">
          <v:shape id="_x0000_i1049" type="#_x0000_t75" alt="" style="width:90.85pt;height:18pt" o:ole="" o:preferrelative="f">
            <v:imagedata r:id="rId65" o:title=""/>
            <o:lock v:ext="edit" aspectratio="f"/>
          </v:shape>
          <o:OLEObject Type="Embed" ProgID="Equation.DSMT4" ShapeID="_x0000_i1049" DrawAspect="Content" ObjectID="_1778681282" r:id="rId66"/>
        </w:object>
      </w:r>
      <w:r w:rsidR="009C6DA3" w:rsidRPr="00F01655">
        <w:t xml:space="preserve"> </w:t>
      </w:r>
      <w:r w:rsidR="00245C30" w:rsidRPr="00F01655">
        <w:t xml:space="preserve">(for ETF) and </w:t>
      </w:r>
      <w:r w:rsidR="00843D2C" w:rsidRPr="005E1E5F">
        <w:rPr>
          <w:noProof/>
          <w:position w:val="-14"/>
        </w:rPr>
        <w:object w:dxaOrig="2260" w:dyaOrig="380" w14:anchorId="1D437043">
          <v:shape id="_x0000_i1050" type="#_x0000_t75" alt="" style="width:113.15pt;height:18.85pt;mso-width-percent:0;mso-height-percent:0;mso-width-percent:0;mso-height-percent:0" o:ole="" o:preferrelative="f">
            <v:imagedata r:id="rId67" o:title=""/>
            <o:lock v:ext="edit" aspectratio="f"/>
          </v:shape>
          <o:OLEObject Type="Embed" ProgID="Equation.DSMT4" ShapeID="_x0000_i1050" DrawAspect="Content" ObjectID="_1778681283" r:id="rId68"/>
        </w:object>
      </w:r>
      <w:r w:rsidR="001F3548" w:rsidRPr="00F01655">
        <w:rPr>
          <w:noProof/>
        </w:rPr>
        <w:t xml:space="preserve"> (for ITF)</w:t>
      </w:r>
      <w:r w:rsidR="00245C30" w:rsidRPr="00F01655">
        <w:rPr>
          <w:noProof/>
        </w:rPr>
        <w:t xml:space="preserve">. The </w:t>
      </w:r>
      <w:r w:rsidR="00245C30" w:rsidRPr="00F01655">
        <w:t xml:space="preserve">elements of </w:t>
      </w:r>
      <w:r w:rsidR="00031EE2" w:rsidRPr="00F01655">
        <w:t xml:space="preserve">each threshold vector </w:t>
      </w:r>
      <w:r w:rsidR="00245C30" w:rsidRPr="00F01655">
        <w:t xml:space="preserve">are in strictly ascending order for each individual </w:t>
      </w:r>
      <w:r w:rsidR="00245C30" w:rsidRPr="00F01655">
        <w:rPr>
          <w:i/>
        </w:rPr>
        <w:t>q</w:t>
      </w:r>
      <w:r w:rsidR="00C018CB" w:rsidRPr="00F01655">
        <w:t xml:space="preserve">, with the convention that </w:t>
      </w:r>
      <w:r w:rsidR="004E7CE0" w:rsidRPr="00C018CB">
        <w:rPr>
          <w:noProof/>
          <w:position w:val="-12"/>
        </w:rPr>
        <w:object w:dxaOrig="2480" w:dyaOrig="360" w14:anchorId="6EFCF4C1">
          <v:shape id="_x0000_i1051" type="#_x0000_t75" alt="" style="width:123.85pt;height:18pt" o:ole="" o:preferrelative="f">
            <v:imagedata r:id="rId69" o:title=""/>
            <o:lock v:ext="edit" aspectratio="f"/>
          </v:shape>
          <o:OLEObject Type="Embed" ProgID="Equation.DSMT4" ShapeID="_x0000_i1051" DrawAspect="Content" ObjectID="_1778681284" r:id="rId70"/>
        </w:object>
      </w:r>
      <w:r w:rsidR="00C018CB" w:rsidRPr="00F01655">
        <w:rPr>
          <w:noProof/>
        </w:rPr>
        <w:t xml:space="preserve">and </w:t>
      </w:r>
      <w:r w:rsidR="00AB110C" w:rsidRPr="001F3548">
        <w:rPr>
          <w:noProof/>
          <w:position w:val="-14"/>
        </w:rPr>
        <w:object w:dxaOrig="2500" w:dyaOrig="380" w14:anchorId="6EE859BB">
          <v:shape id="_x0000_i1052" type="#_x0000_t75" alt="" style="width:125.15pt;height:18.85pt;mso-width-percent:0;mso-height-percent:0;mso-width-percent:0;mso-height-percent:0" o:ole="" o:preferrelative="f">
            <v:imagedata r:id="rId71" o:title=""/>
            <o:lock v:ext="edit" aspectratio="f"/>
          </v:shape>
          <o:OLEObject Type="Embed" ProgID="Equation.DSMT4" ShapeID="_x0000_i1052" DrawAspect="Content" ObjectID="_1778681285" r:id="rId72"/>
        </w:object>
      </w:r>
      <w:r w:rsidR="00C018CB" w:rsidRPr="00F01655">
        <w:rPr>
          <w:noProof/>
        </w:rPr>
        <w:t xml:space="preserve"> for all </w:t>
      </w:r>
      <w:r w:rsidR="008531EC" w:rsidRPr="00F01655">
        <w:rPr>
          <w:i/>
          <w:noProof/>
        </w:rPr>
        <w:t>q</w:t>
      </w:r>
      <w:r w:rsidR="008531EC" w:rsidRPr="00F01655">
        <w:rPr>
          <w:noProof/>
        </w:rPr>
        <w:t>.</w:t>
      </w:r>
      <w:r w:rsidR="00245C30" w:rsidRPr="00F01655">
        <w:t xml:space="preserve"> </w:t>
      </w:r>
      <w:r w:rsidR="008C7D4F" w:rsidRPr="00F01655">
        <w:t>T</w:t>
      </w:r>
      <w:r w:rsidR="009C6DA3" w:rsidRPr="00F01655">
        <w:t xml:space="preserve">he stochastic components (i.e., </w:t>
      </w:r>
      <w:r w:rsidR="004E7CE0" w:rsidRPr="00245C30">
        <w:rPr>
          <w:noProof/>
          <w:position w:val="-14"/>
        </w:rPr>
        <w:object w:dxaOrig="340" w:dyaOrig="380" w14:anchorId="53452B59">
          <v:shape id="_x0000_i1053" type="#_x0000_t75" alt="" style="width:17.15pt;height:18.85pt" o:ole="" o:preferrelative="f">
            <v:imagedata r:id="rId73" o:title=""/>
            <o:lock v:ext="edit" aspectratio="f"/>
          </v:shape>
          <o:OLEObject Type="Embed" ProgID="Equation.DSMT4" ShapeID="_x0000_i1053" DrawAspect="Content" ObjectID="_1778681286" r:id="rId74"/>
        </w:object>
      </w:r>
      <w:r w:rsidR="004E7CE0">
        <w:rPr>
          <w:noProof/>
        </w:rPr>
        <w:t xml:space="preserve"> and</w:t>
      </w:r>
      <w:r w:rsidR="009C6DA3" w:rsidRPr="00F01655">
        <w:t xml:space="preserve"> </w:t>
      </w:r>
      <w:r w:rsidR="004E7CE0" w:rsidRPr="005D4A03">
        <w:rPr>
          <w:position w:val="-14"/>
        </w:rPr>
        <w:object w:dxaOrig="360" w:dyaOrig="380" w14:anchorId="698FE4D2">
          <v:shape id="_x0000_i1054" type="#_x0000_t75" style="width:18pt;height:18.85pt" o:ole="">
            <v:imagedata r:id="rId75" o:title=""/>
          </v:shape>
          <o:OLEObject Type="Embed" ProgID="Equation.DSMT4" ShapeID="_x0000_i1054" DrawAspect="Content" ObjectID="_1778681287" r:id="rId76"/>
        </w:object>
      </w:r>
      <w:r w:rsidR="004E7CE0">
        <w:t xml:space="preserve"> </w:t>
      </w:r>
      <w:r w:rsidR="009C6DA3" w:rsidRPr="00F01655">
        <w:t xml:space="preserve">in the above propensity equations (Equation </w:t>
      </w:r>
      <w:r w:rsidR="00D0752F" w:rsidRPr="00F01655">
        <w:t>1</w:t>
      </w:r>
      <w:r w:rsidR="009C6DA3" w:rsidRPr="00F01655">
        <w:t xml:space="preserve">) are assumed to follow </w:t>
      </w:r>
      <w:r w:rsidR="00E477F5" w:rsidRPr="00F01655">
        <w:t>a bivariate normal distribution (</w:t>
      </w:r>
      <w:bookmarkStart w:id="9" w:name="_Hlk141738157"/>
      <w:r w:rsidR="00AB110C" w:rsidRPr="00245C30">
        <w:rPr>
          <w:noProof/>
          <w:position w:val="-14"/>
        </w:rPr>
        <w:object w:dxaOrig="2799" w:dyaOrig="380" w14:anchorId="320DA685">
          <v:shape id="_x0000_i1055" type="#_x0000_t75" alt="" style="width:139.7pt;height:18.85pt" o:ole="">
            <v:imagedata r:id="rId77" o:title=""/>
          </v:shape>
          <o:OLEObject Type="Embed" ProgID="Equation.DSMT4" ShapeID="_x0000_i1055" DrawAspect="Content" ObjectID="_1778681288" r:id="rId78"/>
        </w:object>
      </w:r>
      <w:bookmarkEnd w:id="9"/>
      <w:r w:rsidR="00E477F5" w:rsidRPr="00F01655">
        <w:t xml:space="preserve">). Note that the diagonal elements in </w:t>
      </w:r>
      <w:r w:rsidR="00AB110C" w:rsidRPr="008C7D4F">
        <w:rPr>
          <w:noProof/>
          <w:position w:val="-14"/>
        </w:rPr>
        <w:object w:dxaOrig="380" w:dyaOrig="380" w14:anchorId="31407615">
          <v:shape id="_x0000_i1056" type="#_x0000_t75" alt="" style="width:18.85pt;height:18.85pt;mso-width-percent:0;mso-height-percent:0;mso-width-percent:0;mso-height-percent:0" o:ole="" o:preferrelative="f">
            <v:imagedata r:id="rId79" o:title=""/>
            <o:lock v:ext="edit" aspectratio="f"/>
          </v:shape>
          <o:OLEObject Type="Embed" ProgID="Equation.DSMT4" ShapeID="_x0000_i1056" DrawAspect="Content" ObjectID="_1778681289" r:id="rId80"/>
        </w:object>
      </w:r>
      <w:r w:rsidR="00E477F5" w:rsidRPr="00F01655">
        <w:t xml:space="preserve"> are fixed to 1 for identification purposes, and therefore </w:t>
      </w:r>
      <w:r w:rsidR="00AB110C" w:rsidRPr="008C7D4F">
        <w:rPr>
          <w:noProof/>
          <w:position w:val="-14"/>
        </w:rPr>
        <w:object w:dxaOrig="380" w:dyaOrig="380" w14:anchorId="59A18CF8">
          <v:shape id="_x0000_i1057" type="#_x0000_t75" alt="" style="width:18.85pt;height:18.85pt;mso-width-percent:0;mso-height-percent:0;mso-width-percent:0;mso-height-percent:0" o:ole="" o:preferrelative="f">
            <v:imagedata r:id="rId79" o:title=""/>
            <o:lock v:ext="edit" aspectratio="f"/>
          </v:shape>
          <o:OLEObject Type="Embed" ProgID="Equation.DSMT4" ShapeID="_x0000_i1057" DrawAspect="Content" ObjectID="_1778681290" r:id="rId81"/>
        </w:object>
      </w:r>
      <w:r w:rsidR="00E477F5" w:rsidRPr="00F01655">
        <w:t xml:space="preserve"> </w:t>
      </w:r>
      <w:r w:rsidR="00031EE2" w:rsidRPr="00F01655">
        <w:t>corresponds to</w:t>
      </w:r>
      <w:r w:rsidR="00E477F5" w:rsidRPr="00F01655">
        <w:t xml:space="preserve"> a correlation matrix </w:t>
      </w:r>
      <w:r w:rsidR="00FA4EBF" w:rsidRPr="007300A3">
        <w:rPr>
          <w:noProof/>
          <w:position w:val="-32"/>
        </w:rPr>
        <w:object w:dxaOrig="1540" w:dyaOrig="760" w14:anchorId="24C70C70">
          <v:shape id="_x0000_i1058" type="#_x0000_t75" alt="" style="width:77.15pt;height:38.15pt" o:ole="" o:preferrelative="f">
            <v:imagedata r:id="rId82" o:title=""/>
            <o:lock v:ext="edit" aspectratio="f"/>
          </v:shape>
          <o:OLEObject Type="Embed" ProgID="Equation.DSMT4" ShapeID="_x0000_i1058" DrawAspect="Content" ObjectID="_1778681291" r:id="rId83"/>
        </w:object>
      </w:r>
      <w:r w:rsidR="00E477F5" w:rsidRPr="00F01655">
        <w:t xml:space="preserve"> with </w:t>
      </w:r>
      <w:r w:rsidR="00FA4EBF" w:rsidRPr="00245C30">
        <w:rPr>
          <w:noProof/>
          <w:position w:val="-14"/>
        </w:rPr>
        <w:object w:dxaOrig="1120" w:dyaOrig="380" w14:anchorId="02152AEA">
          <v:shape id="_x0000_i1059" type="#_x0000_t75" alt="" style="width:56.15pt;height:18.85pt" o:ole="" o:preferrelative="f">
            <v:imagedata r:id="rId84" o:title=""/>
            <o:lock v:ext="edit" aspectratio="f"/>
          </v:shape>
          <o:OLEObject Type="Embed" ProgID="Equation.DSMT4" ShapeID="_x0000_i1059" DrawAspect="Content" ObjectID="_1778681292" r:id="rId85"/>
        </w:object>
      </w:r>
      <w:r w:rsidR="00E477F5" w:rsidRPr="00F01655">
        <w:t>.</w:t>
      </w:r>
      <w:r w:rsidR="00733F5A" w:rsidRPr="00F01655">
        <w:t xml:space="preserve"> </w:t>
      </w:r>
      <w:r w:rsidR="008C7D4F" w:rsidRPr="00F01655">
        <w:t>T</w:t>
      </w:r>
      <w:r w:rsidR="00733F5A" w:rsidRPr="00F01655">
        <w:t xml:space="preserve">o capture </w:t>
      </w:r>
      <w:r w:rsidR="008C7D4F" w:rsidRPr="00F01655">
        <w:t xml:space="preserve">heterogeneity across individuals in the correlation, </w:t>
      </w:r>
      <w:r w:rsidR="00B11C43" w:rsidRPr="00F01655">
        <w:lastRenderedPageBreak/>
        <w:t xml:space="preserve">we reparametrize </w:t>
      </w:r>
      <w:bookmarkStart w:id="10" w:name="_Hlk158593056"/>
      <w:r w:rsidR="00FA4EBF" w:rsidRPr="005039AE">
        <w:rPr>
          <w:noProof/>
          <w:position w:val="-14"/>
        </w:rPr>
        <w:object w:dxaOrig="300" w:dyaOrig="380" w14:anchorId="49F44C37">
          <v:shape id="_x0000_i1060" type="#_x0000_t75" alt="" style="width:15pt;height:18.85pt" o:ole="" o:preferrelative="f">
            <v:imagedata r:id="rId86" o:title=""/>
            <o:lock v:ext="edit" aspectratio="f"/>
          </v:shape>
          <o:OLEObject Type="Embed" ProgID="Equation.DSMT4" ShapeID="_x0000_i1060" DrawAspect="Content" ObjectID="_1778681293" r:id="rId87"/>
        </w:object>
      </w:r>
      <w:bookmarkEnd w:id="10"/>
      <w:r w:rsidR="008C7D4F" w:rsidRPr="00F01655">
        <w:t xml:space="preserve"> </w:t>
      </w:r>
      <w:r w:rsidR="001D5043" w:rsidRPr="00F01655">
        <w:t>using</w:t>
      </w:r>
      <w:r w:rsidR="008C7D4F" w:rsidRPr="00F01655">
        <w:t xml:space="preserve"> exogenous variables</w:t>
      </w:r>
      <w:r w:rsidR="001D5043" w:rsidRPr="00F01655">
        <w:t xml:space="preserve"> specific to the decision maker</w:t>
      </w:r>
      <w:r w:rsidR="00B11C43" w:rsidRPr="00F01655">
        <w:t xml:space="preserve"> as </w:t>
      </w:r>
      <w:r w:rsidR="00AB110C" w:rsidRPr="007300A3">
        <w:rPr>
          <w:noProof/>
          <w:position w:val="-32"/>
        </w:rPr>
        <w:object w:dxaOrig="1840" w:dyaOrig="720" w14:anchorId="661DD7A4">
          <v:shape id="_x0000_i1061" type="#_x0000_t75" alt="" style="width:92.15pt;height:36.85pt" o:ole="">
            <v:imagedata r:id="rId88" o:title=""/>
          </v:shape>
          <o:OLEObject Type="Embed" ProgID="Equation.DSMT4" ShapeID="_x0000_i1061" DrawAspect="Content" ObjectID="_1778681294" r:id="rId89"/>
        </w:object>
      </w:r>
      <w:r w:rsidR="00B11C43" w:rsidRPr="00F01655">
        <w:t xml:space="preserve">, where </w:t>
      </w:r>
      <w:r w:rsidR="00AB110C" w:rsidRPr="00BB6ABA">
        <w:rPr>
          <w:noProof/>
          <w:position w:val="-14"/>
        </w:rPr>
        <w:object w:dxaOrig="300" w:dyaOrig="380" w14:anchorId="747610F4">
          <v:shape id="_x0000_i1062" type="#_x0000_t75" alt="" style="width:15pt;height:18.85pt;mso-width-percent:0;mso-height-percent:0;mso-width-percent:0;mso-height-percent:0" o:ole="" o:preferrelative="f">
            <v:imagedata r:id="rId90" o:title=""/>
            <o:lock v:ext="edit" aspectratio="f"/>
          </v:shape>
          <o:OLEObject Type="Embed" ProgID="Equation.DSMT4" ShapeID="_x0000_i1062" DrawAspect="Content" ObjectID="_1778681295" r:id="rId91"/>
        </w:object>
      </w:r>
      <w:r w:rsidR="00B11C43" w:rsidRPr="00F01655">
        <w:t xml:space="preserve"> is a</w:t>
      </w:r>
      <w:r w:rsidR="001D5043" w:rsidRPr="00F01655">
        <w:t xml:space="preserve">n </w:t>
      </w:r>
      <w:r w:rsidR="00FA4EBF" w:rsidRPr="00D0752F">
        <w:rPr>
          <w:noProof/>
          <w:position w:val="-4"/>
        </w:rPr>
        <w:object w:dxaOrig="600" w:dyaOrig="260" w14:anchorId="0531230F">
          <v:shape id="_x0000_i1063" type="#_x0000_t75" alt="" style="width:30pt;height:12.85pt" o:ole="" o:preferrelative="f">
            <v:imagedata r:id="rId92" o:title=""/>
            <o:lock v:ext="edit" aspectratio="f"/>
          </v:shape>
          <o:OLEObject Type="Embed" ProgID="Equation.DSMT4" ShapeID="_x0000_i1063" DrawAspect="Content" ObjectID="_1778681296" r:id="rId93"/>
        </w:object>
      </w:r>
      <w:r w:rsidR="00B11C43" w:rsidRPr="00F01655">
        <w:t xml:space="preserve"> vector of </w:t>
      </w:r>
      <w:r w:rsidR="008C7D4F" w:rsidRPr="00F01655">
        <w:t>individual-specific exogenous variables</w:t>
      </w:r>
      <w:r w:rsidR="00B11C43" w:rsidRPr="00F01655">
        <w:t xml:space="preserve"> (including a constant), </w:t>
      </w:r>
      <w:r w:rsidR="008C7D4F" w:rsidRPr="00F01655">
        <w:t>and</w:t>
      </w:r>
      <w:r w:rsidR="00B11C43" w:rsidRPr="00F01655">
        <w:t xml:space="preserve"> </w:t>
      </w:r>
      <w:r w:rsidR="00FA4EBF" w:rsidRPr="00BB6ABA">
        <w:rPr>
          <w:noProof/>
          <w:position w:val="-6"/>
        </w:rPr>
        <w:object w:dxaOrig="200" w:dyaOrig="279" w14:anchorId="1D8221E9">
          <v:shape id="_x0000_i1064" type="#_x0000_t75" alt="" style="width:10.7pt;height:13.7pt" o:ole="" o:preferrelative="f">
            <v:imagedata r:id="rId94" o:title=""/>
            <o:lock v:ext="edit" aspectratio="f"/>
          </v:shape>
          <o:OLEObject Type="Embed" ProgID="Equation.DSMT4" ShapeID="_x0000_i1064" DrawAspect="Content" ObjectID="_1778681297" r:id="rId95"/>
        </w:object>
      </w:r>
      <w:r w:rsidR="00031EE2" w:rsidRPr="00F01655">
        <w:t xml:space="preserve"> being the corresponding</w:t>
      </w:r>
      <w:r w:rsidR="001D5043" w:rsidRPr="00F01655">
        <w:t xml:space="preserve"> </w:t>
      </w:r>
      <w:r w:rsidR="005F6BF6" w:rsidRPr="00D0752F">
        <w:rPr>
          <w:noProof/>
          <w:position w:val="-4"/>
        </w:rPr>
        <w:object w:dxaOrig="600" w:dyaOrig="260" w14:anchorId="35BFDC47">
          <v:shape id="_x0000_i1065" type="#_x0000_t75" alt="" style="width:30pt;height:12.85pt" o:ole="" o:preferrelative="f">
            <v:imagedata r:id="rId92" o:title=""/>
            <o:lock v:ext="edit" aspectratio="f"/>
          </v:shape>
          <o:OLEObject Type="Embed" ProgID="Equation.DSMT4" ShapeID="_x0000_i1065" DrawAspect="Content" ObjectID="_1778681298" r:id="rId96"/>
        </w:object>
      </w:r>
      <w:r w:rsidR="00031EE2" w:rsidRPr="00F01655">
        <w:t xml:space="preserve"> vector of parameters.</w:t>
      </w:r>
      <w:r w:rsidR="001D5043" w:rsidRPr="00F01655">
        <w:t xml:space="preserve"> Note that</w:t>
      </w:r>
      <w:r w:rsidR="008C7D4F" w:rsidRPr="00F01655">
        <w:t>,</w:t>
      </w:r>
      <w:r w:rsidR="001D5043" w:rsidRPr="00F01655">
        <w:t xml:space="preserve"> in the above parameterization, a positive parameter in </w:t>
      </w:r>
      <w:r w:rsidR="00FA4EBF" w:rsidRPr="00BB6ABA">
        <w:rPr>
          <w:noProof/>
          <w:position w:val="-6"/>
        </w:rPr>
        <w:object w:dxaOrig="200" w:dyaOrig="279" w14:anchorId="1BCB8544">
          <v:shape id="_x0000_i1066" type="#_x0000_t75" alt="" style="width:10.7pt;height:13.7pt" o:ole="" o:preferrelative="f">
            <v:imagedata r:id="rId94" o:title=""/>
            <o:lock v:ext="edit" aspectratio="f"/>
          </v:shape>
          <o:OLEObject Type="Embed" ProgID="Equation.DSMT4" ShapeID="_x0000_i1066" DrawAspect="Content" ObjectID="_1778681299" r:id="rId97"/>
        </w:object>
      </w:r>
      <w:r w:rsidR="001D5043" w:rsidRPr="00F01655">
        <w:t xml:space="preserve"> </w:t>
      </w:r>
      <w:r w:rsidR="008C7D4F" w:rsidRPr="00F01655">
        <w:t xml:space="preserve">for a specific exogenous variable implies that individuals with characteristics corresponding to that variable have a lower correlation between ETF and ITF, while a negative parameter implies the reverse. </w:t>
      </w:r>
    </w:p>
    <w:p w14:paraId="5BC262B3" w14:textId="53CC408A" w:rsidR="000C15B2" w:rsidRPr="00F01655" w:rsidRDefault="009E315A" w:rsidP="00FA4EBF">
      <w:pPr>
        <w:ind w:firstLine="720"/>
        <w:jc w:val="both"/>
      </w:pPr>
      <w:r w:rsidRPr="00F01655">
        <w:t xml:space="preserve">Finally, we capture the </w:t>
      </w:r>
      <w:r w:rsidR="009001F8" w:rsidRPr="00F01655">
        <w:t xml:space="preserve">sizeable </w:t>
      </w:r>
      <w:r w:rsidRPr="00F01655">
        <w:t>concord</w:t>
      </w:r>
      <w:r w:rsidR="009001F8" w:rsidRPr="00F01655">
        <w:t xml:space="preserve">ance </w:t>
      </w:r>
      <w:r w:rsidR="008B7613">
        <w:t xml:space="preserve">and tempered dissonance (the </w:t>
      </w:r>
      <w:r w:rsidR="007E2307">
        <w:t xml:space="preserve">former characterized by the “same-threshold shifts” and the </w:t>
      </w:r>
      <w:r w:rsidR="008B7613">
        <w:t xml:space="preserve">latter reflected through </w:t>
      </w:r>
      <w:r w:rsidR="007E2307">
        <w:t>“</w:t>
      </w:r>
      <w:r w:rsidR="008B7613">
        <w:t>cross-threshold shifts</w:t>
      </w:r>
      <w:r w:rsidR="007E2307">
        <w:t>”</w:t>
      </w:r>
      <w:r w:rsidR="008B7613">
        <w:t xml:space="preserve">) </w:t>
      </w:r>
      <w:r w:rsidR="009001F8" w:rsidRPr="00F01655">
        <w:t>through the</w:t>
      </w:r>
      <w:r w:rsidR="007D0CB9" w:rsidRPr="00F01655">
        <w:t xml:space="preserve"> set of</w:t>
      </w:r>
      <w:r w:rsidR="009001F8" w:rsidRPr="00F01655">
        <w:t xml:space="preserve"> </w:t>
      </w:r>
      <w:r w:rsidR="00D10F72" w:rsidRPr="00F01655">
        <w:t xml:space="preserve">ETF outcome-specific </w:t>
      </w:r>
      <w:r w:rsidR="00082E88">
        <w:t xml:space="preserve">threshold </w:t>
      </w:r>
      <w:r w:rsidR="00D10F72" w:rsidRPr="00F01655">
        <w:t xml:space="preserve">shifter effects </w:t>
      </w:r>
      <w:r w:rsidR="007D0CB9" w:rsidRPr="00F01655">
        <w:t>of</w:t>
      </w:r>
      <w:r w:rsidR="00D10F72" w:rsidRPr="00F01655">
        <w:t xml:space="preserve"> the ITF thresholds as follows: </w:t>
      </w:r>
    </w:p>
    <w:p w14:paraId="5857233D" w14:textId="25E879C1" w:rsidR="00E7606E" w:rsidRDefault="00F402EE">
      <w:pPr>
        <w:jc w:val="both"/>
      </w:pPr>
      <w:r w:rsidRPr="002170C1">
        <w:rPr>
          <w:noProof/>
          <w:position w:val="-30"/>
        </w:rPr>
        <w:object w:dxaOrig="3980" w:dyaOrig="580" w14:anchorId="0056BEC0">
          <v:shape id="_x0000_i1067" type="#_x0000_t75" alt="" style="width:198.85pt;height:28.7pt" o:ole="" o:preferrelative="f">
            <v:imagedata r:id="rId98" o:title=""/>
            <o:lock v:ext="edit" aspectratio="f"/>
          </v:shape>
          <o:OLEObject Type="Embed" ProgID="Equation.DSMT4" ShapeID="_x0000_i1067" DrawAspect="Content" ObjectID="_1778681300" r:id="rId99"/>
        </w:object>
      </w:r>
      <w:r w:rsidR="00D10F72" w:rsidRPr="00F01655">
        <w:tab/>
      </w:r>
      <w:r w:rsidR="00D10F72" w:rsidRPr="00F01655">
        <w:tab/>
      </w:r>
      <w:r w:rsidR="002170C1">
        <w:t xml:space="preserve">                              </w:t>
      </w:r>
      <w:r w:rsidR="00DC4F9E">
        <w:t xml:space="preserve">                    </w:t>
      </w:r>
      <w:r w:rsidR="005F0724">
        <w:t xml:space="preserve">         </w:t>
      </w:r>
      <w:r w:rsidR="00CF0E6D">
        <w:t xml:space="preserve"> </w:t>
      </w:r>
      <w:r w:rsidR="005F0724">
        <w:t xml:space="preserve">  </w:t>
      </w:r>
      <w:r w:rsidR="00DC4F9E">
        <w:t xml:space="preserve">     </w:t>
      </w:r>
      <w:r w:rsidR="00D10F72" w:rsidRPr="00F01655">
        <w:t>(</w:t>
      </w:r>
      <w:r w:rsidR="00897091" w:rsidRPr="00F01655">
        <w:t>2</w:t>
      </w:r>
      <w:r w:rsidR="00D10F72" w:rsidRPr="00F01655">
        <w:t>)</w:t>
      </w:r>
    </w:p>
    <w:p w14:paraId="3261027D" w14:textId="169E9E07" w:rsidR="009D13E7" w:rsidRDefault="009D13E7" w:rsidP="00FA4EBF">
      <w:pPr>
        <w:jc w:val="both"/>
      </w:pPr>
      <w:r w:rsidRPr="003E3AD3">
        <w:t xml:space="preserve">where </w:t>
      </w:r>
      <w:r w:rsidR="00AB110C" w:rsidRPr="003E3AD3">
        <w:rPr>
          <w:noProof/>
          <w:position w:val="-14"/>
        </w:rPr>
        <w:object w:dxaOrig="440" w:dyaOrig="380" w14:anchorId="17F9F3D0">
          <v:shape id="_x0000_i1068" type="#_x0000_t75" alt="" style="width:22.7pt;height:18.85pt;mso-width-percent:0;mso-height-percent:0;mso-width-percent:0;mso-height-percent:0" o:ole="" o:preferrelative="f">
            <v:imagedata r:id="rId100" o:title=""/>
            <o:lock v:ext="edit" aspectratio="f"/>
          </v:shape>
          <o:OLEObject Type="Embed" ProgID="Equation.DSMT4" ShapeID="_x0000_i1068" DrawAspect="Content" ObjectID="_1778681301" r:id="rId101"/>
        </w:object>
      </w:r>
      <w:r w:rsidRPr="003E3AD3">
        <w:t xml:space="preserve"> is the adjusted upper bound ITF threshold for individual </w:t>
      </w:r>
      <w:r w:rsidRPr="00AE1B67">
        <w:rPr>
          <w:i/>
        </w:rPr>
        <w:t>q</w:t>
      </w:r>
      <w:r w:rsidRPr="003E3AD3">
        <w:t xml:space="preserve"> for the</w:t>
      </w:r>
      <w:r>
        <w:t xml:space="preserve"> </w:t>
      </w:r>
      <w:proofErr w:type="spellStart"/>
      <w:r w:rsidRPr="00383F93">
        <w:rPr>
          <w:i/>
          <w:iCs/>
        </w:rPr>
        <w:t>j</w:t>
      </w:r>
      <w:r>
        <w:t>th</w:t>
      </w:r>
      <w:proofErr w:type="spellEnd"/>
      <w:r>
        <w:t xml:space="preserve"> </w:t>
      </w:r>
      <w:r w:rsidRPr="003E3AD3">
        <w:t xml:space="preserve">outcome level, </w:t>
      </w:r>
      <w:r w:rsidR="00F402EE" w:rsidRPr="003E3AD3">
        <w:rPr>
          <w:noProof/>
          <w:position w:val="-14"/>
        </w:rPr>
        <w:object w:dxaOrig="320" w:dyaOrig="380" w14:anchorId="6B0B2297">
          <v:shape id="_x0000_i1069" type="#_x0000_t75" alt="" style="width:15.85pt;height:18.85pt" o:ole="" o:preferrelative="f">
            <v:imagedata r:id="rId102" o:title=""/>
            <o:lock v:ext="edit" aspectratio="f"/>
          </v:shape>
          <o:OLEObject Type="Embed" ProgID="Equation.DSMT4" ShapeID="_x0000_i1069" DrawAspect="Content" ObjectID="_1778681302" r:id="rId103"/>
        </w:object>
      </w:r>
      <w:r w:rsidRPr="003E3AD3">
        <w:t xml:space="preserve"> is the corresponding unadjusted upper bound ITF threshold for the </w:t>
      </w:r>
      <w:proofErr w:type="spellStart"/>
      <w:r w:rsidRPr="00F648BD">
        <w:rPr>
          <w:i/>
          <w:iCs/>
        </w:rPr>
        <w:t>j</w:t>
      </w:r>
      <w:r>
        <w:t>th</w:t>
      </w:r>
      <w:proofErr w:type="spellEnd"/>
      <w:r w:rsidRPr="0041433B" w:rsidDel="007D0CB9">
        <w:rPr>
          <w:i/>
          <w:vertAlign w:val="superscript"/>
        </w:rPr>
        <w:t xml:space="preserve"> </w:t>
      </w:r>
      <w:r w:rsidRPr="003E3AD3">
        <w:t>outcome level</w:t>
      </w:r>
      <w:r>
        <w:t xml:space="preserve">, </w:t>
      </w:r>
      <w:r w:rsidRPr="008B5FA3">
        <w:rPr>
          <w:position w:val="-14"/>
        </w:rPr>
        <w:object w:dxaOrig="340" w:dyaOrig="380" w14:anchorId="1CF4D1E3">
          <v:shape id="_x0000_i1070" type="#_x0000_t75" style="width:16.7pt;height:19.3pt" o:ole="">
            <v:imagedata r:id="rId104" o:title=""/>
          </v:shape>
          <o:OLEObject Type="Embed" ProgID="Equation.DSMT4" ShapeID="_x0000_i1070" DrawAspect="Content" ObjectID="_1778681303" r:id="rId105"/>
        </w:object>
      </w:r>
      <w:r>
        <w:t xml:space="preserve">represents the “same-threshold” shifter term corresponding to ITF outcome </w:t>
      </w:r>
      <w:r w:rsidRPr="00CF0E6D">
        <w:rPr>
          <w:i/>
          <w:iCs/>
        </w:rPr>
        <w:t>j</w:t>
      </w:r>
      <w:r>
        <w:t xml:space="preserve"> (as defined in the previous section), and </w:t>
      </w:r>
      <w:r w:rsidRPr="008B5FA3">
        <w:rPr>
          <w:position w:val="-14"/>
        </w:rPr>
        <w:object w:dxaOrig="360" w:dyaOrig="380" w14:anchorId="4FC0C346">
          <v:shape id="_x0000_i1071" type="#_x0000_t75" style="width:18pt;height:19.3pt" o:ole="">
            <v:imagedata r:id="rId106" o:title=""/>
          </v:shape>
          <o:OLEObject Type="Embed" ProgID="Equation.DSMT4" ShapeID="_x0000_i1071" DrawAspect="Content" ObjectID="_1778681304" r:id="rId107"/>
        </w:object>
      </w:r>
      <w:r>
        <w:t xml:space="preserve"> is the “cross-threshold” shifter effect applicable to ETF level </w:t>
      </w:r>
      <w:r w:rsidRPr="00CF0E6D">
        <w:rPr>
          <w:i/>
          <w:iCs/>
        </w:rPr>
        <w:t>k</w:t>
      </w:r>
      <w:r>
        <w:t xml:space="preserve"> and ITF level </w:t>
      </w:r>
      <w:r w:rsidRPr="00CF0E6D">
        <w:rPr>
          <w:i/>
          <w:iCs/>
        </w:rPr>
        <w:t>j</w:t>
      </w:r>
      <w:r>
        <w:t xml:space="preserve"> (also as defined in the previous section). </w:t>
      </w:r>
      <w:r w:rsidR="00AB110C" w:rsidRPr="00430055">
        <w:rPr>
          <w:noProof/>
          <w:position w:val="-16"/>
        </w:rPr>
        <w:object w:dxaOrig="920" w:dyaOrig="460" w14:anchorId="6B895C92">
          <v:shape id="_x0000_i1072" type="#_x0000_t75" alt="" style="width:46.7pt;height:22.3pt;mso-width-percent:0;mso-height-percent:0;mso-width-percent:0;mso-height-percent:0" o:ole="" o:preferrelative="f">
            <v:imagedata r:id="rId108" o:title=""/>
            <o:lock v:ext="edit" aspectratio="f"/>
          </v:shape>
          <o:OLEObject Type="Embed" ProgID="Equation.DSMT4" ShapeID="_x0000_i1072" DrawAspect="Content" ObjectID="_1778681305" r:id="rId109"/>
        </w:object>
      </w:r>
      <w:r w:rsidR="00DC4F9E" w:rsidRPr="00F01655">
        <w:rPr>
          <w:noProof/>
        </w:rPr>
        <w:t xml:space="preserve"> </w:t>
      </w:r>
      <w:r w:rsidR="00DC4F9E" w:rsidRPr="00F01655">
        <w:t xml:space="preserve">is an indicator variable that takes a value of 1 if individual </w:t>
      </w:r>
      <w:r w:rsidR="00DC4F9E" w:rsidRPr="00F01655">
        <w:rPr>
          <w:i/>
        </w:rPr>
        <w:t>q</w:t>
      </w:r>
      <w:r w:rsidR="00DC4F9E" w:rsidRPr="00F01655">
        <w:t xml:space="preserve"> is observed to choose ETF level </w:t>
      </w:r>
      <w:r w:rsidR="00DC4F9E" w:rsidRPr="00F01655">
        <w:rPr>
          <w:i/>
        </w:rPr>
        <w:t>k</w:t>
      </w:r>
      <w:r w:rsidR="00DC4F9E" w:rsidRPr="00F01655">
        <w:t xml:space="preserve"> </w:t>
      </w:r>
      <w:r w:rsidR="00DC4F9E" w:rsidRPr="00F01655">
        <w:rPr>
          <w:u w:val="single"/>
        </w:rPr>
        <w:t>and</w:t>
      </w:r>
      <w:r w:rsidR="00DC4F9E" w:rsidRPr="00F01655">
        <w:t xml:space="preserve"> ITF level </w:t>
      </w:r>
      <w:r w:rsidR="00DC4F9E" w:rsidRPr="00F01655">
        <w:rPr>
          <w:i/>
        </w:rPr>
        <w:t>j</w:t>
      </w:r>
      <w:r w:rsidR="00DC4F9E" w:rsidRPr="00F01655">
        <w:t xml:space="preserve"> is equal to ETF level </w:t>
      </w:r>
      <w:r w:rsidR="00DC4F9E" w:rsidRPr="00F01655">
        <w:rPr>
          <w:i/>
        </w:rPr>
        <w:t>k</w:t>
      </w:r>
      <w:r w:rsidR="00DC4F9E" w:rsidRPr="00F01655">
        <w:t xml:space="preserve">, and zero </w:t>
      </w:r>
      <w:proofErr w:type="gramStart"/>
      <w:r w:rsidR="00DC4F9E" w:rsidRPr="00F01655">
        <w:t>otherwise</w:t>
      </w:r>
      <w:r>
        <w:t>.</w:t>
      </w:r>
      <w:proofErr w:type="gramEnd"/>
      <w:r w:rsidR="00DC4F9E">
        <w:t xml:space="preserve"> </w:t>
      </w:r>
      <w:r w:rsidR="00AB110C" w:rsidRPr="004206D6">
        <w:rPr>
          <w:noProof/>
          <w:position w:val="-18"/>
        </w:rPr>
        <w:object w:dxaOrig="920" w:dyaOrig="480" w14:anchorId="248EA167">
          <v:shape id="_x0000_i1073" type="#_x0000_t75" alt="" style="width:46.7pt;height:24pt" o:ole="" o:preferrelative="f">
            <v:imagedata r:id="rId110" o:title=""/>
            <o:lock v:ext="edit" aspectratio="f"/>
          </v:shape>
          <o:OLEObject Type="Embed" ProgID="Equation.DSMT4" ShapeID="_x0000_i1073" DrawAspect="Content" ObjectID="_1778681306" r:id="rId111"/>
        </w:object>
      </w:r>
      <w:r w:rsidR="00DC4F9E" w:rsidRPr="00F01655">
        <w:rPr>
          <w:noProof/>
        </w:rPr>
        <w:t xml:space="preserve"> </w:t>
      </w:r>
      <w:r w:rsidR="00DC4F9E">
        <w:t xml:space="preserve">is </w:t>
      </w:r>
      <w:r w:rsidR="00DC4F9E" w:rsidRPr="00F01655">
        <w:t>an</w:t>
      </w:r>
      <w:r>
        <w:t>other</w:t>
      </w:r>
      <w:r w:rsidR="00DC4F9E" w:rsidRPr="00F01655">
        <w:t xml:space="preserve"> indicator variable that takes a value of 1 if individual </w:t>
      </w:r>
      <w:r w:rsidR="00DC4F9E" w:rsidRPr="00F01655">
        <w:rPr>
          <w:i/>
        </w:rPr>
        <w:t>q</w:t>
      </w:r>
      <w:r w:rsidR="00DC4F9E" w:rsidRPr="00F01655">
        <w:t xml:space="preserve"> is observed to choose </w:t>
      </w:r>
      <w:r w:rsidR="00DC4F9E">
        <w:t>E</w:t>
      </w:r>
      <w:r w:rsidR="00DC4F9E" w:rsidRPr="00F01655">
        <w:t xml:space="preserve">TF level </w:t>
      </w:r>
      <w:r w:rsidR="00DC4F9E">
        <w:rPr>
          <w:i/>
        </w:rPr>
        <w:t>k</w:t>
      </w:r>
      <w:r w:rsidR="00DC4F9E">
        <w:t xml:space="preserve">, and </w:t>
      </w:r>
      <w:r>
        <w:t xml:space="preserve">an </w:t>
      </w:r>
      <w:r w:rsidR="00DC4F9E">
        <w:t xml:space="preserve">ITF level </w:t>
      </w:r>
      <w:r w:rsidR="00DC4F9E" w:rsidRPr="008B5FA3">
        <w:rPr>
          <w:i/>
          <w:iCs/>
        </w:rPr>
        <w:t>j</w:t>
      </w:r>
      <w:r w:rsidR="00DC4F9E">
        <w:t xml:space="preserve"> </w:t>
      </w:r>
      <w:r>
        <w:t xml:space="preserve">that is </w:t>
      </w:r>
      <w:r w:rsidR="00DC4F9E" w:rsidRPr="00CF0E6D">
        <w:t>different from the chosen</w:t>
      </w:r>
      <w:r>
        <w:rPr>
          <w:u w:val="single"/>
        </w:rPr>
        <w:t xml:space="preserve"> </w:t>
      </w:r>
      <w:r w:rsidR="00DC4F9E">
        <w:t>E</w:t>
      </w:r>
      <w:r w:rsidR="00DC4F9E" w:rsidRPr="00F01655">
        <w:t xml:space="preserve">TF level </w:t>
      </w:r>
      <w:r w:rsidR="00DC4F9E">
        <w:rPr>
          <w:i/>
        </w:rPr>
        <w:t>k</w:t>
      </w:r>
      <w:r w:rsidR="00DC4F9E" w:rsidRPr="00F01655">
        <w:t xml:space="preserve">, and zero </w:t>
      </w:r>
      <w:proofErr w:type="gramStart"/>
      <w:r w:rsidR="00DC4F9E" w:rsidRPr="00F01655">
        <w:t>otherwise.</w:t>
      </w:r>
      <w:proofErr w:type="gramEnd"/>
      <w:r w:rsidR="00DC4F9E">
        <w:t xml:space="preserve"> We then further parameterize </w:t>
      </w:r>
      <w:r w:rsidR="00DC4F9E" w:rsidRPr="003820B7">
        <w:rPr>
          <w:position w:val="-14"/>
        </w:rPr>
        <w:object w:dxaOrig="420" w:dyaOrig="380" w14:anchorId="79115F9A">
          <v:shape id="_x0000_i1074" type="#_x0000_t75" style="width:21.85pt;height:19.3pt" o:ole="">
            <v:imagedata r:id="rId112" o:title=""/>
          </v:shape>
          <o:OLEObject Type="Embed" ProgID="Equation.DSMT4" ShapeID="_x0000_i1074" DrawAspect="Content" ObjectID="_1778681307" r:id="rId113"/>
        </w:object>
      </w:r>
      <w:r w:rsidR="00DC4F9E">
        <w:t>as follows:</w:t>
      </w:r>
    </w:p>
    <w:p w14:paraId="4FB6E2E8" w14:textId="1474B88A" w:rsidR="009D13E7" w:rsidRDefault="002B6D03" w:rsidP="00FA4EBF">
      <w:pPr>
        <w:jc w:val="both"/>
      </w:pPr>
      <w:r w:rsidRPr="003820B7">
        <w:rPr>
          <w:position w:val="-16"/>
        </w:rPr>
        <w:object w:dxaOrig="2260" w:dyaOrig="440" w14:anchorId="0E1C978F">
          <v:shape id="_x0000_i1075" type="#_x0000_t75" style="width:114.85pt;height:22.7pt" o:ole="">
            <v:imagedata r:id="rId114" o:title=""/>
          </v:shape>
          <o:OLEObject Type="Embed" ProgID="Equation.DSMT4" ShapeID="_x0000_i1075" DrawAspect="Content" ObjectID="_1778681308" r:id="rId115"/>
        </w:object>
      </w:r>
      <w:r w:rsidR="002054D7">
        <w:tab/>
      </w:r>
      <w:r w:rsidR="002054D7">
        <w:tab/>
      </w:r>
      <w:r w:rsidR="002054D7">
        <w:tab/>
      </w:r>
      <w:r w:rsidR="002054D7">
        <w:tab/>
      </w:r>
      <w:r w:rsidR="002054D7">
        <w:tab/>
      </w:r>
      <w:r w:rsidR="002054D7">
        <w:tab/>
      </w:r>
      <w:r w:rsidR="002054D7">
        <w:tab/>
      </w:r>
      <w:r w:rsidR="002054D7">
        <w:tab/>
      </w:r>
      <w:r w:rsidR="002054D7">
        <w:tab/>
        <w:t xml:space="preserve">       (3)</w:t>
      </w:r>
    </w:p>
    <w:p w14:paraId="4F2D4F0E" w14:textId="3DFCD168" w:rsidR="004A1E2D" w:rsidRDefault="009D13E7" w:rsidP="00B51043">
      <w:pPr>
        <w:jc w:val="both"/>
      </w:pPr>
      <w:r>
        <w:t xml:space="preserve">where </w:t>
      </w:r>
      <w:r w:rsidR="002B6D03" w:rsidRPr="001F3548">
        <w:rPr>
          <w:noProof/>
          <w:position w:val="-14"/>
        </w:rPr>
        <w:object w:dxaOrig="320" w:dyaOrig="380" w14:anchorId="02D4445F">
          <v:shape id="_x0000_i1076" type="#_x0000_t75" alt="" style="width:15.85pt;height:18.85pt;mso-width-percent:0;mso-height-percent:0;mso-width-percent:0;mso-height-percent:0" o:ole="" o:preferrelative="f">
            <v:imagedata r:id="rId116" o:title=""/>
            <o:lock v:ext="edit" aspectratio="f"/>
          </v:shape>
          <o:OLEObject Type="Embed" ProgID="Equation.DSMT4" ShapeID="_x0000_i1076" DrawAspect="Content" ObjectID="_1778681309" r:id="rId117"/>
        </w:object>
      </w:r>
      <w:r w:rsidRPr="003E3AD3">
        <w:t xml:space="preserve"> is a constant</w:t>
      </w:r>
      <w:r w:rsidR="00B51043">
        <w:t xml:space="preserve"> “same-threshold” </w:t>
      </w:r>
      <w:r w:rsidRPr="003E3AD3">
        <w:t xml:space="preserve">shift effect for ITF level </w:t>
      </w:r>
      <w:r w:rsidRPr="00AE1B67">
        <w:rPr>
          <w:i/>
        </w:rPr>
        <w:t>j</w:t>
      </w:r>
      <w:r>
        <w:rPr>
          <w:i/>
        </w:rPr>
        <w:t xml:space="preserve"> </w:t>
      </w:r>
      <w:r w:rsidRPr="00CF0E6D">
        <w:rPr>
          <w:iCs/>
        </w:rPr>
        <w:t>regardless of individual characteristics</w:t>
      </w:r>
      <w:r>
        <w:rPr>
          <w:i/>
        </w:rPr>
        <w:t xml:space="preserve">, </w:t>
      </w:r>
      <w:r w:rsidR="00B51043" w:rsidRPr="00CF0E6D">
        <w:rPr>
          <w:iCs/>
        </w:rPr>
        <w:t>and</w:t>
      </w:r>
      <w:r w:rsidR="00B51043">
        <w:rPr>
          <w:i/>
        </w:rPr>
        <w:t xml:space="preserve"> </w:t>
      </w:r>
      <w:r w:rsidR="002B6D03" w:rsidRPr="003E3AD3">
        <w:rPr>
          <w:noProof/>
          <w:position w:val="-14"/>
        </w:rPr>
        <w:object w:dxaOrig="260" w:dyaOrig="380" w14:anchorId="792D3E4C">
          <v:shape id="_x0000_i1077" type="#_x0000_t75" alt="" style="width:12.85pt;height:18.85pt;mso-width-percent:0;mso-height-percent:0;mso-width-percent:0;mso-height-percent:0" o:ole="" o:preferrelative="f">
            <v:imagedata r:id="rId118" o:title=""/>
            <o:lock v:ext="edit" aspectratio="f"/>
          </v:shape>
          <o:OLEObject Type="Embed" ProgID="Equation.DSMT4" ShapeID="_x0000_i1077" DrawAspect="Content" ObjectID="_1778681310" r:id="rId119"/>
        </w:object>
      </w:r>
      <w:r w:rsidR="00B51043" w:rsidRPr="003E3AD3">
        <w:t xml:space="preserve"> is a set of individual-specific exogenous variables</w:t>
      </w:r>
      <w:r w:rsidR="00B51043">
        <w:t>.</w:t>
      </w:r>
      <w:r w:rsidR="00B51043" w:rsidRPr="003E3AD3">
        <w:rPr>
          <w:noProof/>
        </w:rPr>
        <w:t xml:space="preserve"> </w:t>
      </w:r>
      <w:r w:rsidR="002B6D03" w:rsidRPr="003E3AD3">
        <w:rPr>
          <w:noProof/>
          <w:position w:val="-4"/>
        </w:rPr>
        <w:object w:dxaOrig="220" w:dyaOrig="260" w14:anchorId="2ADB9048">
          <v:shape id="_x0000_i1078" type="#_x0000_t75" alt="" style="width:10.7pt;height:12.85pt;mso-width-percent:0;mso-height-percent:0;mso-width-percent:0;mso-height-percent:0" o:ole="" o:preferrelative="f">
            <v:imagedata r:id="rId120" o:title=""/>
            <o:lock v:ext="edit" aspectratio="f"/>
          </v:shape>
          <o:OLEObject Type="Embed" ProgID="Equation.DSMT4" ShapeID="_x0000_i1078" DrawAspect="Content" ObjectID="_1778681311" r:id="rId121"/>
        </w:object>
      </w:r>
      <w:r w:rsidRPr="003E3AD3">
        <w:t xml:space="preserve"> and </w:t>
      </w:r>
      <w:r w:rsidR="002B6D03" w:rsidRPr="003E3AD3">
        <w:rPr>
          <w:noProof/>
          <w:position w:val="-14"/>
        </w:rPr>
        <w:object w:dxaOrig="300" w:dyaOrig="380" w14:anchorId="443AEB27">
          <v:shape id="_x0000_i1079" type="#_x0000_t75" alt="" style="width:15pt;height:18.85pt;mso-width-percent:0;mso-height-percent:0;mso-width-percent:0;mso-height-percent:0" o:ole="" o:preferrelative="f">
            <v:imagedata r:id="rId122" o:title=""/>
            <o:lock v:ext="edit" aspectratio="f"/>
          </v:shape>
          <o:OLEObject Type="Embed" ProgID="Equation.DSMT4" ShapeID="_x0000_i1079" DrawAspect="Content" ObjectID="_1778681312" r:id="rId123"/>
        </w:object>
      </w:r>
      <w:r w:rsidR="002B6D03">
        <w:rPr>
          <w:noProof/>
        </w:rPr>
        <w:t xml:space="preserve"> </w:t>
      </w:r>
      <w:r w:rsidRPr="003E3AD3">
        <w:t xml:space="preserve">represent coefficient vectors. </w:t>
      </w:r>
      <w:bookmarkStart w:id="11" w:name="_Hlk158621663"/>
      <w:r w:rsidRPr="003E3AD3">
        <w:t>Any</w:t>
      </w:r>
      <w:r>
        <w:t xml:space="preserve"> </w:t>
      </w:r>
      <w:r w:rsidRPr="003E3AD3">
        <w:t xml:space="preserve">element in </w:t>
      </w:r>
      <w:r w:rsidR="002B6D03" w:rsidRPr="003E3AD3">
        <w:rPr>
          <w:noProof/>
          <w:position w:val="-14"/>
        </w:rPr>
        <w:object w:dxaOrig="260" w:dyaOrig="380" w14:anchorId="200D93FE">
          <v:shape id="_x0000_i1080" type="#_x0000_t75" alt="" style="width:12.85pt;height:18.85pt;mso-width-percent:0;mso-height-percent:0;mso-width-percent:0;mso-height-percent:0" o:ole="" o:preferrelative="f">
            <v:imagedata r:id="rId118" o:title=""/>
            <o:lock v:ext="edit" aspectratio="f"/>
          </v:shape>
          <o:OLEObject Type="Embed" ProgID="Equation.DSMT4" ShapeID="_x0000_i1080" DrawAspect="Content" ObjectID="_1778681313" r:id="rId124"/>
        </w:object>
      </w:r>
      <w:r w:rsidRPr="003E3AD3">
        <w:t xml:space="preserve"> with a significant corresponding </w:t>
      </w:r>
      <w:r>
        <w:t xml:space="preserve">positive </w:t>
      </w:r>
      <w:r w:rsidRPr="003E3AD3">
        <w:t xml:space="preserve">element in </w:t>
      </w:r>
      <w:r w:rsidR="002B6D03" w:rsidRPr="003E3AD3">
        <w:rPr>
          <w:noProof/>
          <w:position w:val="-4"/>
        </w:rPr>
        <w:object w:dxaOrig="220" w:dyaOrig="260" w14:anchorId="43F33FA7">
          <v:shape id="_x0000_i1081" type="#_x0000_t75" alt="" style="width:10.7pt;height:12.85pt;mso-width-percent:0;mso-height-percent:0;mso-width-percent:0;mso-height-percent:0" o:ole="" o:preferrelative="f">
            <v:imagedata r:id="rId120" o:title=""/>
            <o:lock v:ext="edit" aspectratio="f"/>
          </v:shape>
          <o:OLEObject Type="Embed" ProgID="Equation.DSMT4" ShapeID="_x0000_i1081" DrawAspect="Content" ObjectID="_1778681314" r:id="rId125"/>
        </w:object>
      </w:r>
      <w:r w:rsidRPr="003E3AD3">
        <w:t xml:space="preserve"> points to an individual-related trait that elevates consonance </w:t>
      </w:r>
      <w:r w:rsidR="00B51043">
        <w:t xml:space="preserve">in general across all ITF levels </w:t>
      </w:r>
      <w:r w:rsidR="00B51043" w:rsidRPr="00CF0E6D">
        <w:rPr>
          <w:i/>
          <w:iCs/>
        </w:rPr>
        <w:t>j</w:t>
      </w:r>
      <w:r w:rsidR="00B51043">
        <w:t xml:space="preserve"> </w:t>
      </w:r>
      <w:r w:rsidRPr="003E3AD3">
        <w:t xml:space="preserve">(without being specific to any particular ITF level </w:t>
      </w:r>
      <w:r w:rsidRPr="00AE1B67">
        <w:rPr>
          <w:i/>
        </w:rPr>
        <w:t>j</w:t>
      </w:r>
      <w:r w:rsidRPr="003E3AD3">
        <w:t xml:space="preserve">), while a negative element points to an individual-specific effect that </w:t>
      </w:r>
      <w:r w:rsidR="00B51043">
        <w:t>lowers</w:t>
      </w:r>
      <w:r w:rsidRPr="003E3AD3">
        <w:t xml:space="preserve"> consonance. </w:t>
      </w:r>
      <w:bookmarkEnd w:id="11"/>
      <w:r w:rsidRPr="003E3AD3">
        <w:t xml:space="preserve">We will refer to elements of </w:t>
      </w:r>
      <w:r w:rsidR="002B6D03" w:rsidRPr="003E3AD3">
        <w:rPr>
          <w:noProof/>
          <w:position w:val="-4"/>
        </w:rPr>
        <w:object w:dxaOrig="220" w:dyaOrig="260" w14:anchorId="65DDD557">
          <v:shape id="_x0000_i1082" type="#_x0000_t75" alt="" style="width:10.7pt;height:12.85pt;mso-width-percent:0;mso-height-percent:0;mso-width-percent:0;mso-height-percent:0" o:ole="" o:preferrelative="f">
            <v:imagedata r:id="rId120" o:title=""/>
            <o:lock v:ext="edit" aspectratio="f"/>
          </v:shape>
          <o:OLEObject Type="Embed" ProgID="Equation.DSMT4" ShapeID="_x0000_i1082" DrawAspect="Content" ObjectID="_1778681315" r:id="rId126"/>
        </w:object>
      </w:r>
      <w:r w:rsidRPr="003E3AD3">
        <w:t xml:space="preserve"> as “generic </w:t>
      </w:r>
      <w:r w:rsidR="004A1E2D">
        <w:t>same-threshold</w:t>
      </w:r>
      <w:r w:rsidRPr="003E3AD3">
        <w:t xml:space="preserve"> </w:t>
      </w:r>
      <w:r>
        <w:t xml:space="preserve">shift </w:t>
      </w:r>
      <w:r w:rsidRPr="003E3AD3">
        <w:t xml:space="preserve">effects”. </w:t>
      </w:r>
      <w:r w:rsidR="00B51043">
        <w:t>Next</w:t>
      </w:r>
      <w:r w:rsidRPr="003E3AD3">
        <w:t xml:space="preserve">, any element in </w:t>
      </w:r>
      <w:r w:rsidR="002B6D03" w:rsidRPr="003E3AD3">
        <w:rPr>
          <w:noProof/>
          <w:position w:val="-14"/>
        </w:rPr>
        <w:object w:dxaOrig="260" w:dyaOrig="380" w14:anchorId="0A4E451F">
          <v:shape id="_x0000_i1083" type="#_x0000_t75" alt="" style="width:12.85pt;height:18.85pt;mso-width-percent:0;mso-height-percent:0;mso-width-percent:0;mso-height-percent:0" o:ole="" o:preferrelative="f">
            <v:imagedata r:id="rId118" o:title=""/>
            <o:lock v:ext="edit" aspectratio="f"/>
          </v:shape>
          <o:OLEObject Type="Embed" ProgID="Equation.DSMT4" ShapeID="_x0000_i1083" DrawAspect="Content" ObjectID="_1778681316" r:id="rId127"/>
        </w:object>
      </w:r>
      <w:r w:rsidRPr="003E3AD3">
        <w:t xml:space="preserve"> with a significant corresponding element in </w:t>
      </w:r>
      <w:r w:rsidR="002B6D03" w:rsidRPr="003E3AD3">
        <w:rPr>
          <w:noProof/>
          <w:position w:val="-14"/>
        </w:rPr>
        <w:object w:dxaOrig="300" w:dyaOrig="380" w14:anchorId="77BE79EB">
          <v:shape id="_x0000_i1084" type="#_x0000_t75" alt="" style="width:15pt;height:18.85pt;mso-width-percent:0;mso-height-percent:0;mso-width-percent:0;mso-height-percent:0" o:ole="" o:preferrelative="f">
            <v:imagedata r:id="rId128" o:title=""/>
            <o:lock v:ext="edit" aspectratio="f"/>
          </v:shape>
          <o:OLEObject Type="Embed" ProgID="Equation.DSMT4" ShapeID="_x0000_i1084" DrawAspect="Content" ObjectID="_1778681317" r:id="rId129"/>
        </w:object>
      </w:r>
      <w:r w:rsidRPr="003E3AD3">
        <w:t xml:space="preserve"> represents an individual-related trait that </w:t>
      </w:r>
      <w:r w:rsidR="00B51043">
        <w:t xml:space="preserve">further </w:t>
      </w:r>
      <w:r w:rsidRPr="003E3AD3">
        <w:t xml:space="preserve">modifies the level of individual consonance for the specific ordinal level </w:t>
      </w:r>
      <w:r w:rsidRPr="00AE1B67">
        <w:rPr>
          <w:i/>
        </w:rPr>
        <w:t>j</w:t>
      </w:r>
      <w:r w:rsidRPr="003E3AD3">
        <w:t xml:space="preserve">. </w:t>
      </w:r>
      <w:r>
        <w:t xml:space="preserve">We will refer to elements of </w:t>
      </w:r>
      <w:r w:rsidR="002B6D03" w:rsidRPr="005039AE">
        <w:rPr>
          <w:noProof/>
          <w:position w:val="-14"/>
        </w:rPr>
        <w:object w:dxaOrig="300" w:dyaOrig="380" w14:anchorId="61582D65">
          <v:shape id="_x0000_i1085" type="#_x0000_t75" alt="" style="width:15pt;height:18.85pt;mso-width-percent:0;mso-height-percent:0;mso-width-percent:0;mso-height-percent:0" o:ole="" o:preferrelative="f">
            <v:imagedata r:id="rId128" o:title=""/>
            <o:lock v:ext="edit" aspectratio="f"/>
          </v:shape>
          <o:OLEObject Type="Embed" ProgID="Equation.DSMT4" ShapeID="_x0000_i1085" DrawAspect="Content" ObjectID="_1778681318" r:id="rId130"/>
        </w:object>
      </w:r>
      <w:r>
        <w:rPr>
          <w:noProof/>
        </w:rPr>
        <w:t xml:space="preserve"> </w:t>
      </w:r>
      <w:r>
        <w:t xml:space="preserve">as “outcome-specific </w:t>
      </w:r>
      <w:r w:rsidR="004A1E2D">
        <w:t>same-threshold</w:t>
      </w:r>
      <w:r>
        <w:t xml:space="preserve"> shift effects”.</w:t>
      </w:r>
      <w:r w:rsidR="00B51043">
        <w:t xml:space="preserve"> </w:t>
      </w:r>
      <w:r w:rsidR="00E7606E" w:rsidRPr="00F01655">
        <w:t xml:space="preserve">A positive </w:t>
      </w:r>
      <w:r w:rsidR="00B51043">
        <w:t xml:space="preserve">element in </w:t>
      </w:r>
      <w:r w:rsidR="002B6D03" w:rsidRPr="005039AE">
        <w:rPr>
          <w:noProof/>
          <w:position w:val="-14"/>
        </w:rPr>
        <w:object w:dxaOrig="300" w:dyaOrig="380" w14:anchorId="459999AF">
          <v:shape id="_x0000_i1086" type="#_x0000_t75" alt="" style="width:15pt;height:18.85pt;mso-width-percent:0;mso-height-percent:0;mso-width-percent:0;mso-height-percent:0" o:ole="" o:preferrelative="f">
            <v:imagedata r:id="rId128" o:title=""/>
            <o:lock v:ext="edit" aspectratio="f"/>
          </v:shape>
          <o:OLEObject Type="Embed" ProgID="Equation.DSMT4" ShapeID="_x0000_i1086" DrawAspect="Content" ObjectID="_1778681319" r:id="rId131"/>
        </w:object>
      </w:r>
      <w:r w:rsidR="00B51043">
        <w:rPr>
          <w:noProof/>
        </w:rPr>
        <w:t xml:space="preserve"> implies </w:t>
      </w:r>
      <w:r w:rsidR="00E7606E" w:rsidRPr="00F01655">
        <w:t xml:space="preserve">that individuals with that corresponding exogenous variable characteristic </w:t>
      </w:r>
      <w:r w:rsidR="00B51043">
        <w:t xml:space="preserve">(as embodied in the </w:t>
      </w:r>
      <w:r w:rsidR="002B6D03" w:rsidRPr="003E3AD3">
        <w:rPr>
          <w:noProof/>
          <w:position w:val="-14"/>
        </w:rPr>
        <w:object w:dxaOrig="260" w:dyaOrig="380" w14:anchorId="43403B51">
          <v:shape id="_x0000_i1087" type="#_x0000_t75" alt="" style="width:12.85pt;height:18.85pt;mso-width-percent:0;mso-height-percent:0;mso-width-percent:0;mso-height-percent:0" o:ole="" o:preferrelative="f">
            <v:imagedata r:id="rId118" o:title=""/>
            <o:lock v:ext="edit" aspectratio="f"/>
          </v:shape>
          <o:OLEObject Type="Embed" ProgID="Equation.DSMT4" ShapeID="_x0000_i1087" DrawAspect="Content" ObjectID="_1778681320" r:id="rId132"/>
        </w:object>
      </w:r>
      <w:r w:rsidR="00B51043">
        <w:rPr>
          <w:noProof/>
        </w:rPr>
        <w:t xml:space="preserve"> vector) </w:t>
      </w:r>
      <w:r w:rsidR="00E7606E" w:rsidRPr="00F01655">
        <w:t xml:space="preserve">are more likely to be concordant than other individuals for </w:t>
      </w:r>
      <w:r w:rsidR="00B51043">
        <w:t xml:space="preserve">specific </w:t>
      </w:r>
      <w:r w:rsidR="00E7606E" w:rsidRPr="00F01655">
        <w:t>teleworking level</w:t>
      </w:r>
      <w:r w:rsidR="00B51043">
        <w:t xml:space="preserve"> </w:t>
      </w:r>
      <w:r w:rsidR="00B51043" w:rsidRPr="00CF0E6D">
        <w:rPr>
          <w:i/>
          <w:iCs/>
        </w:rPr>
        <w:t>j</w:t>
      </w:r>
      <w:r w:rsidR="004A1E2D">
        <w:rPr>
          <w:i/>
          <w:iCs/>
        </w:rPr>
        <w:t xml:space="preserve">, </w:t>
      </w:r>
      <w:r w:rsidR="004A1E2D" w:rsidRPr="00CF0E6D">
        <w:t>while a negative element implies the reverse</w:t>
      </w:r>
      <w:r w:rsidR="00E7606E" w:rsidRPr="00F01655">
        <w:t xml:space="preserve">. </w:t>
      </w:r>
      <w:r w:rsidR="004B0D24" w:rsidRPr="00F01655">
        <w:t xml:space="preserve">For future reference, define </w:t>
      </w:r>
      <w:r w:rsidR="002B6D03" w:rsidRPr="001F3548">
        <w:rPr>
          <w:noProof/>
          <w:position w:val="-12"/>
        </w:rPr>
        <w:object w:dxaOrig="2060" w:dyaOrig="360" w14:anchorId="0F5B955A">
          <v:shape id="_x0000_i1088" type="#_x0000_t75" alt="" style="width:102.85pt;height:18pt;mso-width-percent:0;mso-height-percent:0;mso-width-percent:0;mso-height-percent:0" o:ole="" o:preferrelative="f">
            <v:imagedata r:id="rId133" o:title=""/>
            <o:lock v:ext="edit" aspectratio="f"/>
          </v:shape>
          <o:OLEObject Type="Embed" ProgID="Equation.DSMT4" ShapeID="_x0000_i1088" DrawAspect="Content" ObjectID="_1778681321" r:id="rId134"/>
        </w:object>
      </w:r>
      <w:r w:rsidR="008531EC" w:rsidRPr="00F01655">
        <w:t xml:space="preserve"> </w:t>
      </w:r>
      <w:r w:rsidR="00D10F72" w:rsidRPr="00F01655">
        <w:t xml:space="preserve"> </w:t>
      </w:r>
    </w:p>
    <w:p w14:paraId="6D542A46" w14:textId="33727E74" w:rsidR="004A1E2D" w:rsidRDefault="004A1E2D" w:rsidP="00F26680">
      <w:pPr>
        <w:ind w:firstLine="720"/>
        <w:jc w:val="both"/>
      </w:pPr>
      <w:r>
        <w:lastRenderedPageBreak/>
        <w:t xml:space="preserve">Similar to the parameterization of “same-threshold” shifter terms </w:t>
      </w:r>
      <w:r w:rsidR="00AB110C" w:rsidRPr="008B5FA3">
        <w:rPr>
          <w:position w:val="-14"/>
        </w:rPr>
        <w:object w:dxaOrig="340" w:dyaOrig="380" w14:anchorId="2232A911">
          <v:shape id="_x0000_i1089" type="#_x0000_t75" style="width:17.15pt;height:18.85pt" o:ole="" o:preferrelative="f">
            <v:imagedata r:id="rId135" o:title=""/>
            <o:lock v:ext="edit" aspectratio="f"/>
          </v:shape>
          <o:OLEObject Type="Embed" ProgID="Equation.DSMT4" ShapeID="_x0000_i1089" DrawAspect="Content" ObjectID="_1778681322" r:id="rId136"/>
        </w:object>
      </w:r>
      <w:r>
        <w:t xml:space="preserve">, we also parameterize the “cross-threshold” shifter terms  </w:t>
      </w:r>
      <w:r w:rsidR="00AB110C" w:rsidRPr="008B5FA3">
        <w:rPr>
          <w:position w:val="-14"/>
        </w:rPr>
        <w:object w:dxaOrig="360" w:dyaOrig="380" w14:anchorId="11A2C80A">
          <v:shape id="_x0000_i1090" type="#_x0000_t75" style="width:18pt;height:18.85pt" o:ole="" o:preferrelative="f">
            <v:imagedata r:id="rId106" o:title=""/>
            <o:lock v:ext="edit" aspectratio="f"/>
          </v:shape>
          <o:OLEObject Type="Embed" ProgID="Equation.DSMT4" ShapeID="_x0000_i1090" DrawAspect="Content" ObjectID="_1778681323" r:id="rId137"/>
        </w:object>
      </w:r>
      <w:r>
        <w:t xml:space="preserve"> as follows, with similar interpretations of the many terms that we will not again belabor over:</w:t>
      </w:r>
    </w:p>
    <w:p w14:paraId="13657A6E" w14:textId="4DE6F7A2" w:rsidR="002054D7" w:rsidRDefault="00926E20" w:rsidP="004A1E2D">
      <w:pPr>
        <w:jc w:val="both"/>
      </w:pPr>
      <w:r w:rsidRPr="003820B7">
        <w:rPr>
          <w:position w:val="-18"/>
        </w:rPr>
        <w:object w:dxaOrig="2180" w:dyaOrig="480" w14:anchorId="4DF5F6A9">
          <v:shape id="_x0000_i1091" type="#_x0000_t75" style="width:108.85pt;height:24pt" o:ole="" o:preferrelative="f">
            <v:imagedata r:id="rId138" o:title=""/>
            <o:lock v:ext="edit" aspectratio="f"/>
          </v:shape>
          <o:OLEObject Type="Embed" ProgID="Equation.DSMT4" ShapeID="_x0000_i1091" DrawAspect="Content" ObjectID="_1778681324" r:id="rId139"/>
        </w:object>
      </w:r>
      <w:r w:rsidR="004A1E2D">
        <w:t>.</w:t>
      </w:r>
      <w:r w:rsidR="002054D7">
        <w:tab/>
      </w:r>
      <w:r w:rsidR="002054D7">
        <w:tab/>
      </w:r>
      <w:r w:rsidR="002054D7">
        <w:tab/>
      </w:r>
      <w:r w:rsidR="002054D7">
        <w:tab/>
      </w:r>
      <w:r w:rsidR="002054D7">
        <w:tab/>
      </w:r>
      <w:r w:rsidR="002054D7">
        <w:tab/>
      </w:r>
      <w:r w:rsidR="002054D7">
        <w:tab/>
      </w:r>
      <w:r w:rsidR="002054D7">
        <w:tab/>
      </w:r>
      <w:r w:rsidR="002054D7">
        <w:tab/>
        <w:t xml:space="preserve">  </w:t>
      </w:r>
      <w:r w:rsidR="00CF0E6D">
        <w:t xml:space="preserve"> </w:t>
      </w:r>
      <w:r w:rsidR="002054D7">
        <w:t xml:space="preserve">    (</w:t>
      </w:r>
      <w:r w:rsidR="00D560F0">
        <w:t>4</w:t>
      </w:r>
      <w:r w:rsidR="002054D7">
        <w:t>)</w:t>
      </w:r>
    </w:p>
    <w:p w14:paraId="2C0FE357" w14:textId="78A38802" w:rsidR="008A1619" w:rsidRPr="00F01655" w:rsidRDefault="0041365F">
      <w:pPr>
        <w:jc w:val="both"/>
      </w:pPr>
      <w:r>
        <w:t>F</w:t>
      </w:r>
      <w:r w:rsidR="002054D7">
        <w:t xml:space="preserve">or future reference, define </w:t>
      </w:r>
      <w:r w:rsidR="005F6BF6" w:rsidRPr="003820B7">
        <w:rPr>
          <w:noProof/>
          <w:position w:val="-14"/>
        </w:rPr>
        <w:object w:dxaOrig="4740" w:dyaOrig="420" w14:anchorId="1FF2D539">
          <v:shape id="_x0000_i1092" type="#_x0000_t75" alt="" style="width:237pt;height:21pt" o:ole="" o:preferrelative="f">
            <v:imagedata r:id="rId140" o:title=""/>
            <o:lock v:ext="edit" aspectratio="f"/>
          </v:shape>
          <o:OLEObject Type="Embed" ProgID="Equation.DSMT4" ShapeID="_x0000_i1092" DrawAspect="Content" ObjectID="_1778681325" r:id="rId141"/>
        </w:object>
      </w:r>
      <w:r w:rsidR="006D68FB" w:rsidRPr="00F01655">
        <w:t xml:space="preserve">To ensure the strict ascending order of </w:t>
      </w:r>
      <w:r w:rsidR="00FA4EBF" w:rsidRPr="003E3AD3">
        <w:rPr>
          <w:noProof/>
          <w:position w:val="-14"/>
        </w:rPr>
        <w:object w:dxaOrig="440" w:dyaOrig="380" w14:anchorId="350D3465">
          <v:shape id="_x0000_i1093" type="#_x0000_t75" alt="" style="width:22.7pt;height:18.85pt;mso-width-percent:0;mso-height-percent:0;mso-width-percent:0;mso-height-percent:0" o:ole="" o:preferrelative="f">
            <v:imagedata r:id="rId142" o:title=""/>
            <o:lock v:ext="edit" aspectratio="f"/>
          </v:shape>
          <o:OLEObject Type="Embed" ProgID="Equation.DSMT4" ShapeID="_x0000_i1093" DrawAspect="Content" ObjectID="_1778681326" r:id="rId143"/>
        </w:object>
      </w:r>
      <w:r w:rsidR="006D68FB" w:rsidRPr="00F01655">
        <w:t xml:space="preserve"> (that is, </w:t>
      </w:r>
      <w:r w:rsidR="00FA4EBF" w:rsidRPr="003E3AD3">
        <w:rPr>
          <w:noProof/>
          <w:position w:val="-14"/>
        </w:rPr>
        <w:object w:dxaOrig="420" w:dyaOrig="380" w14:anchorId="05EF2BED">
          <v:shape id="_x0000_i1094" type="#_x0000_t75" alt="" style="width:21.85pt;height:18.85pt;mso-width-percent:0;mso-height-percent:0;mso-width-percent:0;mso-height-percent:0" o:ole="" o:preferrelative="f">
            <v:imagedata r:id="rId144" o:title=""/>
            <o:lock v:ext="edit" aspectratio="f"/>
          </v:shape>
          <o:OLEObject Type="Embed" ProgID="Equation.DSMT4" ShapeID="_x0000_i1094" DrawAspect="Content" ObjectID="_1778681327" r:id="rId145"/>
        </w:object>
      </w:r>
      <w:r w:rsidR="006D68FB" w:rsidRPr="00F01655">
        <w:t xml:space="preserve"> &lt;</w:t>
      </w:r>
      <w:r w:rsidR="00FA4EBF" w:rsidRPr="003E3AD3">
        <w:rPr>
          <w:noProof/>
          <w:position w:val="-14"/>
        </w:rPr>
        <w:object w:dxaOrig="440" w:dyaOrig="380" w14:anchorId="30444B90">
          <v:shape id="_x0000_i1095" type="#_x0000_t75" alt="" style="width:22.7pt;height:18.85pt;mso-width-percent:0;mso-height-percent:0;mso-width-percent:0;mso-height-percent:0" o:ole="" o:preferrelative="f">
            <v:imagedata r:id="rId146" o:title=""/>
            <o:lock v:ext="edit" aspectratio="f"/>
          </v:shape>
          <o:OLEObject Type="Embed" ProgID="Equation.DSMT4" ShapeID="_x0000_i1095" DrawAspect="Content" ObjectID="_1778681328" r:id="rId147"/>
        </w:object>
      </w:r>
      <w:r w:rsidR="006D68FB" w:rsidRPr="00F01655">
        <w:t xml:space="preserve"> &lt; ….&lt;</w:t>
      </w:r>
      <w:r w:rsidR="00FA4EBF" w:rsidRPr="003E3AD3">
        <w:rPr>
          <w:noProof/>
          <w:position w:val="-14"/>
        </w:rPr>
        <w:object w:dxaOrig="440" w:dyaOrig="380" w14:anchorId="2C6FB34F">
          <v:shape id="_x0000_i1096" type="#_x0000_t75" alt="" style="width:22.7pt;height:18.85pt;mso-width-percent:0;mso-height-percent:0;mso-width-percent:0;mso-height-percent:0" o:ole="" o:preferrelative="f">
            <v:imagedata r:id="rId148" o:title=""/>
            <o:lock v:ext="edit" aspectratio="f"/>
          </v:shape>
          <o:OLEObject Type="Embed" ProgID="Equation.DSMT4" ShapeID="_x0000_i1096" DrawAspect="Content" ObjectID="_1778681329" r:id="rId149"/>
        </w:object>
      </w:r>
      <w:r w:rsidR="006D68FB" w:rsidRPr="00F01655">
        <w:t xml:space="preserve"> for every individual </w:t>
      </w:r>
      <w:r w:rsidR="006D68FB" w:rsidRPr="00F01655">
        <w:rPr>
          <w:i/>
        </w:rPr>
        <w:t>q</w:t>
      </w:r>
      <w:r w:rsidR="006D68FB" w:rsidRPr="00F01655">
        <w:t xml:space="preserve">), </w:t>
      </w:r>
      <w:r w:rsidR="001F3548" w:rsidRPr="00F01655">
        <w:t>the shifts</w:t>
      </w:r>
      <w:r w:rsidR="003D22F1">
        <w:t xml:space="preserve"> in Equation (2) </w:t>
      </w:r>
      <w:r w:rsidR="001F3548" w:rsidRPr="00F01655">
        <w:t xml:space="preserve">corresponding to an ITF level </w:t>
      </w:r>
      <w:r w:rsidR="001F3548" w:rsidRPr="00F01655">
        <w:rPr>
          <w:i/>
          <w:iCs/>
        </w:rPr>
        <w:t>j</w:t>
      </w:r>
      <w:r w:rsidR="001F3548" w:rsidRPr="00F01655">
        <w:t xml:space="preserve"> were also added to all subsequent thresholds </w:t>
      </w:r>
      <w:r w:rsidR="005F6BF6" w:rsidRPr="008159BD">
        <w:rPr>
          <w:noProof/>
          <w:position w:val="-14"/>
        </w:rPr>
        <w:object w:dxaOrig="1700" w:dyaOrig="380" w14:anchorId="2DCE8B10">
          <v:shape id="_x0000_i1097" type="#_x0000_t75" alt="" style="width:84.85pt;height:18.85pt;mso-width-percent:0;mso-height-percent:0;mso-width-percent:0;mso-height-percent:0" o:ole="" o:preferrelative="f">
            <v:imagedata r:id="rId150" o:title=""/>
            <o:lock v:ext="edit" aspectratio="f"/>
          </v:shape>
          <o:OLEObject Type="Embed" ProgID="Equation.DSMT4" ShapeID="_x0000_i1097" DrawAspect="Content" ObjectID="_1778681330" r:id="rId151"/>
        </w:object>
      </w:r>
      <w:r w:rsidR="001F3548" w:rsidRPr="00F01655">
        <w:t xml:space="preserve"> such that the new adjusted threshold </w:t>
      </w:r>
      <w:r w:rsidR="00F53231" w:rsidRPr="00430055">
        <w:rPr>
          <w:noProof/>
          <w:position w:val="-14"/>
        </w:rPr>
        <w:object w:dxaOrig="440" w:dyaOrig="380" w14:anchorId="3B8919FC">
          <v:shape id="_x0000_i1098" type="#_x0000_t75" alt="" style="width:22.7pt;height:18.85pt;mso-width-percent:0;mso-height-percent:0;mso-width-percent:0;mso-height-percent:0" o:ole="">
            <v:imagedata r:id="rId152" o:title=""/>
          </v:shape>
          <o:OLEObject Type="Embed" ProgID="Equation.DSMT4" ShapeID="_x0000_i1098" DrawAspect="Content" ObjectID="_1778681331" r:id="rId153"/>
        </w:object>
      </w:r>
      <w:r w:rsidR="001F3548" w:rsidRPr="00F01655">
        <w:t xml:space="preserve"> do not overlap with other subsequent thresholds.</w:t>
      </w:r>
      <w:r w:rsidR="001F3548" w:rsidRPr="00F01655">
        <w:rPr>
          <w:rStyle w:val="FootnoteReference"/>
        </w:rPr>
        <w:footnoteReference w:id="7"/>
      </w:r>
      <w:r w:rsidR="001F3548" w:rsidRPr="00F01655">
        <w:t xml:space="preserve">  </w:t>
      </w:r>
    </w:p>
    <w:p w14:paraId="1738E931" w14:textId="080FFF2C" w:rsidR="00573FED" w:rsidRPr="00F01655" w:rsidRDefault="004B0D24" w:rsidP="00FA4EBF">
      <w:pPr>
        <w:ind w:firstLine="720"/>
        <w:jc w:val="both"/>
      </w:pPr>
      <w:r w:rsidRPr="00F01655">
        <w:t xml:space="preserve">The parameters to be estimated </w:t>
      </w:r>
      <w:r w:rsidR="004C51FE" w:rsidRPr="00F01655">
        <w:t xml:space="preserve">in the above bivariate ordered </w:t>
      </w:r>
      <w:proofErr w:type="spellStart"/>
      <w:r w:rsidR="004C51FE" w:rsidRPr="00F01655">
        <w:t>probit</w:t>
      </w:r>
      <w:proofErr w:type="spellEnd"/>
      <w:r w:rsidR="004C51FE" w:rsidRPr="00F01655">
        <w:t xml:space="preserve"> model </w:t>
      </w:r>
      <w:r w:rsidRPr="00F01655">
        <w:t xml:space="preserve">may be collected into a vector as follows: </w:t>
      </w:r>
      <w:r w:rsidR="005F6BF6" w:rsidRPr="003E3AD3">
        <w:rPr>
          <w:noProof/>
          <w:position w:val="-10"/>
        </w:rPr>
        <w:object w:dxaOrig="3680" w:dyaOrig="380" w14:anchorId="582DB266">
          <v:shape id="_x0000_i1099" type="#_x0000_t75" alt="" style="width:184.7pt;height:18.85pt" o:ole="" o:preferrelative="f">
            <v:imagedata r:id="rId154" o:title=""/>
            <o:lock v:ext="edit" aspectratio="f"/>
          </v:shape>
          <o:OLEObject Type="Embed" ProgID="Equation.DSMT4" ShapeID="_x0000_i1099" DrawAspect="Content" ObjectID="_1778681332" r:id="rId155"/>
        </w:object>
      </w:r>
      <w:r w:rsidR="004C51FE" w:rsidRPr="00F01655">
        <w:t xml:space="preserve"> where </w:t>
      </w:r>
      <w:r w:rsidR="005F6BF6" w:rsidRPr="005039AE">
        <w:rPr>
          <w:noProof/>
          <w:position w:val="-12"/>
        </w:rPr>
        <w:object w:dxaOrig="1880" w:dyaOrig="360" w14:anchorId="0308F19F">
          <v:shape id="_x0000_i1100" type="#_x0000_t75" alt="" style="width:94.3pt;height:18pt" o:ole="" o:preferrelative="f">
            <v:imagedata r:id="rId156" o:title=""/>
            <o:lock v:ext="edit" aspectratio="f"/>
          </v:shape>
          <o:OLEObject Type="Embed" ProgID="Equation.DSMT4" ShapeID="_x0000_i1100" DrawAspect="Content" ObjectID="_1778681333" r:id="rId157"/>
        </w:object>
      </w:r>
      <w:r w:rsidR="00BE19C3" w:rsidRPr="00F01655">
        <w:t xml:space="preserve"> </w:t>
      </w:r>
      <w:r w:rsidR="005F6BF6" w:rsidRPr="001F3548">
        <w:rPr>
          <w:noProof/>
          <w:position w:val="-12"/>
        </w:rPr>
        <w:object w:dxaOrig="1740" w:dyaOrig="360" w14:anchorId="0EE62881">
          <v:shape id="_x0000_i1101" type="#_x0000_t75" alt="" style="width:87pt;height:18pt" o:ole="" o:preferrelative="f">
            <v:imagedata r:id="rId158" o:title=""/>
            <o:lock v:ext="edit" aspectratio="f"/>
          </v:shape>
          <o:OLEObject Type="Embed" ProgID="Equation.DSMT4" ShapeID="_x0000_i1101" DrawAspect="Content" ObjectID="_1778681334" r:id="rId159"/>
        </w:object>
      </w:r>
      <w:r w:rsidR="0041365F">
        <w:rPr>
          <w:noProof/>
        </w:rPr>
        <w:t xml:space="preserve">, and </w:t>
      </w:r>
      <w:r w:rsidR="00446AF6" w:rsidRPr="008B5FA3">
        <w:rPr>
          <w:noProof/>
          <w:position w:val="-14"/>
        </w:rPr>
        <w:object w:dxaOrig="4440" w:dyaOrig="380" w14:anchorId="70309DCB">
          <v:shape id="_x0000_i1102" type="#_x0000_t75" alt="" style="width:225pt;height:20.15pt" o:ole="" o:preferrelative="f">
            <v:imagedata r:id="rId160" o:title=""/>
            <o:lock v:ext="edit" aspectratio="f"/>
          </v:shape>
          <o:OLEObject Type="Embed" ProgID="Equation.DSMT4" ShapeID="_x0000_i1102" DrawAspect="Content" ObjectID="_1778681335" r:id="rId161"/>
        </w:object>
      </w:r>
      <w:r w:rsidR="00CA4B59" w:rsidRPr="00F01655">
        <w:rPr>
          <w:noProof/>
        </w:rPr>
        <w:t xml:space="preserve">. </w:t>
      </w:r>
      <w:r w:rsidR="004C51FE" w:rsidRPr="00F01655">
        <w:t>Then,</w:t>
      </w:r>
      <w:r w:rsidR="00374668" w:rsidRPr="00F01655">
        <w:t xml:space="preserve"> </w:t>
      </w:r>
      <w:r w:rsidR="00573FED" w:rsidRPr="00F01655">
        <w:t xml:space="preserve">the probability that individual </w:t>
      </w:r>
      <w:r w:rsidR="004126BD" w:rsidRPr="00F01655">
        <w:rPr>
          <w:i/>
          <w:iCs/>
        </w:rPr>
        <w:t>q</w:t>
      </w:r>
      <w:r w:rsidR="00374668" w:rsidRPr="00F01655">
        <w:t xml:space="preserve"> </w:t>
      </w:r>
      <w:r w:rsidR="00573FED" w:rsidRPr="00F01655">
        <w:t xml:space="preserve">will have an </w:t>
      </w:r>
      <w:r w:rsidRPr="00F01655">
        <w:t xml:space="preserve">ETF level of </w:t>
      </w:r>
      <w:r w:rsidRPr="00F01655">
        <w:rPr>
          <w:i/>
        </w:rPr>
        <w:t>k</w:t>
      </w:r>
      <w:r w:rsidRPr="00F01655">
        <w:t xml:space="preserve"> and an ITF level of </w:t>
      </w:r>
      <w:r w:rsidRPr="00F01655">
        <w:rPr>
          <w:i/>
        </w:rPr>
        <w:t>j</w:t>
      </w:r>
      <w:r w:rsidR="00573FED" w:rsidRPr="00F01655">
        <w:t xml:space="preserve"> may be written as follows:</w:t>
      </w:r>
    </w:p>
    <w:p w14:paraId="2E6ECDCD" w14:textId="11A1AA34" w:rsidR="00573FED" w:rsidRPr="00F01655" w:rsidRDefault="00AB110C" w:rsidP="00646A88">
      <w:pPr>
        <w:jc w:val="both"/>
        <w:rPr>
          <w:noProof/>
        </w:rPr>
      </w:pPr>
      <w:r w:rsidRPr="00AB110C">
        <w:rPr>
          <w:noProof/>
          <w:position w:val="-68"/>
        </w:rPr>
        <w:object w:dxaOrig="6320" w:dyaOrig="1840" w14:anchorId="33A0F023">
          <v:shape id="_x0000_i1103" type="#_x0000_t75" alt="" style="width:317.15pt;height:92.15pt" o:ole="" o:preferrelative="f">
            <v:imagedata r:id="rId162" o:title=""/>
            <o:lock v:ext="edit" aspectratio="f"/>
          </v:shape>
          <o:OLEObject Type="Embed" ProgID="Equation.DSMT4" ShapeID="_x0000_i1103" DrawAspect="Content" ObjectID="_1778681336" r:id="rId163"/>
        </w:object>
      </w:r>
      <w:r w:rsidR="00897091" w:rsidRPr="00F01655">
        <w:rPr>
          <w:noProof/>
        </w:rPr>
        <w:tab/>
      </w:r>
      <w:r w:rsidR="00897091" w:rsidRPr="00F01655">
        <w:rPr>
          <w:noProof/>
        </w:rPr>
        <w:tab/>
      </w:r>
      <w:r w:rsidR="00CF0E6D">
        <w:rPr>
          <w:noProof/>
        </w:rPr>
        <w:tab/>
      </w:r>
      <w:r w:rsidR="00897091" w:rsidRPr="00F01655">
        <w:rPr>
          <w:noProof/>
        </w:rPr>
        <w:t xml:space="preserve">    </w:t>
      </w:r>
      <w:r w:rsidR="00333E71" w:rsidRPr="00F01655">
        <w:rPr>
          <w:noProof/>
        </w:rPr>
        <w:t xml:space="preserve"> </w:t>
      </w:r>
      <w:r w:rsidR="00975BF9">
        <w:rPr>
          <w:noProof/>
        </w:rPr>
        <w:t xml:space="preserve">      </w:t>
      </w:r>
      <w:r w:rsidR="00333E71" w:rsidRPr="00F01655">
        <w:rPr>
          <w:noProof/>
        </w:rPr>
        <w:t xml:space="preserve">       </w:t>
      </w:r>
      <w:r w:rsidR="00897091" w:rsidRPr="00F01655">
        <w:rPr>
          <w:noProof/>
        </w:rPr>
        <w:t xml:space="preserve"> (</w:t>
      </w:r>
      <w:r w:rsidR="00D560F0">
        <w:rPr>
          <w:noProof/>
        </w:rPr>
        <w:t>5</w:t>
      </w:r>
      <w:r w:rsidR="00897091" w:rsidRPr="00F01655">
        <w:rPr>
          <w:noProof/>
        </w:rPr>
        <w:t>)</w:t>
      </w:r>
    </w:p>
    <w:p w14:paraId="4862B0EC" w14:textId="3D54B60C" w:rsidR="00573FED" w:rsidRPr="00F01655" w:rsidRDefault="005F6BF6" w:rsidP="00FA4EBF">
      <w:pPr>
        <w:jc w:val="both"/>
      </w:pPr>
      <w:r w:rsidRPr="00F648BD">
        <w:rPr>
          <w:noProof/>
          <w:position w:val="-14"/>
        </w:rPr>
        <w:object w:dxaOrig="4620" w:dyaOrig="380" w14:anchorId="3F5523A3">
          <v:shape id="_x0000_i1104" type="#_x0000_t75" alt="" style="width:231pt;height:18.85pt" o:ole="" o:preferrelative="f">
            <v:imagedata r:id="rId164" o:title=""/>
            <o:lock v:ext="edit" aspectratio="f"/>
          </v:shape>
          <o:OLEObject Type="Embed" ProgID="Equation.DSMT4" ShapeID="_x0000_i1104" DrawAspect="Content" ObjectID="_1778681337" r:id="rId165"/>
        </w:object>
      </w:r>
      <w:r w:rsidR="000B4019" w:rsidRPr="00F01655">
        <w:t xml:space="preserve"> </w:t>
      </w:r>
      <w:r w:rsidR="000B4019" w:rsidRPr="00F01655">
        <w:rPr>
          <w:noProof/>
        </w:rPr>
        <w:t xml:space="preserve">and </w:t>
      </w:r>
      <w:r w:rsidRPr="00F648BD">
        <w:rPr>
          <w:noProof/>
          <w:position w:val="-12"/>
        </w:rPr>
        <w:object w:dxaOrig="340" w:dyaOrig="360" w14:anchorId="4E448157">
          <v:shape id="_x0000_i1105" type="#_x0000_t75" alt="" style="width:17.15pt;height:18pt" o:ole="" o:preferrelative="f">
            <v:imagedata r:id="rId166" o:title=""/>
            <o:lock v:ext="edit" aspectratio="f"/>
          </v:shape>
          <o:OLEObject Type="Embed" ProgID="Equation.DSMT4" ShapeID="_x0000_i1105" DrawAspect="Content" ObjectID="_1778681338" r:id="rId167"/>
        </w:object>
      </w:r>
      <w:r w:rsidR="000B4019" w:rsidRPr="00F01655">
        <w:t xml:space="preserve"> </w:t>
      </w:r>
      <w:r w:rsidR="000B4019" w:rsidRPr="00F01655">
        <w:rPr>
          <w:rFonts w:eastAsiaTheme="minorEastAsia"/>
        </w:rPr>
        <w:t xml:space="preserve">is </w:t>
      </w:r>
      <w:r w:rsidR="000B4019" w:rsidRPr="00F01655">
        <w:t xml:space="preserve">the bivariate cumulative normal distribution function. To write the likelihood function, define </w:t>
      </w:r>
      <w:r w:rsidR="0072798C" w:rsidRPr="00141BDB">
        <w:rPr>
          <w:noProof/>
          <w:position w:val="-14"/>
        </w:rPr>
        <w:object w:dxaOrig="780" w:dyaOrig="380" w14:anchorId="47071C51">
          <v:shape id="_x0000_i1106" type="#_x0000_t75" alt="" style="width:38.15pt;height:18.85pt" o:ole="">
            <v:imagedata r:id="rId168" o:title=""/>
          </v:shape>
          <o:OLEObject Type="Embed" ProgID="Equation.DSMT4" ShapeID="_x0000_i1106" DrawAspect="Content" ObjectID="_1778681339" r:id="rId169"/>
        </w:object>
      </w:r>
      <w:r w:rsidR="000B4019" w:rsidRPr="00F01655">
        <w:t xml:space="preserve"> as a binary indicator variable that takes the value of 1 if individual has an ETF level of </w:t>
      </w:r>
      <w:r w:rsidR="000B4019" w:rsidRPr="00F01655">
        <w:rPr>
          <w:i/>
          <w:iCs/>
        </w:rPr>
        <w:t>k</w:t>
      </w:r>
      <w:r w:rsidR="000B4019" w:rsidRPr="00F01655">
        <w:t xml:space="preserve"> and ITF level of </w:t>
      </w:r>
      <w:r w:rsidR="000B4019" w:rsidRPr="00F01655">
        <w:rPr>
          <w:i/>
          <w:iCs/>
        </w:rPr>
        <w:t>j</w:t>
      </w:r>
      <w:r w:rsidR="000B4019" w:rsidRPr="00F01655">
        <w:t xml:space="preserve">. Then, the </w:t>
      </w:r>
      <w:r w:rsidR="00573FED" w:rsidRPr="00F01655">
        <w:t xml:space="preserve">likelihood function for </w:t>
      </w:r>
      <w:r w:rsidR="000B4019" w:rsidRPr="00F01655">
        <w:t xml:space="preserve">individual </w:t>
      </w:r>
      <w:r w:rsidR="000B4019" w:rsidRPr="00F01655">
        <w:rPr>
          <w:i/>
          <w:iCs/>
        </w:rPr>
        <w:t>q</w:t>
      </w:r>
      <w:r w:rsidR="000B4019" w:rsidRPr="00F01655">
        <w:t xml:space="preserve"> may</w:t>
      </w:r>
      <w:r w:rsidR="00573FED" w:rsidRPr="00F01655">
        <w:t xml:space="preserve"> be written as:</w:t>
      </w:r>
    </w:p>
    <w:p w14:paraId="0D2A385C" w14:textId="32395304" w:rsidR="00573FED" w:rsidRPr="00F01655" w:rsidRDefault="00AB110C" w:rsidP="005F6BF6">
      <w:pPr>
        <w:tabs>
          <w:tab w:val="right" w:pos="9360"/>
        </w:tabs>
        <w:jc w:val="both"/>
      </w:pPr>
      <w:r w:rsidRPr="007300A3">
        <w:rPr>
          <w:noProof/>
          <w:position w:val="-30"/>
        </w:rPr>
        <w:object w:dxaOrig="4239" w:dyaOrig="700" w14:anchorId="4260C316">
          <v:shape id="_x0000_i1107" type="#_x0000_t75" alt="" style="width:211.7pt;height:35.15pt" o:ole="" o:preferrelative="f">
            <v:imagedata r:id="rId170" o:title=""/>
            <o:lock v:ext="edit" aspectratio="f"/>
          </v:shape>
          <o:OLEObject Type="Embed" ProgID="Equation.DSMT4" ShapeID="_x0000_i1107" DrawAspect="Content" ObjectID="_1778681340" r:id="rId171"/>
        </w:object>
      </w:r>
      <w:r w:rsidR="00FA4EBF">
        <w:tab/>
      </w:r>
      <w:r w:rsidR="00CF0E6D">
        <w:t xml:space="preserve">  </w:t>
      </w:r>
      <w:r w:rsidR="00897091" w:rsidRPr="00F01655">
        <w:t>(</w:t>
      </w:r>
      <w:r w:rsidR="00D560F0">
        <w:t>6</w:t>
      </w:r>
      <w:r w:rsidR="00897091" w:rsidRPr="00F01655">
        <w:t>)</w:t>
      </w:r>
    </w:p>
    <w:p w14:paraId="1BD01897" w14:textId="6DF1F62F" w:rsidR="009028CC" w:rsidRDefault="004B2882" w:rsidP="00FA4EBF">
      <w:pPr>
        <w:jc w:val="both"/>
      </w:pPr>
      <w:r w:rsidRPr="00F01655">
        <w:t xml:space="preserve">This likelihood function entails the computation of bivariate normal cumulative distribution functions, which is easily achieved. The estimation was undertaken using libraries and routines written by the research team in the GAUSS matrix programming </w:t>
      </w:r>
      <w:r w:rsidRPr="00FA4EBF">
        <w:t>language (Aptech, 2022).</w:t>
      </w:r>
    </w:p>
    <w:p w14:paraId="767E4DDA" w14:textId="77777777" w:rsidR="00D560F0" w:rsidRPr="00F01655" w:rsidRDefault="00D560F0" w:rsidP="00FA4EBF">
      <w:pPr>
        <w:jc w:val="both"/>
      </w:pPr>
    </w:p>
    <w:p w14:paraId="705A76E6" w14:textId="77777777" w:rsidR="00232689" w:rsidRPr="00F01655" w:rsidRDefault="00232689" w:rsidP="002966B2">
      <w:pPr>
        <w:pStyle w:val="Heading1"/>
        <w:tabs>
          <w:tab w:val="left" w:pos="360"/>
        </w:tabs>
        <w:spacing w:before="0"/>
        <w:rPr>
          <w:rFonts w:ascii="Times New Roman" w:hAnsi="Times New Roman" w:cs="Times New Roman"/>
          <w:b/>
          <w:bCs/>
          <w:color w:val="000000" w:themeColor="text1"/>
          <w:sz w:val="24"/>
          <w:szCs w:val="24"/>
        </w:rPr>
      </w:pPr>
      <w:r w:rsidRPr="00F01655">
        <w:rPr>
          <w:rFonts w:ascii="Times New Roman" w:hAnsi="Times New Roman" w:cs="Times New Roman"/>
          <w:b/>
          <w:bCs/>
          <w:color w:val="000000" w:themeColor="text1"/>
          <w:sz w:val="24"/>
          <w:szCs w:val="24"/>
        </w:rPr>
        <w:t>4.</w:t>
      </w:r>
      <w:r w:rsidRPr="00F01655">
        <w:rPr>
          <w:rFonts w:ascii="Times New Roman" w:hAnsi="Times New Roman" w:cs="Times New Roman"/>
          <w:b/>
          <w:bCs/>
          <w:color w:val="000000" w:themeColor="text1"/>
          <w:sz w:val="24"/>
          <w:szCs w:val="24"/>
        </w:rPr>
        <w:tab/>
        <w:t>MODEL ESTIMATION RESULTS</w:t>
      </w:r>
    </w:p>
    <w:p w14:paraId="3619CAB7" w14:textId="705D1224" w:rsidR="004426D8" w:rsidRPr="00F01655" w:rsidRDefault="00D54EAD" w:rsidP="00FA4EBF">
      <w:pPr>
        <w:jc w:val="both"/>
      </w:pPr>
      <w:r w:rsidRPr="00F01655">
        <w:t>The final model specification was developed through a systematic method of testing several functional forms and combinations of explanatory variables, while removing statistically insignificant ones</w:t>
      </w:r>
      <w:r w:rsidR="00887C80" w:rsidRPr="00F01655">
        <w:t xml:space="preserve"> to develop a parsimonious specification</w:t>
      </w:r>
      <w:r w:rsidRPr="00F01655">
        <w:t xml:space="preserve">. </w:t>
      </w:r>
      <w:r w:rsidR="00887C80" w:rsidRPr="00F01655">
        <w:t xml:space="preserve">All explanatory variables are available </w:t>
      </w:r>
      <w:r w:rsidR="00887C80" w:rsidRPr="00F01655">
        <w:lastRenderedPageBreak/>
        <w:t>in the data in categorical/bracketed form</w:t>
      </w:r>
      <w:r w:rsidR="00A06AED" w:rsidRPr="00F01655">
        <w:t>, except for age which was collected as a continuous variable</w:t>
      </w:r>
      <w:r w:rsidR="00887C80" w:rsidRPr="00F01655">
        <w:t xml:space="preserve">. </w:t>
      </w:r>
      <w:r w:rsidR="00A06AED" w:rsidRPr="00F01655">
        <w:t xml:space="preserve">The categorical/bracketed variables </w:t>
      </w:r>
      <w:r w:rsidRPr="00F01655">
        <w:t xml:space="preserve">were considered as dummy variables in the most disaggregate form available, and progressively combined based on statistical tests to yield parsimonious specifications. </w:t>
      </w:r>
      <w:r w:rsidR="004426D8" w:rsidRPr="00F01655">
        <w:t xml:space="preserve">The </w:t>
      </w:r>
      <w:r w:rsidR="00A06AED" w:rsidRPr="00F01655">
        <w:t>age</w:t>
      </w:r>
      <w:r w:rsidR="004426D8" w:rsidRPr="00F01655">
        <w:t xml:space="preserve"> variable</w:t>
      </w:r>
      <w:r w:rsidR="00A06AED" w:rsidRPr="00F01655">
        <w:t xml:space="preserve"> </w:t>
      </w:r>
      <w:bookmarkStart w:id="12" w:name="_Hlk125929351"/>
      <w:r w:rsidR="004426D8" w:rsidRPr="00F01655">
        <w:t xml:space="preserve">was tested in linear form as well as non-linear dummy variable forms in different brackets (for the latter, again starting in disaggregate brackets with adequate number of observations, and then progressively combining into larger brackets). The non-linear dummy variable form clearly outperformed the linear form in terms of data fit, and is the retained form for age. </w:t>
      </w:r>
      <w:bookmarkEnd w:id="12"/>
    </w:p>
    <w:p w14:paraId="6C285516" w14:textId="1108D6F2" w:rsidR="00BD7CAC" w:rsidRPr="00F01655" w:rsidRDefault="00887C80" w:rsidP="00A24A56">
      <w:pPr>
        <w:ind w:firstLine="720"/>
        <w:jc w:val="both"/>
        <w:rPr>
          <w:noProof/>
        </w:rPr>
      </w:pPr>
      <w:bookmarkStart w:id="13" w:name="_Hlk167960202"/>
      <w:bookmarkStart w:id="14" w:name="_Hlk167874323"/>
      <w:r w:rsidRPr="00F01655">
        <w:t>In the model estimation process, we used a t-statistic threshold of 1.00 to retain variables (corresponding to a 0.32 level of significance or 68% confidence level</w:t>
      </w:r>
      <w:bookmarkEnd w:id="13"/>
      <w:r w:rsidRPr="00F01655">
        <w:t>)</w:t>
      </w:r>
      <w:r w:rsidR="009935AF">
        <w:t>.</w:t>
      </w:r>
      <w:bookmarkEnd w:id="14"/>
      <w:r w:rsidR="009A4BF8">
        <w:rPr>
          <w:rStyle w:val="FootnoteReference"/>
        </w:rPr>
        <w:footnoteReference w:id="8"/>
      </w:r>
      <w:r w:rsidR="009935AF">
        <w:rPr>
          <w:iCs/>
        </w:rPr>
        <w:t xml:space="preserve"> </w:t>
      </w:r>
      <w:r w:rsidRPr="00F01655">
        <w:rPr>
          <w:iCs/>
        </w:rPr>
        <w:t>The model results are presented by variable within each broad group going down the rows of Table 3. The results for exogenous variable effects on ETF propensity and ITF propensity shift effects are first presented</w:t>
      </w:r>
      <w:r w:rsidR="00BE19C3" w:rsidRPr="00F01655">
        <w:rPr>
          <w:iCs/>
        </w:rPr>
        <w:t xml:space="preserve">, with the former effects identified by the label “ETF” in parenthesis, and the latter effects identified by the label “ITF shift” (these correspond to </w:t>
      </w:r>
      <w:r w:rsidR="005F6BF6" w:rsidRPr="00EB10A0">
        <w:rPr>
          <w:noProof/>
          <w:position w:val="-12"/>
        </w:rPr>
        <w:object w:dxaOrig="880" w:dyaOrig="360" w14:anchorId="4E90F452">
          <v:shape id="_x0000_i1108" type="#_x0000_t75" alt="" style="width:43.7pt;height:18pt;mso-width-percent:0;mso-height-percent:0;mso-width-percent:0;mso-height-percent:0" o:ole="" o:preferrelative="f">
            <v:imagedata r:id="rId172" o:title=""/>
            <o:lock v:ext="edit" aspectratio="f"/>
          </v:shape>
          <o:OLEObject Type="Embed" ProgID="Equation.DSMT4" ShapeID="_x0000_i1108" DrawAspect="Content" ObjectID="_1778681341" r:id="rId173"/>
        </w:object>
      </w:r>
      <w:r w:rsidR="005F6BF6">
        <w:rPr>
          <w:noProof/>
        </w:rPr>
        <w:t xml:space="preserve"> </w:t>
      </w:r>
      <w:r w:rsidR="00BE19C3" w:rsidRPr="00F01655">
        <w:t>parameters)</w:t>
      </w:r>
      <w:r w:rsidRPr="00F01655">
        <w:rPr>
          <w:iCs/>
        </w:rPr>
        <w:t xml:space="preserve">. </w:t>
      </w:r>
      <w:r w:rsidR="00816F85" w:rsidRPr="00F01655">
        <w:rPr>
          <w:iCs/>
        </w:rPr>
        <w:t xml:space="preserve">Note that any variable </w:t>
      </w:r>
      <w:r w:rsidR="001B48DE" w:rsidRPr="00F01655">
        <w:rPr>
          <w:iCs/>
        </w:rPr>
        <w:t xml:space="preserve">in the table </w:t>
      </w:r>
      <w:r w:rsidR="00816F85" w:rsidRPr="00F01655">
        <w:rPr>
          <w:iCs/>
        </w:rPr>
        <w:t xml:space="preserve">with the label of “ETF” (with no additional label of “ITF shift”) </w:t>
      </w:r>
      <w:r w:rsidR="001B48DE" w:rsidRPr="00F01655">
        <w:rPr>
          <w:iCs/>
        </w:rPr>
        <w:t xml:space="preserve">has the </w:t>
      </w:r>
      <w:r w:rsidR="00816F85" w:rsidRPr="00F01655">
        <w:rPr>
          <w:iCs/>
        </w:rPr>
        <w:t xml:space="preserve">same </w:t>
      </w:r>
      <w:r w:rsidR="001B48DE" w:rsidRPr="00F01655">
        <w:rPr>
          <w:iCs/>
        </w:rPr>
        <w:t xml:space="preserve">effect </w:t>
      </w:r>
      <w:r w:rsidR="00816F85" w:rsidRPr="00F01655">
        <w:rPr>
          <w:iCs/>
        </w:rPr>
        <w:t xml:space="preserve">on both ETF and ITF propensity. Any variable with the label of “ETF” as well as “ITF shift” </w:t>
      </w:r>
      <w:r w:rsidR="001B48DE" w:rsidRPr="00F01655">
        <w:rPr>
          <w:iCs/>
        </w:rPr>
        <w:t xml:space="preserve">has an effect on ETF propensity given by the coefficient labeled “ETF”, and an effect on ITF propensity given by the sum of the coefficients labeled “ETF” and “ITF shift”. </w:t>
      </w:r>
      <w:r w:rsidR="00BE19C3" w:rsidRPr="00F01655">
        <w:rPr>
          <w:iCs/>
        </w:rPr>
        <w:t xml:space="preserve">Next, </w:t>
      </w:r>
      <w:r w:rsidR="001B48DE" w:rsidRPr="00F01655">
        <w:rPr>
          <w:iCs/>
        </w:rPr>
        <w:t xml:space="preserve">in our results discussion, </w:t>
      </w:r>
      <w:r w:rsidR="00BE19C3" w:rsidRPr="00F01655">
        <w:rPr>
          <w:iCs/>
        </w:rPr>
        <w:t xml:space="preserve">the threshold parameters are presented, starting with the fixed ETF threshold elements of </w:t>
      </w:r>
      <w:r w:rsidR="005F6BF6" w:rsidRPr="005039AE">
        <w:rPr>
          <w:noProof/>
          <w:position w:val="-10"/>
        </w:rPr>
        <w:object w:dxaOrig="240" w:dyaOrig="260" w14:anchorId="16F25163">
          <v:shape id="_x0000_i1109" type="#_x0000_t75" alt="" style="width:12.85pt;height:12.85pt" o:ole="" o:preferrelative="f">
            <v:imagedata r:id="rId174" o:title=""/>
            <o:lock v:ext="edit" aspectratio="f"/>
          </v:shape>
          <o:OLEObject Type="Embed" ProgID="Equation.DSMT4" ShapeID="_x0000_i1109" DrawAspect="Content" ObjectID="_1778681342" r:id="rId175"/>
        </w:object>
      </w:r>
      <w:r w:rsidR="00BD7CAC" w:rsidRPr="00F01655">
        <w:t xml:space="preserve"> and </w:t>
      </w:r>
      <w:r w:rsidR="00BE19C3" w:rsidRPr="00F01655">
        <w:t xml:space="preserve">the ITF unadjusted threshold value elements embedded in </w:t>
      </w:r>
      <w:r w:rsidR="005F6BF6" w:rsidRPr="00EB10A0">
        <w:rPr>
          <w:noProof/>
          <w:position w:val="-10"/>
        </w:rPr>
        <w:object w:dxaOrig="220" w:dyaOrig="320" w14:anchorId="59F2824D">
          <v:shape id="_x0000_i1110" type="#_x0000_t75" alt="" style="width:11.15pt;height:15.85pt" o:ole="" o:preferrelative="f">
            <v:imagedata r:id="rId176" o:title=""/>
            <o:lock v:ext="edit" aspectratio="f"/>
          </v:shape>
          <o:OLEObject Type="Embed" ProgID="Equation.DSMT4" ShapeID="_x0000_i1110" DrawAspect="Content" ObjectID="_1778681343" r:id="rId177"/>
        </w:object>
      </w:r>
      <w:r w:rsidR="00BD7CAC" w:rsidRPr="00F01655">
        <w:rPr>
          <w:noProof/>
        </w:rPr>
        <w:t xml:space="preserve">, followed by the </w:t>
      </w:r>
      <w:r w:rsidR="00BD7CAC" w:rsidRPr="00F01655">
        <w:t xml:space="preserve">constant </w:t>
      </w:r>
      <w:r w:rsidR="002054D7">
        <w:t xml:space="preserve">“same-threshold” </w:t>
      </w:r>
      <w:r w:rsidR="00BD7CAC" w:rsidRPr="00F01655">
        <w:t xml:space="preserve">shift effects (the elements of the </w:t>
      </w:r>
      <w:r w:rsidR="005F6BF6" w:rsidRPr="00EB10A0">
        <w:rPr>
          <w:noProof/>
          <w:position w:val="-4"/>
        </w:rPr>
        <w:object w:dxaOrig="220" w:dyaOrig="260" w14:anchorId="1B67B543">
          <v:shape id="_x0000_i1111" type="#_x0000_t75" alt="" style="width:10.7pt;height:12.85pt" o:ole="" o:preferrelative="f">
            <v:imagedata r:id="rId178" o:title=""/>
            <o:lock v:ext="edit" aspectratio="f"/>
          </v:shape>
          <o:OLEObject Type="Embed" ProgID="Equation.DSMT4" ShapeID="_x0000_i1111" DrawAspect="Content" ObjectID="_1778681344" r:id="rId179"/>
        </w:object>
      </w:r>
      <w:r w:rsidR="00FA4EBF">
        <w:rPr>
          <w:noProof/>
        </w:rPr>
        <w:t xml:space="preserve"> </w:t>
      </w:r>
      <w:r w:rsidR="00BD7CAC" w:rsidRPr="00F01655">
        <w:rPr>
          <w:noProof/>
        </w:rPr>
        <w:t xml:space="preserve">vector), </w:t>
      </w:r>
      <w:r w:rsidR="00BD7CAC" w:rsidRPr="00F01655">
        <w:t xml:space="preserve"> the generic </w:t>
      </w:r>
      <w:r w:rsidR="002054D7">
        <w:t>“same-threshold”</w:t>
      </w:r>
      <w:r w:rsidR="00BD7CAC" w:rsidRPr="00F01655">
        <w:t xml:space="preserve"> </w:t>
      </w:r>
      <w:r w:rsidR="00135D7F" w:rsidRPr="00F01655">
        <w:t xml:space="preserve">shift </w:t>
      </w:r>
      <w:r w:rsidR="00BD7CAC" w:rsidRPr="00F01655">
        <w:t xml:space="preserve">effects of the </w:t>
      </w:r>
      <w:r w:rsidR="00FA4EBF" w:rsidRPr="0072798C">
        <w:rPr>
          <w:noProof/>
          <w:position w:val="-6"/>
        </w:rPr>
        <w:object w:dxaOrig="200" w:dyaOrig="279" w14:anchorId="0AF12B2F">
          <v:shape id="_x0000_i1112" type="#_x0000_t75" alt="" style="width:10.7pt;height:13.7pt" o:ole="" o:preferrelative="f">
            <v:imagedata r:id="rId180" o:title=""/>
            <o:lock v:ext="edit" aspectratio="f"/>
          </v:shape>
          <o:OLEObject Type="Embed" ProgID="Equation.DSMT4" ShapeID="_x0000_i1112" DrawAspect="Content" ObjectID="_1778681345" r:id="rId181"/>
        </w:object>
      </w:r>
      <w:r w:rsidR="00BD7CAC" w:rsidRPr="00F01655">
        <w:t xml:space="preserve">vector, the outcome-specific </w:t>
      </w:r>
      <w:r w:rsidR="002054D7">
        <w:t xml:space="preserve">“same-threshold” </w:t>
      </w:r>
      <w:r w:rsidR="00135D7F" w:rsidRPr="00F01655">
        <w:t xml:space="preserve">shift </w:t>
      </w:r>
      <w:r w:rsidR="00BD7CAC" w:rsidRPr="00F01655">
        <w:t xml:space="preserve">effects of </w:t>
      </w:r>
      <w:r w:rsidR="005F6BF6" w:rsidRPr="005039AE">
        <w:rPr>
          <w:noProof/>
          <w:position w:val="-14"/>
        </w:rPr>
        <w:object w:dxaOrig="380" w:dyaOrig="380" w14:anchorId="6E01BFF9">
          <v:shape id="_x0000_i1113" type="#_x0000_t75" alt="" style="width:18.85pt;height:18.85pt" o:ole="" o:preferrelative="f">
            <v:imagedata r:id="rId182" o:title=""/>
            <o:lock v:ext="edit" aspectratio="f"/>
          </v:shape>
          <o:OLEObject Type="Embed" ProgID="Equation.DSMT4" ShapeID="_x0000_i1113" DrawAspect="Content" ObjectID="_1778681346" r:id="rId183"/>
        </w:object>
      </w:r>
      <w:r w:rsidR="009D6C5B" w:rsidRPr="00F01655">
        <w:rPr>
          <w:noProof/>
        </w:rPr>
        <w:t xml:space="preserve">and the cross ETF-ITF </w:t>
      </w:r>
      <w:r w:rsidR="00135D7F" w:rsidRPr="00F01655">
        <w:rPr>
          <w:noProof/>
        </w:rPr>
        <w:t xml:space="preserve">threshold </w:t>
      </w:r>
      <w:r w:rsidR="009D6C5B" w:rsidRPr="00F01655">
        <w:rPr>
          <w:noProof/>
        </w:rPr>
        <w:t>adjustments</w:t>
      </w:r>
      <w:r w:rsidR="0041365F">
        <w:rPr>
          <w:noProof/>
        </w:rPr>
        <w:t xml:space="preserve"> (</w:t>
      </w:r>
      <w:r w:rsidR="005F0724">
        <w:rPr>
          <w:noProof/>
        </w:rPr>
        <w:t>o</w:t>
      </w:r>
      <w:r w:rsidR="0041365F">
        <w:rPr>
          <w:noProof/>
        </w:rPr>
        <w:t xml:space="preserve">nly the constant “cross-threshold” shift effects corresponding to </w:t>
      </w:r>
      <w:r w:rsidR="005F6BF6" w:rsidRPr="003820B7">
        <w:rPr>
          <w:position w:val="-12"/>
        </w:rPr>
        <w:object w:dxaOrig="1240" w:dyaOrig="380" w14:anchorId="6F15A30D">
          <v:shape id="_x0000_i1114" type="#_x0000_t75" style="width:62.15pt;height:18.85pt" o:ole="" o:preferrelative="f">
            <v:imagedata r:id="rId184" o:title=""/>
            <o:lock v:ext="edit" aspectratio="f"/>
          </v:shape>
          <o:OLEObject Type="Embed" ProgID="Equation.DSMT4" ShapeID="_x0000_i1114" DrawAspect="Content" ObjectID="_1778681347" r:id="rId185"/>
        </w:object>
      </w:r>
      <w:r w:rsidR="0041365F">
        <w:t>turned out to be statistically significant in our empirical estimation)</w:t>
      </w:r>
      <w:r w:rsidR="00BD7CAC" w:rsidRPr="00F01655">
        <w:t xml:space="preserve">. Finally, the correlation parameter results are listed, corresponding to the </w:t>
      </w:r>
      <w:r w:rsidR="005F6BF6" w:rsidRPr="00BB6ABA">
        <w:rPr>
          <w:noProof/>
          <w:position w:val="-6"/>
        </w:rPr>
        <w:object w:dxaOrig="200" w:dyaOrig="279" w14:anchorId="4D52E24C">
          <v:shape id="_x0000_i1115" type="#_x0000_t75" alt="" style="width:10.7pt;height:13.7pt" o:ole="" o:preferrelative="f">
            <v:imagedata r:id="rId94" o:title=""/>
            <o:lock v:ext="edit" aspectratio="f"/>
          </v:shape>
          <o:OLEObject Type="Embed" ProgID="Equation.DSMT4" ShapeID="_x0000_i1115" DrawAspect="Content" ObjectID="_1778681348" r:id="rId186"/>
        </w:object>
      </w:r>
      <w:r w:rsidR="00BD7CAC" w:rsidRPr="00F01655">
        <w:rPr>
          <w:noProof/>
        </w:rPr>
        <w:t xml:space="preserve"> vector. </w:t>
      </w:r>
    </w:p>
    <w:p w14:paraId="3CAD8B52" w14:textId="35737B41" w:rsidR="0079315B" w:rsidRDefault="0079315B" w:rsidP="0079315B"/>
    <w:p w14:paraId="2A4C2C74" w14:textId="47522EB0" w:rsidR="00446AF6" w:rsidRDefault="00446AF6" w:rsidP="0079315B"/>
    <w:p w14:paraId="36D5F9E5" w14:textId="49E08581" w:rsidR="00446AF6" w:rsidRDefault="00446AF6" w:rsidP="0079315B"/>
    <w:p w14:paraId="456E925C" w14:textId="3DF1ADDC" w:rsidR="00446AF6" w:rsidRDefault="00446AF6" w:rsidP="0079315B"/>
    <w:p w14:paraId="7BA7B3F9" w14:textId="77777777" w:rsidR="00446AF6" w:rsidRPr="00F01655" w:rsidRDefault="00446AF6" w:rsidP="0079315B"/>
    <w:p w14:paraId="31A49007" w14:textId="25C90FE5" w:rsidR="00774DAA" w:rsidRPr="00F01655" w:rsidRDefault="00774DAA" w:rsidP="007A0521">
      <w:pPr>
        <w:pStyle w:val="Caption"/>
        <w:keepNext/>
        <w:spacing w:after="0"/>
        <w:rPr>
          <w:b/>
          <w:bCs/>
          <w:color w:val="000000" w:themeColor="text1"/>
        </w:rPr>
      </w:pPr>
      <w:r w:rsidRPr="00F01655">
        <w:rPr>
          <w:rFonts w:ascii="Times New Roman" w:hAnsi="Times New Roman" w:cs="Times New Roman"/>
          <w:b/>
          <w:bCs/>
          <w:i w:val="0"/>
          <w:iCs w:val="0"/>
          <w:color w:val="000000" w:themeColor="text1"/>
          <w:sz w:val="24"/>
          <w:szCs w:val="24"/>
        </w:rPr>
        <w:lastRenderedPageBreak/>
        <w:t>Table 3. Estimates of Exogeneous Variables on ETF and ITF</w:t>
      </w:r>
    </w:p>
    <w:tbl>
      <w:tblPr>
        <w:tblW w:w="9345" w:type="dxa"/>
        <w:tblLook w:val="04A0" w:firstRow="1" w:lastRow="0" w:firstColumn="1" w:lastColumn="0" w:noHBand="0" w:noVBand="1"/>
      </w:tblPr>
      <w:tblGrid>
        <w:gridCol w:w="7005"/>
        <w:gridCol w:w="1170"/>
        <w:gridCol w:w="1170"/>
      </w:tblGrid>
      <w:tr w:rsidR="00774DAA" w:rsidRPr="00446AF6" w14:paraId="6F4428B0" w14:textId="77777777" w:rsidTr="00446AF6">
        <w:trPr>
          <w:trHeight w:val="245"/>
          <w:tblHeader/>
        </w:trPr>
        <w:tc>
          <w:tcPr>
            <w:tcW w:w="7005" w:type="dxa"/>
            <w:vMerge w:val="restart"/>
            <w:tcBorders>
              <w:top w:val="double" w:sz="4" w:space="0" w:color="auto"/>
              <w:left w:val="double" w:sz="4" w:space="0" w:color="auto"/>
              <w:bottom w:val="double" w:sz="6" w:space="0" w:color="000000"/>
              <w:right w:val="double" w:sz="4" w:space="0" w:color="auto"/>
            </w:tcBorders>
            <w:shd w:val="clear" w:color="000000" w:fill="FFFFFF"/>
            <w:tcMar>
              <w:left w:w="58" w:type="dxa"/>
              <w:right w:w="58" w:type="dxa"/>
            </w:tcMar>
            <w:vAlign w:val="center"/>
            <w:hideMark/>
          </w:tcPr>
          <w:p w14:paraId="0866A375" w14:textId="77777777" w:rsidR="00774DAA" w:rsidRPr="00446AF6" w:rsidRDefault="00774DAA" w:rsidP="00FA4EBF">
            <w:pPr>
              <w:jc w:val="center"/>
              <w:rPr>
                <w:b/>
                <w:bCs/>
                <w:color w:val="000000"/>
                <w:sz w:val="20"/>
                <w:szCs w:val="20"/>
              </w:rPr>
            </w:pPr>
            <w:r w:rsidRPr="00446AF6">
              <w:rPr>
                <w:b/>
                <w:bCs/>
                <w:color w:val="000000"/>
                <w:sz w:val="20"/>
                <w:szCs w:val="20"/>
              </w:rPr>
              <w:t>Exogeneous Variables (Base Category - Frequency)</w:t>
            </w:r>
          </w:p>
        </w:tc>
        <w:tc>
          <w:tcPr>
            <w:tcW w:w="2340" w:type="dxa"/>
            <w:gridSpan w:val="2"/>
            <w:tcBorders>
              <w:top w:val="double" w:sz="4" w:space="0" w:color="auto"/>
              <w:left w:val="double" w:sz="4" w:space="0" w:color="auto"/>
              <w:bottom w:val="single" w:sz="4" w:space="0" w:color="auto"/>
              <w:right w:val="double" w:sz="4" w:space="0" w:color="auto"/>
            </w:tcBorders>
            <w:shd w:val="clear" w:color="000000" w:fill="FFFFFF"/>
            <w:noWrap/>
            <w:tcMar>
              <w:left w:w="58" w:type="dxa"/>
              <w:right w:w="58" w:type="dxa"/>
            </w:tcMar>
            <w:vAlign w:val="center"/>
            <w:hideMark/>
          </w:tcPr>
          <w:p w14:paraId="64997C58" w14:textId="77777777" w:rsidR="00774DAA" w:rsidRPr="00446AF6" w:rsidRDefault="00774DAA" w:rsidP="00FA4EBF">
            <w:pPr>
              <w:jc w:val="center"/>
              <w:rPr>
                <w:b/>
                <w:bCs/>
                <w:color w:val="000000"/>
                <w:sz w:val="20"/>
                <w:szCs w:val="20"/>
              </w:rPr>
            </w:pPr>
            <w:r w:rsidRPr="00446AF6">
              <w:rPr>
                <w:b/>
                <w:bCs/>
                <w:color w:val="000000"/>
                <w:sz w:val="20"/>
                <w:szCs w:val="20"/>
              </w:rPr>
              <w:t>ETF and ITF</w:t>
            </w:r>
          </w:p>
        </w:tc>
      </w:tr>
      <w:tr w:rsidR="00774DAA" w:rsidRPr="00446AF6" w14:paraId="47F13A76" w14:textId="77777777" w:rsidTr="00446AF6">
        <w:trPr>
          <w:trHeight w:val="245"/>
          <w:tblHeader/>
        </w:trPr>
        <w:tc>
          <w:tcPr>
            <w:tcW w:w="7005" w:type="dxa"/>
            <w:vMerge/>
            <w:tcBorders>
              <w:top w:val="double" w:sz="6" w:space="0" w:color="auto"/>
              <w:left w:val="double" w:sz="4" w:space="0" w:color="auto"/>
              <w:bottom w:val="double" w:sz="4" w:space="0" w:color="auto"/>
              <w:right w:val="double" w:sz="4" w:space="0" w:color="auto"/>
            </w:tcBorders>
            <w:tcMar>
              <w:left w:w="58" w:type="dxa"/>
              <w:right w:w="58" w:type="dxa"/>
            </w:tcMar>
            <w:vAlign w:val="center"/>
            <w:hideMark/>
          </w:tcPr>
          <w:p w14:paraId="24D9D748" w14:textId="77777777" w:rsidR="00774DAA" w:rsidRPr="00446AF6" w:rsidRDefault="00774DAA" w:rsidP="00FA4EBF">
            <w:pPr>
              <w:rPr>
                <w:b/>
                <w:bCs/>
                <w:color w:val="000000"/>
                <w:sz w:val="20"/>
                <w:szCs w:val="20"/>
              </w:rPr>
            </w:pPr>
          </w:p>
        </w:tc>
        <w:tc>
          <w:tcPr>
            <w:tcW w:w="1170" w:type="dxa"/>
            <w:tcBorders>
              <w:top w:val="single" w:sz="4" w:space="0" w:color="auto"/>
              <w:left w:val="double" w:sz="4" w:space="0" w:color="auto"/>
              <w:bottom w:val="double" w:sz="4" w:space="0" w:color="auto"/>
              <w:right w:val="single" w:sz="4" w:space="0" w:color="auto"/>
            </w:tcBorders>
            <w:shd w:val="clear" w:color="000000" w:fill="FFFFFF"/>
            <w:noWrap/>
            <w:tcMar>
              <w:left w:w="58" w:type="dxa"/>
              <w:right w:w="58" w:type="dxa"/>
            </w:tcMar>
            <w:vAlign w:val="center"/>
            <w:hideMark/>
          </w:tcPr>
          <w:p w14:paraId="5424BBFF" w14:textId="77777777" w:rsidR="00774DAA" w:rsidRPr="00446AF6" w:rsidRDefault="00774DAA" w:rsidP="00FA4EBF">
            <w:pPr>
              <w:jc w:val="center"/>
              <w:rPr>
                <w:color w:val="000000"/>
                <w:sz w:val="20"/>
                <w:szCs w:val="20"/>
              </w:rPr>
            </w:pPr>
            <w:r w:rsidRPr="00446AF6">
              <w:rPr>
                <w:color w:val="000000"/>
                <w:sz w:val="20"/>
                <w:szCs w:val="20"/>
              </w:rPr>
              <w:t>Coeff.</w:t>
            </w:r>
          </w:p>
        </w:tc>
        <w:tc>
          <w:tcPr>
            <w:tcW w:w="1170" w:type="dxa"/>
            <w:tcBorders>
              <w:top w:val="single" w:sz="4" w:space="0" w:color="auto"/>
              <w:left w:val="nil"/>
              <w:bottom w:val="double" w:sz="4" w:space="0" w:color="auto"/>
              <w:right w:val="double" w:sz="4" w:space="0" w:color="auto"/>
            </w:tcBorders>
            <w:shd w:val="clear" w:color="000000" w:fill="FFFFFF"/>
            <w:noWrap/>
            <w:tcMar>
              <w:left w:w="58" w:type="dxa"/>
              <w:right w:w="58" w:type="dxa"/>
            </w:tcMar>
            <w:vAlign w:val="center"/>
            <w:hideMark/>
          </w:tcPr>
          <w:p w14:paraId="204D137C" w14:textId="77777777" w:rsidR="00774DAA" w:rsidRPr="00446AF6" w:rsidRDefault="00774DAA" w:rsidP="00FA4EBF">
            <w:pPr>
              <w:jc w:val="center"/>
              <w:rPr>
                <w:color w:val="000000"/>
                <w:sz w:val="20"/>
                <w:szCs w:val="20"/>
              </w:rPr>
            </w:pPr>
            <w:r w:rsidRPr="00446AF6">
              <w:rPr>
                <w:color w:val="000000"/>
                <w:sz w:val="20"/>
                <w:szCs w:val="20"/>
              </w:rPr>
              <w:t>t-stat</w:t>
            </w:r>
          </w:p>
        </w:tc>
      </w:tr>
      <w:tr w:rsidR="00774DAA" w:rsidRPr="00446AF6" w14:paraId="71D5D8F8" w14:textId="77777777" w:rsidTr="002966B2">
        <w:trPr>
          <w:trHeight w:val="245"/>
        </w:trPr>
        <w:tc>
          <w:tcPr>
            <w:tcW w:w="7005" w:type="dxa"/>
            <w:tcBorders>
              <w:top w:val="double" w:sz="4" w:space="0" w:color="auto"/>
              <w:left w:val="double" w:sz="4" w:space="0" w:color="auto"/>
              <w:bottom w:val="nil"/>
              <w:right w:val="double" w:sz="4" w:space="0" w:color="auto"/>
            </w:tcBorders>
            <w:shd w:val="clear" w:color="000000" w:fill="FFFFFF"/>
            <w:tcMar>
              <w:left w:w="58" w:type="dxa"/>
              <w:right w:w="58" w:type="dxa"/>
            </w:tcMar>
            <w:vAlign w:val="center"/>
            <w:hideMark/>
          </w:tcPr>
          <w:p w14:paraId="0C5CA679" w14:textId="77777777" w:rsidR="00774DAA" w:rsidRPr="00446AF6" w:rsidRDefault="00774DAA" w:rsidP="002966B2">
            <w:pPr>
              <w:rPr>
                <w:b/>
                <w:bCs/>
                <w:i/>
                <w:iCs/>
                <w:color w:val="000000"/>
                <w:sz w:val="20"/>
                <w:szCs w:val="20"/>
              </w:rPr>
            </w:pPr>
            <w:r w:rsidRPr="00446AF6">
              <w:rPr>
                <w:b/>
                <w:bCs/>
                <w:i/>
                <w:iCs/>
                <w:color w:val="000000"/>
                <w:sz w:val="20"/>
                <w:szCs w:val="20"/>
              </w:rPr>
              <w:t>Individual-Level Characteristics</w:t>
            </w:r>
          </w:p>
        </w:tc>
        <w:tc>
          <w:tcPr>
            <w:tcW w:w="1170" w:type="dxa"/>
            <w:tcBorders>
              <w:top w:val="double" w:sz="4" w:space="0" w:color="auto"/>
              <w:left w:val="double" w:sz="4" w:space="0" w:color="auto"/>
              <w:bottom w:val="nil"/>
              <w:right w:val="single" w:sz="4" w:space="0" w:color="auto"/>
            </w:tcBorders>
            <w:shd w:val="clear" w:color="000000" w:fill="FFFFFF"/>
            <w:noWrap/>
            <w:tcMar>
              <w:left w:w="58" w:type="dxa"/>
              <w:right w:w="58" w:type="dxa"/>
            </w:tcMar>
            <w:vAlign w:val="center"/>
            <w:hideMark/>
          </w:tcPr>
          <w:p w14:paraId="596B2F1F"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double" w:sz="4" w:space="0" w:color="auto"/>
              <w:left w:val="nil"/>
              <w:bottom w:val="nil"/>
              <w:right w:val="double" w:sz="4" w:space="0" w:color="auto"/>
            </w:tcBorders>
            <w:shd w:val="clear" w:color="000000" w:fill="FFFFFF"/>
            <w:noWrap/>
            <w:tcMar>
              <w:left w:w="58" w:type="dxa"/>
              <w:right w:w="58" w:type="dxa"/>
            </w:tcMar>
            <w:vAlign w:val="center"/>
            <w:hideMark/>
          </w:tcPr>
          <w:p w14:paraId="7FFB96D1"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42F68046"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33F1847A" w14:textId="77777777" w:rsidR="00774DAA" w:rsidRPr="00446AF6" w:rsidRDefault="00774DAA" w:rsidP="002966B2">
            <w:pPr>
              <w:rPr>
                <w:b/>
                <w:bCs/>
                <w:color w:val="000000"/>
                <w:sz w:val="20"/>
                <w:szCs w:val="20"/>
              </w:rPr>
            </w:pPr>
            <w:r w:rsidRPr="00446AF6">
              <w:rPr>
                <w:b/>
                <w:bCs/>
                <w:color w:val="000000"/>
                <w:sz w:val="20"/>
                <w:szCs w:val="20"/>
              </w:rPr>
              <w:t>Gendered Lifecycle and Employment Status Variables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537402D4"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249D55EF"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488DDA66" w14:textId="77777777" w:rsidTr="002966B2">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05A3DE17" w14:textId="77777777" w:rsidR="00774DAA" w:rsidRPr="00446AF6" w:rsidRDefault="00774DAA" w:rsidP="002966B2">
            <w:pPr>
              <w:ind w:firstLineChars="100" w:firstLine="200"/>
              <w:rPr>
                <w:color w:val="000000"/>
                <w:sz w:val="20"/>
                <w:szCs w:val="20"/>
              </w:rPr>
            </w:pPr>
            <w:r w:rsidRPr="00446AF6">
              <w:rPr>
                <w:color w:val="000000"/>
                <w:sz w:val="20"/>
                <w:szCs w:val="20"/>
              </w:rPr>
              <w:t>Single Individual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7A8BD7F7" w14:textId="77777777" w:rsidR="00774DAA" w:rsidRPr="00446AF6" w:rsidRDefault="00774DAA" w:rsidP="002966B2">
            <w:pPr>
              <w:jc w:val="right"/>
              <w:rPr>
                <w:color w:val="000000"/>
                <w:sz w:val="20"/>
                <w:szCs w:val="20"/>
              </w:rPr>
            </w:pPr>
            <w:r w:rsidRPr="00446AF6">
              <w:rPr>
                <w:color w:val="000000"/>
                <w:sz w:val="20"/>
                <w:szCs w:val="20"/>
              </w:rPr>
              <w:t>0.174</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61E92719" w14:textId="77777777" w:rsidR="00774DAA" w:rsidRPr="00446AF6" w:rsidRDefault="00774DAA" w:rsidP="002966B2">
            <w:pPr>
              <w:jc w:val="right"/>
              <w:rPr>
                <w:color w:val="000000"/>
                <w:sz w:val="20"/>
                <w:szCs w:val="20"/>
              </w:rPr>
            </w:pPr>
            <w:r w:rsidRPr="00446AF6">
              <w:rPr>
                <w:color w:val="000000"/>
                <w:sz w:val="20"/>
                <w:szCs w:val="20"/>
              </w:rPr>
              <w:t>1.97</w:t>
            </w:r>
          </w:p>
        </w:tc>
      </w:tr>
      <w:tr w:rsidR="00774DAA" w:rsidRPr="00446AF6" w14:paraId="3DE19912" w14:textId="77777777" w:rsidTr="002966B2">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05005F9D" w14:textId="77777777" w:rsidR="00774DAA" w:rsidRPr="00446AF6" w:rsidRDefault="00774DAA" w:rsidP="002966B2">
            <w:pPr>
              <w:ind w:firstLineChars="100" w:firstLine="200"/>
              <w:rPr>
                <w:color w:val="000000"/>
                <w:sz w:val="20"/>
                <w:szCs w:val="20"/>
              </w:rPr>
            </w:pPr>
            <w:r w:rsidRPr="00446AF6">
              <w:rPr>
                <w:color w:val="000000"/>
                <w:sz w:val="20"/>
                <w:szCs w:val="20"/>
              </w:rPr>
              <w:t>Single Female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7A60B45E" w14:textId="77777777" w:rsidR="00774DAA" w:rsidRPr="00446AF6" w:rsidRDefault="00774DAA" w:rsidP="002966B2">
            <w:pPr>
              <w:jc w:val="right"/>
              <w:rPr>
                <w:color w:val="000000"/>
                <w:sz w:val="20"/>
                <w:szCs w:val="20"/>
              </w:rPr>
            </w:pPr>
            <w:r w:rsidRPr="00446AF6">
              <w:rPr>
                <w:color w:val="000000"/>
                <w:sz w:val="20"/>
                <w:szCs w:val="20"/>
              </w:rPr>
              <w:t>0.094</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6AF46C0A" w14:textId="77777777" w:rsidR="00774DAA" w:rsidRPr="00446AF6" w:rsidRDefault="00774DAA" w:rsidP="002966B2">
            <w:pPr>
              <w:jc w:val="right"/>
              <w:rPr>
                <w:color w:val="000000"/>
                <w:sz w:val="20"/>
                <w:szCs w:val="20"/>
              </w:rPr>
            </w:pPr>
            <w:r w:rsidRPr="00446AF6">
              <w:rPr>
                <w:color w:val="000000"/>
                <w:sz w:val="20"/>
                <w:szCs w:val="20"/>
              </w:rPr>
              <w:t>1.55</w:t>
            </w:r>
          </w:p>
        </w:tc>
      </w:tr>
      <w:tr w:rsidR="00774DAA" w:rsidRPr="00446AF6" w14:paraId="6DB7B765" w14:textId="77777777" w:rsidTr="002966B2">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12BA0E80" w14:textId="77777777" w:rsidR="00774DAA" w:rsidRPr="00446AF6" w:rsidRDefault="00774DAA" w:rsidP="002966B2">
            <w:pPr>
              <w:ind w:firstLineChars="100" w:firstLine="200"/>
              <w:rPr>
                <w:color w:val="000000"/>
                <w:sz w:val="20"/>
                <w:szCs w:val="20"/>
              </w:rPr>
            </w:pPr>
            <w:r w:rsidRPr="00446AF6">
              <w:rPr>
                <w:color w:val="000000"/>
                <w:sz w:val="20"/>
                <w:szCs w:val="20"/>
              </w:rPr>
              <w:t>Employed Part-time * Male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06CAF881" w14:textId="77777777" w:rsidR="00774DAA" w:rsidRPr="00446AF6" w:rsidRDefault="00774DAA" w:rsidP="002966B2">
            <w:pPr>
              <w:jc w:val="right"/>
              <w:rPr>
                <w:color w:val="000000"/>
                <w:sz w:val="20"/>
                <w:szCs w:val="20"/>
              </w:rPr>
            </w:pPr>
            <w:r w:rsidRPr="00446AF6">
              <w:rPr>
                <w:color w:val="000000"/>
                <w:sz w:val="20"/>
                <w:szCs w:val="20"/>
              </w:rPr>
              <w:t>0.220</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33AC2297" w14:textId="77777777" w:rsidR="00774DAA" w:rsidRPr="00446AF6" w:rsidRDefault="00774DAA" w:rsidP="002966B2">
            <w:pPr>
              <w:jc w:val="right"/>
              <w:rPr>
                <w:color w:val="000000"/>
                <w:sz w:val="20"/>
                <w:szCs w:val="20"/>
              </w:rPr>
            </w:pPr>
            <w:r w:rsidRPr="00446AF6">
              <w:rPr>
                <w:color w:val="000000"/>
                <w:sz w:val="20"/>
                <w:szCs w:val="20"/>
              </w:rPr>
              <w:t>1.52</w:t>
            </w:r>
          </w:p>
        </w:tc>
      </w:tr>
      <w:tr w:rsidR="00774DAA" w:rsidRPr="00446AF6" w14:paraId="17DA0AC9" w14:textId="77777777" w:rsidTr="002966B2">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tcPr>
          <w:p w14:paraId="3C0394E7" w14:textId="77777777" w:rsidR="00774DAA" w:rsidRPr="00446AF6" w:rsidRDefault="00774DAA" w:rsidP="002966B2">
            <w:pPr>
              <w:ind w:firstLineChars="100" w:firstLine="200"/>
              <w:rPr>
                <w:color w:val="000000"/>
                <w:sz w:val="20"/>
                <w:szCs w:val="20"/>
              </w:rPr>
            </w:pPr>
            <w:r w:rsidRPr="00446AF6">
              <w:rPr>
                <w:color w:val="000000"/>
                <w:sz w:val="20"/>
                <w:szCs w:val="20"/>
              </w:rPr>
              <w:t>Single Individual (ITF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tcPr>
          <w:p w14:paraId="70743B74" w14:textId="77777777" w:rsidR="00774DAA" w:rsidRPr="00446AF6" w:rsidRDefault="00774DAA" w:rsidP="002966B2">
            <w:pPr>
              <w:jc w:val="right"/>
              <w:rPr>
                <w:color w:val="000000"/>
                <w:sz w:val="20"/>
                <w:szCs w:val="20"/>
              </w:rPr>
            </w:pPr>
            <w:r w:rsidRPr="00446AF6">
              <w:rPr>
                <w:color w:val="000000"/>
                <w:sz w:val="20"/>
                <w:szCs w:val="20"/>
              </w:rPr>
              <w:t>-0.289</w:t>
            </w:r>
          </w:p>
        </w:tc>
        <w:tc>
          <w:tcPr>
            <w:tcW w:w="1170" w:type="dxa"/>
            <w:tcBorders>
              <w:top w:val="nil"/>
              <w:left w:val="nil"/>
              <w:bottom w:val="nil"/>
              <w:right w:val="double" w:sz="4" w:space="0" w:color="auto"/>
            </w:tcBorders>
            <w:shd w:val="clear" w:color="auto" w:fill="auto"/>
            <w:noWrap/>
            <w:tcMar>
              <w:left w:w="58" w:type="dxa"/>
              <w:right w:w="58" w:type="dxa"/>
            </w:tcMar>
            <w:vAlign w:val="center"/>
          </w:tcPr>
          <w:p w14:paraId="3619D3AB" w14:textId="77777777" w:rsidR="00774DAA" w:rsidRPr="00446AF6" w:rsidRDefault="00774DAA" w:rsidP="002966B2">
            <w:pPr>
              <w:jc w:val="right"/>
              <w:rPr>
                <w:color w:val="000000"/>
                <w:sz w:val="20"/>
                <w:szCs w:val="20"/>
              </w:rPr>
            </w:pPr>
            <w:r w:rsidRPr="00446AF6">
              <w:rPr>
                <w:color w:val="000000"/>
                <w:sz w:val="20"/>
                <w:szCs w:val="20"/>
              </w:rPr>
              <w:t>-2.23</w:t>
            </w:r>
          </w:p>
        </w:tc>
      </w:tr>
      <w:tr w:rsidR="00774DAA" w:rsidRPr="00446AF6" w14:paraId="5C732C4F" w14:textId="77777777" w:rsidTr="002966B2">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22DC7552" w14:textId="77777777" w:rsidR="00774DAA" w:rsidRPr="00446AF6" w:rsidRDefault="00774DAA" w:rsidP="002966B2">
            <w:pPr>
              <w:ind w:firstLineChars="100" w:firstLine="200"/>
              <w:rPr>
                <w:color w:val="000000"/>
                <w:sz w:val="20"/>
                <w:szCs w:val="20"/>
              </w:rPr>
            </w:pPr>
            <w:r w:rsidRPr="00446AF6">
              <w:rPr>
                <w:color w:val="000000"/>
                <w:sz w:val="20"/>
                <w:szCs w:val="20"/>
              </w:rPr>
              <w:t>Employed Part-time * Male (ITF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7E8D9C62" w14:textId="77777777" w:rsidR="00774DAA" w:rsidRPr="00446AF6" w:rsidRDefault="00774DAA" w:rsidP="002966B2">
            <w:pPr>
              <w:jc w:val="right"/>
              <w:rPr>
                <w:color w:val="000000"/>
                <w:sz w:val="20"/>
                <w:szCs w:val="20"/>
              </w:rPr>
            </w:pPr>
            <w:r w:rsidRPr="00446AF6">
              <w:rPr>
                <w:color w:val="000000"/>
                <w:sz w:val="20"/>
                <w:szCs w:val="20"/>
              </w:rPr>
              <w:t>-0.335</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19B55463" w14:textId="77777777" w:rsidR="00774DAA" w:rsidRPr="00446AF6" w:rsidRDefault="00774DAA" w:rsidP="002966B2">
            <w:pPr>
              <w:jc w:val="right"/>
              <w:rPr>
                <w:color w:val="000000"/>
                <w:sz w:val="20"/>
                <w:szCs w:val="20"/>
              </w:rPr>
            </w:pPr>
            <w:r w:rsidRPr="00446AF6">
              <w:rPr>
                <w:color w:val="000000"/>
                <w:sz w:val="20"/>
                <w:szCs w:val="20"/>
              </w:rPr>
              <w:t>-1.71</w:t>
            </w:r>
          </w:p>
        </w:tc>
      </w:tr>
      <w:tr w:rsidR="00774DAA" w:rsidRPr="00446AF6" w14:paraId="0E255AFB"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4977C471" w14:textId="77777777" w:rsidR="00774DAA" w:rsidRPr="00446AF6" w:rsidRDefault="00774DAA" w:rsidP="002966B2">
            <w:pPr>
              <w:rPr>
                <w:b/>
                <w:bCs/>
                <w:color w:val="000000"/>
                <w:sz w:val="20"/>
                <w:szCs w:val="20"/>
              </w:rPr>
            </w:pPr>
            <w:r w:rsidRPr="00446AF6">
              <w:rPr>
                <w:b/>
                <w:bCs/>
                <w:color w:val="000000"/>
                <w:sz w:val="20"/>
                <w:szCs w:val="20"/>
              </w:rPr>
              <w:t>Age (18 to 24 years old)</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12B7F28E"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35E0DA59"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36886532" w14:textId="77777777" w:rsidTr="002966B2">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tcPr>
          <w:p w14:paraId="4A201012" w14:textId="77777777" w:rsidR="00774DAA" w:rsidRPr="00446AF6" w:rsidRDefault="00774DAA" w:rsidP="002966B2">
            <w:pPr>
              <w:ind w:firstLineChars="100" w:firstLine="200"/>
              <w:rPr>
                <w:color w:val="000000"/>
                <w:sz w:val="20"/>
                <w:szCs w:val="20"/>
              </w:rPr>
            </w:pPr>
            <w:r w:rsidRPr="00446AF6">
              <w:rPr>
                <w:color w:val="000000"/>
                <w:sz w:val="20"/>
                <w:szCs w:val="20"/>
              </w:rPr>
              <w:t>25 to 29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tcPr>
          <w:p w14:paraId="4B1567EB" w14:textId="77777777" w:rsidR="00774DAA" w:rsidRPr="00446AF6" w:rsidRDefault="00774DAA" w:rsidP="002966B2">
            <w:pPr>
              <w:jc w:val="right"/>
              <w:rPr>
                <w:color w:val="000000"/>
                <w:sz w:val="20"/>
                <w:szCs w:val="20"/>
              </w:rPr>
            </w:pPr>
            <w:r w:rsidRPr="00446AF6">
              <w:rPr>
                <w:color w:val="000000"/>
                <w:sz w:val="20"/>
                <w:szCs w:val="20"/>
              </w:rPr>
              <w:t>--</w:t>
            </w:r>
          </w:p>
        </w:tc>
        <w:tc>
          <w:tcPr>
            <w:tcW w:w="1170" w:type="dxa"/>
            <w:tcBorders>
              <w:top w:val="nil"/>
              <w:left w:val="nil"/>
              <w:bottom w:val="nil"/>
              <w:right w:val="double" w:sz="4" w:space="0" w:color="auto"/>
            </w:tcBorders>
            <w:shd w:val="clear" w:color="auto" w:fill="auto"/>
            <w:noWrap/>
            <w:tcMar>
              <w:left w:w="58" w:type="dxa"/>
              <w:right w:w="58" w:type="dxa"/>
            </w:tcMar>
            <w:vAlign w:val="center"/>
          </w:tcPr>
          <w:p w14:paraId="0F4072FF" w14:textId="77777777" w:rsidR="00774DAA" w:rsidRPr="00446AF6" w:rsidRDefault="00774DAA" w:rsidP="002966B2">
            <w:pPr>
              <w:jc w:val="right"/>
              <w:rPr>
                <w:color w:val="000000"/>
                <w:sz w:val="20"/>
                <w:szCs w:val="20"/>
              </w:rPr>
            </w:pPr>
            <w:r w:rsidRPr="00446AF6">
              <w:rPr>
                <w:color w:val="000000"/>
                <w:sz w:val="20"/>
                <w:szCs w:val="20"/>
              </w:rPr>
              <w:t>--</w:t>
            </w:r>
          </w:p>
        </w:tc>
      </w:tr>
      <w:tr w:rsidR="00774DAA" w:rsidRPr="00446AF6" w14:paraId="30D87582" w14:textId="77777777" w:rsidTr="002966B2">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tcPr>
          <w:p w14:paraId="299F10B9" w14:textId="77777777" w:rsidR="00774DAA" w:rsidRPr="00446AF6" w:rsidRDefault="00774DAA" w:rsidP="002966B2">
            <w:pPr>
              <w:ind w:firstLineChars="100" w:firstLine="200"/>
              <w:rPr>
                <w:color w:val="000000"/>
                <w:sz w:val="20"/>
                <w:szCs w:val="20"/>
              </w:rPr>
            </w:pPr>
            <w:r w:rsidRPr="00446AF6">
              <w:rPr>
                <w:color w:val="000000"/>
                <w:sz w:val="20"/>
                <w:szCs w:val="20"/>
              </w:rPr>
              <w:t>30 to 39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tcPr>
          <w:p w14:paraId="56514FB7" w14:textId="77777777" w:rsidR="00774DAA" w:rsidRPr="00446AF6" w:rsidRDefault="00774DAA" w:rsidP="002966B2">
            <w:pPr>
              <w:jc w:val="right"/>
              <w:rPr>
                <w:color w:val="000000"/>
                <w:sz w:val="20"/>
                <w:szCs w:val="20"/>
              </w:rPr>
            </w:pPr>
            <w:r w:rsidRPr="00446AF6">
              <w:rPr>
                <w:color w:val="000000"/>
                <w:sz w:val="20"/>
                <w:szCs w:val="20"/>
              </w:rPr>
              <w:t>--</w:t>
            </w:r>
          </w:p>
        </w:tc>
        <w:tc>
          <w:tcPr>
            <w:tcW w:w="1170" w:type="dxa"/>
            <w:tcBorders>
              <w:top w:val="nil"/>
              <w:left w:val="nil"/>
              <w:bottom w:val="nil"/>
              <w:right w:val="double" w:sz="4" w:space="0" w:color="auto"/>
            </w:tcBorders>
            <w:shd w:val="clear" w:color="auto" w:fill="auto"/>
            <w:noWrap/>
            <w:tcMar>
              <w:left w:w="58" w:type="dxa"/>
              <w:right w:w="58" w:type="dxa"/>
            </w:tcMar>
            <w:vAlign w:val="center"/>
          </w:tcPr>
          <w:p w14:paraId="086BF667" w14:textId="77777777" w:rsidR="00774DAA" w:rsidRPr="00446AF6" w:rsidRDefault="00774DAA" w:rsidP="002966B2">
            <w:pPr>
              <w:jc w:val="right"/>
              <w:rPr>
                <w:color w:val="000000"/>
                <w:sz w:val="20"/>
                <w:szCs w:val="20"/>
              </w:rPr>
            </w:pPr>
            <w:r w:rsidRPr="00446AF6">
              <w:rPr>
                <w:color w:val="000000"/>
                <w:sz w:val="20"/>
                <w:szCs w:val="20"/>
              </w:rPr>
              <w:t>--</w:t>
            </w:r>
          </w:p>
        </w:tc>
      </w:tr>
      <w:tr w:rsidR="00774DAA" w:rsidRPr="00446AF6" w14:paraId="3494AC70" w14:textId="77777777" w:rsidTr="002966B2">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7B20B684" w14:textId="77777777" w:rsidR="00774DAA" w:rsidRPr="00446AF6" w:rsidRDefault="00774DAA" w:rsidP="002966B2">
            <w:pPr>
              <w:ind w:firstLineChars="100" w:firstLine="200"/>
              <w:rPr>
                <w:color w:val="000000"/>
                <w:sz w:val="20"/>
                <w:szCs w:val="20"/>
              </w:rPr>
            </w:pPr>
            <w:r w:rsidRPr="00446AF6">
              <w:rPr>
                <w:color w:val="000000"/>
                <w:sz w:val="20"/>
                <w:szCs w:val="20"/>
              </w:rPr>
              <w:t>40 to 64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3106F24C" w14:textId="77777777" w:rsidR="00774DAA" w:rsidRPr="00446AF6" w:rsidRDefault="00774DAA" w:rsidP="002966B2">
            <w:pPr>
              <w:jc w:val="right"/>
              <w:rPr>
                <w:color w:val="000000"/>
                <w:sz w:val="20"/>
                <w:szCs w:val="20"/>
              </w:rPr>
            </w:pPr>
            <w:r w:rsidRPr="00446AF6">
              <w:rPr>
                <w:color w:val="000000"/>
                <w:sz w:val="20"/>
                <w:szCs w:val="20"/>
              </w:rPr>
              <w:t>-0.141</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728A0953" w14:textId="77777777" w:rsidR="00774DAA" w:rsidRPr="00446AF6" w:rsidRDefault="00774DAA" w:rsidP="002966B2">
            <w:pPr>
              <w:jc w:val="right"/>
              <w:rPr>
                <w:color w:val="000000"/>
                <w:sz w:val="20"/>
                <w:szCs w:val="20"/>
              </w:rPr>
            </w:pPr>
            <w:r w:rsidRPr="00446AF6">
              <w:rPr>
                <w:color w:val="000000"/>
                <w:sz w:val="20"/>
                <w:szCs w:val="20"/>
              </w:rPr>
              <w:t>-2.22</w:t>
            </w:r>
          </w:p>
        </w:tc>
      </w:tr>
      <w:tr w:rsidR="00774DAA" w:rsidRPr="00446AF6" w14:paraId="2ECFDE15" w14:textId="77777777" w:rsidTr="002966B2">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46A8251F" w14:textId="77777777" w:rsidR="00774DAA" w:rsidRPr="00446AF6" w:rsidRDefault="00774DAA" w:rsidP="002966B2">
            <w:pPr>
              <w:ind w:firstLineChars="100" w:firstLine="200"/>
              <w:rPr>
                <w:color w:val="000000"/>
                <w:sz w:val="20"/>
                <w:szCs w:val="20"/>
              </w:rPr>
            </w:pPr>
            <w:r w:rsidRPr="00446AF6">
              <w:rPr>
                <w:color w:val="000000"/>
                <w:sz w:val="20"/>
                <w:szCs w:val="20"/>
              </w:rPr>
              <w:t>65 or Older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3BA4E756" w14:textId="77777777" w:rsidR="00774DAA" w:rsidRPr="00446AF6" w:rsidRDefault="00774DAA" w:rsidP="002966B2">
            <w:pPr>
              <w:jc w:val="right"/>
              <w:rPr>
                <w:color w:val="000000"/>
                <w:sz w:val="20"/>
                <w:szCs w:val="20"/>
              </w:rPr>
            </w:pPr>
            <w:r w:rsidRPr="00446AF6">
              <w:rPr>
                <w:color w:val="000000"/>
                <w:sz w:val="20"/>
                <w:szCs w:val="20"/>
              </w:rPr>
              <w:t>-0.208</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404B9640" w14:textId="77777777" w:rsidR="00774DAA" w:rsidRPr="00446AF6" w:rsidRDefault="00774DAA" w:rsidP="002966B2">
            <w:pPr>
              <w:jc w:val="right"/>
              <w:rPr>
                <w:color w:val="000000"/>
                <w:sz w:val="20"/>
                <w:szCs w:val="20"/>
              </w:rPr>
            </w:pPr>
            <w:r w:rsidRPr="00446AF6">
              <w:rPr>
                <w:color w:val="000000"/>
                <w:sz w:val="20"/>
                <w:szCs w:val="20"/>
              </w:rPr>
              <w:t>-1.96</w:t>
            </w:r>
          </w:p>
        </w:tc>
      </w:tr>
      <w:tr w:rsidR="00774DAA" w:rsidRPr="00446AF6" w14:paraId="370F8875" w14:textId="77777777" w:rsidTr="002966B2">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77879462" w14:textId="77777777" w:rsidR="00774DAA" w:rsidRPr="00446AF6" w:rsidRDefault="00774DAA" w:rsidP="002966B2">
            <w:pPr>
              <w:ind w:firstLineChars="100" w:firstLine="200"/>
              <w:rPr>
                <w:color w:val="000000"/>
                <w:sz w:val="20"/>
                <w:szCs w:val="20"/>
              </w:rPr>
            </w:pPr>
            <w:r w:rsidRPr="00446AF6">
              <w:rPr>
                <w:color w:val="000000"/>
                <w:sz w:val="20"/>
                <w:szCs w:val="20"/>
              </w:rPr>
              <w:t>25 to 29 (ITF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7545BC1" w14:textId="77777777" w:rsidR="00774DAA" w:rsidRPr="00446AF6" w:rsidRDefault="00774DAA" w:rsidP="002966B2">
            <w:pPr>
              <w:jc w:val="right"/>
              <w:rPr>
                <w:color w:val="000000"/>
                <w:sz w:val="20"/>
                <w:szCs w:val="20"/>
              </w:rPr>
            </w:pPr>
            <w:r w:rsidRPr="00446AF6">
              <w:rPr>
                <w:color w:val="000000"/>
                <w:sz w:val="20"/>
                <w:szCs w:val="20"/>
              </w:rPr>
              <w:t>-0.287</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6A50C12B" w14:textId="77777777" w:rsidR="00774DAA" w:rsidRPr="00446AF6" w:rsidRDefault="00774DAA" w:rsidP="002966B2">
            <w:pPr>
              <w:jc w:val="right"/>
              <w:rPr>
                <w:color w:val="000000"/>
                <w:sz w:val="20"/>
                <w:szCs w:val="20"/>
              </w:rPr>
            </w:pPr>
            <w:r w:rsidRPr="00446AF6">
              <w:rPr>
                <w:color w:val="000000"/>
                <w:sz w:val="20"/>
                <w:szCs w:val="20"/>
              </w:rPr>
              <w:t>-2.04</w:t>
            </w:r>
          </w:p>
        </w:tc>
      </w:tr>
      <w:tr w:rsidR="00774DAA" w:rsidRPr="00446AF6" w14:paraId="2EF74B99"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69F2B151" w14:textId="77777777" w:rsidR="00774DAA" w:rsidRPr="00446AF6" w:rsidRDefault="00774DAA" w:rsidP="002966B2">
            <w:pPr>
              <w:rPr>
                <w:b/>
                <w:bCs/>
                <w:color w:val="000000"/>
                <w:sz w:val="20"/>
                <w:szCs w:val="20"/>
              </w:rPr>
            </w:pPr>
            <w:r w:rsidRPr="00446AF6">
              <w:rPr>
                <w:b/>
                <w:bCs/>
                <w:color w:val="000000"/>
                <w:sz w:val="20"/>
                <w:szCs w:val="20"/>
              </w:rPr>
              <w:t>Education (High School or Some College)</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1E894ED6"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14A23C7D"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4CD8524F"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601BEB4C" w14:textId="77777777" w:rsidR="00774DAA" w:rsidRPr="00446AF6" w:rsidRDefault="00774DAA" w:rsidP="002966B2">
            <w:pPr>
              <w:ind w:firstLineChars="100" w:firstLine="200"/>
              <w:rPr>
                <w:color w:val="000000"/>
                <w:sz w:val="20"/>
                <w:szCs w:val="20"/>
              </w:rPr>
            </w:pPr>
            <w:r w:rsidRPr="00446AF6">
              <w:rPr>
                <w:color w:val="000000"/>
                <w:sz w:val="20"/>
                <w:szCs w:val="20"/>
              </w:rPr>
              <w:t>Bachelor or Graduate Degree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A1E9DB9" w14:textId="77777777" w:rsidR="00774DAA" w:rsidRPr="00446AF6" w:rsidRDefault="00774DAA" w:rsidP="002966B2">
            <w:pPr>
              <w:jc w:val="right"/>
              <w:rPr>
                <w:color w:val="000000"/>
                <w:sz w:val="20"/>
                <w:szCs w:val="20"/>
              </w:rPr>
            </w:pPr>
            <w:r w:rsidRPr="00446AF6">
              <w:rPr>
                <w:color w:val="000000"/>
                <w:sz w:val="20"/>
                <w:szCs w:val="20"/>
              </w:rPr>
              <w:t>0.201</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7395973F" w14:textId="77777777" w:rsidR="00774DAA" w:rsidRPr="00446AF6" w:rsidRDefault="00774DAA" w:rsidP="002966B2">
            <w:pPr>
              <w:jc w:val="right"/>
              <w:rPr>
                <w:color w:val="000000"/>
                <w:sz w:val="20"/>
                <w:szCs w:val="20"/>
              </w:rPr>
            </w:pPr>
            <w:r w:rsidRPr="00446AF6">
              <w:rPr>
                <w:color w:val="000000"/>
                <w:sz w:val="20"/>
                <w:szCs w:val="20"/>
              </w:rPr>
              <w:t>2.63</w:t>
            </w:r>
          </w:p>
        </w:tc>
      </w:tr>
      <w:tr w:rsidR="00774DAA" w:rsidRPr="00446AF6" w14:paraId="46A62282"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21DA7572" w14:textId="77777777" w:rsidR="00774DAA" w:rsidRPr="00446AF6" w:rsidRDefault="00774DAA" w:rsidP="002966B2">
            <w:pPr>
              <w:ind w:firstLineChars="100" w:firstLine="200"/>
              <w:rPr>
                <w:color w:val="000000"/>
                <w:sz w:val="20"/>
                <w:szCs w:val="20"/>
              </w:rPr>
            </w:pPr>
            <w:r w:rsidRPr="00446AF6">
              <w:rPr>
                <w:color w:val="000000"/>
                <w:sz w:val="20"/>
                <w:szCs w:val="20"/>
              </w:rPr>
              <w:t>Bachelor or Graduate Degree (ITF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54D85A99" w14:textId="77777777" w:rsidR="00774DAA" w:rsidRPr="00446AF6" w:rsidRDefault="00774DAA" w:rsidP="002966B2">
            <w:pPr>
              <w:jc w:val="right"/>
              <w:rPr>
                <w:color w:val="000000"/>
                <w:sz w:val="20"/>
                <w:szCs w:val="20"/>
              </w:rPr>
            </w:pPr>
            <w:r w:rsidRPr="00446AF6">
              <w:rPr>
                <w:color w:val="000000"/>
                <w:sz w:val="20"/>
                <w:szCs w:val="20"/>
              </w:rPr>
              <w:t>-0.223</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0B1884AA" w14:textId="77777777" w:rsidR="00774DAA" w:rsidRPr="00446AF6" w:rsidRDefault="00774DAA" w:rsidP="002966B2">
            <w:pPr>
              <w:jc w:val="right"/>
              <w:rPr>
                <w:color w:val="000000"/>
                <w:sz w:val="20"/>
                <w:szCs w:val="20"/>
              </w:rPr>
            </w:pPr>
            <w:r w:rsidRPr="00446AF6">
              <w:rPr>
                <w:color w:val="000000"/>
                <w:sz w:val="20"/>
                <w:szCs w:val="20"/>
              </w:rPr>
              <w:t>-2.03</w:t>
            </w:r>
          </w:p>
        </w:tc>
      </w:tr>
      <w:tr w:rsidR="00774DAA" w:rsidRPr="00446AF6" w14:paraId="7B88A1B1"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6E86AA45" w14:textId="77777777" w:rsidR="00774DAA" w:rsidRPr="00446AF6" w:rsidRDefault="00774DAA" w:rsidP="002966B2">
            <w:pPr>
              <w:rPr>
                <w:b/>
                <w:bCs/>
                <w:i/>
                <w:iCs/>
                <w:color w:val="000000"/>
                <w:sz w:val="20"/>
                <w:szCs w:val="20"/>
              </w:rPr>
            </w:pPr>
            <w:r w:rsidRPr="00446AF6">
              <w:rPr>
                <w:b/>
                <w:bCs/>
                <w:i/>
                <w:iCs/>
                <w:color w:val="000000"/>
                <w:sz w:val="20"/>
                <w:szCs w:val="20"/>
              </w:rPr>
              <w:t>Household Characteristics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3F3EF920"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6DE8155E"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7E431DD4"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43B00EE4" w14:textId="77777777" w:rsidR="00774DAA" w:rsidRPr="00446AF6" w:rsidRDefault="00774DAA" w:rsidP="002966B2">
            <w:pPr>
              <w:rPr>
                <w:b/>
                <w:bCs/>
                <w:color w:val="000000"/>
                <w:sz w:val="20"/>
                <w:szCs w:val="20"/>
              </w:rPr>
            </w:pPr>
            <w:r w:rsidRPr="00446AF6">
              <w:rPr>
                <w:b/>
                <w:bCs/>
                <w:color w:val="000000"/>
                <w:sz w:val="20"/>
                <w:szCs w:val="20"/>
              </w:rPr>
              <w:t>Income (≥ $150,000)</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543829F4"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09AE496A"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2E5B9267" w14:textId="77777777" w:rsidTr="002966B2">
        <w:trPr>
          <w:trHeight w:val="245"/>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6FDC424D" w14:textId="77777777" w:rsidR="00774DAA" w:rsidRPr="00446AF6" w:rsidRDefault="00774DAA" w:rsidP="002966B2">
            <w:pPr>
              <w:ind w:firstLineChars="100" w:firstLine="200"/>
              <w:rPr>
                <w:color w:val="000000"/>
                <w:sz w:val="20"/>
                <w:szCs w:val="20"/>
              </w:rPr>
            </w:pPr>
            <w:r w:rsidRPr="00446AF6">
              <w:rPr>
                <w:color w:val="000000"/>
                <w:sz w:val="20"/>
                <w:szCs w:val="20"/>
              </w:rPr>
              <w:t>&lt; $50,000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6FE88093" w14:textId="77777777" w:rsidR="00774DAA" w:rsidRPr="00446AF6" w:rsidRDefault="00774DAA" w:rsidP="002966B2">
            <w:pPr>
              <w:jc w:val="right"/>
              <w:rPr>
                <w:color w:val="000000"/>
                <w:sz w:val="20"/>
                <w:szCs w:val="20"/>
              </w:rPr>
            </w:pPr>
            <w:r w:rsidRPr="00446AF6">
              <w:rPr>
                <w:color w:val="000000"/>
                <w:sz w:val="20"/>
                <w:szCs w:val="20"/>
              </w:rPr>
              <w:t>-0.705</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45998A4D" w14:textId="77777777" w:rsidR="00774DAA" w:rsidRPr="00446AF6" w:rsidRDefault="00774DAA" w:rsidP="002966B2">
            <w:pPr>
              <w:jc w:val="right"/>
              <w:rPr>
                <w:color w:val="000000"/>
                <w:sz w:val="20"/>
                <w:szCs w:val="20"/>
              </w:rPr>
            </w:pPr>
            <w:r w:rsidRPr="00446AF6">
              <w:rPr>
                <w:color w:val="000000"/>
                <w:sz w:val="20"/>
                <w:szCs w:val="20"/>
              </w:rPr>
              <w:t>-6.30</w:t>
            </w:r>
          </w:p>
        </w:tc>
      </w:tr>
      <w:tr w:rsidR="00774DAA" w:rsidRPr="00446AF6" w14:paraId="47709380" w14:textId="77777777" w:rsidTr="002966B2">
        <w:trPr>
          <w:trHeight w:val="245"/>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0A0C3883" w14:textId="77777777" w:rsidR="00774DAA" w:rsidRPr="00446AF6" w:rsidRDefault="00774DAA" w:rsidP="002966B2">
            <w:pPr>
              <w:ind w:firstLineChars="100" w:firstLine="200"/>
              <w:rPr>
                <w:color w:val="000000"/>
                <w:sz w:val="20"/>
                <w:szCs w:val="20"/>
              </w:rPr>
            </w:pPr>
            <w:r w:rsidRPr="00446AF6">
              <w:rPr>
                <w:color w:val="000000"/>
                <w:sz w:val="20"/>
                <w:szCs w:val="20"/>
              </w:rPr>
              <w:t>$50,000 to $99,9999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11E0AAD2" w14:textId="77777777" w:rsidR="00774DAA" w:rsidRPr="00446AF6" w:rsidRDefault="00774DAA" w:rsidP="002966B2">
            <w:pPr>
              <w:jc w:val="right"/>
              <w:rPr>
                <w:color w:val="000000"/>
                <w:sz w:val="20"/>
                <w:szCs w:val="20"/>
              </w:rPr>
            </w:pPr>
            <w:r w:rsidRPr="00446AF6">
              <w:rPr>
                <w:color w:val="000000"/>
                <w:sz w:val="20"/>
                <w:szCs w:val="20"/>
              </w:rPr>
              <w:t>-0.442</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7305FAB9" w14:textId="77777777" w:rsidR="00774DAA" w:rsidRPr="00446AF6" w:rsidRDefault="00774DAA" w:rsidP="002966B2">
            <w:pPr>
              <w:jc w:val="right"/>
              <w:rPr>
                <w:color w:val="000000"/>
                <w:sz w:val="20"/>
                <w:szCs w:val="20"/>
              </w:rPr>
            </w:pPr>
            <w:r w:rsidRPr="00446AF6">
              <w:rPr>
                <w:color w:val="000000"/>
                <w:sz w:val="20"/>
                <w:szCs w:val="20"/>
              </w:rPr>
              <w:t>-4.56</w:t>
            </w:r>
          </w:p>
        </w:tc>
      </w:tr>
      <w:tr w:rsidR="00774DAA" w:rsidRPr="00446AF6" w14:paraId="04148A7B" w14:textId="77777777" w:rsidTr="002966B2">
        <w:trPr>
          <w:trHeight w:val="245"/>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44D77EED" w14:textId="77777777" w:rsidR="00774DAA" w:rsidRPr="00446AF6" w:rsidRDefault="00774DAA" w:rsidP="002966B2">
            <w:pPr>
              <w:ind w:firstLineChars="100" w:firstLine="200"/>
              <w:rPr>
                <w:color w:val="000000"/>
                <w:sz w:val="20"/>
                <w:szCs w:val="20"/>
              </w:rPr>
            </w:pPr>
            <w:r w:rsidRPr="00446AF6">
              <w:rPr>
                <w:color w:val="000000"/>
                <w:sz w:val="20"/>
                <w:szCs w:val="20"/>
              </w:rPr>
              <w:t>$100,000 to $149,999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1A2D1361" w14:textId="77777777" w:rsidR="00774DAA" w:rsidRPr="00446AF6" w:rsidRDefault="00774DAA" w:rsidP="002966B2">
            <w:pPr>
              <w:jc w:val="right"/>
              <w:rPr>
                <w:color w:val="000000"/>
                <w:sz w:val="20"/>
                <w:szCs w:val="20"/>
              </w:rPr>
            </w:pPr>
            <w:r w:rsidRPr="00446AF6">
              <w:rPr>
                <w:color w:val="000000"/>
                <w:sz w:val="20"/>
                <w:szCs w:val="20"/>
              </w:rPr>
              <w:t>-0.328</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4E4D3C71" w14:textId="77777777" w:rsidR="00774DAA" w:rsidRPr="00446AF6" w:rsidRDefault="00774DAA" w:rsidP="002966B2">
            <w:pPr>
              <w:jc w:val="right"/>
              <w:rPr>
                <w:color w:val="000000"/>
                <w:sz w:val="20"/>
                <w:szCs w:val="20"/>
              </w:rPr>
            </w:pPr>
            <w:r w:rsidRPr="00446AF6">
              <w:rPr>
                <w:color w:val="000000"/>
                <w:sz w:val="20"/>
                <w:szCs w:val="20"/>
              </w:rPr>
              <w:t>-3.29</w:t>
            </w:r>
          </w:p>
        </w:tc>
      </w:tr>
      <w:tr w:rsidR="00774DAA" w:rsidRPr="00446AF6" w14:paraId="1234A88D" w14:textId="77777777" w:rsidTr="002966B2">
        <w:trPr>
          <w:trHeight w:val="245"/>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2311327A" w14:textId="77777777" w:rsidR="00774DAA" w:rsidRPr="00446AF6" w:rsidRDefault="00774DAA" w:rsidP="002966B2">
            <w:pPr>
              <w:ind w:firstLineChars="100" w:firstLine="200"/>
              <w:rPr>
                <w:color w:val="000000"/>
                <w:sz w:val="20"/>
                <w:szCs w:val="20"/>
              </w:rPr>
            </w:pPr>
            <w:r w:rsidRPr="00446AF6">
              <w:rPr>
                <w:color w:val="000000"/>
                <w:sz w:val="20"/>
                <w:szCs w:val="20"/>
              </w:rPr>
              <w:t>$50,000 to $99,999 (ITF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65CA4916" w14:textId="77777777" w:rsidR="00774DAA" w:rsidRPr="00446AF6" w:rsidRDefault="00774DAA" w:rsidP="002966B2">
            <w:pPr>
              <w:jc w:val="right"/>
              <w:rPr>
                <w:color w:val="000000"/>
                <w:sz w:val="20"/>
                <w:szCs w:val="20"/>
              </w:rPr>
            </w:pPr>
            <w:r w:rsidRPr="00446AF6">
              <w:rPr>
                <w:color w:val="000000"/>
                <w:sz w:val="20"/>
                <w:szCs w:val="20"/>
              </w:rPr>
              <w:t>0.216</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1C62B7DF" w14:textId="77777777" w:rsidR="00774DAA" w:rsidRPr="00446AF6" w:rsidRDefault="00774DAA" w:rsidP="002966B2">
            <w:pPr>
              <w:jc w:val="right"/>
              <w:rPr>
                <w:color w:val="000000"/>
                <w:sz w:val="20"/>
                <w:szCs w:val="20"/>
              </w:rPr>
            </w:pPr>
            <w:r w:rsidRPr="00446AF6">
              <w:rPr>
                <w:color w:val="000000"/>
                <w:sz w:val="20"/>
                <w:szCs w:val="20"/>
              </w:rPr>
              <w:t>1.85</w:t>
            </w:r>
          </w:p>
        </w:tc>
      </w:tr>
      <w:tr w:rsidR="00774DAA" w:rsidRPr="00446AF6" w14:paraId="017001EC"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0932E817" w14:textId="77777777" w:rsidR="00774DAA" w:rsidRPr="00446AF6" w:rsidRDefault="00774DAA" w:rsidP="002966B2">
            <w:pPr>
              <w:rPr>
                <w:b/>
                <w:bCs/>
                <w:color w:val="000000"/>
                <w:sz w:val="20"/>
                <w:szCs w:val="20"/>
              </w:rPr>
            </w:pPr>
            <w:r w:rsidRPr="00446AF6">
              <w:rPr>
                <w:b/>
                <w:bCs/>
                <w:color w:val="000000"/>
                <w:sz w:val="20"/>
                <w:szCs w:val="20"/>
              </w:rPr>
              <w:t>Vehicles / Person / Household (Scarcity or Equilibrium of Vehicles)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00FE7D0C"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3E0FDBCC"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5D59ECA3"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41066D63" w14:textId="77777777" w:rsidR="00774DAA" w:rsidRPr="00446AF6" w:rsidRDefault="00774DAA" w:rsidP="002966B2">
            <w:pPr>
              <w:ind w:leftChars="95" w:left="378" w:hangingChars="75" w:hanging="150"/>
              <w:rPr>
                <w:color w:val="000000"/>
                <w:sz w:val="20"/>
                <w:szCs w:val="20"/>
              </w:rPr>
            </w:pPr>
            <w:r w:rsidRPr="00446AF6">
              <w:rPr>
                <w:color w:val="000000"/>
                <w:sz w:val="20"/>
                <w:szCs w:val="20"/>
              </w:rPr>
              <w:t>More Vehicles than Household Members (Surplus of Vehicles)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E9F40B7" w14:textId="77777777" w:rsidR="00774DAA" w:rsidRPr="00446AF6" w:rsidRDefault="00774DAA" w:rsidP="002966B2">
            <w:pPr>
              <w:jc w:val="right"/>
              <w:rPr>
                <w:color w:val="000000"/>
                <w:sz w:val="20"/>
                <w:szCs w:val="20"/>
              </w:rPr>
            </w:pPr>
            <w:r w:rsidRPr="00446AF6">
              <w:rPr>
                <w:color w:val="000000"/>
                <w:sz w:val="20"/>
                <w:szCs w:val="20"/>
              </w:rPr>
              <w:t>-0.120</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2E8271F1" w14:textId="77777777" w:rsidR="00774DAA" w:rsidRPr="00446AF6" w:rsidRDefault="00774DAA" w:rsidP="002966B2">
            <w:pPr>
              <w:jc w:val="right"/>
              <w:rPr>
                <w:color w:val="000000"/>
                <w:sz w:val="20"/>
                <w:szCs w:val="20"/>
              </w:rPr>
            </w:pPr>
            <w:r w:rsidRPr="00446AF6">
              <w:rPr>
                <w:color w:val="000000"/>
                <w:sz w:val="20"/>
                <w:szCs w:val="20"/>
              </w:rPr>
              <w:t>-1.44</w:t>
            </w:r>
          </w:p>
        </w:tc>
      </w:tr>
      <w:tr w:rsidR="00774DAA" w:rsidRPr="00446AF6" w14:paraId="77EB705D" w14:textId="77777777" w:rsidTr="002966B2">
        <w:trPr>
          <w:trHeight w:val="245"/>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5DD80AFF" w14:textId="77777777" w:rsidR="00774DAA" w:rsidRPr="00446AF6" w:rsidRDefault="00774DAA" w:rsidP="002966B2">
            <w:pPr>
              <w:ind w:leftChars="95" w:left="378" w:hangingChars="75" w:hanging="150"/>
              <w:rPr>
                <w:color w:val="000000"/>
                <w:sz w:val="20"/>
                <w:szCs w:val="20"/>
              </w:rPr>
            </w:pPr>
            <w:r w:rsidRPr="00446AF6">
              <w:rPr>
                <w:color w:val="000000"/>
                <w:sz w:val="20"/>
                <w:szCs w:val="20"/>
              </w:rPr>
              <w:t>More Vehicles than Household Members (Surplus of Vehicles (ITF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442AB40D" w14:textId="77777777" w:rsidR="00774DAA" w:rsidRPr="00446AF6" w:rsidRDefault="00774DAA" w:rsidP="002966B2">
            <w:pPr>
              <w:jc w:val="right"/>
              <w:rPr>
                <w:color w:val="000000"/>
                <w:sz w:val="20"/>
                <w:szCs w:val="20"/>
              </w:rPr>
            </w:pPr>
            <w:r w:rsidRPr="00446AF6">
              <w:rPr>
                <w:color w:val="000000"/>
                <w:sz w:val="20"/>
                <w:szCs w:val="20"/>
              </w:rPr>
              <w:t>0.214</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354A2147" w14:textId="77777777" w:rsidR="00774DAA" w:rsidRPr="00446AF6" w:rsidRDefault="00774DAA" w:rsidP="002966B2">
            <w:pPr>
              <w:jc w:val="right"/>
              <w:rPr>
                <w:color w:val="000000"/>
                <w:sz w:val="20"/>
                <w:szCs w:val="20"/>
              </w:rPr>
            </w:pPr>
            <w:r w:rsidRPr="00446AF6">
              <w:rPr>
                <w:color w:val="000000"/>
                <w:sz w:val="20"/>
                <w:szCs w:val="20"/>
              </w:rPr>
              <w:t>1.91</w:t>
            </w:r>
          </w:p>
        </w:tc>
      </w:tr>
      <w:tr w:rsidR="00774DAA" w:rsidRPr="00446AF6" w14:paraId="7D5DC34A"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1E429C3E" w14:textId="77777777" w:rsidR="00774DAA" w:rsidRPr="00446AF6" w:rsidRDefault="00774DAA" w:rsidP="002966B2">
            <w:pPr>
              <w:rPr>
                <w:b/>
                <w:bCs/>
                <w:i/>
                <w:iCs/>
                <w:color w:val="000000"/>
                <w:sz w:val="20"/>
                <w:szCs w:val="20"/>
              </w:rPr>
            </w:pPr>
            <w:r w:rsidRPr="00446AF6">
              <w:rPr>
                <w:b/>
                <w:bCs/>
                <w:i/>
                <w:iCs/>
                <w:color w:val="000000"/>
                <w:sz w:val="20"/>
                <w:szCs w:val="20"/>
              </w:rPr>
              <w:t>Job-Related Characteristics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7C70C51F"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0D4724DC"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16D82DF1"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1119F701" w14:textId="3642524C" w:rsidR="00774DAA" w:rsidRPr="00446AF6" w:rsidRDefault="00774DAA" w:rsidP="002966B2">
            <w:pPr>
              <w:rPr>
                <w:b/>
                <w:bCs/>
                <w:color w:val="000000"/>
                <w:sz w:val="20"/>
                <w:szCs w:val="20"/>
              </w:rPr>
            </w:pPr>
            <w:r w:rsidRPr="00446AF6">
              <w:rPr>
                <w:b/>
                <w:bCs/>
                <w:color w:val="000000"/>
                <w:sz w:val="20"/>
                <w:szCs w:val="20"/>
              </w:rPr>
              <w:t>Occupation (Public Administration, Services/Retail Service,</w:t>
            </w:r>
            <w:r w:rsidR="00446AF6" w:rsidRPr="00446AF6">
              <w:rPr>
                <w:b/>
                <w:bCs/>
                <w:color w:val="000000"/>
                <w:sz w:val="20"/>
                <w:szCs w:val="20"/>
              </w:rPr>
              <w:t xml:space="preserve"> </w:t>
            </w:r>
            <w:r w:rsidRPr="00446AF6">
              <w:rPr>
                <w:b/>
                <w:bCs/>
                <w:color w:val="000000"/>
                <w:sz w:val="20"/>
                <w:szCs w:val="20"/>
              </w:rPr>
              <w:t>Transportation, Business-Related)</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2C25A46D"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3B21B2E1"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2CFF413E"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7E6745F9" w14:textId="77777777" w:rsidR="00774DAA" w:rsidRPr="00446AF6" w:rsidRDefault="00774DAA" w:rsidP="002966B2">
            <w:pPr>
              <w:ind w:firstLineChars="100" w:firstLine="200"/>
              <w:rPr>
                <w:color w:val="000000"/>
                <w:sz w:val="20"/>
                <w:szCs w:val="20"/>
              </w:rPr>
            </w:pPr>
            <w:r w:rsidRPr="00446AF6">
              <w:rPr>
                <w:color w:val="000000"/>
                <w:sz w:val="20"/>
                <w:szCs w:val="20"/>
              </w:rPr>
              <w:t>Education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5AF44FFA" w14:textId="77777777" w:rsidR="00774DAA" w:rsidRPr="00446AF6" w:rsidRDefault="00774DAA" w:rsidP="002966B2">
            <w:pPr>
              <w:jc w:val="right"/>
              <w:rPr>
                <w:color w:val="000000"/>
                <w:sz w:val="20"/>
                <w:szCs w:val="20"/>
              </w:rPr>
            </w:pPr>
            <w:r w:rsidRPr="00446AF6">
              <w:rPr>
                <w:color w:val="000000"/>
                <w:sz w:val="20"/>
                <w:szCs w:val="20"/>
              </w:rPr>
              <w:t>-0.349</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69AD00A9" w14:textId="77777777" w:rsidR="00774DAA" w:rsidRPr="00446AF6" w:rsidRDefault="00774DAA" w:rsidP="002966B2">
            <w:pPr>
              <w:jc w:val="right"/>
              <w:rPr>
                <w:color w:val="000000"/>
                <w:sz w:val="20"/>
                <w:szCs w:val="20"/>
              </w:rPr>
            </w:pPr>
            <w:r w:rsidRPr="00446AF6">
              <w:rPr>
                <w:color w:val="000000"/>
                <w:sz w:val="20"/>
                <w:szCs w:val="20"/>
              </w:rPr>
              <w:t>-2.90</w:t>
            </w:r>
          </w:p>
        </w:tc>
      </w:tr>
      <w:tr w:rsidR="00774DAA" w:rsidRPr="00446AF6" w14:paraId="571C0047"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5776A5F0" w14:textId="77777777" w:rsidR="00774DAA" w:rsidRPr="00446AF6" w:rsidRDefault="00774DAA" w:rsidP="002966B2">
            <w:pPr>
              <w:ind w:firstLineChars="100" w:firstLine="200"/>
              <w:rPr>
                <w:color w:val="000000"/>
                <w:sz w:val="20"/>
                <w:szCs w:val="20"/>
              </w:rPr>
            </w:pPr>
            <w:r w:rsidRPr="00446AF6">
              <w:rPr>
                <w:color w:val="000000"/>
                <w:sz w:val="20"/>
                <w:szCs w:val="20"/>
              </w:rPr>
              <w:t>Manufacturing/Construction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7DC8CDC9" w14:textId="77777777" w:rsidR="00774DAA" w:rsidRPr="00446AF6" w:rsidRDefault="00774DAA" w:rsidP="002966B2">
            <w:pPr>
              <w:jc w:val="right"/>
              <w:rPr>
                <w:color w:val="000000"/>
                <w:sz w:val="20"/>
                <w:szCs w:val="20"/>
              </w:rPr>
            </w:pPr>
            <w:r w:rsidRPr="00446AF6">
              <w:rPr>
                <w:color w:val="000000"/>
                <w:sz w:val="20"/>
                <w:szCs w:val="20"/>
              </w:rPr>
              <w:t>-0.421</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1B8BA3EA" w14:textId="77777777" w:rsidR="00774DAA" w:rsidRPr="00446AF6" w:rsidRDefault="00774DAA" w:rsidP="002966B2">
            <w:pPr>
              <w:jc w:val="right"/>
              <w:rPr>
                <w:color w:val="000000"/>
                <w:sz w:val="20"/>
                <w:szCs w:val="20"/>
              </w:rPr>
            </w:pPr>
            <w:r w:rsidRPr="00446AF6">
              <w:rPr>
                <w:color w:val="000000"/>
                <w:sz w:val="20"/>
                <w:szCs w:val="20"/>
              </w:rPr>
              <w:t>-2.59</w:t>
            </w:r>
          </w:p>
        </w:tc>
      </w:tr>
      <w:tr w:rsidR="00774DAA" w:rsidRPr="00446AF6" w14:paraId="76115A8C"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68438D71" w14:textId="77777777" w:rsidR="00774DAA" w:rsidRPr="00446AF6" w:rsidRDefault="00774DAA" w:rsidP="002966B2">
            <w:pPr>
              <w:ind w:firstLineChars="100" w:firstLine="200"/>
              <w:rPr>
                <w:color w:val="000000"/>
                <w:sz w:val="20"/>
                <w:szCs w:val="20"/>
              </w:rPr>
            </w:pPr>
            <w:r w:rsidRPr="00446AF6">
              <w:rPr>
                <w:color w:val="000000"/>
                <w:sz w:val="20"/>
                <w:szCs w:val="20"/>
              </w:rPr>
              <w:t>Medical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0296063D" w14:textId="77777777" w:rsidR="00774DAA" w:rsidRPr="00446AF6" w:rsidRDefault="00774DAA" w:rsidP="002966B2">
            <w:pPr>
              <w:jc w:val="right"/>
              <w:rPr>
                <w:color w:val="000000"/>
                <w:sz w:val="20"/>
                <w:szCs w:val="20"/>
              </w:rPr>
            </w:pPr>
            <w:r w:rsidRPr="00446AF6">
              <w:rPr>
                <w:color w:val="000000"/>
                <w:sz w:val="20"/>
                <w:szCs w:val="20"/>
              </w:rPr>
              <w:t>-0.424</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507A1200" w14:textId="77777777" w:rsidR="00774DAA" w:rsidRPr="00446AF6" w:rsidRDefault="00774DAA" w:rsidP="002966B2">
            <w:pPr>
              <w:jc w:val="right"/>
              <w:rPr>
                <w:color w:val="000000"/>
                <w:sz w:val="20"/>
                <w:szCs w:val="20"/>
              </w:rPr>
            </w:pPr>
            <w:r w:rsidRPr="00446AF6">
              <w:rPr>
                <w:color w:val="000000"/>
                <w:sz w:val="20"/>
                <w:szCs w:val="20"/>
              </w:rPr>
              <w:t>-4.48</w:t>
            </w:r>
          </w:p>
        </w:tc>
      </w:tr>
      <w:tr w:rsidR="00774DAA" w:rsidRPr="00446AF6" w14:paraId="3EF4989C"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12CBA7D2" w14:textId="77777777" w:rsidR="00774DAA" w:rsidRPr="00446AF6" w:rsidRDefault="00774DAA" w:rsidP="002966B2">
            <w:pPr>
              <w:ind w:firstLineChars="100" w:firstLine="200"/>
              <w:rPr>
                <w:color w:val="000000"/>
                <w:sz w:val="20"/>
                <w:szCs w:val="20"/>
              </w:rPr>
            </w:pPr>
            <w:r w:rsidRPr="00446AF6">
              <w:rPr>
                <w:color w:val="000000"/>
                <w:sz w:val="20"/>
                <w:szCs w:val="20"/>
              </w:rPr>
              <w:t>Professional, Managerial, or Technical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9F1D99D" w14:textId="77777777" w:rsidR="00774DAA" w:rsidRPr="00446AF6" w:rsidRDefault="00774DAA" w:rsidP="002966B2">
            <w:pPr>
              <w:jc w:val="right"/>
              <w:rPr>
                <w:color w:val="000000"/>
                <w:sz w:val="20"/>
                <w:szCs w:val="20"/>
              </w:rPr>
            </w:pPr>
            <w:r w:rsidRPr="00446AF6">
              <w:rPr>
                <w:color w:val="000000"/>
                <w:sz w:val="20"/>
                <w:szCs w:val="20"/>
              </w:rPr>
              <w:t>0.550</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3E3629F6" w14:textId="77777777" w:rsidR="00774DAA" w:rsidRPr="00446AF6" w:rsidRDefault="00774DAA" w:rsidP="002966B2">
            <w:pPr>
              <w:jc w:val="right"/>
              <w:rPr>
                <w:color w:val="000000"/>
                <w:sz w:val="20"/>
                <w:szCs w:val="20"/>
              </w:rPr>
            </w:pPr>
            <w:r w:rsidRPr="00446AF6">
              <w:rPr>
                <w:color w:val="000000"/>
                <w:sz w:val="20"/>
                <w:szCs w:val="20"/>
              </w:rPr>
              <w:t>4.11</w:t>
            </w:r>
          </w:p>
        </w:tc>
      </w:tr>
      <w:tr w:rsidR="00774DAA" w:rsidRPr="00446AF6" w14:paraId="4BD8C741"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488F7522" w14:textId="77777777" w:rsidR="00774DAA" w:rsidRPr="00446AF6" w:rsidRDefault="00774DAA" w:rsidP="002966B2">
            <w:pPr>
              <w:ind w:firstLineChars="100" w:firstLine="200"/>
              <w:rPr>
                <w:color w:val="000000"/>
                <w:sz w:val="20"/>
                <w:szCs w:val="20"/>
              </w:rPr>
            </w:pPr>
            <w:r w:rsidRPr="00446AF6">
              <w:rPr>
                <w:color w:val="000000"/>
                <w:sz w:val="20"/>
                <w:szCs w:val="20"/>
              </w:rPr>
              <w:t>Medical (ITF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428D78BC" w14:textId="77777777" w:rsidR="00774DAA" w:rsidRPr="00446AF6" w:rsidRDefault="00774DAA" w:rsidP="002966B2">
            <w:pPr>
              <w:jc w:val="right"/>
              <w:rPr>
                <w:color w:val="000000"/>
                <w:sz w:val="20"/>
                <w:szCs w:val="20"/>
              </w:rPr>
            </w:pPr>
            <w:r w:rsidRPr="00446AF6">
              <w:rPr>
                <w:color w:val="000000"/>
                <w:sz w:val="20"/>
                <w:szCs w:val="20"/>
              </w:rPr>
              <w:t>0.272</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485DA6E7" w14:textId="77777777" w:rsidR="00774DAA" w:rsidRPr="00446AF6" w:rsidRDefault="00774DAA" w:rsidP="002966B2">
            <w:pPr>
              <w:jc w:val="right"/>
              <w:rPr>
                <w:color w:val="000000"/>
                <w:sz w:val="20"/>
                <w:szCs w:val="20"/>
              </w:rPr>
            </w:pPr>
            <w:r w:rsidRPr="00446AF6">
              <w:rPr>
                <w:color w:val="000000"/>
                <w:sz w:val="20"/>
                <w:szCs w:val="20"/>
              </w:rPr>
              <w:t>1.86</w:t>
            </w:r>
          </w:p>
        </w:tc>
      </w:tr>
      <w:tr w:rsidR="00774DAA" w:rsidRPr="00446AF6" w14:paraId="11AFA377" w14:textId="77777777" w:rsidTr="002966B2">
        <w:trPr>
          <w:trHeight w:val="245"/>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5660F290" w14:textId="77777777" w:rsidR="00774DAA" w:rsidRPr="00446AF6" w:rsidRDefault="00774DAA" w:rsidP="002966B2">
            <w:pPr>
              <w:rPr>
                <w:b/>
                <w:bCs/>
                <w:color w:val="000000"/>
                <w:sz w:val="20"/>
                <w:szCs w:val="20"/>
              </w:rPr>
            </w:pPr>
            <w:r w:rsidRPr="00446AF6">
              <w:rPr>
                <w:b/>
                <w:bCs/>
                <w:color w:val="000000"/>
                <w:sz w:val="20"/>
                <w:szCs w:val="20"/>
              </w:rPr>
              <w:t>Employer Size (≥ 100 Workers)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60465201"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04C4EC73"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2DEEC764" w14:textId="77777777" w:rsidTr="002966B2">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1A1EBBBD" w14:textId="77777777" w:rsidR="00774DAA" w:rsidRPr="00446AF6" w:rsidRDefault="00774DAA" w:rsidP="002966B2">
            <w:pPr>
              <w:ind w:firstLineChars="100" w:firstLine="200"/>
              <w:rPr>
                <w:color w:val="000000"/>
                <w:sz w:val="20"/>
                <w:szCs w:val="20"/>
              </w:rPr>
            </w:pPr>
            <w:r w:rsidRPr="00446AF6">
              <w:rPr>
                <w:color w:val="000000"/>
                <w:sz w:val="20"/>
                <w:szCs w:val="20"/>
              </w:rPr>
              <w:t>1 to 9 Workers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814FB48" w14:textId="77777777" w:rsidR="00774DAA" w:rsidRPr="00446AF6" w:rsidRDefault="00774DAA" w:rsidP="002966B2">
            <w:pPr>
              <w:jc w:val="right"/>
              <w:rPr>
                <w:color w:val="000000"/>
                <w:sz w:val="20"/>
                <w:szCs w:val="20"/>
              </w:rPr>
            </w:pPr>
            <w:r w:rsidRPr="00446AF6">
              <w:rPr>
                <w:color w:val="000000"/>
                <w:sz w:val="20"/>
                <w:szCs w:val="20"/>
              </w:rPr>
              <w:t>0.420</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47F8C6C8" w14:textId="77777777" w:rsidR="00774DAA" w:rsidRPr="00446AF6" w:rsidRDefault="00774DAA" w:rsidP="002966B2">
            <w:pPr>
              <w:jc w:val="right"/>
              <w:rPr>
                <w:color w:val="000000"/>
                <w:sz w:val="20"/>
                <w:szCs w:val="20"/>
              </w:rPr>
            </w:pPr>
            <w:r w:rsidRPr="00446AF6">
              <w:rPr>
                <w:color w:val="000000"/>
                <w:sz w:val="20"/>
                <w:szCs w:val="20"/>
              </w:rPr>
              <w:t>4.67</w:t>
            </w:r>
          </w:p>
        </w:tc>
      </w:tr>
      <w:tr w:rsidR="00774DAA" w:rsidRPr="00446AF6" w14:paraId="48DFF554" w14:textId="77777777" w:rsidTr="002966B2">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3C640DE9" w14:textId="77777777" w:rsidR="00774DAA" w:rsidRPr="00446AF6" w:rsidRDefault="00774DAA" w:rsidP="002966B2">
            <w:pPr>
              <w:ind w:firstLineChars="100" w:firstLine="200"/>
              <w:rPr>
                <w:color w:val="000000"/>
                <w:sz w:val="20"/>
                <w:szCs w:val="20"/>
              </w:rPr>
            </w:pPr>
            <w:r w:rsidRPr="00446AF6">
              <w:rPr>
                <w:color w:val="000000"/>
                <w:sz w:val="20"/>
                <w:szCs w:val="20"/>
              </w:rPr>
              <w:t>10 to 99 Workers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65768187" w14:textId="77777777" w:rsidR="00774DAA" w:rsidRPr="00446AF6" w:rsidRDefault="00774DAA" w:rsidP="002966B2">
            <w:pPr>
              <w:jc w:val="right"/>
              <w:rPr>
                <w:color w:val="000000"/>
                <w:sz w:val="20"/>
                <w:szCs w:val="20"/>
              </w:rPr>
            </w:pPr>
            <w:r w:rsidRPr="00446AF6">
              <w:rPr>
                <w:color w:val="000000"/>
                <w:sz w:val="20"/>
                <w:szCs w:val="20"/>
              </w:rPr>
              <w:t>-0.191</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0E5408BD" w14:textId="77777777" w:rsidR="00774DAA" w:rsidRPr="00446AF6" w:rsidRDefault="00774DAA" w:rsidP="002966B2">
            <w:pPr>
              <w:jc w:val="right"/>
              <w:rPr>
                <w:color w:val="000000"/>
                <w:sz w:val="20"/>
                <w:szCs w:val="20"/>
              </w:rPr>
            </w:pPr>
            <w:r w:rsidRPr="00446AF6">
              <w:rPr>
                <w:color w:val="000000"/>
                <w:sz w:val="20"/>
                <w:szCs w:val="20"/>
              </w:rPr>
              <w:t>-2.36</w:t>
            </w:r>
          </w:p>
        </w:tc>
      </w:tr>
      <w:tr w:rsidR="00774DAA" w:rsidRPr="00446AF6" w14:paraId="522691B2" w14:textId="77777777" w:rsidTr="002966B2">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52D379F8" w14:textId="77777777" w:rsidR="00774DAA" w:rsidRPr="00446AF6" w:rsidRDefault="00774DAA" w:rsidP="002966B2">
            <w:pPr>
              <w:ind w:firstLineChars="100" w:firstLine="200"/>
              <w:rPr>
                <w:color w:val="000000"/>
                <w:sz w:val="20"/>
                <w:szCs w:val="20"/>
              </w:rPr>
            </w:pPr>
            <w:r w:rsidRPr="00446AF6">
              <w:rPr>
                <w:color w:val="000000"/>
                <w:sz w:val="20"/>
                <w:szCs w:val="20"/>
              </w:rPr>
              <w:t>1 to 9 Workers (ITF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15FB12DC" w14:textId="77777777" w:rsidR="00774DAA" w:rsidRPr="00446AF6" w:rsidRDefault="00774DAA" w:rsidP="002966B2">
            <w:pPr>
              <w:jc w:val="right"/>
              <w:rPr>
                <w:color w:val="000000"/>
                <w:sz w:val="20"/>
                <w:szCs w:val="20"/>
              </w:rPr>
            </w:pPr>
            <w:r w:rsidRPr="00446AF6">
              <w:rPr>
                <w:color w:val="000000"/>
                <w:sz w:val="20"/>
                <w:szCs w:val="20"/>
              </w:rPr>
              <w:t>-0.340</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5C0F4DBF" w14:textId="77777777" w:rsidR="00774DAA" w:rsidRPr="00446AF6" w:rsidRDefault="00774DAA" w:rsidP="002966B2">
            <w:pPr>
              <w:jc w:val="right"/>
              <w:rPr>
                <w:color w:val="000000"/>
                <w:sz w:val="20"/>
                <w:szCs w:val="20"/>
              </w:rPr>
            </w:pPr>
            <w:r w:rsidRPr="00446AF6">
              <w:rPr>
                <w:color w:val="000000"/>
                <w:sz w:val="20"/>
                <w:szCs w:val="20"/>
              </w:rPr>
              <w:t>-2.41</w:t>
            </w:r>
          </w:p>
        </w:tc>
      </w:tr>
      <w:tr w:rsidR="00774DAA" w:rsidRPr="00446AF6" w14:paraId="5DCE3D07"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2CB0366D" w14:textId="77777777" w:rsidR="00774DAA" w:rsidRPr="00446AF6" w:rsidRDefault="00774DAA" w:rsidP="002966B2">
            <w:pPr>
              <w:rPr>
                <w:b/>
                <w:bCs/>
                <w:i/>
                <w:iCs/>
                <w:color w:val="000000"/>
                <w:sz w:val="20"/>
                <w:szCs w:val="20"/>
              </w:rPr>
            </w:pPr>
            <w:r w:rsidRPr="00446AF6">
              <w:rPr>
                <w:b/>
                <w:bCs/>
                <w:i/>
                <w:iCs/>
                <w:color w:val="000000"/>
                <w:sz w:val="20"/>
                <w:szCs w:val="20"/>
              </w:rPr>
              <w:t>Residential Characteristics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7F24C87D"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412C5BE5"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3D2C8DFD" w14:textId="77777777" w:rsidTr="002966B2">
        <w:trPr>
          <w:trHeight w:val="245"/>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4C081168" w14:textId="77777777" w:rsidR="00774DAA" w:rsidRPr="00446AF6" w:rsidRDefault="00774DAA" w:rsidP="002966B2">
            <w:pPr>
              <w:rPr>
                <w:b/>
                <w:bCs/>
                <w:color w:val="000000"/>
                <w:sz w:val="20"/>
                <w:szCs w:val="20"/>
              </w:rPr>
            </w:pPr>
            <w:r w:rsidRPr="00446AF6">
              <w:rPr>
                <w:b/>
                <w:bCs/>
                <w:color w:val="000000"/>
                <w:sz w:val="20"/>
                <w:szCs w:val="20"/>
              </w:rPr>
              <w:t>Distance to Work (≥ 31 miles)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6C9090C7"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010F25DF"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491AF462" w14:textId="77777777" w:rsidTr="002966B2">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715002AB" w14:textId="77777777" w:rsidR="00774DAA" w:rsidRPr="00446AF6" w:rsidRDefault="00774DAA" w:rsidP="002966B2">
            <w:pPr>
              <w:rPr>
                <w:color w:val="000000"/>
                <w:sz w:val="20"/>
                <w:szCs w:val="20"/>
              </w:rPr>
            </w:pPr>
            <w:r w:rsidRPr="00446AF6">
              <w:rPr>
                <w:color w:val="000000"/>
                <w:sz w:val="20"/>
                <w:szCs w:val="20"/>
              </w:rPr>
              <w:t xml:space="preserve">  0.00 to 5.99 miles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58344AC" w14:textId="77777777" w:rsidR="00774DAA" w:rsidRPr="00446AF6" w:rsidRDefault="00774DAA" w:rsidP="002966B2">
            <w:pPr>
              <w:jc w:val="right"/>
              <w:rPr>
                <w:color w:val="000000"/>
                <w:sz w:val="20"/>
                <w:szCs w:val="20"/>
              </w:rPr>
            </w:pPr>
            <w:r w:rsidRPr="00446AF6">
              <w:rPr>
                <w:color w:val="000000"/>
                <w:sz w:val="20"/>
                <w:szCs w:val="20"/>
              </w:rPr>
              <w:t>-0.132</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37EE395A" w14:textId="77777777" w:rsidR="00774DAA" w:rsidRPr="00446AF6" w:rsidRDefault="00774DAA" w:rsidP="002966B2">
            <w:pPr>
              <w:jc w:val="right"/>
              <w:rPr>
                <w:color w:val="000000"/>
                <w:sz w:val="20"/>
                <w:szCs w:val="20"/>
              </w:rPr>
            </w:pPr>
            <w:r w:rsidRPr="00446AF6">
              <w:rPr>
                <w:color w:val="000000"/>
                <w:sz w:val="20"/>
                <w:szCs w:val="20"/>
              </w:rPr>
              <w:t>-1.08</w:t>
            </w:r>
          </w:p>
        </w:tc>
      </w:tr>
      <w:tr w:rsidR="00774DAA" w:rsidRPr="00446AF6" w14:paraId="3E88E387" w14:textId="77777777" w:rsidTr="002966B2">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2A1E2068" w14:textId="77777777" w:rsidR="00774DAA" w:rsidRPr="00446AF6" w:rsidRDefault="00774DAA" w:rsidP="002966B2">
            <w:pPr>
              <w:rPr>
                <w:color w:val="000000"/>
                <w:sz w:val="20"/>
                <w:szCs w:val="20"/>
              </w:rPr>
            </w:pPr>
            <w:r w:rsidRPr="00446AF6">
              <w:rPr>
                <w:color w:val="000000"/>
                <w:sz w:val="20"/>
                <w:szCs w:val="20"/>
              </w:rPr>
              <w:t xml:space="preserve">  6.00 to 10.99 miles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60CDF039" w14:textId="77777777" w:rsidR="00774DAA" w:rsidRPr="00446AF6" w:rsidRDefault="00774DAA" w:rsidP="002966B2">
            <w:pPr>
              <w:jc w:val="right"/>
              <w:rPr>
                <w:color w:val="000000"/>
                <w:sz w:val="20"/>
                <w:szCs w:val="20"/>
              </w:rPr>
            </w:pPr>
            <w:r w:rsidRPr="00446AF6">
              <w:rPr>
                <w:color w:val="000000"/>
                <w:sz w:val="20"/>
                <w:szCs w:val="20"/>
              </w:rPr>
              <w:t>-0.441</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5785AE9F" w14:textId="77777777" w:rsidR="00774DAA" w:rsidRPr="00446AF6" w:rsidRDefault="00774DAA" w:rsidP="002966B2">
            <w:pPr>
              <w:jc w:val="right"/>
              <w:rPr>
                <w:color w:val="000000"/>
                <w:sz w:val="20"/>
                <w:szCs w:val="20"/>
              </w:rPr>
            </w:pPr>
            <w:r w:rsidRPr="00446AF6">
              <w:rPr>
                <w:color w:val="000000"/>
                <w:sz w:val="20"/>
                <w:szCs w:val="20"/>
              </w:rPr>
              <w:t>-3.21</w:t>
            </w:r>
          </w:p>
        </w:tc>
      </w:tr>
      <w:tr w:rsidR="00774DAA" w:rsidRPr="00446AF6" w14:paraId="6B483E0E" w14:textId="77777777" w:rsidTr="002966B2">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248D7CC0" w14:textId="77777777" w:rsidR="00774DAA" w:rsidRPr="00446AF6" w:rsidRDefault="00774DAA" w:rsidP="002966B2">
            <w:pPr>
              <w:rPr>
                <w:color w:val="000000"/>
                <w:sz w:val="20"/>
                <w:szCs w:val="20"/>
              </w:rPr>
            </w:pPr>
            <w:r w:rsidRPr="00446AF6">
              <w:rPr>
                <w:color w:val="000000"/>
                <w:sz w:val="20"/>
                <w:szCs w:val="20"/>
              </w:rPr>
              <w:t xml:space="preserve">  11.00 to 30.99 miles (ETF)</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62F788E5" w14:textId="77777777" w:rsidR="00774DAA" w:rsidRPr="00446AF6" w:rsidRDefault="00774DAA" w:rsidP="002966B2">
            <w:pPr>
              <w:jc w:val="right"/>
              <w:rPr>
                <w:color w:val="000000"/>
                <w:sz w:val="20"/>
                <w:szCs w:val="20"/>
              </w:rPr>
            </w:pPr>
            <w:r w:rsidRPr="00446AF6">
              <w:rPr>
                <w:color w:val="000000"/>
                <w:sz w:val="20"/>
                <w:szCs w:val="20"/>
              </w:rPr>
              <w:t>-0.441</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4D4BAD68" w14:textId="77777777" w:rsidR="00774DAA" w:rsidRPr="00446AF6" w:rsidRDefault="00774DAA" w:rsidP="002966B2">
            <w:pPr>
              <w:jc w:val="right"/>
              <w:rPr>
                <w:color w:val="000000"/>
                <w:sz w:val="20"/>
                <w:szCs w:val="20"/>
              </w:rPr>
            </w:pPr>
            <w:r w:rsidRPr="00446AF6">
              <w:rPr>
                <w:color w:val="000000"/>
                <w:sz w:val="20"/>
                <w:szCs w:val="20"/>
              </w:rPr>
              <w:t>-3.41</w:t>
            </w:r>
          </w:p>
        </w:tc>
      </w:tr>
      <w:tr w:rsidR="00774DAA" w:rsidRPr="00446AF6" w14:paraId="5E9F5C5E" w14:textId="77777777" w:rsidTr="002966B2">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4D817FAB" w14:textId="77777777" w:rsidR="00774DAA" w:rsidRPr="00446AF6" w:rsidRDefault="00774DAA" w:rsidP="002966B2">
            <w:pPr>
              <w:rPr>
                <w:color w:val="000000"/>
                <w:sz w:val="20"/>
                <w:szCs w:val="20"/>
              </w:rPr>
            </w:pPr>
            <w:r w:rsidRPr="00446AF6">
              <w:rPr>
                <w:color w:val="000000"/>
                <w:sz w:val="20"/>
                <w:szCs w:val="20"/>
              </w:rPr>
              <w:t xml:space="preserve">  6.00 to 10.99 miles (ITF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7C0BA234" w14:textId="77777777" w:rsidR="00774DAA" w:rsidRPr="00446AF6" w:rsidRDefault="00774DAA" w:rsidP="002966B2">
            <w:pPr>
              <w:jc w:val="right"/>
              <w:rPr>
                <w:color w:val="000000"/>
                <w:sz w:val="20"/>
                <w:szCs w:val="20"/>
              </w:rPr>
            </w:pPr>
            <w:r w:rsidRPr="00446AF6">
              <w:rPr>
                <w:color w:val="000000"/>
                <w:sz w:val="20"/>
                <w:szCs w:val="20"/>
              </w:rPr>
              <w:t>0.355</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655A91FC" w14:textId="77777777" w:rsidR="00774DAA" w:rsidRPr="00446AF6" w:rsidRDefault="00774DAA" w:rsidP="002966B2">
            <w:pPr>
              <w:jc w:val="right"/>
              <w:rPr>
                <w:color w:val="000000"/>
                <w:sz w:val="20"/>
                <w:szCs w:val="20"/>
              </w:rPr>
            </w:pPr>
            <w:r w:rsidRPr="00446AF6">
              <w:rPr>
                <w:color w:val="000000"/>
                <w:sz w:val="20"/>
                <w:szCs w:val="20"/>
              </w:rPr>
              <w:t>2.99</w:t>
            </w:r>
          </w:p>
        </w:tc>
      </w:tr>
      <w:tr w:rsidR="00774DAA" w:rsidRPr="00446AF6" w14:paraId="73F7C714" w14:textId="77777777" w:rsidTr="002966B2">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22A76A9A" w14:textId="77777777" w:rsidR="00774DAA" w:rsidRPr="00446AF6" w:rsidRDefault="00774DAA" w:rsidP="002966B2">
            <w:pPr>
              <w:rPr>
                <w:color w:val="000000"/>
                <w:sz w:val="20"/>
                <w:szCs w:val="20"/>
              </w:rPr>
            </w:pPr>
            <w:r w:rsidRPr="00446AF6">
              <w:rPr>
                <w:color w:val="000000"/>
                <w:sz w:val="20"/>
                <w:szCs w:val="20"/>
              </w:rPr>
              <w:t xml:space="preserve">  11.00 to 30.99 miles (ITF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0BB1515E" w14:textId="77777777" w:rsidR="00774DAA" w:rsidRPr="00446AF6" w:rsidRDefault="00774DAA" w:rsidP="002966B2">
            <w:pPr>
              <w:jc w:val="right"/>
              <w:rPr>
                <w:color w:val="000000"/>
                <w:sz w:val="20"/>
                <w:szCs w:val="20"/>
              </w:rPr>
            </w:pPr>
            <w:r w:rsidRPr="00446AF6">
              <w:rPr>
                <w:color w:val="000000"/>
                <w:sz w:val="20"/>
                <w:szCs w:val="20"/>
              </w:rPr>
              <w:t>0.348</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2C8B3833" w14:textId="77777777" w:rsidR="00774DAA" w:rsidRPr="00446AF6" w:rsidRDefault="00774DAA" w:rsidP="002966B2">
            <w:pPr>
              <w:jc w:val="right"/>
              <w:rPr>
                <w:color w:val="000000"/>
                <w:sz w:val="20"/>
                <w:szCs w:val="20"/>
              </w:rPr>
            </w:pPr>
            <w:r w:rsidRPr="00446AF6">
              <w:rPr>
                <w:color w:val="000000"/>
                <w:sz w:val="20"/>
                <w:szCs w:val="20"/>
              </w:rPr>
              <w:t>3.37</w:t>
            </w:r>
          </w:p>
        </w:tc>
      </w:tr>
      <w:tr w:rsidR="00774DAA" w:rsidRPr="00446AF6" w14:paraId="640B57F2" w14:textId="77777777" w:rsidTr="002966B2">
        <w:trPr>
          <w:trHeight w:val="245"/>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039D4035" w14:textId="77777777" w:rsidR="00774DAA" w:rsidRPr="00446AF6" w:rsidRDefault="00774DAA" w:rsidP="002966B2">
            <w:pPr>
              <w:rPr>
                <w:b/>
                <w:bCs/>
                <w:color w:val="000000"/>
                <w:sz w:val="20"/>
                <w:szCs w:val="20"/>
              </w:rPr>
            </w:pPr>
            <w:r w:rsidRPr="00446AF6">
              <w:rPr>
                <w:b/>
                <w:bCs/>
                <w:color w:val="000000"/>
                <w:sz w:val="20"/>
                <w:szCs w:val="20"/>
              </w:rPr>
              <w:t>Neighborhood Density (Suburban or Urban)</w:t>
            </w:r>
          </w:p>
        </w:tc>
        <w:tc>
          <w:tcPr>
            <w:tcW w:w="1170" w:type="dxa"/>
            <w:tcBorders>
              <w:top w:val="nil"/>
              <w:left w:val="double" w:sz="4" w:space="0" w:color="auto"/>
              <w:right w:val="single" w:sz="4" w:space="0" w:color="auto"/>
            </w:tcBorders>
            <w:shd w:val="clear" w:color="000000" w:fill="FFFFFF"/>
            <w:noWrap/>
            <w:tcMar>
              <w:left w:w="58" w:type="dxa"/>
              <w:right w:w="58" w:type="dxa"/>
            </w:tcMar>
            <w:vAlign w:val="center"/>
            <w:hideMark/>
          </w:tcPr>
          <w:p w14:paraId="42B4E122"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right w:val="double" w:sz="4" w:space="0" w:color="auto"/>
            </w:tcBorders>
            <w:shd w:val="clear" w:color="000000" w:fill="FFFFFF"/>
            <w:noWrap/>
            <w:tcMar>
              <w:left w:w="58" w:type="dxa"/>
              <w:right w:w="58" w:type="dxa"/>
            </w:tcMar>
            <w:vAlign w:val="center"/>
            <w:hideMark/>
          </w:tcPr>
          <w:p w14:paraId="302DB1D0"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6E984717" w14:textId="77777777" w:rsidTr="002966B2">
        <w:trPr>
          <w:trHeight w:val="245"/>
        </w:trPr>
        <w:tc>
          <w:tcPr>
            <w:tcW w:w="7005" w:type="dxa"/>
            <w:tcBorders>
              <w:top w:val="nil"/>
              <w:left w:val="double" w:sz="4" w:space="0" w:color="auto"/>
              <w:right w:val="double" w:sz="4" w:space="0" w:color="auto"/>
            </w:tcBorders>
            <w:shd w:val="clear" w:color="000000" w:fill="FFFFFF"/>
            <w:noWrap/>
            <w:tcMar>
              <w:left w:w="58" w:type="dxa"/>
              <w:right w:w="58" w:type="dxa"/>
            </w:tcMar>
            <w:vAlign w:val="center"/>
            <w:hideMark/>
          </w:tcPr>
          <w:p w14:paraId="2239C186" w14:textId="77777777" w:rsidR="00774DAA" w:rsidRPr="00446AF6" w:rsidRDefault="00774DAA" w:rsidP="002966B2">
            <w:pPr>
              <w:ind w:firstLineChars="100" w:firstLine="200"/>
              <w:rPr>
                <w:color w:val="000000"/>
                <w:sz w:val="20"/>
                <w:szCs w:val="20"/>
              </w:rPr>
            </w:pPr>
            <w:r w:rsidRPr="00446AF6">
              <w:rPr>
                <w:color w:val="000000"/>
                <w:sz w:val="20"/>
                <w:szCs w:val="20"/>
              </w:rPr>
              <w:t>Rural (ITF Shift)</w:t>
            </w:r>
          </w:p>
        </w:tc>
        <w:tc>
          <w:tcPr>
            <w:tcW w:w="1170" w:type="dxa"/>
            <w:tcBorders>
              <w:top w:val="nil"/>
              <w:left w:val="double" w:sz="4" w:space="0" w:color="auto"/>
              <w:right w:val="single" w:sz="4" w:space="0" w:color="auto"/>
            </w:tcBorders>
            <w:shd w:val="clear" w:color="auto" w:fill="auto"/>
            <w:noWrap/>
            <w:tcMar>
              <w:left w:w="58" w:type="dxa"/>
              <w:right w:w="58" w:type="dxa"/>
            </w:tcMar>
            <w:vAlign w:val="center"/>
            <w:hideMark/>
          </w:tcPr>
          <w:p w14:paraId="1CC1E6A8" w14:textId="77777777" w:rsidR="00774DAA" w:rsidRPr="00446AF6" w:rsidRDefault="00774DAA" w:rsidP="002966B2">
            <w:pPr>
              <w:jc w:val="right"/>
              <w:rPr>
                <w:color w:val="000000"/>
                <w:sz w:val="20"/>
                <w:szCs w:val="20"/>
              </w:rPr>
            </w:pPr>
            <w:r w:rsidRPr="00446AF6">
              <w:rPr>
                <w:color w:val="000000"/>
                <w:sz w:val="20"/>
                <w:szCs w:val="20"/>
              </w:rPr>
              <w:t>0.215</w:t>
            </w:r>
          </w:p>
        </w:tc>
        <w:tc>
          <w:tcPr>
            <w:tcW w:w="1170" w:type="dxa"/>
            <w:tcBorders>
              <w:top w:val="nil"/>
              <w:left w:val="nil"/>
              <w:right w:val="double" w:sz="4" w:space="0" w:color="auto"/>
            </w:tcBorders>
            <w:shd w:val="clear" w:color="auto" w:fill="auto"/>
            <w:noWrap/>
            <w:tcMar>
              <w:left w:w="58" w:type="dxa"/>
              <w:right w:w="58" w:type="dxa"/>
            </w:tcMar>
            <w:vAlign w:val="center"/>
            <w:hideMark/>
          </w:tcPr>
          <w:p w14:paraId="55BA7E9E" w14:textId="77777777" w:rsidR="00774DAA" w:rsidRPr="00446AF6" w:rsidRDefault="00774DAA" w:rsidP="002966B2">
            <w:pPr>
              <w:jc w:val="right"/>
              <w:rPr>
                <w:color w:val="000000"/>
                <w:sz w:val="20"/>
                <w:szCs w:val="20"/>
              </w:rPr>
            </w:pPr>
            <w:r w:rsidRPr="00446AF6">
              <w:rPr>
                <w:color w:val="000000"/>
                <w:sz w:val="20"/>
                <w:szCs w:val="20"/>
              </w:rPr>
              <w:t>1.89</w:t>
            </w:r>
          </w:p>
        </w:tc>
      </w:tr>
      <w:tr w:rsidR="00774DAA" w:rsidRPr="00446AF6" w14:paraId="1059EC3F" w14:textId="77777777" w:rsidTr="002966B2">
        <w:trPr>
          <w:trHeight w:val="245"/>
        </w:trPr>
        <w:tc>
          <w:tcPr>
            <w:tcW w:w="7005" w:type="dxa"/>
            <w:tcBorders>
              <w:top w:val="nil"/>
              <w:left w:val="double" w:sz="4" w:space="0" w:color="auto"/>
              <w:right w:val="double" w:sz="4" w:space="0" w:color="auto"/>
            </w:tcBorders>
            <w:shd w:val="clear" w:color="000000" w:fill="FFFFFF"/>
            <w:noWrap/>
            <w:tcMar>
              <w:left w:w="58" w:type="dxa"/>
              <w:right w:w="58" w:type="dxa"/>
            </w:tcMar>
            <w:vAlign w:val="center"/>
            <w:hideMark/>
          </w:tcPr>
          <w:p w14:paraId="62EC396F" w14:textId="77777777" w:rsidR="00774DAA" w:rsidRPr="00446AF6" w:rsidRDefault="00774DAA" w:rsidP="002966B2">
            <w:pPr>
              <w:rPr>
                <w:b/>
                <w:bCs/>
                <w:color w:val="000000"/>
                <w:sz w:val="20"/>
                <w:szCs w:val="20"/>
              </w:rPr>
            </w:pPr>
            <w:r w:rsidRPr="00446AF6">
              <w:rPr>
                <w:b/>
                <w:bCs/>
                <w:color w:val="000000"/>
                <w:sz w:val="20"/>
                <w:szCs w:val="20"/>
              </w:rPr>
              <w:t>States by Census Bureau-Designated Regions (Northeast, Midwest, South)</w:t>
            </w:r>
          </w:p>
        </w:tc>
        <w:tc>
          <w:tcPr>
            <w:tcW w:w="1170" w:type="dxa"/>
            <w:tcBorders>
              <w:top w:val="nil"/>
              <w:left w:val="double" w:sz="4" w:space="0" w:color="auto"/>
              <w:right w:val="single" w:sz="4" w:space="0" w:color="auto"/>
            </w:tcBorders>
            <w:shd w:val="clear" w:color="000000" w:fill="FFFFFF"/>
            <w:noWrap/>
            <w:tcMar>
              <w:left w:w="58" w:type="dxa"/>
              <w:right w:w="58" w:type="dxa"/>
            </w:tcMar>
            <w:vAlign w:val="center"/>
            <w:hideMark/>
          </w:tcPr>
          <w:p w14:paraId="1B644FBD"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single" w:sz="4" w:space="0" w:color="auto"/>
              <w:right w:val="double" w:sz="4" w:space="0" w:color="auto"/>
            </w:tcBorders>
            <w:shd w:val="clear" w:color="000000" w:fill="FFFFFF"/>
            <w:noWrap/>
            <w:tcMar>
              <w:left w:w="58" w:type="dxa"/>
              <w:right w:w="58" w:type="dxa"/>
            </w:tcMar>
            <w:vAlign w:val="center"/>
            <w:hideMark/>
          </w:tcPr>
          <w:p w14:paraId="7253B529"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6FBE8491" w14:textId="77777777" w:rsidTr="002966B2">
        <w:trPr>
          <w:trHeight w:val="245"/>
        </w:trPr>
        <w:tc>
          <w:tcPr>
            <w:tcW w:w="7005" w:type="dxa"/>
            <w:tcBorders>
              <w:top w:val="nil"/>
              <w:left w:val="double" w:sz="4" w:space="0" w:color="auto"/>
              <w:right w:val="double" w:sz="4" w:space="0" w:color="auto"/>
            </w:tcBorders>
            <w:shd w:val="clear" w:color="000000" w:fill="FFFFFF"/>
            <w:noWrap/>
            <w:tcMar>
              <w:left w:w="58" w:type="dxa"/>
              <w:right w:w="58" w:type="dxa"/>
            </w:tcMar>
            <w:vAlign w:val="center"/>
            <w:hideMark/>
          </w:tcPr>
          <w:p w14:paraId="64C8D439" w14:textId="6BB05C9A" w:rsidR="00774DAA" w:rsidRPr="00446AF6" w:rsidRDefault="00774DAA" w:rsidP="002966B2">
            <w:pPr>
              <w:ind w:firstLineChars="100" w:firstLine="200"/>
              <w:rPr>
                <w:color w:val="000000"/>
                <w:sz w:val="20"/>
                <w:szCs w:val="20"/>
              </w:rPr>
            </w:pPr>
            <w:r w:rsidRPr="00446AF6">
              <w:rPr>
                <w:color w:val="000000"/>
                <w:sz w:val="20"/>
                <w:szCs w:val="20"/>
              </w:rPr>
              <w:t>All states in the west besides Arizona and California (ETF)</w:t>
            </w:r>
          </w:p>
        </w:tc>
        <w:tc>
          <w:tcPr>
            <w:tcW w:w="1170" w:type="dxa"/>
            <w:tcBorders>
              <w:top w:val="nil"/>
              <w:left w:val="double" w:sz="4" w:space="0" w:color="auto"/>
              <w:right w:val="single" w:sz="4" w:space="0" w:color="auto"/>
            </w:tcBorders>
            <w:shd w:val="clear" w:color="auto" w:fill="auto"/>
            <w:noWrap/>
            <w:tcMar>
              <w:left w:w="58" w:type="dxa"/>
              <w:right w:w="58" w:type="dxa"/>
            </w:tcMar>
            <w:vAlign w:val="center"/>
            <w:hideMark/>
          </w:tcPr>
          <w:p w14:paraId="07827669" w14:textId="77777777" w:rsidR="00774DAA" w:rsidRPr="00446AF6" w:rsidRDefault="00774DAA" w:rsidP="002966B2">
            <w:pPr>
              <w:jc w:val="right"/>
              <w:rPr>
                <w:color w:val="000000"/>
                <w:sz w:val="20"/>
                <w:szCs w:val="20"/>
              </w:rPr>
            </w:pPr>
            <w:r w:rsidRPr="00446AF6">
              <w:rPr>
                <w:color w:val="000000"/>
                <w:sz w:val="20"/>
                <w:szCs w:val="20"/>
              </w:rPr>
              <w:t>0.152</w:t>
            </w:r>
          </w:p>
        </w:tc>
        <w:tc>
          <w:tcPr>
            <w:tcW w:w="1170" w:type="dxa"/>
            <w:tcBorders>
              <w:top w:val="nil"/>
              <w:left w:val="single" w:sz="4" w:space="0" w:color="auto"/>
              <w:right w:val="double" w:sz="4" w:space="0" w:color="auto"/>
            </w:tcBorders>
            <w:shd w:val="clear" w:color="auto" w:fill="auto"/>
            <w:noWrap/>
            <w:tcMar>
              <w:left w:w="58" w:type="dxa"/>
              <w:right w:w="58" w:type="dxa"/>
            </w:tcMar>
            <w:vAlign w:val="center"/>
            <w:hideMark/>
          </w:tcPr>
          <w:p w14:paraId="33055C9B" w14:textId="77777777" w:rsidR="00774DAA" w:rsidRPr="00446AF6" w:rsidRDefault="00774DAA" w:rsidP="002966B2">
            <w:pPr>
              <w:jc w:val="right"/>
              <w:rPr>
                <w:color w:val="000000"/>
                <w:sz w:val="20"/>
                <w:szCs w:val="20"/>
              </w:rPr>
            </w:pPr>
            <w:r w:rsidRPr="00446AF6">
              <w:rPr>
                <w:color w:val="000000"/>
                <w:sz w:val="20"/>
                <w:szCs w:val="20"/>
              </w:rPr>
              <w:t>2.13</w:t>
            </w:r>
          </w:p>
        </w:tc>
      </w:tr>
      <w:tr w:rsidR="00774DAA" w:rsidRPr="00446AF6" w14:paraId="1D852455" w14:textId="77777777" w:rsidTr="002966B2">
        <w:trPr>
          <w:trHeight w:val="245"/>
        </w:trPr>
        <w:tc>
          <w:tcPr>
            <w:tcW w:w="7005" w:type="dxa"/>
            <w:tcBorders>
              <w:left w:val="double" w:sz="4" w:space="0" w:color="auto"/>
              <w:bottom w:val="nil"/>
              <w:right w:val="double" w:sz="4" w:space="0" w:color="auto"/>
            </w:tcBorders>
            <w:shd w:val="clear" w:color="000000" w:fill="FFFFFF"/>
            <w:tcMar>
              <w:left w:w="58" w:type="dxa"/>
              <w:right w:w="58" w:type="dxa"/>
            </w:tcMar>
            <w:vAlign w:val="center"/>
            <w:hideMark/>
          </w:tcPr>
          <w:p w14:paraId="7AF09BD8" w14:textId="77777777" w:rsidR="00774DAA" w:rsidRPr="00446AF6" w:rsidRDefault="00774DAA" w:rsidP="002966B2">
            <w:pPr>
              <w:rPr>
                <w:b/>
                <w:bCs/>
                <w:color w:val="000000"/>
                <w:sz w:val="20"/>
                <w:szCs w:val="20"/>
              </w:rPr>
            </w:pPr>
            <w:r w:rsidRPr="00446AF6">
              <w:rPr>
                <w:b/>
                <w:bCs/>
                <w:color w:val="000000"/>
                <w:sz w:val="20"/>
                <w:szCs w:val="20"/>
              </w:rPr>
              <w:t>Housing Tenure (Own)</w:t>
            </w:r>
          </w:p>
        </w:tc>
        <w:tc>
          <w:tcPr>
            <w:tcW w:w="1170" w:type="dxa"/>
            <w:tcBorders>
              <w:left w:val="double" w:sz="4" w:space="0" w:color="auto"/>
              <w:bottom w:val="nil"/>
              <w:right w:val="single" w:sz="4" w:space="0" w:color="auto"/>
            </w:tcBorders>
            <w:shd w:val="clear" w:color="000000" w:fill="FFFFFF"/>
            <w:noWrap/>
            <w:tcMar>
              <w:left w:w="58" w:type="dxa"/>
              <w:right w:w="58" w:type="dxa"/>
            </w:tcMar>
            <w:vAlign w:val="center"/>
            <w:hideMark/>
          </w:tcPr>
          <w:p w14:paraId="7B97A055"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left w:val="nil"/>
              <w:bottom w:val="nil"/>
              <w:right w:val="double" w:sz="4" w:space="0" w:color="auto"/>
            </w:tcBorders>
            <w:shd w:val="clear" w:color="000000" w:fill="FFFFFF"/>
            <w:noWrap/>
            <w:tcMar>
              <w:left w:w="58" w:type="dxa"/>
              <w:right w:w="58" w:type="dxa"/>
            </w:tcMar>
            <w:vAlign w:val="center"/>
            <w:hideMark/>
          </w:tcPr>
          <w:p w14:paraId="02EEC841"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3E253942" w14:textId="77777777" w:rsidTr="002966B2">
        <w:trPr>
          <w:trHeight w:val="245"/>
        </w:trPr>
        <w:tc>
          <w:tcPr>
            <w:tcW w:w="7005" w:type="dxa"/>
            <w:tcBorders>
              <w:top w:val="nil"/>
              <w:left w:val="double" w:sz="4" w:space="0" w:color="auto"/>
              <w:bottom w:val="double" w:sz="4" w:space="0" w:color="auto"/>
              <w:right w:val="double" w:sz="4" w:space="0" w:color="auto"/>
            </w:tcBorders>
            <w:shd w:val="clear" w:color="000000" w:fill="FFFFFF"/>
            <w:tcMar>
              <w:left w:w="58" w:type="dxa"/>
              <w:right w:w="58" w:type="dxa"/>
            </w:tcMar>
            <w:vAlign w:val="center"/>
            <w:hideMark/>
          </w:tcPr>
          <w:p w14:paraId="17CF85A2" w14:textId="77777777" w:rsidR="00774DAA" w:rsidRPr="00446AF6" w:rsidRDefault="00774DAA" w:rsidP="002966B2">
            <w:pPr>
              <w:ind w:firstLineChars="100" w:firstLine="200"/>
              <w:rPr>
                <w:color w:val="000000"/>
                <w:sz w:val="20"/>
                <w:szCs w:val="20"/>
              </w:rPr>
            </w:pPr>
            <w:r w:rsidRPr="00446AF6">
              <w:rPr>
                <w:color w:val="000000"/>
                <w:sz w:val="20"/>
                <w:szCs w:val="20"/>
              </w:rPr>
              <w:t>Rent (ETF)</w:t>
            </w:r>
          </w:p>
        </w:tc>
        <w:tc>
          <w:tcPr>
            <w:tcW w:w="1170" w:type="dxa"/>
            <w:tcBorders>
              <w:top w:val="nil"/>
              <w:left w:val="double" w:sz="4" w:space="0" w:color="auto"/>
              <w:bottom w:val="double" w:sz="4" w:space="0" w:color="auto"/>
              <w:right w:val="single" w:sz="4" w:space="0" w:color="auto"/>
            </w:tcBorders>
            <w:shd w:val="clear" w:color="auto" w:fill="auto"/>
            <w:noWrap/>
            <w:tcMar>
              <w:left w:w="58" w:type="dxa"/>
              <w:right w:w="58" w:type="dxa"/>
            </w:tcMar>
            <w:vAlign w:val="center"/>
            <w:hideMark/>
          </w:tcPr>
          <w:p w14:paraId="0F465D8A" w14:textId="77777777" w:rsidR="00774DAA" w:rsidRPr="00446AF6" w:rsidRDefault="00774DAA" w:rsidP="002966B2">
            <w:pPr>
              <w:jc w:val="right"/>
              <w:rPr>
                <w:color w:val="000000"/>
                <w:sz w:val="20"/>
                <w:szCs w:val="20"/>
              </w:rPr>
            </w:pPr>
            <w:r w:rsidRPr="00446AF6">
              <w:rPr>
                <w:color w:val="000000"/>
                <w:sz w:val="20"/>
                <w:szCs w:val="20"/>
              </w:rPr>
              <w:t>-0.063</w:t>
            </w:r>
          </w:p>
        </w:tc>
        <w:tc>
          <w:tcPr>
            <w:tcW w:w="1170" w:type="dxa"/>
            <w:tcBorders>
              <w:top w:val="nil"/>
              <w:left w:val="nil"/>
              <w:bottom w:val="double" w:sz="4" w:space="0" w:color="auto"/>
              <w:right w:val="double" w:sz="4" w:space="0" w:color="auto"/>
            </w:tcBorders>
            <w:shd w:val="clear" w:color="auto" w:fill="auto"/>
            <w:noWrap/>
            <w:tcMar>
              <w:left w:w="58" w:type="dxa"/>
              <w:right w:w="58" w:type="dxa"/>
            </w:tcMar>
            <w:vAlign w:val="center"/>
            <w:hideMark/>
          </w:tcPr>
          <w:p w14:paraId="197F27C4" w14:textId="77777777" w:rsidR="00774DAA" w:rsidRPr="00446AF6" w:rsidRDefault="00774DAA" w:rsidP="002966B2">
            <w:pPr>
              <w:jc w:val="right"/>
              <w:rPr>
                <w:color w:val="000000"/>
                <w:sz w:val="20"/>
                <w:szCs w:val="20"/>
              </w:rPr>
            </w:pPr>
            <w:r w:rsidRPr="00446AF6">
              <w:rPr>
                <w:color w:val="000000"/>
                <w:sz w:val="20"/>
                <w:szCs w:val="20"/>
              </w:rPr>
              <w:t>-1.03</w:t>
            </w:r>
          </w:p>
        </w:tc>
      </w:tr>
      <w:tr w:rsidR="00774DAA" w:rsidRPr="00446AF6" w14:paraId="2E3B08FC" w14:textId="77777777" w:rsidTr="00D03849">
        <w:trPr>
          <w:trHeight w:val="230"/>
        </w:trPr>
        <w:tc>
          <w:tcPr>
            <w:tcW w:w="7005" w:type="dxa"/>
            <w:tcBorders>
              <w:top w:val="double" w:sz="4" w:space="0" w:color="auto"/>
              <w:left w:val="double" w:sz="4" w:space="0" w:color="auto"/>
              <w:bottom w:val="nil"/>
              <w:right w:val="double" w:sz="4" w:space="0" w:color="auto"/>
            </w:tcBorders>
            <w:shd w:val="clear" w:color="000000" w:fill="FFFFFF"/>
            <w:tcMar>
              <w:left w:w="58" w:type="dxa"/>
              <w:right w:w="58" w:type="dxa"/>
            </w:tcMar>
            <w:vAlign w:val="center"/>
            <w:hideMark/>
          </w:tcPr>
          <w:p w14:paraId="35127584" w14:textId="77777777" w:rsidR="00774DAA" w:rsidRPr="00446AF6" w:rsidRDefault="00774DAA" w:rsidP="002966B2">
            <w:pPr>
              <w:rPr>
                <w:b/>
                <w:bCs/>
                <w:i/>
                <w:iCs/>
                <w:color w:val="000000"/>
                <w:sz w:val="20"/>
                <w:szCs w:val="20"/>
              </w:rPr>
            </w:pPr>
            <w:r w:rsidRPr="00446AF6">
              <w:rPr>
                <w:b/>
                <w:bCs/>
                <w:i/>
                <w:iCs/>
                <w:color w:val="000000"/>
                <w:sz w:val="20"/>
                <w:szCs w:val="20"/>
              </w:rPr>
              <w:lastRenderedPageBreak/>
              <w:t xml:space="preserve">Thresholds </w:t>
            </w:r>
          </w:p>
        </w:tc>
        <w:tc>
          <w:tcPr>
            <w:tcW w:w="1170" w:type="dxa"/>
            <w:tcBorders>
              <w:top w:val="double" w:sz="4" w:space="0" w:color="auto"/>
              <w:left w:val="double" w:sz="4" w:space="0" w:color="auto"/>
              <w:bottom w:val="nil"/>
              <w:right w:val="single" w:sz="4" w:space="0" w:color="auto"/>
            </w:tcBorders>
            <w:shd w:val="clear" w:color="000000" w:fill="FFFFFF"/>
            <w:noWrap/>
            <w:tcMar>
              <w:left w:w="58" w:type="dxa"/>
              <w:right w:w="58" w:type="dxa"/>
            </w:tcMar>
            <w:vAlign w:val="center"/>
            <w:hideMark/>
          </w:tcPr>
          <w:p w14:paraId="203308F2"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double" w:sz="4" w:space="0" w:color="auto"/>
              <w:left w:val="nil"/>
              <w:bottom w:val="nil"/>
              <w:right w:val="double" w:sz="4" w:space="0" w:color="auto"/>
            </w:tcBorders>
            <w:shd w:val="clear" w:color="000000" w:fill="FFFFFF"/>
            <w:noWrap/>
            <w:tcMar>
              <w:left w:w="58" w:type="dxa"/>
              <w:right w:w="58" w:type="dxa"/>
            </w:tcMar>
            <w:vAlign w:val="center"/>
            <w:hideMark/>
          </w:tcPr>
          <w:p w14:paraId="60EAE409"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559668C8"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29D46B9D" w14:textId="2ED022AD" w:rsidR="00774DAA" w:rsidRPr="00446AF6" w:rsidRDefault="00774DAA" w:rsidP="002966B2">
            <w:pPr>
              <w:rPr>
                <w:b/>
                <w:bCs/>
                <w:color w:val="000000"/>
                <w:sz w:val="20"/>
                <w:szCs w:val="20"/>
                <w:u w:val="single"/>
              </w:rPr>
            </w:pPr>
            <w:r w:rsidRPr="00446AF6">
              <w:rPr>
                <w:b/>
                <w:bCs/>
                <w:color w:val="000000"/>
                <w:sz w:val="20"/>
                <w:szCs w:val="20"/>
                <w:u w:val="single"/>
              </w:rPr>
              <w:t>ETF Thresholds</w:t>
            </w:r>
            <w:r w:rsidRPr="00446AF6">
              <w:rPr>
                <w:color w:val="000000"/>
                <w:sz w:val="20"/>
                <w:szCs w:val="20"/>
              </w:rPr>
              <w:t xml:space="preserve"> (</w:t>
            </w:r>
            <w:r w:rsidR="00BC09CC" w:rsidRPr="00446AF6">
              <w:rPr>
                <w:noProof/>
                <w:position w:val="-10"/>
                <w:sz w:val="20"/>
                <w:szCs w:val="20"/>
              </w:rPr>
              <w:object w:dxaOrig="260" w:dyaOrig="279" w14:anchorId="38BD0E40">
                <v:shape id="_x0000_i1116" type="#_x0000_t75" alt="" style="width:12.85pt;height:13.7pt;mso-width-percent:0;mso-height-percent:0;mso-width-percent:0;mso-height-percent:0" o:ole="">
                  <v:imagedata r:id="rId187" o:title=""/>
                </v:shape>
                <o:OLEObject Type="Embed" ProgID="Equation.DSMT4" ShapeID="_x0000_i1116" DrawAspect="Content" ObjectID="_1778681349" r:id="rId188"/>
              </w:object>
            </w:r>
            <w:r w:rsidRPr="00446AF6">
              <w:rPr>
                <w:sz w:val="20"/>
                <w:szCs w:val="20"/>
              </w:rPr>
              <w:t>vector)</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55312520"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596A1437"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0CF84DFC"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063EA297" w14:textId="77777777" w:rsidR="00774DAA" w:rsidRPr="00446AF6" w:rsidRDefault="00774DAA" w:rsidP="002966B2">
            <w:pPr>
              <w:ind w:firstLineChars="100" w:firstLine="200"/>
              <w:rPr>
                <w:color w:val="000000"/>
                <w:sz w:val="20"/>
                <w:szCs w:val="20"/>
              </w:rPr>
            </w:pPr>
            <w:r w:rsidRPr="00446AF6">
              <w:rPr>
                <w:color w:val="000000"/>
                <w:sz w:val="20"/>
                <w:szCs w:val="20"/>
              </w:rPr>
              <w:t>1|2</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BF03DD8" w14:textId="77777777" w:rsidR="00774DAA" w:rsidRPr="00446AF6" w:rsidRDefault="00774DAA" w:rsidP="002966B2">
            <w:pPr>
              <w:jc w:val="right"/>
              <w:rPr>
                <w:color w:val="000000"/>
                <w:sz w:val="20"/>
                <w:szCs w:val="20"/>
              </w:rPr>
            </w:pPr>
            <w:r w:rsidRPr="00446AF6">
              <w:rPr>
                <w:color w:val="000000"/>
                <w:sz w:val="20"/>
                <w:szCs w:val="20"/>
              </w:rPr>
              <w:t>-1.187</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3A8149C8" w14:textId="77777777" w:rsidR="00774DAA" w:rsidRPr="00446AF6" w:rsidRDefault="00774DAA" w:rsidP="002966B2">
            <w:pPr>
              <w:jc w:val="right"/>
              <w:rPr>
                <w:color w:val="000000"/>
                <w:sz w:val="20"/>
                <w:szCs w:val="20"/>
              </w:rPr>
            </w:pPr>
            <w:r w:rsidRPr="00446AF6">
              <w:rPr>
                <w:color w:val="000000"/>
                <w:sz w:val="20"/>
                <w:szCs w:val="20"/>
              </w:rPr>
              <w:t>-7.28</w:t>
            </w:r>
          </w:p>
        </w:tc>
      </w:tr>
      <w:tr w:rsidR="00774DAA" w:rsidRPr="00446AF6" w14:paraId="6FDCFE97"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2CD4653C" w14:textId="77777777" w:rsidR="00774DAA" w:rsidRPr="00446AF6" w:rsidRDefault="00774DAA" w:rsidP="002966B2">
            <w:pPr>
              <w:ind w:firstLineChars="100" w:firstLine="200"/>
              <w:rPr>
                <w:color w:val="000000"/>
                <w:sz w:val="20"/>
                <w:szCs w:val="20"/>
              </w:rPr>
            </w:pPr>
            <w:r w:rsidRPr="00446AF6">
              <w:rPr>
                <w:color w:val="000000"/>
                <w:sz w:val="20"/>
                <w:szCs w:val="20"/>
              </w:rPr>
              <w:t>2|3</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6B3C7A79" w14:textId="77777777" w:rsidR="00774DAA" w:rsidRPr="00446AF6" w:rsidRDefault="00774DAA" w:rsidP="002966B2">
            <w:pPr>
              <w:jc w:val="right"/>
              <w:rPr>
                <w:color w:val="000000"/>
                <w:sz w:val="20"/>
                <w:szCs w:val="20"/>
              </w:rPr>
            </w:pPr>
            <w:r w:rsidRPr="00446AF6">
              <w:rPr>
                <w:color w:val="000000"/>
                <w:sz w:val="20"/>
                <w:szCs w:val="20"/>
              </w:rPr>
              <w:t>-1.083</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0A335F55" w14:textId="77777777" w:rsidR="00774DAA" w:rsidRPr="00446AF6" w:rsidRDefault="00774DAA" w:rsidP="002966B2">
            <w:pPr>
              <w:jc w:val="right"/>
              <w:rPr>
                <w:color w:val="000000"/>
                <w:sz w:val="20"/>
                <w:szCs w:val="20"/>
              </w:rPr>
            </w:pPr>
            <w:r w:rsidRPr="00446AF6">
              <w:rPr>
                <w:color w:val="000000"/>
                <w:sz w:val="20"/>
                <w:szCs w:val="20"/>
              </w:rPr>
              <w:t>-6.63</w:t>
            </w:r>
          </w:p>
        </w:tc>
      </w:tr>
      <w:tr w:rsidR="00774DAA" w:rsidRPr="00446AF6" w14:paraId="5CBECA57"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0C1FE856" w14:textId="77777777" w:rsidR="00774DAA" w:rsidRPr="00446AF6" w:rsidRDefault="00774DAA" w:rsidP="002966B2">
            <w:pPr>
              <w:ind w:firstLineChars="100" w:firstLine="200"/>
              <w:rPr>
                <w:color w:val="000000"/>
                <w:sz w:val="20"/>
                <w:szCs w:val="20"/>
              </w:rPr>
            </w:pPr>
            <w:r w:rsidRPr="00446AF6">
              <w:rPr>
                <w:color w:val="000000"/>
                <w:sz w:val="20"/>
                <w:szCs w:val="20"/>
              </w:rPr>
              <w:t>3|4</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3F20D9EC" w14:textId="77777777" w:rsidR="00774DAA" w:rsidRPr="00446AF6" w:rsidRDefault="00774DAA" w:rsidP="002966B2">
            <w:pPr>
              <w:jc w:val="right"/>
              <w:rPr>
                <w:color w:val="000000"/>
                <w:sz w:val="20"/>
                <w:szCs w:val="20"/>
              </w:rPr>
            </w:pPr>
            <w:r w:rsidRPr="00446AF6">
              <w:rPr>
                <w:color w:val="000000"/>
                <w:sz w:val="20"/>
                <w:szCs w:val="20"/>
              </w:rPr>
              <w:t>-0.860</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6A5512CA" w14:textId="77777777" w:rsidR="00774DAA" w:rsidRPr="00446AF6" w:rsidRDefault="00774DAA" w:rsidP="002966B2">
            <w:pPr>
              <w:jc w:val="right"/>
              <w:rPr>
                <w:color w:val="000000"/>
                <w:sz w:val="20"/>
                <w:szCs w:val="20"/>
              </w:rPr>
            </w:pPr>
            <w:r w:rsidRPr="00446AF6">
              <w:rPr>
                <w:color w:val="000000"/>
                <w:sz w:val="20"/>
                <w:szCs w:val="20"/>
              </w:rPr>
              <w:t>-5.29</w:t>
            </w:r>
          </w:p>
        </w:tc>
      </w:tr>
      <w:tr w:rsidR="00774DAA" w:rsidRPr="00446AF6" w14:paraId="1B663E55"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1E654838" w14:textId="77777777" w:rsidR="00774DAA" w:rsidRPr="00446AF6" w:rsidRDefault="00774DAA" w:rsidP="002966B2">
            <w:pPr>
              <w:ind w:firstLineChars="100" w:firstLine="200"/>
              <w:rPr>
                <w:color w:val="000000"/>
                <w:sz w:val="20"/>
                <w:szCs w:val="20"/>
              </w:rPr>
            </w:pPr>
            <w:r w:rsidRPr="00446AF6">
              <w:rPr>
                <w:color w:val="000000"/>
                <w:sz w:val="20"/>
                <w:szCs w:val="20"/>
              </w:rPr>
              <w:t>4|5</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E90534D" w14:textId="77777777" w:rsidR="00774DAA" w:rsidRPr="00446AF6" w:rsidRDefault="00774DAA" w:rsidP="002966B2">
            <w:pPr>
              <w:jc w:val="right"/>
              <w:rPr>
                <w:color w:val="000000"/>
                <w:sz w:val="20"/>
                <w:szCs w:val="20"/>
              </w:rPr>
            </w:pPr>
            <w:r w:rsidRPr="00446AF6">
              <w:rPr>
                <w:color w:val="000000"/>
                <w:sz w:val="20"/>
                <w:szCs w:val="20"/>
              </w:rPr>
              <w:t>-0.669</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71D88B55" w14:textId="77777777" w:rsidR="00774DAA" w:rsidRPr="00446AF6" w:rsidRDefault="00774DAA" w:rsidP="002966B2">
            <w:pPr>
              <w:jc w:val="right"/>
              <w:rPr>
                <w:color w:val="000000"/>
                <w:sz w:val="20"/>
                <w:szCs w:val="20"/>
              </w:rPr>
            </w:pPr>
            <w:r w:rsidRPr="00446AF6">
              <w:rPr>
                <w:color w:val="000000"/>
                <w:sz w:val="20"/>
                <w:szCs w:val="20"/>
              </w:rPr>
              <w:t>-4.12</w:t>
            </w:r>
          </w:p>
        </w:tc>
      </w:tr>
      <w:tr w:rsidR="00774DAA" w:rsidRPr="00446AF6" w14:paraId="703D5C30"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3C71FF7F" w14:textId="77777777" w:rsidR="00774DAA" w:rsidRPr="00446AF6" w:rsidRDefault="00774DAA" w:rsidP="002966B2">
            <w:pPr>
              <w:ind w:firstLineChars="100" w:firstLine="200"/>
              <w:rPr>
                <w:color w:val="000000"/>
                <w:sz w:val="20"/>
                <w:szCs w:val="20"/>
              </w:rPr>
            </w:pPr>
            <w:r w:rsidRPr="00446AF6">
              <w:rPr>
                <w:color w:val="000000"/>
                <w:sz w:val="20"/>
                <w:szCs w:val="20"/>
              </w:rPr>
              <w:t>5|6</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7C6382F3" w14:textId="77777777" w:rsidR="00774DAA" w:rsidRPr="00446AF6" w:rsidRDefault="00774DAA" w:rsidP="002966B2">
            <w:pPr>
              <w:jc w:val="right"/>
              <w:rPr>
                <w:color w:val="000000"/>
                <w:sz w:val="20"/>
                <w:szCs w:val="20"/>
              </w:rPr>
            </w:pPr>
            <w:r w:rsidRPr="00446AF6">
              <w:rPr>
                <w:color w:val="000000"/>
                <w:sz w:val="20"/>
                <w:szCs w:val="20"/>
              </w:rPr>
              <w:t>0.206</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10A39FFD" w14:textId="77777777" w:rsidR="00774DAA" w:rsidRPr="00446AF6" w:rsidRDefault="00774DAA" w:rsidP="002966B2">
            <w:pPr>
              <w:jc w:val="right"/>
              <w:rPr>
                <w:color w:val="000000"/>
                <w:sz w:val="20"/>
                <w:szCs w:val="20"/>
              </w:rPr>
            </w:pPr>
            <w:r w:rsidRPr="00446AF6">
              <w:rPr>
                <w:color w:val="000000"/>
                <w:sz w:val="20"/>
                <w:szCs w:val="20"/>
              </w:rPr>
              <w:t>1.28</w:t>
            </w:r>
          </w:p>
        </w:tc>
      </w:tr>
      <w:tr w:rsidR="00774DAA" w:rsidRPr="00446AF6" w14:paraId="63786B95"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7D068EE0" w14:textId="0187B8BA" w:rsidR="00774DAA" w:rsidRPr="00446AF6" w:rsidRDefault="00774DAA" w:rsidP="002966B2">
            <w:pPr>
              <w:rPr>
                <w:b/>
                <w:bCs/>
                <w:color w:val="000000"/>
                <w:sz w:val="20"/>
                <w:szCs w:val="20"/>
                <w:u w:val="single"/>
              </w:rPr>
            </w:pPr>
            <w:r w:rsidRPr="00446AF6">
              <w:rPr>
                <w:b/>
                <w:bCs/>
                <w:color w:val="000000"/>
                <w:sz w:val="20"/>
                <w:szCs w:val="20"/>
                <w:u w:val="single"/>
              </w:rPr>
              <w:t>Unadjusted ITF Thresholds</w:t>
            </w:r>
            <w:r w:rsidR="00975BF9" w:rsidRPr="00446AF6">
              <w:rPr>
                <w:b/>
                <w:bCs/>
                <w:color w:val="000000"/>
                <w:sz w:val="20"/>
                <w:szCs w:val="20"/>
              </w:rPr>
              <w:t xml:space="preserve"> </w:t>
            </w:r>
            <w:r w:rsidRPr="00446AF6">
              <w:rPr>
                <w:noProof/>
                <w:sz w:val="20"/>
                <w:szCs w:val="20"/>
              </w:rPr>
              <w:t>(</w:t>
            </w:r>
            <w:r w:rsidR="00BC09CC" w:rsidRPr="00446AF6">
              <w:rPr>
                <w:noProof/>
                <w:position w:val="-10"/>
                <w:sz w:val="20"/>
                <w:szCs w:val="20"/>
              </w:rPr>
              <w:object w:dxaOrig="220" w:dyaOrig="320" w14:anchorId="638FCBA9">
                <v:shape id="_x0000_i1117" type="#_x0000_t75" alt="" style="width:8.15pt;height:13.7pt;mso-width-percent:0;mso-height-percent:0;mso-width-percent:0;mso-height-percent:0" o:ole="">
                  <v:imagedata r:id="rId189" o:title=""/>
                </v:shape>
                <o:OLEObject Type="Embed" ProgID="Equation.DSMT4" ShapeID="_x0000_i1117" DrawAspect="Content" ObjectID="_1778681350" r:id="rId190"/>
              </w:object>
            </w:r>
            <w:r w:rsidRPr="00446AF6">
              <w:rPr>
                <w:sz w:val="20"/>
                <w:szCs w:val="20"/>
              </w:rPr>
              <w:t xml:space="preserve"> vector)</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7FA427E0"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579AA9FE"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3E414098"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1DC42C11" w14:textId="77777777" w:rsidR="00774DAA" w:rsidRPr="00446AF6" w:rsidRDefault="00774DAA" w:rsidP="002966B2">
            <w:pPr>
              <w:ind w:firstLineChars="100" w:firstLine="200"/>
              <w:rPr>
                <w:color w:val="000000"/>
                <w:sz w:val="20"/>
                <w:szCs w:val="20"/>
              </w:rPr>
            </w:pPr>
            <w:r w:rsidRPr="00446AF6">
              <w:rPr>
                <w:color w:val="000000"/>
                <w:sz w:val="20"/>
                <w:szCs w:val="20"/>
              </w:rPr>
              <w:t>1|2</w:t>
            </w:r>
            <w:r w:rsidRPr="00446AF6">
              <w:rPr>
                <w:i/>
                <w:iCs/>
                <w:color w:val="000000"/>
                <w:sz w:val="20"/>
                <w:szCs w:val="20"/>
              </w:rPr>
              <w:t xml:space="preserve"> </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09DB4219" w14:textId="77777777" w:rsidR="00774DAA" w:rsidRPr="00446AF6" w:rsidRDefault="00774DAA" w:rsidP="002966B2">
            <w:pPr>
              <w:jc w:val="right"/>
              <w:rPr>
                <w:color w:val="000000"/>
                <w:sz w:val="20"/>
                <w:szCs w:val="20"/>
              </w:rPr>
            </w:pPr>
            <w:r w:rsidRPr="00446AF6">
              <w:rPr>
                <w:color w:val="000000"/>
                <w:sz w:val="20"/>
                <w:szCs w:val="20"/>
              </w:rPr>
              <w:t>-3.068</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3B837C38" w14:textId="77777777" w:rsidR="00774DAA" w:rsidRPr="00446AF6" w:rsidRDefault="00774DAA" w:rsidP="002966B2">
            <w:pPr>
              <w:jc w:val="right"/>
              <w:rPr>
                <w:color w:val="000000"/>
                <w:sz w:val="20"/>
                <w:szCs w:val="20"/>
              </w:rPr>
            </w:pPr>
            <w:r w:rsidRPr="00446AF6">
              <w:rPr>
                <w:color w:val="000000"/>
                <w:sz w:val="20"/>
                <w:szCs w:val="20"/>
              </w:rPr>
              <w:t>-12.37</w:t>
            </w:r>
          </w:p>
        </w:tc>
      </w:tr>
      <w:tr w:rsidR="00774DAA" w:rsidRPr="00446AF6" w14:paraId="2D6F18D7"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6857CF4C" w14:textId="77777777" w:rsidR="00774DAA" w:rsidRPr="00446AF6" w:rsidRDefault="00774DAA" w:rsidP="002966B2">
            <w:pPr>
              <w:ind w:firstLineChars="100" w:firstLine="200"/>
              <w:rPr>
                <w:color w:val="000000"/>
                <w:sz w:val="20"/>
                <w:szCs w:val="20"/>
              </w:rPr>
            </w:pPr>
            <w:r w:rsidRPr="00446AF6">
              <w:rPr>
                <w:color w:val="000000"/>
                <w:sz w:val="20"/>
                <w:szCs w:val="20"/>
              </w:rPr>
              <w:t xml:space="preserve">2|3 </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0BB88CC6" w14:textId="77777777" w:rsidR="00774DAA" w:rsidRPr="00446AF6" w:rsidRDefault="00774DAA" w:rsidP="002966B2">
            <w:pPr>
              <w:jc w:val="right"/>
              <w:rPr>
                <w:color w:val="000000"/>
                <w:sz w:val="20"/>
                <w:szCs w:val="20"/>
              </w:rPr>
            </w:pPr>
            <w:r w:rsidRPr="00446AF6">
              <w:rPr>
                <w:color w:val="000000"/>
                <w:sz w:val="20"/>
                <w:szCs w:val="20"/>
              </w:rPr>
              <w:t>-2.736</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41FD4C90" w14:textId="77777777" w:rsidR="00774DAA" w:rsidRPr="00446AF6" w:rsidRDefault="00774DAA" w:rsidP="002966B2">
            <w:pPr>
              <w:jc w:val="right"/>
              <w:rPr>
                <w:color w:val="000000"/>
                <w:sz w:val="20"/>
                <w:szCs w:val="20"/>
              </w:rPr>
            </w:pPr>
            <w:r w:rsidRPr="00446AF6">
              <w:rPr>
                <w:color w:val="000000"/>
                <w:sz w:val="20"/>
                <w:szCs w:val="20"/>
              </w:rPr>
              <w:t>-11.46</w:t>
            </w:r>
          </w:p>
        </w:tc>
      </w:tr>
      <w:tr w:rsidR="00774DAA" w:rsidRPr="00446AF6" w14:paraId="78962DDC"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1A18B27F" w14:textId="77777777" w:rsidR="00774DAA" w:rsidRPr="00446AF6" w:rsidRDefault="00774DAA" w:rsidP="002966B2">
            <w:pPr>
              <w:ind w:firstLineChars="100" w:firstLine="200"/>
              <w:rPr>
                <w:color w:val="000000"/>
                <w:sz w:val="20"/>
                <w:szCs w:val="20"/>
              </w:rPr>
            </w:pPr>
            <w:r w:rsidRPr="00446AF6">
              <w:rPr>
                <w:color w:val="000000"/>
                <w:sz w:val="20"/>
                <w:szCs w:val="20"/>
              </w:rPr>
              <w:t xml:space="preserve">3|4 </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40846311" w14:textId="77777777" w:rsidR="00774DAA" w:rsidRPr="00446AF6" w:rsidRDefault="00774DAA" w:rsidP="002966B2">
            <w:pPr>
              <w:jc w:val="right"/>
              <w:rPr>
                <w:color w:val="000000"/>
                <w:sz w:val="20"/>
                <w:szCs w:val="20"/>
              </w:rPr>
            </w:pPr>
            <w:r w:rsidRPr="00446AF6">
              <w:rPr>
                <w:color w:val="000000"/>
                <w:sz w:val="20"/>
                <w:szCs w:val="20"/>
              </w:rPr>
              <w:t>-2.351</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31D94E1B" w14:textId="77777777" w:rsidR="00774DAA" w:rsidRPr="00446AF6" w:rsidRDefault="00774DAA" w:rsidP="002966B2">
            <w:pPr>
              <w:jc w:val="right"/>
              <w:rPr>
                <w:color w:val="000000"/>
                <w:sz w:val="20"/>
                <w:szCs w:val="20"/>
              </w:rPr>
            </w:pPr>
            <w:r w:rsidRPr="00446AF6">
              <w:rPr>
                <w:color w:val="000000"/>
                <w:sz w:val="20"/>
                <w:szCs w:val="20"/>
              </w:rPr>
              <w:t>-10.10</w:t>
            </w:r>
          </w:p>
        </w:tc>
      </w:tr>
      <w:tr w:rsidR="00774DAA" w:rsidRPr="00446AF6" w14:paraId="75ACD31B"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346A38C6" w14:textId="77777777" w:rsidR="00774DAA" w:rsidRPr="00446AF6" w:rsidRDefault="00774DAA" w:rsidP="002966B2">
            <w:pPr>
              <w:ind w:firstLineChars="100" w:firstLine="200"/>
              <w:rPr>
                <w:color w:val="000000"/>
                <w:sz w:val="20"/>
                <w:szCs w:val="20"/>
              </w:rPr>
            </w:pPr>
            <w:r w:rsidRPr="00446AF6">
              <w:rPr>
                <w:color w:val="000000"/>
                <w:sz w:val="20"/>
                <w:szCs w:val="20"/>
              </w:rPr>
              <w:t xml:space="preserve">4|5 </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6A10D47A" w14:textId="77777777" w:rsidR="00774DAA" w:rsidRPr="00446AF6" w:rsidRDefault="00774DAA" w:rsidP="002966B2">
            <w:pPr>
              <w:jc w:val="right"/>
              <w:rPr>
                <w:color w:val="000000"/>
                <w:sz w:val="20"/>
                <w:szCs w:val="20"/>
              </w:rPr>
            </w:pPr>
            <w:r w:rsidRPr="00446AF6">
              <w:rPr>
                <w:color w:val="000000"/>
                <w:sz w:val="20"/>
                <w:szCs w:val="20"/>
              </w:rPr>
              <w:t>-2.220</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22B43047" w14:textId="77777777" w:rsidR="00774DAA" w:rsidRPr="00446AF6" w:rsidRDefault="00774DAA" w:rsidP="002966B2">
            <w:pPr>
              <w:jc w:val="right"/>
              <w:rPr>
                <w:color w:val="000000"/>
                <w:sz w:val="20"/>
                <w:szCs w:val="20"/>
              </w:rPr>
            </w:pPr>
            <w:r w:rsidRPr="00446AF6">
              <w:rPr>
                <w:color w:val="000000"/>
                <w:sz w:val="20"/>
                <w:szCs w:val="20"/>
              </w:rPr>
              <w:t>-9.58</w:t>
            </w:r>
          </w:p>
        </w:tc>
      </w:tr>
      <w:tr w:rsidR="00774DAA" w:rsidRPr="00446AF6" w14:paraId="50F4C455"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022B9F4F" w14:textId="77777777" w:rsidR="00774DAA" w:rsidRPr="00446AF6" w:rsidRDefault="00774DAA" w:rsidP="002966B2">
            <w:pPr>
              <w:ind w:firstLineChars="100" w:firstLine="200"/>
              <w:rPr>
                <w:color w:val="000000"/>
                <w:sz w:val="20"/>
                <w:szCs w:val="20"/>
              </w:rPr>
            </w:pPr>
            <w:r w:rsidRPr="00446AF6">
              <w:rPr>
                <w:color w:val="000000"/>
                <w:sz w:val="20"/>
                <w:szCs w:val="20"/>
              </w:rPr>
              <w:t xml:space="preserve">5|6 </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5E8B4DC6" w14:textId="77777777" w:rsidR="00774DAA" w:rsidRPr="00446AF6" w:rsidRDefault="00774DAA" w:rsidP="002966B2">
            <w:pPr>
              <w:jc w:val="right"/>
              <w:rPr>
                <w:color w:val="000000"/>
                <w:sz w:val="20"/>
                <w:szCs w:val="20"/>
              </w:rPr>
            </w:pPr>
            <w:r w:rsidRPr="00446AF6">
              <w:rPr>
                <w:color w:val="000000"/>
                <w:sz w:val="20"/>
                <w:szCs w:val="20"/>
              </w:rPr>
              <w:t>-1.506</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213387FD" w14:textId="77777777" w:rsidR="00774DAA" w:rsidRPr="00446AF6" w:rsidRDefault="00774DAA" w:rsidP="002966B2">
            <w:pPr>
              <w:jc w:val="right"/>
              <w:rPr>
                <w:color w:val="000000"/>
                <w:sz w:val="20"/>
                <w:szCs w:val="20"/>
              </w:rPr>
            </w:pPr>
            <w:r w:rsidRPr="00446AF6">
              <w:rPr>
                <w:color w:val="000000"/>
                <w:sz w:val="20"/>
                <w:szCs w:val="20"/>
              </w:rPr>
              <w:t>-6.67</w:t>
            </w:r>
          </w:p>
        </w:tc>
      </w:tr>
      <w:tr w:rsidR="00774DAA" w:rsidRPr="00446AF6" w14:paraId="560B6928"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591CDF66" w14:textId="4B014970" w:rsidR="00774DAA" w:rsidRPr="00446AF6" w:rsidRDefault="00774DAA" w:rsidP="002966B2">
            <w:pPr>
              <w:rPr>
                <w:b/>
                <w:bCs/>
                <w:color w:val="000000"/>
                <w:sz w:val="20"/>
                <w:szCs w:val="20"/>
                <w:u w:val="single"/>
              </w:rPr>
            </w:pPr>
            <w:r w:rsidRPr="00446AF6">
              <w:rPr>
                <w:b/>
                <w:bCs/>
                <w:color w:val="000000"/>
                <w:sz w:val="20"/>
                <w:szCs w:val="20"/>
                <w:u w:val="single"/>
              </w:rPr>
              <w:t xml:space="preserve">Constant </w:t>
            </w:r>
            <w:r w:rsidR="002054D7" w:rsidRPr="00446AF6">
              <w:rPr>
                <w:b/>
                <w:bCs/>
                <w:color w:val="000000"/>
                <w:sz w:val="20"/>
                <w:szCs w:val="20"/>
                <w:u w:val="single"/>
              </w:rPr>
              <w:t>“Same-Threshold”</w:t>
            </w:r>
            <w:r w:rsidRPr="00446AF6">
              <w:rPr>
                <w:b/>
                <w:bCs/>
                <w:color w:val="000000"/>
                <w:sz w:val="20"/>
                <w:szCs w:val="20"/>
                <w:u w:val="single"/>
              </w:rPr>
              <w:t xml:space="preserve"> Shifts in ITF</w:t>
            </w:r>
            <w:r w:rsidR="00975BF9" w:rsidRPr="00446AF6">
              <w:rPr>
                <w:b/>
                <w:bCs/>
                <w:color w:val="000000"/>
                <w:sz w:val="20"/>
                <w:szCs w:val="20"/>
              </w:rPr>
              <w:t xml:space="preserve"> </w:t>
            </w:r>
            <w:r w:rsidRPr="00446AF6">
              <w:rPr>
                <w:color w:val="000000"/>
                <w:sz w:val="20"/>
                <w:szCs w:val="20"/>
              </w:rPr>
              <w:t>(</w:t>
            </w:r>
            <w:r w:rsidR="00BC09CC" w:rsidRPr="00446AF6">
              <w:rPr>
                <w:noProof/>
                <w:position w:val="-4"/>
                <w:sz w:val="20"/>
                <w:szCs w:val="20"/>
              </w:rPr>
              <w:object w:dxaOrig="240" w:dyaOrig="260" w14:anchorId="67003BE3">
                <v:shape id="_x0000_i1118" type="#_x0000_t75" alt="" style="width:12.85pt;height:13.3pt;mso-width-percent:0;mso-height-percent:0;mso-width-percent:0;mso-height-percent:0" o:ole="">
                  <v:imagedata r:id="rId191" o:title=""/>
                </v:shape>
                <o:OLEObject Type="Embed" ProgID="Equation.DSMT4" ShapeID="_x0000_i1118" DrawAspect="Content" ObjectID="_1778681351" r:id="rId192"/>
              </w:object>
            </w:r>
            <w:r w:rsidRPr="00446AF6">
              <w:rPr>
                <w:sz w:val="20"/>
                <w:szCs w:val="20"/>
              </w:rPr>
              <w:t>vector)</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43B322D2"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4A4BB92A"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4CC20547"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0ECE08C3" w14:textId="77777777" w:rsidR="00774DAA" w:rsidRPr="00446AF6" w:rsidRDefault="00774DAA" w:rsidP="002966B2">
            <w:pPr>
              <w:ind w:firstLineChars="100" w:firstLine="200"/>
              <w:rPr>
                <w:color w:val="000000"/>
                <w:sz w:val="20"/>
                <w:szCs w:val="20"/>
              </w:rPr>
            </w:pPr>
            <w:r w:rsidRPr="00446AF6">
              <w:rPr>
                <w:color w:val="000000"/>
                <w:sz w:val="20"/>
                <w:szCs w:val="20"/>
              </w:rPr>
              <w:t>1|2 Consonance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1132E387" w14:textId="77777777" w:rsidR="00774DAA" w:rsidRPr="00446AF6" w:rsidRDefault="00774DAA" w:rsidP="002966B2">
            <w:pPr>
              <w:jc w:val="right"/>
              <w:rPr>
                <w:color w:val="000000"/>
                <w:sz w:val="20"/>
                <w:szCs w:val="20"/>
              </w:rPr>
            </w:pPr>
            <w:r w:rsidRPr="00446AF6">
              <w:rPr>
                <w:color w:val="000000"/>
                <w:sz w:val="20"/>
                <w:szCs w:val="20"/>
              </w:rPr>
              <w:t>1.194</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684F7ED8" w14:textId="77777777" w:rsidR="00774DAA" w:rsidRPr="00446AF6" w:rsidRDefault="00774DAA" w:rsidP="002966B2">
            <w:pPr>
              <w:jc w:val="right"/>
              <w:rPr>
                <w:color w:val="000000"/>
                <w:sz w:val="20"/>
                <w:szCs w:val="20"/>
              </w:rPr>
            </w:pPr>
            <w:r w:rsidRPr="00446AF6">
              <w:rPr>
                <w:color w:val="000000"/>
                <w:sz w:val="20"/>
                <w:szCs w:val="20"/>
              </w:rPr>
              <w:t>4.67</w:t>
            </w:r>
          </w:p>
        </w:tc>
      </w:tr>
      <w:tr w:rsidR="00774DAA" w:rsidRPr="00446AF6" w14:paraId="19D4F383"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4A514258" w14:textId="77777777" w:rsidR="00774DAA" w:rsidRPr="00446AF6" w:rsidRDefault="00774DAA" w:rsidP="002966B2">
            <w:pPr>
              <w:ind w:firstLineChars="100" w:firstLine="200"/>
              <w:rPr>
                <w:color w:val="000000"/>
                <w:sz w:val="20"/>
                <w:szCs w:val="20"/>
              </w:rPr>
            </w:pPr>
            <w:r w:rsidRPr="00446AF6">
              <w:rPr>
                <w:color w:val="000000"/>
                <w:sz w:val="20"/>
                <w:szCs w:val="20"/>
              </w:rPr>
              <w:t>2|3 Consonance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A6B03BC" w14:textId="77777777" w:rsidR="00774DAA" w:rsidRPr="00446AF6" w:rsidRDefault="00774DAA" w:rsidP="002966B2">
            <w:pPr>
              <w:jc w:val="right"/>
              <w:rPr>
                <w:color w:val="000000"/>
                <w:sz w:val="20"/>
                <w:szCs w:val="20"/>
              </w:rPr>
            </w:pPr>
            <w:r w:rsidRPr="00446AF6">
              <w:rPr>
                <w:color w:val="000000"/>
                <w:sz w:val="20"/>
                <w:szCs w:val="20"/>
              </w:rPr>
              <w:t>2.068</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667B0E00" w14:textId="77777777" w:rsidR="00774DAA" w:rsidRPr="00446AF6" w:rsidRDefault="00774DAA" w:rsidP="002966B2">
            <w:pPr>
              <w:jc w:val="right"/>
              <w:rPr>
                <w:color w:val="000000"/>
                <w:sz w:val="20"/>
                <w:szCs w:val="20"/>
              </w:rPr>
            </w:pPr>
            <w:r w:rsidRPr="00446AF6">
              <w:rPr>
                <w:color w:val="000000"/>
                <w:sz w:val="20"/>
                <w:szCs w:val="20"/>
              </w:rPr>
              <w:t>8.07</w:t>
            </w:r>
          </w:p>
        </w:tc>
      </w:tr>
      <w:tr w:rsidR="00774DAA" w:rsidRPr="00446AF6" w14:paraId="36D4D74F"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198EB671" w14:textId="77777777" w:rsidR="00774DAA" w:rsidRPr="00446AF6" w:rsidRDefault="00774DAA" w:rsidP="002966B2">
            <w:pPr>
              <w:ind w:firstLineChars="100" w:firstLine="200"/>
              <w:rPr>
                <w:color w:val="000000"/>
                <w:sz w:val="20"/>
                <w:szCs w:val="20"/>
              </w:rPr>
            </w:pPr>
            <w:r w:rsidRPr="00446AF6">
              <w:rPr>
                <w:color w:val="000000"/>
                <w:sz w:val="20"/>
                <w:szCs w:val="20"/>
              </w:rPr>
              <w:t>3|4 Consonance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12F9DC54" w14:textId="77777777" w:rsidR="00774DAA" w:rsidRPr="00446AF6" w:rsidRDefault="00774DAA" w:rsidP="002966B2">
            <w:pPr>
              <w:jc w:val="right"/>
              <w:rPr>
                <w:color w:val="000000"/>
                <w:sz w:val="20"/>
                <w:szCs w:val="20"/>
              </w:rPr>
            </w:pPr>
            <w:r w:rsidRPr="00446AF6">
              <w:rPr>
                <w:color w:val="000000"/>
                <w:sz w:val="20"/>
                <w:szCs w:val="20"/>
              </w:rPr>
              <w:t>1.939</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16863CBD" w14:textId="77777777" w:rsidR="00774DAA" w:rsidRPr="00446AF6" w:rsidRDefault="00774DAA" w:rsidP="002966B2">
            <w:pPr>
              <w:jc w:val="right"/>
              <w:rPr>
                <w:color w:val="000000"/>
                <w:sz w:val="20"/>
                <w:szCs w:val="20"/>
              </w:rPr>
            </w:pPr>
            <w:r w:rsidRPr="00446AF6">
              <w:rPr>
                <w:color w:val="000000"/>
                <w:sz w:val="20"/>
                <w:szCs w:val="20"/>
              </w:rPr>
              <w:t>8.58</w:t>
            </w:r>
          </w:p>
        </w:tc>
      </w:tr>
      <w:tr w:rsidR="00774DAA" w:rsidRPr="00446AF6" w14:paraId="6BD9FEBB"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1E54B177" w14:textId="77777777" w:rsidR="00774DAA" w:rsidRPr="00446AF6" w:rsidRDefault="00774DAA" w:rsidP="002966B2">
            <w:pPr>
              <w:ind w:firstLineChars="100" w:firstLine="200"/>
              <w:rPr>
                <w:color w:val="000000"/>
                <w:sz w:val="20"/>
                <w:szCs w:val="20"/>
              </w:rPr>
            </w:pPr>
            <w:r w:rsidRPr="00446AF6">
              <w:rPr>
                <w:color w:val="000000"/>
                <w:sz w:val="20"/>
                <w:szCs w:val="20"/>
              </w:rPr>
              <w:t>4|5 Consonance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3228EBD0" w14:textId="77777777" w:rsidR="00774DAA" w:rsidRPr="00446AF6" w:rsidRDefault="00774DAA" w:rsidP="002966B2">
            <w:pPr>
              <w:jc w:val="right"/>
              <w:rPr>
                <w:color w:val="000000"/>
                <w:sz w:val="20"/>
                <w:szCs w:val="20"/>
              </w:rPr>
            </w:pPr>
            <w:r w:rsidRPr="00446AF6">
              <w:rPr>
                <w:color w:val="000000"/>
                <w:sz w:val="20"/>
                <w:szCs w:val="20"/>
              </w:rPr>
              <w:t>1.272</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66EB4C46" w14:textId="77777777" w:rsidR="00774DAA" w:rsidRPr="00446AF6" w:rsidRDefault="00774DAA" w:rsidP="002966B2">
            <w:pPr>
              <w:jc w:val="right"/>
              <w:rPr>
                <w:color w:val="000000"/>
                <w:sz w:val="20"/>
                <w:szCs w:val="20"/>
              </w:rPr>
            </w:pPr>
            <w:r w:rsidRPr="00446AF6">
              <w:rPr>
                <w:color w:val="000000"/>
                <w:sz w:val="20"/>
                <w:szCs w:val="20"/>
              </w:rPr>
              <w:t>6.54</w:t>
            </w:r>
          </w:p>
        </w:tc>
      </w:tr>
      <w:tr w:rsidR="00774DAA" w:rsidRPr="00446AF6" w14:paraId="45ABCE60"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250E3BF4" w14:textId="77777777" w:rsidR="00774DAA" w:rsidRPr="00446AF6" w:rsidRDefault="00774DAA" w:rsidP="002966B2">
            <w:pPr>
              <w:ind w:firstLineChars="100" w:firstLine="200"/>
              <w:rPr>
                <w:color w:val="000000"/>
                <w:sz w:val="20"/>
                <w:szCs w:val="20"/>
              </w:rPr>
            </w:pPr>
            <w:r w:rsidRPr="00446AF6">
              <w:rPr>
                <w:color w:val="000000"/>
                <w:sz w:val="20"/>
                <w:szCs w:val="20"/>
              </w:rPr>
              <w:t>5|6 Consonance Shift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E1EC866" w14:textId="77777777" w:rsidR="00774DAA" w:rsidRPr="00446AF6" w:rsidRDefault="00774DAA" w:rsidP="002966B2">
            <w:pPr>
              <w:jc w:val="right"/>
              <w:rPr>
                <w:color w:val="000000"/>
                <w:sz w:val="20"/>
                <w:szCs w:val="20"/>
              </w:rPr>
            </w:pPr>
            <w:r w:rsidRPr="00446AF6">
              <w:rPr>
                <w:color w:val="000000"/>
                <w:sz w:val="20"/>
                <w:szCs w:val="20"/>
              </w:rPr>
              <w:t>1.017</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6DFAB2D7" w14:textId="77777777" w:rsidR="00774DAA" w:rsidRPr="00446AF6" w:rsidRDefault="00774DAA" w:rsidP="002966B2">
            <w:pPr>
              <w:jc w:val="right"/>
              <w:rPr>
                <w:color w:val="000000"/>
                <w:sz w:val="20"/>
                <w:szCs w:val="20"/>
              </w:rPr>
            </w:pPr>
            <w:r w:rsidRPr="00446AF6">
              <w:rPr>
                <w:color w:val="000000"/>
                <w:sz w:val="20"/>
                <w:szCs w:val="20"/>
              </w:rPr>
              <w:t>7.15</w:t>
            </w:r>
          </w:p>
        </w:tc>
      </w:tr>
      <w:tr w:rsidR="00774DAA" w:rsidRPr="00446AF6" w14:paraId="2342623F"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6B1924D8" w14:textId="3AA34279" w:rsidR="00774DAA" w:rsidRPr="00446AF6" w:rsidRDefault="00774DAA" w:rsidP="002966B2">
            <w:pPr>
              <w:rPr>
                <w:b/>
                <w:bCs/>
                <w:color w:val="000000"/>
                <w:sz w:val="20"/>
                <w:szCs w:val="20"/>
                <w:u w:val="single"/>
              </w:rPr>
            </w:pPr>
            <w:r w:rsidRPr="00446AF6">
              <w:rPr>
                <w:b/>
                <w:bCs/>
                <w:color w:val="000000"/>
                <w:sz w:val="20"/>
                <w:szCs w:val="20"/>
                <w:u w:val="single"/>
              </w:rPr>
              <w:t>Generic</w:t>
            </w:r>
            <w:r w:rsidR="002054D7" w:rsidRPr="00446AF6">
              <w:rPr>
                <w:b/>
                <w:bCs/>
                <w:color w:val="000000"/>
                <w:sz w:val="20"/>
                <w:szCs w:val="20"/>
                <w:u w:val="single"/>
              </w:rPr>
              <w:t xml:space="preserve"> “S</w:t>
            </w:r>
            <w:r w:rsidR="00DD1C01" w:rsidRPr="00446AF6">
              <w:rPr>
                <w:b/>
                <w:bCs/>
                <w:color w:val="000000"/>
                <w:sz w:val="20"/>
                <w:szCs w:val="20"/>
                <w:u w:val="single"/>
              </w:rPr>
              <w:t>ame</w:t>
            </w:r>
            <w:r w:rsidR="002054D7" w:rsidRPr="00446AF6">
              <w:rPr>
                <w:b/>
                <w:bCs/>
                <w:color w:val="000000"/>
                <w:sz w:val="20"/>
                <w:szCs w:val="20"/>
                <w:u w:val="single"/>
              </w:rPr>
              <w:t>-T</w:t>
            </w:r>
            <w:r w:rsidR="00DD1C01" w:rsidRPr="00446AF6">
              <w:rPr>
                <w:b/>
                <w:bCs/>
                <w:color w:val="000000"/>
                <w:sz w:val="20"/>
                <w:szCs w:val="20"/>
                <w:u w:val="single"/>
              </w:rPr>
              <w:t>hreshold</w:t>
            </w:r>
            <w:r w:rsidR="002054D7" w:rsidRPr="00446AF6">
              <w:rPr>
                <w:b/>
                <w:bCs/>
                <w:color w:val="000000"/>
                <w:sz w:val="20"/>
                <w:szCs w:val="20"/>
                <w:u w:val="single"/>
              </w:rPr>
              <w:t>”</w:t>
            </w:r>
            <w:r w:rsidR="00DD1C01" w:rsidRPr="00446AF6">
              <w:rPr>
                <w:b/>
                <w:bCs/>
                <w:color w:val="000000"/>
                <w:sz w:val="20"/>
                <w:szCs w:val="20"/>
                <w:u w:val="single"/>
              </w:rPr>
              <w:t xml:space="preserve"> </w:t>
            </w:r>
            <w:r w:rsidRPr="00446AF6">
              <w:rPr>
                <w:b/>
                <w:bCs/>
                <w:color w:val="000000"/>
                <w:sz w:val="20"/>
                <w:szCs w:val="20"/>
                <w:u w:val="single"/>
              </w:rPr>
              <w:t>Shifts in ITF</w:t>
            </w:r>
            <w:r w:rsidR="00975BF9" w:rsidRPr="00446AF6">
              <w:rPr>
                <w:b/>
                <w:bCs/>
                <w:color w:val="000000"/>
                <w:sz w:val="20"/>
                <w:szCs w:val="20"/>
              </w:rPr>
              <w:t xml:space="preserve"> </w:t>
            </w:r>
            <w:r w:rsidRPr="00446AF6">
              <w:rPr>
                <w:color w:val="000000"/>
                <w:sz w:val="20"/>
                <w:szCs w:val="20"/>
              </w:rPr>
              <w:t>(</w:t>
            </w:r>
            <w:r w:rsidR="00BC09CC" w:rsidRPr="00446AF6">
              <w:rPr>
                <w:noProof/>
                <w:position w:val="-4"/>
                <w:sz w:val="20"/>
                <w:szCs w:val="20"/>
              </w:rPr>
              <w:object w:dxaOrig="220" w:dyaOrig="260" w14:anchorId="388D958C">
                <v:shape id="_x0000_i1119" type="#_x0000_t75" alt="" style="width:12pt;height:12pt;mso-width-percent:0;mso-height-percent:0;mso-width-percent:0;mso-height-percent:0" o:ole="">
                  <v:imagedata r:id="rId120" o:title=""/>
                </v:shape>
                <o:OLEObject Type="Embed" ProgID="Equation.DSMT4" ShapeID="_x0000_i1119" DrawAspect="Content" ObjectID="_1778681352" r:id="rId193"/>
              </w:object>
            </w:r>
            <w:r w:rsidRPr="00446AF6">
              <w:rPr>
                <w:noProof/>
                <w:sz w:val="20"/>
                <w:szCs w:val="20"/>
              </w:rPr>
              <w:t>vector)</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3EA768DB"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376E7319"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3562A7D8"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45895DDA" w14:textId="77777777" w:rsidR="00774DAA" w:rsidRPr="00446AF6" w:rsidRDefault="00774DAA" w:rsidP="002966B2">
            <w:pPr>
              <w:rPr>
                <w:b/>
                <w:bCs/>
                <w:color w:val="000000"/>
                <w:sz w:val="20"/>
                <w:szCs w:val="20"/>
              </w:rPr>
            </w:pPr>
            <w:r w:rsidRPr="00446AF6">
              <w:rPr>
                <w:b/>
                <w:bCs/>
                <w:color w:val="000000"/>
                <w:sz w:val="20"/>
                <w:szCs w:val="20"/>
              </w:rPr>
              <w:t>Income (between $50,000 and $149,999)</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41E24531"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20855034"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757064E5"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24CDD1DA" w14:textId="77777777" w:rsidR="00774DAA" w:rsidRPr="00446AF6" w:rsidRDefault="00774DAA" w:rsidP="002966B2">
            <w:pPr>
              <w:ind w:firstLineChars="100" w:firstLine="200"/>
              <w:rPr>
                <w:color w:val="000000"/>
                <w:sz w:val="20"/>
                <w:szCs w:val="20"/>
              </w:rPr>
            </w:pPr>
            <w:r w:rsidRPr="00446AF6">
              <w:rPr>
                <w:color w:val="000000"/>
                <w:sz w:val="20"/>
                <w:szCs w:val="20"/>
              </w:rPr>
              <w:t>&lt; $50,000</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06F85D82" w14:textId="77777777" w:rsidR="00774DAA" w:rsidRPr="00446AF6" w:rsidRDefault="00774DAA" w:rsidP="002966B2">
            <w:pPr>
              <w:jc w:val="right"/>
              <w:rPr>
                <w:color w:val="000000"/>
                <w:sz w:val="20"/>
                <w:szCs w:val="20"/>
              </w:rPr>
            </w:pPr>
            <w:r w:rsidRPr="00446AF6">
              <w:rPr>
                <w:color w:val="000000"/>
                <w:sz w:val="20"/>
                <w:szCs w:val="20"/>
              </w:rPr>
              <w:t>-0.664</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0127F861" w14:textId="77777777" w:rsidR="00774DAA" w:rsidRPr="00446AF6" w:rsidRDefault="00774DAA" w:rsidP="002966B2">
            <w:pPr>
              <w:jc w:val="right"/>
              <w:rPr>
                <w:color w:val="000000"/>
                <w:sz w:val="20"/>
                <w:szCs w:val="20"/>
              </w:rPr>
            </w:pPr>
            <w:r w:rsidRPr="00446AF6">
              <w:rPr>
                <w:color w:val="000000"/>
                <w:sz w:val="20"/>
                <w:szCs w:val="20"/>
              </w:rPr>
              <w:t>-4.14</w:t>
            </w:r>
          </w:p>
        </w:tc>
      </w:tr>
      <w:tr w:rsidR="00774DAA" w:rsidRPr="00446AF6" w14:paraId="3B9363D6"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73DBA637" w14:textId="77777777" w:rsidR="00774DAA" w:rsidRPr="00446AF6" w:rsidRDefault="00774DAA" w:rsidP="002966B2">
            <w:pPr>
              <w:ind w:firstLineChars="100" w:firstLine="200"/>
              <w:rPr>
                <w:color w:val="000000"/>
                <w:sz w:val="20"/>
                <w:szCs w:val="20"/>
              </w:rPr>
            </w:pPr>
            <w:r w:rsidRPr="00446AF6">
              <w:rPr>
                <w:color w:val="000000"/>
                <w:sz w:val="20"/>
                <w:szCs w:val="20"/>
              </w:rPr>
              <w:t>≥ $150,000</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4C848F7B" w14:textId="77777777" w:rsidR="00774DAA" w:rsidRPr="00446AF6" w:rsidRDefault="00774DAA" w:rsidP="002966B2">
            <w:pPr>
              <w:jc w:val="right"/>
              <w:rPr>
                <w:color w:val="000000"/>
                <w:sz w:val="20"/>
                <w:szCs w:val="20"/>
              </w:rPr>
            </w:pPr>
            <w:r w:rsidRPr="00446AF6">
              <w:rPr>
                <w:color w:val="000000"/>
                <w:sz w:val="20"/>
                <w:szCs w:val="20"/>
              </w:rPr>
              <w:t>0.346</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14813322" w14:textId="77777777" w:rsidR="00774DAA" w:rsidRPr="00446AF6" w:rsidRDefault="00774DAA" w:rsidP="002966B2">
            <w:pPr>
              <w:jc w:val="right"/>
              <w:rPr>
                <w:color w:val="000000"/>
                <w:sz w:val="20"/>
                <w:szCs w:val="20"/>
              </w:rPr>
            </w:pPr>
            <w:r w:rsidRPr="00446AF6">
              <w:rPr>
                <w:color w:val="000000"/>
                <w:sz w:val="20"/>
                <w:szCs w:val="20"/>
              </w:rPr>
              <w:t>2.43</w:t>
            </w:r>
          </w:p>
        </w:tc>
      </w:tr>
      <w:tr w:rsidR="00774DAA" w:rsidRPr="00446AF6" w14:paraId="0F0D328B"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2069E355" w14:textId="77777777" w:rsidR="00774DAA" w:rsidRPr="00446AF6" w:rsidRDefault="00774DAA" w:rsidP="002966B2">
            <w:pPr>
              <w:rPr>
                <w:b/>
                <w:bCs/>
                <w:color w:val="000000"/>
                <w:sz w:val="20"/>
                <w:szCs w:val="20"/>
              </w:rPr>
            </w:pPr>
            <w:r w:rsidRPr="00446AF6">
              <w:rPr>
                <w:b/>
                <w:bCs/>
                <w:color w:val="000000"/>
                <w:sz w:val="20"/>
                <w:szCs w:val="20"/>
              </w:rPr>
              <w:t>Employer Size (≥ 100 workers)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1942FE83"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3A2A97C5"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45A87FDC"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0858A709" w14:textId="77777777" w:rsidR="00774DAA" w:rsidRPr="00446AF6" w:rsidRDefault="00774DAA" w:rsidP="002966B2">
            <w:pPr>
              <w:ind w:firstLineChars="100" w:firstLine="200"/>
              <w:rPr>
                <w:color w:val="000000"/>
                <w:sz w:val="20"/>
                <w:szCs w:val="20"/>
              </w:rPr>
            </w:pPr>
            <w:r w:rsidRPr="00446AF6">
              <w:rPr>
                <w:color w:val="000000"/>
                <w:sz w:val="20"/>
                <w:szCs w:val="20"/>
              </w:rPr>
              <w:t>10 to 99 Workers</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4C0CC203" w14:textId="77777777" w:rsidR="00774DAA" w:rsidRPr="00446AF6" w:rsidRDefault="00774DAA" w:rsidP="002966B2">
            <w:pPr>
              <w:jc w:val="right"/>
              <w:rPr>
                <w:color w:val="000000"/>
                <w:sz w:val="20"/>
                <w:szCs w:val="20"/>
              </w:rPr>
            </w:pPr>
            <w:r w:rsidRPr="00446AF6">
              <w:rPr>
                <w:color w:val="000000"/>
                <w:sz w:val="20"/>
                <w:szCs w:val="20"/>
              </w:rPr>
              <w:t>-0.150</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207BBA58" w14:textId="77777777" w:rsidR="00774DAA" w:rsidRPr="00446AF6" w:rsidRDefault="00774DAA" w:rsidP="002966B2">
            <w:pPr>
              <w:jc w:val="right"/>
              <w:rPr>
                <w:color w:val="000000"/>
                <w:sz w:val="20"/>
                <w:szCs w:val="20"/>
              </w:rPr>
            </w:pPr>
            <w:r w:rsidRPr="00446AF6">
              <w:rPr>
                <w:color w:val="000000"/>
                <w:sz w:val="20"/>
                <w:szCs w:val="20"/>
              </w:rPr>
              <w:t>-1.32</w:t>
            </w:r>
          </w:p>
        </w:tc>
      </w:tr>
      <w:tr w:rsidR="00774DAA" w:rsidRPr="00446AF6" w14:paraId="76B1FF0E"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tcPr>
          <w:p w14:paraId="6C3DF61B" w14:textId="2EEF9A1F" w:rsidR="00774DAA" w:rsidRPr="00446AF6" w:rsidRDefault="00774DAA" w:rsidP="002966B2">
            <w:pPr>
              <w:rPr>
                <w:b/>
                <w:bCs/>
                <w:color w:val="000000"/>
                <w:sz w:val="20"/>
                <w:szCs w:val="20"/>
                <w:u w:val="single"/>
              </w:rPr>
            </w:pPr>
            <w:r w:rsidRPr="00446AF6">
              <w:rPr>
                <w:b/>
                <w:bCs/>
                <w:color w:val="000000"/>
                <w:sz w:val="20"/>
                <w:szCs w:val="20"/>
                <w:u w:val="single"/>
              </w:rPr>
              <w:t xml:space="preserve">Outcome-Specific </w:t>
            </w:r>
            <w:r w:rsidR="002054D7" w:rsidRPr="00446AF6">
              <w:rPr>
                <w:b/>
                <w:bCs/>
                <w:color w:val="000000"/>
                <w:sz w:val="20"/>
                <w:szCs w:val="20"/>
                <w:u w:val="single"/>
              </w:rPr>
              <w:t>“S</w:t>
            </w:r>
            <w:r w:rsidR="00DD1C01" w:rsidRPr="00446AF6">
              <w:rPr>
                <w:b/>
                <w:bCs/>
                <w:color w:val="000000"/>
                <w:sz w:val="20"/>
                <w:szCs w:val="20"/>
                <w:u w:val="single"/>
              </w:rPr>
              <w:t>ame</w:t>
            </w:r>
            <w:r w:rsidR="002054D7" w:rsidRPr="00446AF6">
              <w:rPr>
                <w:b/>
                <w:bCs/>
                <w:color w:val="000000"/>
                <w:sz w:val="20"/>
                <w:szCs w:val="20"/>
                <w:u w:val="single"/>
              </w:rPr>
              <w:t>-T</w:t>
            </w:r>
            <w:r w:rsidR="00DD1C01" w:rsidRPr="00446AF6">
              <w:rPr>
                <w:b/>
                <w:bCs/>
                <w:color w:val="000000"/>
                <w:sz w:val="20"/>
                <w:szCs w:val="20"/>
                <w:u w:val="single"/>
              </w:rPr>
              <w:t xml:space="preserve">hreshold) </w:t>
            </w:r>
            <w:r w:rsidRPr="00446AF6">
              <w:rPr>
                <w:b/>
                <w:bCs/>
                <w:color w:val="000000"/>
                <w:sz w:val="20"/>
                <w:szCs w:val="20"/>
                <w:u w:val="single"/>
              </w:rPr>
              <w:t xml:space="preserve">Shifts in ITF </w:t>
            </w:r>
            <w:r w:rsidRPr="00446AF6">
              <w:rPr>
                <w:color w:val="000000"/>
                <w:sz w:val="20"/>
                <w:szCs w:val="20"/>
              </w:rPr>
              <w:t>(</w:t>
            </w:r>
            <w:r w:rsidR="00F53231" w:rsidRPr="00446AF6">
              <w:rPr>
                <w:noProof/>
                <w:position w:val="-14"/>
                <w:sz w:val="20"/>
                <w:szCs w:val="20"/>
              </w:rPr>
              <w:object w:dxaOrig="300" w:dyaOrig="380" w14:anchorId="72B0A272">
                <v:shape id="_x0000_i1120" type="#_x0000_t75" alt="" style="width:17.15pt;height:17.15pt;mso-width-percent:0;mso-height-percent:0;mso-width-percent:0;mso-height-percent:0" o:ole="">
                  <v:imagedata r:id="rId194" o:title=""/>
                </v:shape>
                <o:OLEObject Type="Embed" ProgID="Equation.DSMT4" ShapeID="_x0000_i1120" DrawAspect="Content" ObjectID="_1778681353" r:id="rId195"/>
              </w:object>
            </w:r>
            <w:r w:rsidRPr="00446AF6">
              <w:rPr>
                <w:noProof/>
                <w:sz w:val="20"/>
                <w:szCs w:val="20"/>
              </w:rPr>
              <w:t>vector)</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tcPr>
          <w:p w14:paraId="20176C30" w14:textId="77777777" w:rsidR="00774DAA" w:rsidRPr="00446AF6" w:rsidRDefault="00774DAA" w:rsidP="002966B2">
            <w:pPr>
              <w:jc w:val="right"/>
              <w:rPr>
                <w:color w:val="000000"/>
                <w:sz w:val="20"/>
                <w:szCs w:val="20"/>
              </w:rPr>
            </w:pPr>
          </w:p>
        </w:tc>
        <w:tc>
          <w:tcPr>
            <w:tcW w:w="1170" w:type="dxa"/>
            <w:tcBorders>
              <w:top w:val="nil"/>
              <w:left w:val="nil"/>
              <w:bottom w:val="nil"/>
              <w:right w:val="double" w:sz="4" w:space="0" w:color="auto"/>
            </w:tcBorders>
            <w:shd w:val="clear" w:color="000000" w:fill="FFFFFF"/>
            <w:noWrap/>
            <w:tcMar>
              <w:left w:w="58" w:type="dxa"/>
              <w:right w:w="58" w:type="dxa"/>
            </w:tcMar>
            <w:vAlign w:val="center"/>
          </w:tcPr>
          <w:p w14:paraId="3D9E2303" w14:textId="77777777" w:rsidR="00774DAA" w:rsidRPr="00446AF6" w:rsidRDefault="00774DAA" w:rsidP="002966B2">
            <w:pPr>
              <w:jc w:val="right"/>
              <w:rPr>
                <w:color w:val="000000"/>
                <w:sz w:val="20"/>
                <w:szCs w:val="20"/>
              </w:rPr>
            </w:pPr>
          </w:p>
        </w:tc>
      </w:tr>
      <w:tr w:rsidR="00774DAA" w:rsidRPr="00446AF6" w14:paraId="2B6E00E9"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tcPr>
          <w:p w14:paraId="2592BB8A" w14:textId="77777777" w:rsidR="00774DAA" w:rsidRPr="00446AF6" w:rsidRDefault="00774DAA" w:rsidP="002966B2">
            <w:pPr>
              <w:rPr>
                <w:color w:val="000000"/>
                <w:sz w:val="20"/>
                <w:szCs w:val="20"/>
              </w:rPr>
            </w:pPr>
            <w:r w:rsidRPr="00446AF6">
              <w:rPr>
                <w:b/>
                <w:bCs/>
                <w:color w:val="000000"/>
                <w:sz w:val="20"/>
                <w:szCs w:val="20"/>
              </w:rPr>
              <w:t>Household Size (Two or More Individuals)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tcPr>
          <w:p w14:paraId="093175ED"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tcPr>
          <w:p w14:paraId="4985C1F0"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428C7466"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tcPr>
          <w:p w14:paraId="3625B3A0" w14:textId="77777777" w:rsidR="00774DAA" w:rsidRPr="00446AF6" w:rsidRDefault="00774DAA" w:rsidP="002966B2">
            <w:pPr>
              <w:rPr>
                <w:b/>
                <w:bCs/>
                <w:color w:val="000000"/>
                <w:sz w:val="20"/>
                <w:szCs w:val="20"/>
                <w:u w:val="single"/>
              </w:rPr>
            </w:pPr>
            <w:r w:rsidRPr="00446AF6">
              <w:rPr>
                <w:color w:val="000000"/>
                <w:sz w:val="20"/>
                <w:szCs w:val="20"/>
              </w:rPr>
              <w:t>One Individual * EVERDAY TELEWORK</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tcPr>
          <w:p w14:paraId="5F68D7D1" w14:textId="3651DF58" w:rsidR="00774DAA" w:rsidRPr="00446AF6" w:rsidRDefault="00774DAA" w:rsidP="002966B2">
            <w:pPr>
              <w:jc w:val="right"/>
              <w:rPr>
                <w:color w:val="000000"/>
                <w:sz w:val="20"/>
                <w:szCs w:val="20"/>
              </w:rPr>
            </w:pPr>
            <w:r w:rsidRPr="00446AF6">
              <w:rPr>
                <w:color w:val="000000"/>
                <w:sz w:val="20"/>
                <w:szCs w:val="20"/>
              </w:rPr>
              <w:t xml:space="preserve">        -0.735</w:t>
            </w:r>
          </w:p>
        </w:tc>
        <w:tc>
          <w:tcPr>
            <w:tcW w:w="1170" w:type="dxa"/>
            <w:tcBorders>
              <w:top w:val="nil"/>
              <w:left w:val="nil"/>
              <w:bottom w:val="nil"/>
              <w:right w:val="double" w:sz="4" w:space="0" w:color="auto"/>
            </w:tcBorders>
            <w:shd w:val="clear" w:color="000000" w:fill="FFFFFF"/>
            <w:noWrap/>
            <w:tcMar>
              <w:left w:w="58" w:type="dxa"/>
              <w:right w:w="58" w:type="dxa"/>
            </w:tcMar>
            <w:vAlign w:val="center"/>
          </w:tcPr>
          <w:p w14:paraId="542C4CD5" w14:textId="64093C9B" w:rsidR="00774DAA" w:rsidRPr="00446AF6" w:rsidRDefault="00774DAA" w:rsidP="002966B2">
            <w:pPr>
              <w:jc w:val="right"/>
              <w:rPr>
                <w:color w:val="000000"/>
                <w:sz w:val="20"/>
                <w:szCs w:val="20"/>
              </w:rPr>
            </w:pPr>
            <w:r w:rsidRPr="00446AF6">
              <w:rPr>
                <w:color w:val="000000"/>
                <w:sz w:val="20"/>
                <w:szCs w:val="20"/>
              </w:rPr>
              <w:t xml:space="preserve">    -2.03</w:t>
            </w:r>
          </w:p>
        </w:tc>
      </w:tr>
      <w:tr w:rsidR="00774DAA" w:rsidRPr="00446AF6" w14:paraId="13E493E2"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tcPr>
          <w:p w14:paraId="215A51E9" w14:textId="77777777" w:rsidR="00774DAA" w:rsidRPr="00446AF6" w:rsidRDefault="00774DAA" w:rsidP="002966B2">
            <w:pPr>
              <w:rPr>
                <w:b/>
                <w:bCs/>
                <w:color w:val="000000"/>
                <w:sz w:val="20"/>
                <w:szCs w:val="20"/>
                <w:u w:val="single"/>
              </w:rPr>
            </w:pPr>
            <w:r w:rsidRPr="00446AF6">
              <w:rPr>
                <w:b/>
                <w:bCs/>
                <w:color w:val="000000"/>
                <w:sz w:val="20"/>
                <w:szCs w:val="20"/>
              </w:rPr>
              <w:t>Income (between $50,000 and $149,999)</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tcPr>
          <w:p w14:paraId="21051DDB" w14:textId="77777777" w:rsidR="00774DAA" w:rsidRPr="00446AF6" w:rsidRDefault="00774DAA" w:rsidP="002966B2">
            <w:pPr>
              <w:jc w:val="right"/>
              <w:rPr>
                <w:color w:val="000000"/>
                <w:sz w:val="20"/>
                <w:szCs w:val="20"/>
              </w:rPr>
            </w:pPr>
          </w:p>
        </w:tc>
        <w:tc>
          <w:tcPr>
            <w:tcW w:w="1170" w:type="dxa"/>
            <w:tcBorders>
              <w:top w:val="nil"/>
              <w:left w:val="nil"/>
              <w:bottom w:val="nil"/>
              <w:right w:val="double" w:sz="4" w:space="0" w:color="auto"/>
            </w:tcBorders>
            <w:shd w:val="clear" w:color="000000" w:fill="FFFFFF"/>
            <w:noWrap/>
            <w:tcMar>
              <w:left w:w="58" w:type="dxa"/>
              <w:right w:w="58" w:type="dxa"/>
            </w:tcMar>
            <w:vAlign w:val="center"/>
          </w:tcPr>
          <w:p w14:paraId="5C57159A" w14:textId="77777777" w:rsidR="00774DAA" w:rsidRPr="00446AF6" w:rsidRDefault="00774DAA" w:rsidP="002966B2">
            <w:pPr>
              <w:jc w:val="right"/>
              <w:rPr>
                <w:color w:val="000000"/>
                <w:sz w:val="20"/>
                <w:szCs w:val="20"/>
              </w:rPr>
            </w:pPr>
          </w:p>
        </w:tc>
      </w:tr>
      <w:tr w:rsidR="00774DAA" w:rsidRPr="00446AF6" w14:paraId="2BB8F4E4"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tcPr>
          <w:p w14:paraId="4309FDE6" w14:textId="77777777" w:rsidR="00774DAA" w:rsidRPr="00446AF6" w:rsidRDefault="00774DAA" w:rsidP="002966B2">
            <w:pPr>
              <w:rPr>
                <w:b/>
                <w:bCs/>
                <w:color w:val="000000"/>
                <w:sz w:val="20"/>
                <w:szCs w:val="20"/>
                <w:u w:val="single"/>
              </w:rPr>
            </w:pPr>
            <w:r w:rsidRPr="00446AF6">
              <w:rPr>
                <w:color w:val="000000"/>
                <w:sz w:val="20"/>
                <w:szCs w:val="20"/>
              </w:rPr>
              <w:t>&lt; $50,000 * NEVER TELEWORK</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tcPr>
          <w:p w14:paraId="715E2E41" w14:textId="59DB4F99" w:rsidR="00774DAA" w:rsidRPr="00446AF6" w:rsidRDefault="00774DAA" w:rsidP="002966B2">
            <w:pPr>
              <w:jc w:val="right"/>
              <w:rPr>
                <w:color w:val="000000"/>
                <w:sz w:val="20"/>
                <w:szCs w:val="20"/>
              </w:rPr>
            </w:pPr>
            <w:r w:rsidRPr="00446AF6">
              <w:rPr>
                <w:color w:val="000000"/>
                <w:sz w:val="20"/>
                <w:szCs w:val="20"/>
              </w:rPr>
              <w:t>0.436</w:t>
            </w:r>
          </w:p>
        </w:tc>
        <w:tc>
          <w:tcPr>
            <w:tcW w:w="1170" w:type="dxa"/>
            <w:tcBorders>
              <w:top w:val="nil"/>
              <w:left w:val="nil"/>
              <w:bottom w:val="nil"/>
              <w:right w:val="double" w:sz="4" w:space="0" w:color="auto"/>
            </w:tcBorders>
            <w:shd w:val="clear" w:color="000000" w:fill="FFFFFF"/>
            <w:noWrap/>
            <w:tcMar>
              <w:left w:w="58" w:type="dxa"/>
              <w:right w:w="58" w:type="dxa"/>
            </w:tcMar>
            <w:vAlign w:val="center"/>
          </w:tcPr>
          <w:p w14:paraId="45215B50" w14:textId="0D8CFA69" w:rsidR="00774DAA" w:rsidRPr="00446AF6" w:rsidRDefault="00774DAA" w:rsidP="002966B2">
            <w:pPr>
              <w:jc w:val="right"/>
              <w:rPr>
                <w:color w:val="000000"/>
                <w:sz w:val="20"/>
                <w:szCs w:val="20"/>
              </w:rPr>
            </w:pPr>
            <w:r w:rsidRPr="00446AF6">
              <w:rPr>
                <w:color w:val="000000"/>
                <w:sz w:val="20"/>
                <w:szCs w:val="20"/>
              </w:rPr>
              <w:t xml:space="preserve">      2.26</w:t>
            </w:r>
          </w:p>
        </w:tc>
      </w:tr>
      <w:tr w:rsidR="00774DAA" w:rsidRPr="00446AF6" w14:paraId="3CD312F5"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tcPr>
          <w:p w14:paraId="719786B9" w14:textId="77777777" w:rsidR="00774DAA" w:rsidRPr="00446AF6" w:rsidRDefault="00774DAA" w:rsidP="002966B2">
            <w:pPr>
              <w:rPr>
                <w:b/>
                <w:bCs/>
                <w:color w:val="000000"/>
                <w:sz w:val="20"/>
                <w:szCs w:val="20"/>
                <w:u w:val="single"/>
              </w:rPr>
            </w:pPr>
            <w:r w:rsidRPr="00446AF6">
              <w:rPr>
                <w:b/>
                <w:bCs/>
                <w:color w:val="000000"/>
                <w:sz w:val="20"/>
                <w:szCs w:val="20"/>
              </w:rPr>
              <w:t>Employer Size (≥ 100 workers)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tcPr>
          <w:p w14:paraId="5D185460" w14:textId="77777777" w:rsidR="00774DAA" w:rsidRPr="00446AF6" w:rsidRDefault="00774DAA" w:rsidP="002966B2">
            <w:pPr>
              <w:jc w:val="right"/>
              <w:rPr>
                <w:color w:val="000000"/>
                <w:sz w:val="20"/>
                <w:szCs w:val="20"/>
              </w:rPr>
            </w:pPr>
          </w:p>
        </w:tc>
        <w:tc>
          <w:tcPr>
            <w:tcW w:w="1170" w:type="dxa"/>
            <w:tcBorders>
              <w:top w:val="nil"/>
              <w:left w:val="nil"/>
              <w:bottom w:val="nil"/>
              <w:right w:val="double" w:sz="4" w:space="0" w:color="auto"/>
            </w:tcBorders>
            <w:shd w:val="clear" w:color="000000" w:fill="FFFFFF"/>
            <w:noWrap/>
            <w:tcMar>
              <w:left w:w="58" w:type="dxa"/>
              <w:right w:w="58" w:type="dxa"/>
            </w:tcMar>
            <w:vAlign w:val="center"/>
          </w:tcPr>
          <w:p w14:paraId="0969D9BE" w14:textId="77777777" w:rsidR="00774DAA" w:rsidRPr="00446AF6" w:rsidRDefault="00774DAA" w:rsidP="002966B2">
            <w:pPr>
              <w:jc w:val="right"/>
              <w:rPr>
                <w:color w:val="000000"/>
                <w:sz w:val="20"/>
                <w:szCs w:val="20"/>
              </w:rPr>
            </w:pPr>
          </w:p>
        </w:tc>
      </w:tr>
      <w:tr w:rsidR="00774DAA" w:rsidRPr="00446AF6" w14:paraId="26970D2D"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tcPr>
          <w:p w14:paraId="088B1F0B" w14:textId="77777777" w:rsidR="00774DAA" w:rsidRPr="00446AF6" w:rsidRDefault="00774DAA" w:rsidP="002966B2">
            <w:pPr>
              <w:rPr>
                <w:b/>
                <w:bCs/>
                <w:color w:val="000000"/>
                <w:sz w:val="20"/>
                <w:szCs w:val="20"/>
                <w:u w:val="single"/>
              </w:rPr>
            </w:pPr>
            <w:r w:rsidRPr="00446AF6">
              <w:rPr>
                <w:color w:val="000000"/>
                <w:sz w:val="20"/>
                <w:szCs w:val="20"/>
              </w:rPr>
              <w:t>1 to 9 Workers * EVERDAY TELEWORK</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tcPr>
          <w:p w14:paraId="5C329AE6" w14:textId="701263FB" w:rsidR="00774DAA" w:rsidRPr="00446AF6" w:rsidRDefault="00774DAA" w:rsidP="002966B2">
            <w:pPr>
              <w:jc w:val="right"/>
              <w:rPr>
                <w:color w:val="000000"/>
                <w:sz w:val="20"/>
                <w:szCs w:val="20"/>
              </w:rPr>
            </w:pPr>
            <w:r w:rsidRPr="00446AF6">
              <w:rPr>
                <w:color w:val="000000"/>
                <w:sz w:val="20"/>
                <w:szCs w:val="20"/>
              </w:rPr>
              <w:t>0.359</w:t>
            </w:r>
          </w:p>
        </w:tc>
        <w:tc>
          <w:tcPr>
            <w:tcW w:w="1170" w:type="dxa"/>
            <w:tcBorders>
              <w:top w:val="nil"/>
              <w:left w:val="nil"/>
              <w:bottom w:val="nil"/>
              <w:right w:val="double" w:sz="4" w:space="0" w:color="auto"/>
            </w:tcBorders>
            <w:shd w:val="clear" w:color="000000" w:fill="FFFFFF"/>
            <w:noWrap/>
            <w:tcMar>
              <w:left w:w="58" w:type="dxa"/>
              <w:right w:w="58" w:type="dxa"/>
            </w:tcMar>
            <w:vAlign w:val="center"/>
          </w:tcPr>
          <w:p w14:paraId="1C6D4259" w14:textId="65CD1AFD" w:rsidR="00774DAA" w:rsidRPr="00446AF6" w:rsidRDefault="00774DAA" w:rsidP="002966B2">
            <w:pPr>
              <w:jc w:val="right"/>
              <w:rPr>
                <w:color w:val="000000"/>
                <w:sz w:val="20"/>
                <w:szCs w:val="20"/>
              </w:rPr>
            </w:pPr>
            <w:r w:rsidRPr="00446AF6">
              <w:rPr>
                <w:color w:val="000000"/>
                <w:sz w:val="20"/>
                <w:szCs w:val="20"/>
              </w:rPr>
              <w:t xml:space="preserve">      1.42</w:t>
            </w:r>
          </w:p>
        </w:tc>
      </w:tr>
      <w:tr w:rsidR="00774DAA" w:rsidRPr="00446AF6" w14:paraId="6A0FDCD1"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0BE13DB5" w14:textId="158921EB" w:rsidR="00774DAA" w:rsidRPr="00446AF6" w:rsidRDefault="002054D7" w:rsidP="002966B2">
            <w:pPr>
              <w:rPr>
                <w:b/>
                <w:bCs/>
                <w:color w:val="000000"/>
                <w:sz w:val="20"/>
                <w:szCs w:val="20"/>
                <w:u w:val="single"/>
              </w:rPr>
            </w:pPr>
            <w:r w:rsidRPr="00446AF6">
              <w:rPr>
                <w:b/>
                <w:bCs/>
                <w:color w:val="000000"/>
                <w:sz w:val="20"/>
                <w:szCs w:val="20"/>
                <w:u w:val="single"/>
              </w:rPr>
              <w:t>Constant “</w:t>
            </w:r>
            <w:r w:rsidR="00774DAA" w:rsidRPr="00446AF6">
              <w:rPr>
                <w:b/>
                <w:bCs/>
                <w:color w:val="000000"/>
                <w:sz w:val="20"/>
                <w:szCs w:val="20"/>
                <w:u w:val="single"/>
              </w:rPr>
              <w:t>Cross</w:t>
            </w:r>
            <w:r w:rsidRPr="00446AF6">
              <w:rPr>
                <w:b/>
                <w:bCs/>
                <w:color w:val="000000"/>
                <w:sz w:val="20"/>
                <w:szCs w:val="20"/>
                <w:u w:val="single"/>
              </w:rPr>
              <w:t>-Threshold”</w:t>
            </w:r>
            <w:r w:rsidR="00774DAA" w:rsidRPr="00446AF6">
              <w:rPr>
                <w:b/>
                <w:bCs/>
                <w:color w:val="000000"/>
                <w:sz w:val="20"/>
                <w:szCs w:val="20"/>
                <w:u w:val="single"/>
              </w:rPr>
              <w:t xml:space="preserve"> ETF-ITF Threshold </w:t>
            </w:r>
            <w:r w:rsidRPr="00446AF6">
              <w:rPr>
                <w:b/>
                <w:bCs/>
                <w:color w:val="000000"/>
                <w:sz w:val="20"/>
                <w:szCs w:val="20"/>
                <w:u w:val="single"/>
              </w:rPr>
              <w:t>Shifts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5B0911BC"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05FA2FFE"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6793C613" w14:textId="77777777" w:rsidTr="00D03849">
        <w:trPr>
          <w:trHeight w:val="230"/>
        </w:trPr>
        <w:tc>
          <w:tcPr>
            <w:tcW w:w="7005" w:type="dxa"/>
            <w:tcBorders>
              <w:top w:val="nil"/>
              <w:left w:val="double" w:sz="4" w:space="0" w:color="auto"/>
              <w:bottom w:val="nil"/>
              <w:right w:val="double" w:sz="4" w:space="0" w:color="auto"/>
            </w:tcBorders>
            <w:shd w:val="clear" w:color="000000" w:fill="FFFFFF"/>
            <w:tcMar>
              <w:left w:w="58" w:type="dxa"/>
              <w:right w:w="58" w:type="dxa"/>
            </w:tcMar>
            <w:vAlign w:val="center"/>
            <w:hideMark/>
          </w:tcPr>
          <w:p w14:paraId="7D972AF1" w14:textId="141599F6" w:rsidR="00774DAA" w:rsidRPr="00446AF6" w:rsidRDefault="00774DAA" w:rsidP="002966B2">
            <w:pPr>
              <w:ind w:firstLineChars="100" w:firstLine="200"/>
              <w:rPr>
                <w:color w:val="000000"/>
                <w:sz w:val="20"/>
                <w:szCs w:val="20"/>
              </w:rPr>
            </w:pPr>
            <w:r w:rsidRPr="00446AF6">
              <w:rPr>
                <w:color w:val="000000"/>
                <w:sz w:val="20"/>
                <w:szCs w:val="20"/>
              </w:rPr>
              <w:t>“Never” ETF to “2-3 times a week” ITF</w:t>
            </w:r>
            <w:r w:rsidR="002F3997" w:rsidRPr="00446AF6">
              <w:rPr>
                <w:color w:val="000000"/>
                <w:sz w:val="20"/>
                <w:szCs w:val="20"/>
              </w:rPr>
              <w:t xml:space="preserve"> (</w:t>
            </w:r>
            <w:r w:rsidR="002054D7" w:rsidRPr="00446AF6">
              <w:rPr>
                <w:noProof/>
                <w:position w:val="-12"/>
                <w:sz w:val="20"/>
                <w:szCs w:val="20"/>
              </w:rPr>
              <w:object w:dxaOrig="360" w:dyaOrig="380" w14:anchorId="34E62BB4">
                <v:shape id="_x0000_i1121" type="#_x0000_t75" alt="" style="width:18pt;height:18.85pt" o:ole="" o:preferrelative="f">
                  <v:imagedata r:id="rId196" o:title=""/>
                  <o:lock v:ext="edit" aspectratio="f"/>
                </v:shape>
                <o:OLEObject Type="Embed" ProgID="Equation.DSMT4" ShapeID="_x0000_i1121" DrawAspect="Content" ObjectID="_1778681354" r:id="rId197"/>
              </w:object>
            </w:r>
            <w:r w:rsidR="002F3997" w:rsidRPr="00446AF6">
              <w:rPr>
                <w:noProof/>
                <w:sz w:val="20"/>
                <w:szCs w:val="20"/>
              </w:rPr>
              <w:t>)</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2B576AC5" w14:textId="77777777" w:rsidR="00774DAA" w:rsidRPr="00446AF6" w:rsidRDefault="00774DAA" w:rsidP="002966B2">
            <w:pPr>
              <w:jc w:val="right"/>
              <w:rPr>
                <w:color w:val="000000"/>
                <w:sz w:val="20"/>
                <w:szCs w:val="20"/>
              </w:rPr>
            </w:pPr>
            <w:r w:rsidRPr="00446AF6">
              <w:rPr>
                <w:color w:val="000000"/>
                <w:sz w:val="20"/>
                <w:szCs w:val="20"/>
              </w:rPr>
              <w:t>0.229</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53A7CDEC" w14:textId="77777777" w:rsidR="00774DAA" w:rsidRPr="00446AF6" w:rsidRDefault="00774DAA" w:rsidP="002966B2">
            <w:pPr>
              <w:jc w:val="right"/>
              <w:rPr>
                <w:color w:val="000000"/>
                <w:sz w:val="20"/>
                <w:szCs w:val="20"/>
              </w:rPr>
            </w:pPr>
            <w:r w:rsidRPr="00446AF6">
              <w:rPr>
                <w:color w:val="000000"/>
                <w:sz w:val="20"/>
                <w:szCs w:val="20"/>
              </w:rPr>
              <w:t>3.66</w:t>
            </w:r>
          </w:p>
        </w:tc>
      </w:tr>
      <w:tr w:rsidR="00774DAA" w:rsidRPr="00446AF6" w14:paraId="2E240EB0" w14:textId="77777777" w:rsidTr="00D03849">
        <w:trPr>
          <w:trHeight w:val="230"/>
        </w:trPr>
        <w:tc>
          <w:tcPr>
            <w:tcW w:w="7005" w:type="dxa"/>
            <w:tcBorders>
              <w:top w:val="nil"/>
              <w:left w:val="double" w:sz="4" w:space="0" w:color="auto"/>
              <w:bottom w:val="double" w:sz="4" w:space="0" w:color="auto"/>
              <w:right w:val="double" w:sz="4" w:space="0" w:color="auto"/>
            </w:tcBorders>
            <w:shd w:val="clear" w:color="000000" w:fill="FFFFFF"/>
            <w:tcMar>
              <w:left w:w="58" w:type="dxa"/>
              <w:right w:w="58" w:type="dxa"/>
            </w:tcMar>
            <w:vAlign w:val="center"/>
            <w:hideMark/>
          </w:tcPr>
          <w:p w14:paraId="2B22C3F6" w14:textId="6F5F11FF" w:rsidR="00774DAA" w:rsidRPr="00446AF6" w:rsidRDefault="00774DAA" w:rsidP="002966B2">
            <w:pPr>
              <w:ind w:firstLineChars="100" w:firstLine="200"/>
              <w:rPr>
                <w:color w:val="000000"/>
                <w:sz w:val="20"/>
                <w:szCs w:val="20"/>
              </w:rPr>
            </w:pPr>
            <w:r w:rsidRPr="00446AF6">
              <w:rPr>
                <w:color w:val="000000"/>
                <w:sz w:val="20"/>
                <w:szCs w:val="20"/>
              </w:rPr>
              <w:t>“Never” ETF to “Everyday” ITF</w:t>
            </w:r>
            <w:r w:rsidR="002F3997" w:rsidRPr="00446AF6">
              <w:rPr>
                <w:color w:val="000000"/>
                <w:sz w:val="20"/>
                <w:szCs w:val="20"/>
              </w:rPr>
              <w:t xml:space="preserve"> (</w:t>
            </w:r>
            <w:r w:rsidR="002054D7" w:rsidRPr="00446AF6">
              <w:rPr>
                <w:position w:val="-12"/>
                <w:sz w:val="20"/>
                <w:szCs w:val="20"/>
              </w:rPr>
              <w:object w:dxaOrig="360" w:dyaOrig="380" w14:anchorId="4A7C5B94">
                <v:shape id="_x0000_i1122" type="#_x0000_t75" style="width:18.85pt;height:19.3pt" o:ole="">
                  <v:imagedata r:id="rId198" o:title=""/>
                </v:shape>
                <o:OLEObject Type="Embed" ProgID="Equation.DSMT4" ShapeID="_x0000_i1122" DrawAspect="Content" ObjectID="_1778681355" r:id="rId199"/>
              </w:object>
            </w:r>
            <w:r w:rsidR="002F3997" w:rsidRPr="00446AF6">
              <w:rPr>
                <w:sz w:val="20"/>
                <w:szCs w:val="20"/>
              </w:rPr>
              <w:t>)</w:t>
            </w:r>
          </w:p>
        </w:tc>
        <w:tc>
          <w:tcPr>
            <w:tcW w:w="1170" w:type="dxa"/>
            <w:tcBorders>
              <w:top w:val="nil"/>
              <w:left w:val="double" w:sz="4" w:space="0" w:color="auto"/>
              <w:bottom w:val="double" w:sz="4" w:space="0" w:color="auto"/>
              <w:right w:val="single" w:sz="4" w:space="0" w:color="auto"/>
            </w:tcBorders>
            <w:shd w:val="clear" w:color="auto" w:fill="auto"/>
            <w:noWrap/>
            <w:tcMar>
              <w:left w:w="58" w:type="dxa"/>
              <w:right w:w="58" w:type="dxa"/>
            </w:tcMar>
            <w:vAlign w:val="center"/>
            <w:hideMark/>
          </w:tcPr>
          <w:p w14:paraId="6FC46DE9" w14:textId="77777777" w:rsidR="00774DAA" w:rsidRPr="00446AF6" w:rsidRDefault="00774DAA" w:rsidP="002966B2">
            <w:pPr>
              <w:jc w:val="right"/>
              <w:rPr>
                <w:color w:val="000000"/>
                <w:sz w:val="20"/>
                <w:szCs w:val="20"/>
              </w:rPr>
            </w:pPr>
            <w:r w:rsidRPr="00446AF6">
              <w:rPr>
                <w:color w:val="000000"/>
                <w:sz w:val="20"/>
                <w:szCs w:val="20"/>
              </w:rPr>
              <w:t>1.055</w:t>
            </w:r>
          </w:p>
        </w:tc>
        <w:tc>
          <w:tcPr>
            <w:tcW w:w="1170" w:type="dxa"/>
            <w:tcBorders>
              <w:top w:val="nil"/>
              <w:left w:val="nil"/>
              <w:bottom w:val="double" w:sz="4" w:space="0" w:color="auto"/>
              <w:right w:val="double" w:sz="4" w:space="0" w:color="auto"/>
            </w:tcBorders>
            <w:shd w:val="clear" w:color="auto" w:fill="auto"/>
            <w:noWrap/>
            <w:tcMar>
              <w:left w:w="58" w:type="dxa"/>
              <w:right w:w="58" w:type="dxa"/>
            </w:tcMar>
            <w:vAlign w:val="center"/>
            <w:hideMark/>
          </w:tcPr>
          <w:p w14:paraId="5DB970AA" w14:textId="77777777" w:rsidR="00774DAA" w:rsidRPr="00446AF6" w:rsidRDefault="00774DAA" w:rsidP="002966B2">
            <w:pPr>
              <w:jc w:val="right"/>
              <w:rPr>
                <w:color w:val="000000"/>
                <w:sz w:val="20"/>
                <w:szCs w:val="20"/>
              </w:rPr>
            </w:pPr>
            <w:r w:rsidRPr="00446AF6">
              <w:rPr>
                <w:color w:val="000000"/>
                <w:sz w:val="20"/>
                <w:szCs w:val="20"/>
              </w:rPr>
              <w:t>7.01</w:t>
            </w:r>
          </w:p>
        </w:tc>
      </w:tr>
      <w:tr w:rsidR="00774DAA" w:rsidRPr="00446AF6" w14:paraId="35CA5038" w14:textId="77777777" w:rsidTr="00D03849">
        <w:trPr>
          <w:trHeight w:val="230"/>
        </w:trPr>
        <w:tc>
          <w:tcPr>
            <w:tcW w:w="7005" w:type="dxa"/>
            <w:tcBorders>
              <w:top w:val="double" w:sz="4" w:space="0" w:color="auto"/>
              <w:left w:val="double" w:sz="4" w:space="0" w:color="auto"/>
              <w:bottom w:val="nil"/>
              <w:right w:val="double" w:sz="4" w:space="0" w:color="auto"/>
            </w:tcBorders>
            <w:shd w:val="clear" w:color="000000" w:fill="FFFFFF"/>
            <w:noWrap/>
            <w:tcMar>
              <w:left w:w="58" w:type="dxa"/>
              <w:right w:w="58" w:type="dxa"/>
            </w:tcMar>
            <w:vAlign w:val="center"/>
            <w:hideMark/>
          </w:tcPr>
          <w:p w14:paraId="3854431D" w14:textId="2B20D688" w:rsidR="00774DAA" w:rsidRPr="00446AF6" w:rsidRDefault="00774DAA" w:rsidP="002966B2">
            <w:pPr>
              <w:rPr>
                <w:b/>
                <w:bCs/>
                <w:i/>
                <w:iCs/>
                <w:color w:val="000000"/>
                <w:sz w:val="20"/>
                <w:szCs w:val="20"/>
              </w:rPr>
            </w:pPr>
            <w:r w:rsidRPr="00446AF6">
              <w:rPr>
                <w:b/>
                <w:bCs/>
                <w:i/>
                <w:iCs/>
                <w:color w:val="000000"/>
                <w:sz w:val="20"/>
                <w:szCs w:val="20"/>
              </w:rPr>
              <w:t xml:space="preserve">Correlations </w:t>
            </w:r>
            <w:r w:rsidRPr="00446AF6">
              <w:rPr>
                <w:color w:val="000000"/>
                <w:sz w:val="20"/>
                <w:szCs w:val="20"/>
              </w:rPr>
              <w:t>(</w:t>
            </w:r>
            <w:r w:rsidR="00BC09CC" w:rsidRPr="00446AF6">
              <w:rPr>
                <w:b/>
                <w:noProof/>
                <w:sz w:val="20"/>
                <w:szCs w:val="20"/>
              </w:rPr>
              <w:t>θ</w:t>
            </w:r>
            <w:r w:rsidR="00BC09CC" w:rsidRPr="00446AF6">
              <w:rPr>
                <w:sz w:val="20"/>
                <w:szCs w:val="20"/>
              </w:rPr>
              <w:t xml:space="preserve"> </w:t>
            </w:r>
            <w:r w:rsidRPr="00446AF6">
              <w:rPr>
                <w:sz w:val="20"/>
                <w:szCs w:val="20"/>
              </w:rPr>
              <w:t>vector)</w:t>
            </w:r>
          </w:p>
        </w:tc>
        <w:tc>
          <w:tcPr>
            <w:tcW w:w="1170" w:type="dxa"/>
            <w:tcBorders>
              <w:top w:val="double" w:sz="4" w:space="0" w:color="auto"/>
              <w:left w:val="double" w:sz="4" w:space="0" w:color="auto"/>
              <w:bottom w:val="nil"/>
              <w:right w:val="single" w:sz="4" w:space="0" w:color="auto"/>
            </w:tcBorders>
            <w:shd w:val="clear" w:color="000000" w:fill="FFFFFF"/>
            <w:noWrap/>
            <w:tcMar>
              <w:left w:w="58" w:type="dxa"/>
              <w:right w:w="58" w:type="dxa"/>
            </w:tcMar>
            <w:vAlign w:val="center"/>
            <w:hideMark/>
          </w:tcPr>
          <w:p w14:paraId="139F8CD3"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double" w:sz="4" w:space="0" w:color="auto"/>
              <w:left w:val="nil"/>
              <w:bottom w:val="nil"/>
              <w:right w:val="double" w:sz="4" w:space="0" w:color="auto"/>
            </w:tcBorders>
            <w:shd w:val="clear" w:color="000000" w:fill="FFFFFF"/>
            <w:noWrap/>
            <w:tcMar>
              <w:left w:w="58" w:type="dxa"/>
              <w:right w:w="58" w:type="dxa"/>
            </w:tcMar>
            <w:vAlign w:val="center"/>
            <w:hideMark/>
          </w:tcPr>
          <w:p w14:paraId="6AEA3398"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35EC49EE" w14:textId="77777777" w:rsidTr="00D03849">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2D7453E1" w14:textId="77777777" w:rsidR="00774DAA" w:rsidRPr="00446AF6" w:rsidRDefault="00774DAA" w:rsidP="002966B2">
            <w:pPr>
              <w:rPr>
                <w:b/>
                <w:bCs/>
                <w:color w:val="000000"/>
                <w:sz w:val="20"/>
                <w:szCs w:val="20"/>
              </w:rPr>
            </w:pPr>
            <w:r w:rsidRPr="00446AF6">
              <w:rPr>
                <w:b/>
                <w:bCs/>
                <w:color w:val="000000"/>
                <w:sz w:val="20"/>
                <w:szCs w:val="20"/>
              </w:rPr>
              <w:t>Age (18 to 64 years old)</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62C2A8EA"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60D71277"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5FC26E7E" w14:textId="77777777" w:rsidTr="00D03849">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44DCFC1D" w14:textId="77777777" w:rsidR="00774DAA" w:rsidRPr="00446AF6" w:rsidRDefault="00774DAA" w:rsidP="002966B2">
            <w:pPr>
              <w:rPr>
                <w:color w:val="000000"/>
                <w:sz w:val="20"/>
                <w:szCs w:val="20"/>
              </w:rPr>
            </w:pPr>
            <w:r w:rsidRPr="00446AF6">
              <w:rPr>
                <w:color w:val="000000"/>
                <w:sz w:val="20"/>
                <w:szCs w:val="20"/>
              </w:rPr>
              <w:t xml:space="preserve">  65 or Older</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6CC0B767" w14:textId="77777777" w:rsidR="00774DAA" w:rsidRPr="00446AF6" w:rsidRDefault="00774DAA" w:rsidP="002966B2">
            <w:pPr>
              <w:jc w:val="right"/>
              <w:rPr>
                <w:color w:val="000000"/>
                <w:sz w:val="20"/>
                <w:szCs w:val="20"/>
              </w:rPr>
            </w:pPr>
            <w:r w:rsidRPr="00446AF6">
              <w:rPr>
                <w:color w:val="000000"/>
                <w:sz w:val="20"/>
                <w:szCs w:val="20"/>
              </w:rPr>
              <w:t>-0.671</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3848E693" w14:textId="77777777" w:rsidR="00774DAA" w:rsidRPr="00446AF6" w:rsidRDefault="00774DAA" w:rsidP="002966B2">
            <w:pPr>
              <w:jc w:val="right"/>
              <w:rPr>
                <w:color w:val="000000"/>
                <w:sz w:val="20"/>
                <w:szCs w:val="20"/>
              </w:rPr>
            </w:pPr>
            <w:r w:rsidRPr="00446AF6">
              <w:rPr>
                <w:color w:val="000000"/>
                <w:sz w:val="20"/>
                <w:szCs w:val="20"/>
              </w:rPr>
              <w:t>-2.26</w:t>
            </w:r>
          </w:p>
        </w:tc>
      </w:tr>
      <w:tr w:rsidR="00774DAA" w:rsidRPr="00446AF6" w14:paraId="1D4AA8C7" w14:textId="77777777" w:rsidTr="00D03849">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4115B07D" w14:textId="77777777" w:rsidR="00774DAA" w:rsidRPr="00446AF6" w:rsidRDefault="00774DAA" w:rsidP="002966B2">
            <w:pPr>
              <w:rPr>
                <w:b/>
                <w:bCs/>
                <w:color w:val="000000"/>
                <w:sz w:val="20"/>
                <w:szCs w:val="20"/>
              </w:rPr>
            </w:pPr>
            <w:r w:rsidRPr="00446AF6">
              <w:rPr>
                <w:b/>
                <w:bCs/>
                <w:color w:val="000000"/>
                <w:sz w:val="20"/>
                <w:szCs w:val="20"/>
              </w:rPr>
              <w:t>Income (&lt;$100,000 or ≥ $150,000)</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782087A5"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1300B5C9"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7D5DBF2C" w14:textId="77777777" w:rsidTr="00D03849">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54399C14" w14:textId="77777777" w:rsidR="00774DAA" w:rsidRPr="00446AF6" w:rsidRDefault="00774DAA" w:rsidP="002966B2">
            <w:pPr>
              <w:rPr>
                <w:color w:val="000000"/>
                <w:sz w:val="20"/>
                <w:szCs w:val="20"/>
              </w:rPr>
            </w:pPr>
            <w:r w:rsidRPr="00446AF6">
              <w:rPr>
                <w:color w:val="000000"/>
                <w:sz w:val="20"/>
                <w:szCs w:val="20"/>
              </w:rPr>
              <w:t xml:space="preserve">  $100,000 to $149,999</w:t>
            </w:r>
          </w:p>
        </w:tc>
        <w:tc>
          <w:tcPr>
            <w:tcW w:w="1170" w:type="dxa"/>
            <w:tcBorders>
              <w:top w:val="nil"/>
              <w:left w:val="double" w:sz="4" w:space="0" w:color="auto"/>
              <w:bottom w:val="nil"/>
              <w:right w:val="single" w:sz="4" w:space="0" w:color="auto"/>
            </w:tcBorders>
            <w:shd w:val="clear" w:color="auto" w:fill="auto"/>
            <w:noWrap/>
            <w:tcMar>
              <w:left w:w="58" w:type="dxa"/>
              <w:right w:w="58" w:type="dxa"/>
            </w:tcMar>
            <w:vAlign w:val="center"/>
            <w:hideMark/>
          </w:tcPr>
          <w:p w14:paraId="4125978A" w14:textId="77777777" w:rsidR="00774DAA" w:rsidRPr="00446AF6" w:rsidRDefault="00774DAA" w:rsidP="002966B2">
            <w:pPr>
              <w:jc w:val="right"/>
              <w:rPr>
                <w:color w:val="000000"/>
                <w:sz w:val="20"/>
                <w:szCs w:val="20"/>
              </w:rPr>
            </w:pPr>
            <w:r w:rsidRPr="00446AF6">
              <w:rPr>
                <w:color w:val="000000"/>
                <w:sz w:val="20"/>
                <w:szCs w:val="20"/>
              </w:rPr>
              <w:t>0.345</w:t>
            </w:r>
          </w:p>
        </w:tc>
        <w:tc>
          <w:tcPr>
            <w:tcW w:w="1170" w:type="dxa"/>
            <w:tcBorders>
              <w:top w:val="nil"/>
              <w:left w:val="nil"/>
              <w:bottom w:val="nil"/>
              <w:right w:val="double" w:sz="4" w:space="0" w:color="auto"/>
            </w:tcBorders>
            <w:shd w:val="clear" w:color="auto" w:fill="auto"/>
            <w:noWrap/>
            <w:tcMar>
              <w:left w:w="58" w:type="dxa"/>
              <w:right w:w="58" w:type="dxa"/>
            </w:tcMar>
            <w:vAlign w:val="center"/>
            <w:hideMark/>
          </w:tcPr>
          <w:p w14:paraId="5A334EAA" w14:textId="77777777" w:rsidR="00774DAA" w:rsidRPr="00446AF6" w:rsidRDefault="00774DAA" w:rsidP="002966B2">
            <w:pPr>
              <w:jc w:val="right"/>
              <w:rPr>
                <w:color w:val="000000"/>
                <w:sz w:val="20"/>
                <w:szCs w:val="20"/>
              </w:rPr>
            </w:pPr>
            <w:r w:rsidRPr="00446AF6">
              <w:rPr>
                <w:color w:val="000000"/>
                <w:sz w:val="20"/>
                <w:szCs w:val="20"/>
              </w:rPr>
              <w:t>1.81</w:t>
            </w:r>
          </w:p>
        </w:tc>
      </w:tr>
      <w:tr w:rsidR="00774DAA" w:rsidRPr="00446AF6" w14:paraId="522771CF" w14:textId="77777777" w:rsidTr="00D03849">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107BFF03" w14:textId="77777777" w:rsidR="00774DAA" w:rsidRPr="00446AF6" w:rsidRDefault="00774DAA" w:rsidP="002966B2">
            <w:pPr>
              <w:rPr>
                <w:b/>
                <w:bCs/>
                <w:color w:val="000000"/>
                <w:sz w:val="20"/>
                <w:szCs w:val="20"/>
              </w:rPr>
            </w:pPr>
            <w:r w:rsidRPr="00446AF6">
              <w:rPr>
                <w:b/>
                <w:bCs/>
                <w:color w:val="000000"/>
                <w:sz w:val="20"/>
                <w:szCs w:val="20"/>
              </w:rPr>
              <w:t>Household Size (Two or more individuals)</w:t>
            </w:r>
          </w:p>
        </w:tc>
        <w:tc>
          <w:tcPr>
            <w:tcW w:w="1170" w:type="dxa"/>
            <w:tcBorders>
              <w:top w:val="nil"/>
              <w:left w:val="double" w:sz="4" w:space="0" w:color="auto"/>
              <w:bottom w:val="nil"/>
              <w:right w:val="single" w:sz="4" w:space="0" w:color="auto"/>
            </w:tcBorders>
            <w:shd w:val="clear" w:color="000000" w:fill="FFFFFF"/>
            <w:noWrap/>
            <w:tcMar>
              <w:left w:w="58" w:type="dxa"/>
              <w:right w:w="58" w:type="dxa"/>
            </w:tcMar>
            <w:vAlign w:val="center"/>
            <w:hideMark/>
          </w:tcPr>
          <w:p w14:paraId="7FF2CBA9" w14:textId="77777777" w:rsidR="00774DAA" w:rsidRPr="00446AF6" w:rsidRDefault="00774DAA" w:rsidP="002966B2">
            <w:pPr>
              <w:jc w:val="right"/>
              <w:rPr>
                <w:color w:val="000000"/>
                <w:sz w:val="20"/>
                <w:szCs w:val="20"/>
              </w:rPr>
            </w:pPr>
            <w:r w:rsidRPr="00446AF6">
              <w:rPr>
                <w:color w:val="000000"/>
                <w:sz w:val="20"/>
                <w:szCs w:val="20"/>
              </w:rPr>
              <w:t> </w:t>
            </w:r>
          </w:p>
        </w:tc>
        <w:tc>
          <w:tcPr>
            <w:tcW w:w="1170" w:type="dxa"/>
            <w:tcBorders>
              <w:top w:val="nil"/>
              <w:left w:val="nil"/>
              <w:bottom w:val="nil"/>
              <w:right w:val="double" w:sz="4" w:space="0" w:color="auto"/>
            </w:tcBorders>
            <w:shd w:val="clear" w:color="000000" w:fill="FFFFFF"/>
            <w:noWrap/>
            <w:tcMar>
              <w:left w:w="58" w:type="dxa"/>
              <w:right w:w="58" w:type="dxa"/>
            </w:tcMar>
            <w:vAlign w:val="center"/>
            <w:hideMark/>
          </w:tcPr>
          <w:p w14:paraId="207C0DBB" w14:textId="77777777" w:rsidR="00774DAA" w:rsidRPr="00446AF6" w:rsidRDefault="00774DAA" w:rsidP="002966B2">
            <w:pPr>
              <w:jc w:val="right"/>
              <w:rPr>
                <w:color w:val="000000"/>
                <w:sz w:val="20"/>
                <w:szCs w:val="20"/>
              </w:rPr>
            </w:pPr>
            <w:r w:rsidRPr="00446AF6">
              <w:rPr>
                <w:color w:val="000000"/>
                <w:sz w:val="20"/>
                <w:szCs w:val="20"/>
              </w:rPr>
              <w:t> </w:t>
            </w:r>
          </w:p>
        </w:tc>
      </w:tr>
      <w:tr w:rsidR="00774DAA" w:rsidRPr="00446AF6" w14:paraId="362A3A78" w14:textId="77777777" w:rsidTr="00D03849">
        <w:trPr>
          <w:trHeight w:val="230"/>
        </w:trPr>
        <w:tc>
          <w:tcPr>
            <w:tcW w:w="7005" w:type="dxa"/>
            <w:tcBorders>
              <w:top w:val="nil"/>
              <w:left w:val="double" w:sz="4" w:space="0" w:color="auto"/>
              <w:bottom w:val="nil"/>
              <w:right w:val="double" w:sz="4" w:space="0" w:color="auto"/>
            </w:tcBorders>
            <w:shd w:val="clear" w:color="000000" w:fill="FFFFFF"/>
            <w:noWrap/>
            <w:tcMar>
              <w:left w:w="58" w:type="dxa"/>
              <w:right w:w="58" w:type="dxa"/>
            </w:tcMar>
            <w:vAlign w:val="center"/>
            <w:hideMark/>
          </w:tcPr>
          <w:p w14:paraId="4E45F8DA" w14:textId="77777777" w:rsidR="00774DAA" w:rsidRPr="00446AF6" w:rsidRDefault="00774DAA" w:rsidP="002966B2">
            <w:pPr>
              <w:rPr>
                <w:color w:val="000000"/>
                <w:sz w:val="20"/>
                <w:szCs w:val="20"/>
              </w:rPr>
            </w:pPr>
            <w:r w:rsidRPr="00446AF6">
              <w:rPr>
                <w:color w:val="000000"/>
                <w:sz w:val="20"/>
                <w:szCs w:val="20"/>
              </w:rPr>
              <w:t xml:space="preserve">  One Individual</w:t>
            </w:r>
          </w:p>
        </w:tc>
        <w:tc>
          <w:tcPr>
            <w:tcW w:w="1170" w:type="dxa"/>
            <w:tcBorders>
              <w:top w:val="nil"/>
              <w:left w:val="double" w:sz="4" w:space="0" w:color="auto"/>
              <w:right w:val="single" w:sz="4" w:space="0" w:color="auto"/>
            </w:tcBorders>
            <w:shd w:val="clear" w:color="auto" w:fill="auto"/>
            <w:noWrap/>
            <w:tcMar>
              <w:left w:w="58" w:type="dxa"/>
              <w:right w:w="58" w:type="dxa"/>
            </w:tcMar>
            <w:vAlign w:val="center"/>
            <w:hideMark/>
          </w:tcPr>
          <w:p w14:paraId="6D689730" w14:textId="77777777" w:rsidR="00774DAA" w:rsidRPr="00446AF6" w:rsidRDefault="00774DAA" w:rsidP="002966B2">
            <w:pPr>
              <w:jc w:val="right"/>
              <w:rPr>
                <w:color w:val="000000"/>
                <w:sz w:val="20"/>
                <w:szCs w:val="20"/>
              </w:rPr>
            </w:pPr>
            <w:r w:rsidRPr="00446AF6">
              <w:rPr>
                <w:color w:val="000000"/>
                <w:sz w:val="20"/>
                <w:szCs w:val="20"/>
              </w:rPr>
              <w:t>-0.291</w:t>
            </w:r>
          </w:p>
        </w:tc>
        <w:tc>
          <w:tcPr>
            <w:tcW w:w="1170" w:type="dxa"/>
            <w:tcBorders>
              <w:top w:val="nil"/>
              <w:left w:val="nil"/>
              <w:right w:val="double" w:sz="4" w:space="0" w:color="auto"/>
            </w:tcBorders>
            <w:shd w:val="clear" w:color="auto" w:fill="auto"/>
            <w:noWrap/>
            <w:tcMar>
              <w:left w:w="58" w:type="dxa"/>
              <w:right w:w="58" w:type="dxa"/>
            </w:tcMar>
            <w:vAlign w:val="center"/>
            <w:hideMark/>
          </w:tcPr>
          <w:p w14:paraId="607CFE07" w14:textId="77777777" w:rsidR="00774DAA" w:rsidRPr="00446AF6" w:rsidRDefault="00774DAA" w:rsidP="002966B2">
            <w:pPr>
              <w:jc w:val="right"/>
              <w:rPr>
                <w:color w:val="000000"/>
                <w:sz w:val="20"/>
                <w:szCs w:val="20"/>
              </w:rPr>
            </w:pPr>
            <w:r w:rsidRPr="00446AF6">
              <w:rPr>
                <w:color w:val="000000"/>
                <w:sz w:val="20"/>
                <w:szCs w:val="20"/>
              </w:rPr>
              <w:t>-1.15</w:t>
            </w:r>
          </w:p>
        </w:tc>
      </w:tr>
      <w:tr w:rsidR="00774DAA" w:rsidRPr="00446AF6" w14:paraId="1BFC2215" w14:textId="77777777" w:rsidTr="00D03849">
        <w:trPr>
          <w:trHeight w:val="230"/>
        </w:trPr>
        <w:tc>
          <w:tcPr>
            <w:tcW w:w="7005" w:type="dxa"/>
            <w:tcBorders>
              <w:top w:val="nil"/>
              <w:left w:val="double" w:sz="4" w:space="0" w:color="auto"/>
              <w:bottom w:val="double" w:sz="4" w:space="0" w:color="auto"/>
              <w:right w:val="double" w:sz="4" w:space="0" w:color="auto"/>
            </w:tcBorders>
            <w:shd w:val="clear" w:color="000000" w:fill="FFFFFF"/>
            <w:noWrap/>
            <w:tcMar>
              <w:left w:w="58" w:type="dxa"/>
              <w:right w:w="58" w:type="dxa"/>
            </w:tcMar>
            <w:vAlign w:val="center"/>
            <w:hideMark/>
          </w:tcPr>
          <w:p w14:paraId="0D11E4F7" w14:textId="77777777" w:rsidR="00774DAA" w:rsidRPr="00446AF6" w:rsidRDefault="00774DAA" w:rsidP="002966B2">
            <w:pPr>
              <w:rPr>
                <w:b/>
                <w:bCs/>
                <w:color w:val="000000"/>
                <w:sz w:val="20"/>
                <w:szCs w:val="20"/>
              </w:rPr>
            </w:pPr>
            <w:r w:rsidRPr="00446AF6">
              <w:rPr>
                <w:b/>
                <w:bCs/>
                <w:color w:val="000000"/>
                <w:sz w:val="20"/>
                <w:szCs w:val="20"/>
              </w:rPr>
              <w:t>Constant</w:t>
            </w:r>
          </w:p>
        </w:tc>
        <w:tc>
          <w:tcPr>
            <w:tcW w:w="1170" w:type="dxa"/>
            <w:tcBorders>
              <w:top w:val="nil"/>
              <w:left w:val="double" w:sz="4" w:space="0" w:color="auto"/>
              <w:bottom w:val="double" w:sz="4" w:space="0" w:color="auto"/>
              <w:right w:val="single" w:sz="4" w:space="0" w:color="auto"/>
            </w:tcBorders>
            <w:shd w:val="clear" w:color="auto" w:fill="auto"/>
            <w:noWrap/>
            <w:tcMar>
              <w:left w:w="58" w:type="dxa"/>
              <w:right w:w="58" w:type="dxa"/>
            </w:tcMar>
            <w:vAlign w:val="center"/>
            <w:hideMark/>
          </w:tcPr>
          <w:p w14:paraId="02898345" w14:textId="77777777" w:rsidR="00774DAA" w:rsidRPr="00446AF6" w:rsidRDefault="00774DAA" w:rsidP="002966B2">
            <w:pPr>
              <w:jc w:val="right"/>
              <w:rPr>
                <w:color w:val="000000"/>
                <w:sz w:val="20"/>
                <w:szCs w:val="20"/>
              </w:rPr>
            </w:pPr>
            <w:r w:rsidRPr="00446AF6">
              <w:rPr>
                <w:color w:val="000000"/>
                <w:sz w:val="20"/>
                <w:szCs w:val="20"/>
              </w:rPr>
              <w:t>-0.499</w:t>
            </w:r>
          </w:p>
        </w:tc>
        <w:tc>
          <w:tcPr>
            <w:tcW w:w="1170" w:type="dxa"/>
            <w:tcBorders>
              <w:top w:val="nil"/>
              <w:left w:val="nil"/>
              <w:bottom w:val="double" w:sz="4" w:space="0" w:color="auto"/>
              <w:right w:val="double" w:sz="4" w:space="0" w:color="auto"/>
            </w:tcBorders>
            <w:shd w:val="clear" w:color="auto" w:fill="auto"/>
            <w:noWrap/>
            <w:tcMar>
              <w:left w:w="58" w:type="dxa"/>
              <w:right w:w="58" w:type="dxa"/>
            </w:tcMar>
            <w:vAlign w:val="center"/>
            <w:hideMark/>
          </w:tcPr>
          <w:p w14:paraId="707D8FA2" w14:textId="77777777" w:rsidR="00774DAA" w:rsidRPr="00446AF6" w:rsidRDefault="00774DAA" w:rsidP="002966B2">
            <w:pPr>
              <w:jc w:val="right"/>
              <w:rPr>
                <w:color w:val="000000"/>
                <w:sz w:val="20"/>
                <w:szCs w:val="20"/>
              </w:rPr>
            </w:pPr>
            <w:r w:rsidRPr="00446AF6">
              <w:rPr>
                <w:color w:val="000000"/>
                <w:sz w:val="20"/>
                <w:szCs w:val="20"/>
              </w:rPr>
              <w:t>-2.24</w:t>
            </w:r>
          </w:p>
        </w:tc>
      </w:tr>
    </w:tbl>
    <w:p w14:paraId="760D4A3A" w14:textId="77777777" w:rsidR="00D560F0" w:rsidRDefault="00D560F0" w:rsidP="002966B2">
      <w:pPr>
        <w:pStyle w:val="Heading2"/>
        <w:keepNext w:val="0"/>
        <w:keepLines w:val="0"/>
        <w:spacing w:before="0"/>
        <w:rPr>
          <w:rFonts w:ascii="Times New Roman" w:hAnsi="Times New Roman" w:cs="Times New Roman"/>
          <w:b/>
          <w:bCs/>
          <w:color w:val="000000" w:themeColor="text1"/>
          <w:sz w:val="24"/>
          <w:szCs w:val="24"/>
        </w:rPr>
      </w:pPr>
    </w:p>
    <w:p w14:paraId="33865166" w14:textId="40396CBC" w:rsidR="00CF0B50" w:rsidRPr="00F01655" w:rsidRDefault="008313F9" w:rsidP="006C4CCD">
      <w:pPr>
        <w:pStyle w:val="Heading2"/>
        <w:keepNext w:val="0"/>
        <w:keepLines w:val="0"/>
        <w:spacing w:before="0" w:after="40"/>
        <w:ind w:left="540" w:hanging="540"/>
        <w:rPr>
          <w:rFonts w:ascii="Times New Roman" w:hAnsi="Times New Roman" w:cs="Times New Roman"/>
          <w:b/>
          <w:bCs/>
          <w:color w:val="000000" w:themeColor="text1"/>
          <w:sz w:val="24"/>
          <w:szCs w:val="24"/>
        </w:rPr>
      </w:pPr>
      <w:r w:rsidRPr="00F01655">
        <w:rPr>
          <w:rFonts w:ascii="Times New Roman" w:hAnsi="Times New Roman" w:cs="Times New Roman"/>
          <w:b/>
          <w:bCs/>
          <w:color w:val="000000" w:themeColor="text1"/>
          <w:sz w:val="24"/>
          <w:szCs w:val="24"/>
        </w:rPr>
        <w:t>4.1</w:t>
      </w:r>
      <w:r w:rsidR="00CF0B50" w:rsidRPr="00F01655">
        <w:rPr>
          <w:rFonts w:ascii="Times New Roman" w:hAnsi="Times New Roman" w:cs="Times New Roman"/>
          <w:b/>
          <w:bCs/>
          <w:color w:val="000000" w:themeColor="text1"/>
          <w:sz w:val="24"/>
          <w:szCs w:val="24"/>
        </w:rPr>
        <w:tab/>
      </w:r>
      <w:r w:rsidR="00BD7CAC" w:rsidRPr="00F01655">
        <w:rPr>
          <w:rFonts w:ascii="Times New Roman" w:hAnsi="Times New Roman" w:cs="Times New Roman"/>
          <w:b/>
          <w:bCs/>
          <w:color w:val="000000" w:themeColor="text1"/>
          <w:sz w:val="24"/>
          <w:szCs w:val="24"/>
        </w:rPr>
        <w:t xml:space="preserve">ETF Propensity </w:t>
      </w:r>
      <w:r w:rsidR="00CF0B50" w:rsidRPr="00F01655">
        <w:rPr>
          <w:rFonts w:ascii="Times New Roman" w:hAnsi="Times New Roman" w:cs="Times New Roman"/>
          <w:b/>
          <w:bCs/>
          <w:color w:val="000000" w:themeColor="text1"/>
          <w:sz w:val="24"/>
          <w:szCs w:val="24"/>
        </w:rPr>
        <w:t xml:space="preserve">and </w:t>
      </w:r>
      <w:r w:rsidR="00BD7CAC" w:rsidRPr="00F01655">
        <w:rPr>
          <w:rFonts w:ascii="Times New Roman" w:hAnsi="Times New Roman" w:cs="Times New Roman"/>
          <w:b/>
          <w:bCs/>
          <w:color w:val="000000" w:themeColor="text1"/>
          <w:sz w:val="24"/>
          <w:szCs w:val="24"/>
        </w:rPr>
        <w:t xml:space="preserve">ITF Propensity Shift </w:t>
      </w:r>
      <w:r w:rsidR="00CF0B50" w:rsidRPr="00F01655">
        <w:rPr>
          <w:rFonts w:ascii="Times New Roman" w:hAnsi="Times New Roman" w:cs="Times New Roman"/>
          <w:b/>
          <w:bCs/>
          <w:color w:val="000000" w:themeColor="text1"/>
          <w:sz w:val="24"/>
          <w:szCs w:val="24"/>
        </w:rPr>
        <w:t>Parameter Estimates</w:t>
      </w:r>
    </w:p>
    <w:p w14:paraId="4126390B" w14:textId="00854CE2" w:rsidR="004426D8" w:rsidRPr="00F01655" w:rsidRDefault="00CF0B50" w:rsidP="006C4CCD">
      <w:pPr>
        <w:pStyle w:val="Heading3"/>
        <w:keepNext w:val="0"/>
        <w:keepLines w:val="0"/>
        <w:spacing w:before="0"/>
      </w:pPr>
      <w:r w:rsidRPr="00BC09CC">
        <w:rPr>
          <w:rFonts w:ascii="Times New Roman" w:hAnsi="Times New Roman" w:cs="Times New Roman"/>
          <w:i/>
          <w:color w:val="000000" w:themeColor="text1"/>
        </w:rPr>
        <w:t>4.1.1.</w:t>
      </w:r>
      <w:r w:rsidRPr="00BC09CC">
        <w:rPr>
          <w:rFonts w:ascii="Times New Roman" w:hAnsi="Times New Roman" w:cs="Times New Roman"/>
          <w:i/>
          <w:color w:val="000000" w:themeColor="text1"/>
        </w:rPr>
        <w:tab/>
      </w:r>
      <w:r w:rsidRPr="00BC09CC">
        <w:rPr>
          <w:rFonts w:ascii="Times New Roman" w:hAnsi="Times New Roman" w:cs="Times New Roman"/>
          <w:i/>
          <w:iCs/>
          <w:color w:val="000000" w:themeColor="text1"/>
        </w:rPr>
        <w:t>Indiv</w:t>
      </w:r>
      <w:r w:rsidRPr="00F01655">
        <w:rPr>
          <w:rFonts w:ascii="Times New Roman" w:hAnsi="Times New Roman" w:cs="Times New Roman"/>
          <w:i/>
          <w:iCs/>
          <w:color w:val="000000" w:themeColor="text1"/>
        </w:rPr>
        <w:t>idual</w:t>
      </w:r>
      <w:r w:rsidR="00341B88" w:rsidRPr="00F01655">
        <w:rPr>
          <w:rFonts w:ascii="Times New Roman" w:hAnsi="Times New Roman" w:cs="Times New Roman"/>
          <w:i/>
          <w:iCs/>
          <w:color w:val="000000" w:themeColor="text1"/>
        </w:rPr>
        <w:t>/Household</w:t>
      </w:r>
      <w:r w:rsidR="00BD7CAC" w:rsidRPr="00F01655">
        <w:rPr>
          <w:rFonts w:ascii="Times New Roman" w:hAnsi="Times New Roman" w:cs="Times New Roman"/>
          <w:i/>
          <w:iCs/>
          <w:color w:val="000000" w:themeColor="text1"/>
        </w:rPr>
        <w:t xml:space="preserve"> </w:t>
      </w:r>
      <w:r w:rsidRPr="00F01655">
        <w:rPr>
          <w:rFonts w:ascii="Times New Roman" w:hAnsi="Times New Roman" w:cs="Times New Roman"/>
          <w:i/>
          <w:iCs/>
          <w:color w:val="000000" w:themeColor="text1"/>
        </w:rPr>
        <w:t>Demographics</w:t>
      </w:r>
    </w:p>
    <w:p w14:paraId="357BBBE2" w14:textId="7CFB3B02" w:rsidR="00826658" w:rsidRPr="00BC09CC" w:rsidRDefault="00A24A56" w:rsidP="006C4CCD">
      <w:pPr>
        <w:jc w:val="both"/>
        <w:rPr>
          <w:color w:val="000000" w:themeColor="text1"/>
        </w:rPr>
      </w:pPr>
      <w:r>
        <w:rPr>
          <w:color w:val="000000" w:themeColor="text1"/>
        </w:rPr>
        <w:t xml:space="preserve">The </w:t>
      </w:r>
      <w:r w:rsidR="00341B88" w:rsidRPr="00F01655">
        <w:rPr>
          <w:color w:val="000000" w:themeColor="text1"/>
        </w:rPr>
        <w:t xml:space="preserve">gendered lifecycle variable effects in Table 3 indicate that individuals who live </w:t>
      </w:r>
      <w:r w:rsidR="00341B88" w:rsidRPr="00BC09CC">
        <w:rPr>
          <w:color w:val="000000" w:themeColor="text1"/>
        </w:rPr>
        <w:t xml:space="preserve">alone </w:t>
      </w:r>
      <w:r w:rsidR="00FE14C3" w:rsidRPr="00BC09CC">
        <w:rPr>
          <w:color w:val="000000" w:themeColor="text1"/>
        </w:rPr>
        <w:t xml:space="preserve">have a higher </w:t>
      </w:r>
      <w:r w:rsidR="00F91F52" w:rsidRPr="00BC09CC">
        <w:rPr>
          <w:color w:val="000000" w:themeColor="text1"/>
        </w:rPr>
        <w:t>ETF propensity</w:t>
      </w:r>
      <w:r w:rsidR="00FE14C3" w:rsidRPr="00BC09CC">
        <w:rPr>
          <w:color w:val="000000" w:themeColor="text1"/>
        </w:rPr>
        <w:t xml:space="preserve"> than other individuals</w:t>
      </w:r>
      <w:r w:rsidR="007351DA" w:rsidRPr="00BC09CC">
        <w:rPr>
          <w:color w:val="000000" w:themeColor="text1"/>
        </w:rPr>
        <w:t xml:space="preserve">. </w:t>
      </w:r>
      <w:r w:rsidR="00FE14C3" w:rsidRPr="00BC09CC">
        <w:rPr>
          <w:color w:val="000000" w:themeColor="text1"/>
        </w:rPr>
        <w:t xml:space="preserve">This maybe a consequence of single individuals </w:t>
      </w:r>
      <w:r w:rsidR="00341B88" w:rsidRPr="00BC09CC">
        <w:t>self-select</w:t>
      </w:r>
      <w:r w:rsidR="00FE14C3" w:rsidRPr="00BC09CC">
        <w:t>ing</w:t>
      </w:r>
      <w:r w:rsidR="00341B88" w:rsidRPr="00BC09CC">
        <w:t xml:space="preserve"> themselves into jobs that provide more </w:t>
      </w:r>
      <w:r w:rsidR="00D347D0" w:rsidRPr="00BC09CC">
        <w:t>autonomy</w:t>
      </w:r>
      <w:r w:rsidR="00FE14C3" w:rsidRPr="00BC09CC">
        <w:t xml:space="preserve"> and </w:t>
      </w:r>
      <w:r w:rsidR="00D347D0" w:rsidRPr="00BC09CC">
        <w:t>time flexibility</w:t>
      </w:r>
      <w:r w:rsidR="00FE14C3" w:rsidRPr="00BC09CC">
        <w:t xml:space="preserve">. Single </w:t>
      </w:r>
      <w:r w:rsidR="00FE14C3" w:rsidRPr="00BC09CC">
        <w:lastRenderedPageBreak/>
        <w:t>individuals</w:t>
      </w:r>
      <w:r w:rsidR="000D1E23" w:rsidRPr="00BC09CC">
        <w:t xml:space="preserve"> also </w:t>
      </w:r>
      <w:r w:rsidR="00FE14C3" w:rsidRPr="00BC09CC">
        <w:t xml:space="preserve">may </w:t>
      </w:r>
      <w:r w:rsidR="000D1E23" w:rsidRPr="00BC09CC">
        <w:t xml:space="preserve">have fewer distractions </w:t>
      </w:r>
      <w:r w:rsidR="000D1E23" w:rsidRPr="00BC09CC">
        <w:rPr>
          <w:color w:val="000000" w:themeColor="text1"/>
        </w:rPr>
        <w:t xml:space="preserve">at home </w:t>
      </w:r>
      <w:r w:rsidR="0088328D" w:rsidRPr="00BC09CC">
        <w:rPr>
          <w:color w:val="000000" w:themeColor="text1"/>
        </w:rPr>
        <w:t xml:space="preserve">(i.e., no roommates, children, significant other, </w:t>
      </w:r>
      <w:r w:rsidR="0079315B" w:rsidRPr="00BC09CC">
        <w:rPr>
          <w:color w:val="000000" w:themeColor="text1"/>
        </w:rPr>
        <w:t xml:space="preserve">and </w:t>
      </w:r>
      <w:r w:rsidR="0088328D" w:rsidRPr="00BC09CC">
        <w:rPr>
          <w:color w:val="000000" w:themeColor="text1"/>
        </w:rPr>
        <w:t>parents) and</w:t>
      </w:r>
      <w:r w:rsidR="00F91F52" w:rsidRPr="00BC09CC">
        <w:rPr>
          <w:color w:val="000000" w:themeColor="text1"/>
        </w:rPr>
        <w:t xml:space="preserve"> so </w:t>
      </w:r>
      <w:r w:rsidR="00FE14C3" w:rsidRPr="00BC09CC">
        <w:rPr>
          <w:color w:val="000000" w:themeColor="text1"/>
        </w:rPr>
        <w:t xml:space="preserve">may welcome </w:t>
      </w:r>
      <w:r w:rsidR="000D1E23" w:rsidRPr="00BC09CC">
        <w:rPr>
          <w:color w:val="000000" w:themeColor="text1"/>
        </w:rPr>
        <w:t xml:space="preserve">teleworking opportunities </w:t>
      </w:r>
      <w:r w:rsidR="00742EE6" w:rsidRPr="00BC09CC">
        <w:rPr>
          <w:color w:val="000000" w:themeColor="text1"/>
        </w:rPr>
        <w:t>(</w:t>
      </w:r>
      <w:r w:rsidR="00F91F52" w:rsidRPr="00BC09CC">
        <w:rPr>
          <w:color w:val="000000" w:themeColor="text1"/>
        </w:rPr>
        <w:t xml:space="preserve">see </w:t>
      </w:r>
      <w:r w:rsidR="000D1E23" w:rsidRPr="00BC09CC">
        <w:rPr>
          <w:color w:val="000000" w:themeColor="text1"/>
        </w:rPr>
        <w:t>Zhang et al., 2020</w:t>
      </w:r>
      <w:r w:rsidR="00742EE6" w:rsidRPr="00BC09CC">
        <w:rPr>
          <w:color w:val="000000" w:themeColor="text1"/>
        </w:rPr>
        <w:t>)</w:t>
      </w:r>
      <w:r w:rsidR="000D1E23" w:rsidRPr="00BC09CC">
        <w:rPr>
          <w:color w:val="000000" w:themeColor="text1"/>
        </w:rPr>
        <w:t xml:space="preserve">. Interestingly, while many earlier studies before COVID have reported a </w:t>
      </w:r>
      <w:r w:rsidR="00504480" w:rsidRPr="00BC09CC">
        <w:rPr>
          <w:color w:val="000000" w:themeColor="text1"/>
        </w:rPr>
        <w:t>lower</w:t>
      </w:r>
      <w:r w:rsidR="000D1E23" w:rsidRPr="00BC09CC">
        <w:rPr>
          <w:color w:val="000000" w:themeColor="text1"/>
        </w:rPr>
        <w:t xml:space="preserve"> propensity of telework among </w:t>
      </w:r>
      <w:r w:rsidR="00504480" w:rsidRPr="00BC09CC">
        <w:rPr>
          <w:color w:val="000000" w:themeColor="text1"/>
        </w:rPr>
        <w:t xml:space="preserve">single </w:t>
      </w:r>
      <w:r w:rsidR="000D1E23" w:rsidRPr="00BC09CC">
        <w:rPr>
          <w:color w:val="000000" w:themeColor="text1"/>
        </w:rPr>
        <w:t>women</w:t>
      </w:r>
      <w:r w:rsidR="00504480" w:rsidRPr="00BC09CC">
        <w:rPr>
          <w:color w:val="000000" w:themeColor="text1"/>
        </w:rPr>
        <w:t xml:space="preserve"> relative to single men (Popuri and Bhat, 2003</w:t>
      </w:r>
      <w:r w:rsidR="00A550BD" w:rsidRPr="00BC09CC">
        <w:rPr>
          <w:color w:val="000000" w:themeColor="text1"/>
        </w:rPr>
        <w:t>;</w:t>
      </w:r>
      <w:r w:rsidR="00504480" w:rsidRPr="00BC09CC">
        <w:rPr>
          <w:color w:val="000000" w:themeColor="text1"/>
        </w:rPr>
        <w:t xml:space="preserve"> </w:t>
      </w:r>
      <w:r w:rsidR="00141BDB" w:rsidRPr="00BC09CC">
        <w:rPr>
          <w:color w:val="000000" w:themeColor="text1"/>
        </w:rPr>
        <w:t>Tomei, 2021</w:t>
      </w:r>
      <w:r w:rsidR="00504480" w:rsidRPr="00BC09CC">
        <w:rPr>
          <w:color w:val="000000" w:themeColor="text1"/>
        </w:rPr>
        <w:t xml:space="preserve">), our results </w:t>
      </w:r>
      <w:r w:rsidR="007351DA" w:rsidRPr="00BC09CC">
        <w:rPr>
          <w:color w:val="000000" w:themeColor="text1"/>
        </w:rPr>
        <w:t xml:space="preserve">show a more nuanced picture. In particular, the results for the gender effects need to be considered together with those for the employment status (part-time versus full-time) variable because </w:t>
      </w:r>
      <w:r w:rsidR="00FE14C3" w:rsidRPr="00BC09CC">
        <w:rPr>
          <w:color w:val="000000" w:themeColor="text1"/>
        </w:rPr>
        <w:t xml:space="preserve">of the </w:t>
      </w:r>
      <w:r w:rsidR="007351DA" w:rsidRPr="00BC09CC">
        <w:rPr>
          <w:color w:val="000000" w:themeColor="text1"/>
        </w:rPr>
        <w:t xml:space="preserve">interaction </w:t>
      </w:r>
      <w:r w:rsidR="00497EE6" w:rsidRPr="00BC09CC">
        <w:rPr>
          <w:color w:val="000000" w:themeColor="text1"/>
        </w:rPr>
        <w:t xml:space="preserve">effect </w:t>
      </w:r>
      <w:r w:rsidR="007351DA" w:rsidRPr="00BC09CC">
        <w:rPr>
          <w:color w:val="000000" w:themeColor="text1"/>
        </w:rPr>
        <w:t xml:space="preserve">between gender and employment status. </w:t>
      </w:r>
      <w:r w:rsidR="00497EE6" w:rsidRPr="00BC09CC">
        <w:rPr>
          <w:color w:val="000000" w:themeColor="text1"/>
        </w:rPr>
        <w:t xml:space="preserve">Thus, though employment status is technically a job-related characteristic, we include it as an individual demographic variable in Table 3. </w:t>
      </w:r>
      <w:r w:rsidR="007351DA" w:rsidRPr="00BC09CC">
        <w:rPr>
          <w:color w:val="000000" w:themeColor="text1"/>
        </w:rPr>
        <w:t xml:space="preserve">Overall, single women </w:t>
      </w:r>
      <w:r w:rsidR="00FE14C3" w:rsidRPr="00BC09CC">
        <w:rPr>
          <w:color w:val="000000" w:themeColor="text1"/>
        </w:rPr>
        <w:t xml:space="preserve">working full-time </w:t>
      </w:r>
      <w:r w:rsidR="007351DA" w:rsidRPr="00BC09CC">
        <w:rPr>
          <w:color w:val="000000" w:themeColor="text1"/>
        </w:rPr>
        <w:t xml:space="preserve">have a higher ETF propensity relative to (single and non-single) men employed full-time, but men (single and non-single) employed part-time have a higher ETF propensity relative to women regardless of whether the woman is single or not and </w:t>
      </w:r>
      <w:r w:rsidR="00497EE6" w:rsidRPr="00BC09CC">
        <w:rPr>
          <w:color w:val="000000" w:themeColor="text1"/>
        </w:rPr>
        <w:t xml:space="preserve">regardless of </w:t>
      </w:r>
      <w:r w:rsidR="007351DA" w:rsidRPr="00BC09CC">
        <w:rPr>
          <w:color w:val="000000" w:themeColor="text1"/>
        </w:rPr>
        <w:t>whether the woman is part-time or full-time employed</w:t>
      </w:r>
      <w:r>
        <w:rPr>
          <w:color w:val="000000" w:themeColor="text1"/>
        </w:rPr>
        <w:t xml:space="preserve"> (these effects are statistically significant at only the 87% confidence level)</w:t>
      </w:r>
      <w:r w:rsidR="007351DA" w:rsidRPr="00BC09CC">
        <w:rPr>
          <w:color w:val="000000" w:themeColor="text1"/>
        </w:rPr>
        <w:t>. Th</w:t>
      </w:r>
      <w:r>
        <w:rPr>
          <w:color w:val="000000" w:themeColor="text1"/>
        </w:rPr>
        <w:t xml:space="preserve">ese results </w:t>
      </w:r>
      <w:r w:rsidR="007351DA" w:rsidRPr="00BC09CC">
        <w:rPr>
          <w:color w:val="000000" w:themeColor="text1"/>
        </w:rPr>
        <w:t>suggest, as in Sweet and Scott (2022)</w:t>
      </w:r>
      <w:r w:rsidR="00474896" w:rsidRPr="00BC09CC">
        <w:rPr>
          <w:color w:val="000000" w:themeColor="text1"/>
        </w:rPr>
        <w:t xml:space="preserve"> and aligned with Ono and Mori (202</w:t>
      </w:r>
      <w:r w:rsidR="00816BE1" w:rsidRPr="00BC09CC">
        <w:rPr>
          <w:color w:val="000000" w:themeColor="text1"/>
        </w:rPr>
        <w:t>1</w:t>
      </w:r>
      <w:r w:rsidR="00474896" w:rsidRPr="00BC09CC">
        <w:rPr>
          <w:color w:val="000000" w:themeColor="text1"/>
        </w:rPr>
        <w:t>)</w:t>
      </w:r>
      <w:r w:rsidR="007351DA" w:rsidRPr="00BC09CC">
        <w:rPr>
          <w:color w:val="000000" w:themeColor="text1"/>
        </w:rPr>
        <w:t xml:space="preserve">, a gendering of telework </w:t>
      </w:r>
      <w:r w:rsidR="00497EE6" w:rsidRPr="00BC09CC">
        <w:rPr>
          <w:color w:val="000000" w:themeColor="text1"/>
        </w:rPr>
        <w:t xml:space="preserve">particularly </w:t>
      </w:r>
      <w:r w:rsidR="007351DA" w:rsidRPr="00BC09CC">
        <w:rPr>
          <w:color w:val="000000" w:themeColor="text1"/>
        </w:rPr>
        <w:t>for part-time employees</w:t>
      </w:r>
      <w:r w:rsidR="00474896" w:rsidRPr="00BC09CC">
        <w:rPr>
          <w:color w:val="000000" w:themeColor="text1"/>
        </w:rPr>
        <w:t xml:space="preserve">, possibly attributable to employer-related pressure felt by women part-time workers (but not men part-time workers) to show up regularly at the work office. </w:t>
      </w:r>
      <w:r w:rsidR="00497EE6" w:rsidRPr="00BC09CC">
        <w:rPr>
          <w:color w:val="000000" w:themeColor="text1"/>
        </w:rPr>
        <w:t>O</w:t>
      </w:r>
      <w:r w:rsidR="007351DA" w:rsidRPr="00BC09CC">
        <w:rPr>
          <w:color w:val="000000" w:themeColor="text1"/>
        </w:rPr>
        <w:t>ur analysis did not reveal any statistically significant variations in ETF inclination between men and women if not single</w:t>
      </w:r>
      <w:r w:rsidR="00497EE6" w:rsidRPr="00BC09CC">
        <w:rPr>
          <w:color w:val="000000" w:themeColor="text1"/>
        </w:rPr>
        <w:t xml:space="preserve"> and working full-time</w:t>
      </w:r>
      <w:r w:rsidR="007351DA" w:rsidRPr="00BC09CC">
        <w:rPr>
          <w:color w:val="000000" w:themeColor="text1"/>
        </w:rPr>
        <w:t xml:space="preserve">. </w:t>
      </w:r>
      <w:r w:rsidR="00252AE9" w:rsidRPr="00BC09CC">
        <w:rPr>
          <w:color w:val="000000" w:themeColor="text1"/>
        </w:rPr>
        <w:t xml:space="preserve">Another intriguing result pertaining to the ideal teleworking frequency (ITF) is that </w:t>
      </w:r>
      <w:r w:rsidR="00FE14C3" w:rsidRPr="00BC09CC">
        <w:rPr>
          <w:color w:val="000000" w:themeColor="text1"/>
        </w:rPr>
        <w:t xml:space="preserve">single </w:t>
      </w:r>
      <w:r w:rsidR="00252AE9" w:rsidRPr="00BC09CC">
        <w:rPr>
          <w:color w:val="000000" w:themeColor="text1"/>
        </w:rPr>
        <w:t xml:space="preserve">individuals </w:t>
      </w:r>
      <w:r w:rsidR="00FE14C3" w:rsidRPr="00BC09CC">
        <w:rPr>
          <w:color w:val="000000" w:themeColor="text1"/>
        </w:rPr>
        <w:t xml:space="preserve">and men working part-time </w:t>
      </w:r>
      <w:r w:rsidR="00DD25D0">
        <w:rPr>
          <w:color w:val="000000" w:themeColor="text1"/>
        </w:rPr>
        <w:t xml:space="preserve">may actually </w:t>
      </w:r>
      <w:r w:rsidR="00252AE9" w:rsidRPr="00BC09CC">
        <w:rPr>
          <w:color w:val="000000" w:themeColor="text1"/>
        </w:rPr>
        <w:t xml:space="preserve">rather have a lower telework frequency in their ideal state </w:t>
      </w:r>
      <w:r w:rsidR="00497EE6" w:rsidRPr="00BC09CC">
        <w:rPr>
          <w:color w:val="000000" w:themeColor="text1"/>
        </w:rPr>
        <w:t xml:space="preserve">(that is, a lower ITF) </w:t>
      </w:r>
      <w:r w:rsidR="00252AE9" w:rsidRPr="00BC09CC">
        <w:rPr>
          <w:color w:val="000000" w:themeColor="text1"/>
        </w:rPr>
        <w:t>than their existing telework frequency</w:t>
      </w:r>
      <w:r w:rsidR="00497EE6" w:rsidRPr="00BC09CC">
        <w:rPr>
          <w:color w:val="000000" w:themeColor="text1"/>
        </w:rPr>
        <w:t xml:space="preserve"> (that is, ETF</w:t>
      </w:r>
      <w:r w:rsidR="00FE14C3" w:rsidRPr="00BC09CC">
        <w:rPr>
          <w:color w:val="000000" w:themeColor="text1"/>
        </w:rPr>
        <w:t>; see the negative coefficient on the single individual (ITF shift effect) and the employed part-time*male (ITF shift effect)</w:t>
      </w:r>
      <w:r w:rsidR="00497EE6" w:rsidRPr="00BC09CC">
        <w:rPr>
          <w:color w:val="000000" w:themeColor="text1"/>
        </w:rPr>
        <w:t>)</w:t>
      </w:r>
      <w:r w:rsidR="00252AE9" w:rsidRPr="00BC09CC">
        <w:rPr>
          <w:color w:val="000000" w:themeColor="text1"/>
        </w:rPr>
        <w:t xml:space="preserve">.  </w:t>
      </w:r>
      <w:r w:rsidR="0088209A" w:rsidRPr="00BC09CC">
        <w:rPr>
          <w:color w:val="000000" w:themeColor="text1"/>
        </w:rPr>
        <w:t xml:space="preserve">This may be a reflection of how the pandemic has impacted perceptions of teleworking. While COVID may have opened teleworking doors for many non-single individuals </w:t>
      </w:r>
      <w:r w:rsidR="00FE14C3" w:rsidRPr="00BC09CC">
        <w:rPr>
          <w:color w:val="000000" w:themeColor="text1"/>
        </w:rPr>
        <w:t>and for men work</w:t>
      </w:r>
      <w:r w:rsidR="00DB1088" w:rsidRPr="00BC09CC">
        <w:rPr>
          <w:color w:val="000000" w:themeColor="text1"/>
        </w:rPr>
        <w:t>ing</w:t>
      </w:r>
      <w:r w:rsidR="00FE14C3" w:rsidRPr="00BC09CC">
        <w:rPr>
          <w:color w:val="000000" w:themeColor="text1"/>
        </w:rPr>
        <w:t xml:space="preserve"> part-time </w:t>
      </w:r>
      <w:r w:rsidR="00DB1088" w:rsidRPr="00BC09CC">
        <w:rPr>
          <w:color w:val="000000" w:themeColor="text1"/>
        </w:rPr>
        <w:t>(</w:t>
      </w:r>
      <w:r w:rsidR="0088209A" w:rsidRPr="00BC09CC">
        <w:rPr>
          <w:color w:val="000000" w:themeColor="text1"/>
        </w:rPr>
        <w:t xml:space="preserve">as </w:t>
      </w:r>
      <w:r w:rsidR="00FE14C3" w:rsidRPr="00BC09CC">
        <w:rPr>
          <w:color w:val="000000" w:themeColor="text1"/>
        </w:rPr>
        <w:t xml:space="preserve">a </w:t>
      </w:r>
      <w:r w:rsidR="0088209A" w:rsidRPr="00BC09CC">
        <w:rPr>
          <w:color w:val="000000" w:themeColor="text1"/>
        </w:rPr>
        <w:t xml:space="preserve">means to </w:t>
      </w:r>
      <w:r w:rsidR="00DB1088" w:rsidRPr="00BC09CC">
        <w:rPr>
          <w:color w:val="000000" w:themeColor="text1"/>
        </w:rPr>
        <w:t xml:space="preserve">a </w:t>
      </w:r>
      <w:r w:rsidR="0088209A" w:rsidRPr="00BC09CC">
        <w:rPr>
          <w:color w:val="000000" w:themeColor="text1"/>
        </w:rPr>
        <w:t>good work-life balance</w:t>
      </w:r>
      <w:r w:rsidR="00DB1088" w:rsidRPr="00BC09CC">
        <w:rPr>
          <w:color w:val="000000" w:themeColor="text1"/>
        </w:rPr>
        <w:t>)</w:t>
      </w:r>
      <w:r w:rsidR="0088209A" w:rsidRPr="00BC09CC">
        <w:rPr>
          <w:color w:val="000000" w:themeColor="text1"/>
        </w:rPr>
        <w:t xml:space="preserve">, it appears to have had the opposite effect on single individuals who were locked down in their homes with few people to interact with. This may explain the desire among single individuals to return to regular day-to-day at-work socialization, even if at the expense of a reduction in socialization </w:t>
      </w:r>
      <w:r w:rsidR="00DB1088" w:rsidRPr="00BC09CC">
        <w:rPr>
          <w:color w:val="000000" w:themeColor="text1"/>
        </w:rPr>
        <w:t>outside</w:t>
      </w:r>
      <w:r w:rsidR="0088209A" w:rsidRPr="00BC09CC">
        <w:rPr>
          <w:color w:val="000000" w:themeColor="text1"/>
        </w:rPr>
        <w:t xml:space="preserve"> the work place.</w:t>
      </w:r>
      <w:r w:rsidR="00252AE9" w:rsidRPr="00BC09CC">
        <w:rPr>
          <w:color w:val="000000" w:themeColor="text1"/>
        </w:rPr>
        <w:t xml:space="preserve"> </w:t>
      </w:r>
      <w:r w:rsidR="009A0343">
        <w:rPr>
          <w:color w:val="000000" w:themeColor="text1"/>
        </w:rPr>
        <w:t xml:space="preserve">We should also note here that we did not find any statistically significant effect </w:t>
      </w:r>
      <w:r w:rsidR="00EE3E5F">
        <w:rPr>
          <w:color w:val="000000" w:themeColor="text1"/>
        </w:rPr>
        <w:t xml:space="preserve">on both ETF and ITF propensities </w:t>
      </w:r>
      <w:r w:rsidR="009A0343">
        <w:rPr>
          <w:color w:val="000000" w:themeColor="text1"/>
        </w:rPr>
        <w:t xml:space="preserve">(even at our low threshold t-statistic of 1.00) of the presence of young children in the household, </w:t>
      </w:r>
      <w:r w:rsidR="00EE3E5F">
        <w:rPr>
          <w:color w:val="000000" w:themeColor="text1"/>
        </w:rPr>
        <w:t xml:space="preserve">nor did we observe </w:t>
      </w:r>
      <w:r w:rsidR="009A0343">
        <w:rPr>
          <w:color w:val="000000" w:themeColor="text1"/>
        </w:rPr>
        <w:t>any gendered effect of the presence of young children in the household</w:t>
      </w:r>
      <w:r w:rsidR="009A0343" w:rsidRPr="00BC09CC">
        <w:rPr>
          <w:color w:val="000000" w:themeColor="text1"/>
        </w:rPr>
        <w:t>).</w:t>
      </w:r>
      <w:r w:rsidR="009A0343">
        <w:rPr>
          <w:rStyle w:val="FootnoteReference"/>
          <w:color w:val="000000" w:themeColor="text1"/>
        </w:rPr>
        <w:footnoteReference w:id="9"/>
      </w:r>
    </w:p>
    <w:p w14:paraId="5140E079" w14:textId="50A56592" w:rsidR="0065712C" w:rsidRPr="00BC09CC" w:rsidRDefault="00F91F52" w:rsidP="00BC09CC">
      <w:pPr>
        <w:ind w:firstLine="720"/>
        <w:jc w:val="both"/>
        <w:rPr>
          <w:color w:val="000000" w:themeColor="text1"/>
        </w:rPr>
      </w:pPr>
      <w:r w:rsidRPr="00BC09CC">
        <w:rPr>
          <w:color w:val="000000" w:themeColor="text1"/>
        </w:rPr>
        <w:t>T</w:t>
      </w:r>
      <w:r w:rsidR="00826658" w:rsidRPr="00BC09CC">
        <w:rPr>
          <w:color w:val="000000" w:themeColor="text1"/>
        </w:rPr>
        <w:t xml:space="preserve">he </w:t>
      </w:r>
      <w:r w:rsidRPr="00BC09CC">
        <w:rPr>
          <w:color w:val="000000" w:themeColor="text1"/>
        </w:rPr>
        <w:t>age effects in Table</w:t>
      </w:r>
      <w:r w:rsidR="00DB1088" w:rsidRPr="00BC09CC">
        <w:rPr>
          <w:color w:val="000000" w:themeColor="text1"/>
        </w:rPr>
        <w:t xml:space="preserve"> 3 reveal </w:t>
      </w:r>
      <w:r w:rsidR="00826658" w:rsidRPr="00BC09CC">
        <w:rPr>
          <w:color w:val="000000" w:themeColor="text1"/>
        </w:rPr>
        <w:t>that individuals age</w:t>
      </w:r>
      <w:r w:rsidRPr="00BC09CC">
        <w:rPr>
          <w:color w:val="000000" w:themeColor="text1"/>
        </w:rPr>
        <w:t>d</w:t>
      </w:r>
      <w:r w:rsidR="00826658" w:rsidRPr="00BC09CC">
        <w:rPr>
          <w:color w:val="000000" w:themeColor="text1"/>
        </w:rPr>
        <w:t xml:space="preserve"> 40 years and older have a</w:t>
      </w:r>
      <w:r w:rsidR="00C952E4" w:rsidRPr="00BC09CC">
        <w:rPr>
          <w:color w:val="000000" w:themeColor="text1"/>
        </w:rPr>
        <w:t xml:space="preserve"> </w:t>
      </w:r>
      <w:r w:rsidR="00826658" w:rsidRPr="00BC09CC">
        <w:rPr>
          <w:color w:val="000000" w:themeColor="text1"/>
        </w:rPr>
        <w:t xml:space="preserve">lower </w:t>
      </w:r>
      <w:r w:rsidRPr="00BC09CC">
        <w:rPr>
          <w:color w:val="000000" w:themeColor="text1"/>
        </w:rPr>
        <w:t xml:space="preserve">ETF </w:t>
      </w:r>
      <w:r w:rsidR="00826658" w:rsidRPr="00BC09CC">
        <w:rPr>
          <w:color w:val="000000" w:themeColor="text1"/>
        </w:rPr>
        <w:t>propensity than individuals age</w:t>
      </w:r>
      <w:r w:rsidRPr="00BC09CC">
        <w:rPr>
          <w:color w:val="000000" w:themeColor="text1"/>
        </w:rPr>
        <w:t>d</w:t>
      </w:r>
      <w:r w:rsidR="00826658" w:rsidRPr="00BC09CC">
        <w:rPr>
          <w:color w:val="000000" w:themeColor="text1"/>
        </w:rPr>
        <w:t xml:space="preserve"> 18 to 39 years old</w:t>
      </w:r>
      <w:r w:rsidR="00C952E4" w:rsidRPr="00BC09CC">
        <w:rPr>
          <w:color w:val="000000" w:themeColor="text1"/>
        </w:rPr>
        <w:t>, with no difference</w:t>
      </w:r>
      <w:r w:rsidR="00902701" w:rsidRPr="00BC09CC">
        <w:rPr>
          <w:color w:val="000000" w:themeColor="text1"/>
        </w:rPr>
        <w:t xml:space="preserve"> </w:t>
      </w:r>
      <w:r w:rsidR="00C952E4" w:rsidRPr="00BC09CC">
        <w:rPr>
          <w:color w:val="000000" w:themeColor="text1"/>
        </w:rPr>
        <w:t>in ETF propensity among individuals under 40 years</w:t>
      </w:r>
      <w:r w:rsidR="00790CF8">
        <w:rPr>
          <w:color w:val="000000" w:themeColor="text1"/>
        </w:rPr>
        <w:t>.</w:t>
      </w:r>
      <w:r w:rsidR="00790CF8">
        <w:rPr>
          <w:rStyle w:val="FootnoteReference"/>
          <w:color w:val="000000" w:themeColor="text1"/>
        </w:rPr>
        <w:footnoteReference w:id="10"/>
      </w:r>
      <w:r w:rsidR="00C952E4" w:rsidRPr="00BC09CC">
        <w:rPr>
          <w:color w:val="000000" w:themeColor="text1"/>
        </w:rPr>
        <w:t xml:space="preserve"> </w:t>
      </w:r>
      <w:r w:rsidR="00826658" w:rsidRPr="00BC09CC">
        <w:rPr>
          <w:color w:val="000000" w:themeColor="text1"/>
        </w:rPr>
        <w:t>Further, individuals age</w:t>
      </w:r>
      <w:r w:rsidRPr="00BC09CC">
        <w:rPr>
          <w:color w:val="000000" w:themeColor="text1"/>
        </w:rPr>
        <w:t>d</w:t>
      </w:r>
      <w:r w:rsidR="00826658" w:rsidRPr="00BC09CC">
        <w:rPr>
          <w:color w:val="000000" w:themeColor="text1"/>
        </w:rPr>
        <w:t xml:space="preserve"> 6</w:t>
      </w:r>
      <w:r w:rsidRPr="00BC09CC">
        <w:rPr>
          <w:color w:val="000000" w:themeColor="text1"/>
        </w:rPr>
        <w:t>5</w:t>
      </w:r>
      <w:r w:rsidR="00826658" w:rsidRPr="00BC09CC">
        <w:rPr>
          <w:color w:val="000000" w:themeColor="text1"/>
        </w:rPr>
        <w:t xml:space="preserve"> years and older have the lowest </w:t>
      </w:r>
      <w:r w:rsidRPr="00BC09CC">
        <w:rPr>
          <w:color w:val="000000" w:themeColor="text1"/>
        </w:rPr>
        <w:t xml:space="preserve">ETF </w:t>
      </w:r>
      <w:r w:rsidR="00826658" w:rsidRPr="00BC09CC">
        <w:rPr>
          <w:color w:val="000000" w:themeColor="text1"/>
        </w:rPr>
        <w:lastRenderedPageBreak/>
        <w:t>propensit</w:t>
      </w:r>
      <w:r w:rsidRPr="00BC09CC">
        <w:rPr>
          <w:color w:val="000000" w:themeColor="text1"/>
        </w:rPr>
        <w:t>y</w:t>
      </w:r>
      <w:r w:rsidR="00826658" w:rsidRPr="00BC09CC">
        <w:rPr>
          <w:color w:val="000000" w:themeColor="text1"/>
        </w:rPr>
        <w:t xml:space="preserve">. </w:t>
      </w:r>
      <w:r w:rsidR="0098078A" w:rsidRPr="00BC09CC">
        <w:rPr>
          <w:color w:val="000000" w:themeColor="text1"/>
        </w:rPr>
        <w:t xml:space="preserve">These results may be explained by the different network correlates of </w:t>
      </w:r>
      <w:r w:rsidR="0098078A" w:rsidRPr="00BC09CC">
        <w:t xml:space="preserve">socialization between young and older </w:t>
      </w:r>
      <w:r w:rsidR="0098078A" w:rsidRPr="00BC09CC">
        <w:rPr>
          <w:lang w:val="en-IN"/>
        </w:rPr>
        <w:t>adults</w:t>
      </w:r>
      <w:r w:rsidR="0098078A" w:rsidRPr="00BC09CC">
        <w:t xml:space="preserve"> (Green et al., 2001). While younger adults generally revel in the size of their social networks outside their workplace and look to balance work and play (PWC, 2021</w:t>
      </w:r>
      <w:r w:rsidR="00165BB1" w:rsidRPr="00BC09CC">
        <w:t xml:space="preserve">; </w:t>
      </w:r>
      <w:proofErr w:type="spellStart"/>
      <w:r w:rsidR="00165BB1" w:rsidRPr="00BC09CC">
        <w:t>Asdecker</w:t>
      </w:r>
      <w:proofErr w:type="spellEnd"/>
      <w:r w:rsidR="00165BB1" w:rsidRPr="00BC09CC">
        <w:t>, 2022</w:t>
      </w:r>
      <w:r w:rsidR="0098078A" w:rsidRPr="00BC09CC">
        <w:t xml:space="preserve">), older adults typically view their workplace as one of the primary (if not the primary) location of social networking </w:t>
      </w:r>
      <w:r w:rsidR="00826658" w:rsidRPr="00BC09CC">
        <w:rPr>
          <w:color w:val="000000" w:themeColor="text1"/>
        </w:rPr>
        <w:t>(</w:t>
      </w:r>
      <w:r w:rsidR="00165BB1" w:rsidRPr="00BC09CC">
        <w:rPr>
          <w:color w:val="000000" w:themeColor="text1"/>
        </w:rPr>
        <w:t>Tahlyan et al., 2022</w:t>
      </w:r>
      <w:r w:rsidR="008851E2" w:rsidRPr="00BC09CC">
        <w:rPr>
          <w:color w:val="000000" w:themeColor="text1"/>
        </w:rPr>
        <w:t>a</w:t>
      </w:r>
      <w:r w:rsidR="00165BB1" w:rsidRPr="00BC09CC">
        <w:rPr>
          <w:color w:val="000000" w:themeColor="text1"/>
        </w:rPr>
        <w:t xml:space="preserve"> and </w:t>
      </w:r>
      <w:r w:rsidR="00826658" w:rsidRPr="00BC09CC">
        <w:rPr>
          <w:color w:val="000000" w:themeColor="text1"/>
        </w:rPr>
        <w:t xml:space="preserve">Asmussen et al., 2023). </w:t>
      </w:r>
      <w:bookmarkStart w:id="18" w:name="_Hlk158439425"/>
      <w:bookmarkStart w:id="19" w:name="_Hlk156998190"/>
      <w:r w:rsidR="001D2F50" w:rsidRPr="00DD1C01">
        <w:rPr>
          <w:color w:val="000000" w:themeColor="text1"/>
        </w:rPr>
        <w:t xml:space="preserve">Besides, this result may </w:t>
      </w:r>
      <w:r w:rsidR="001D2F50" w:rsidRPr="0046211D">
        <w:rPr>
          <w:color w:val="000000" w:themeColor="text1"/>
        </w:rPr>
        <w:t xml:space="preserve">reflect age-based differences in </w:t>
      </w:r>
      <w:r w:rsidR="001D2F50" w:rsidRPr="00CF0E6D">
        <w:rPr>
          <w:color w:val="222222"/>
          <w:shd w:val="clear" w:color="auto" w:fill="FFFFFF"/>
        </w:rPr>
        <w:t xml:space="preserve">careers, jobs, competencies, and functional positions with varying opportunities for WFH; for example, older individuals may hold relatively senior-level managerial positions that are more suited to in-person in-office interactions </w:t>
      </w:r>
      <w:r w:rsidR="00DF7087" w:rsidRPr="00CF0E6D">
        <w:t xml:space="preserve">(see for example Tahlyan, et al., 2022a and </w:t>
      </w:r>
      <w:proofErr w:type="spellStart"/>
      <w:r w:rsidR="00DF7087" w:rsidRPr="00CF0E6D">
        <w:t>Carillo</w:t>
      </w:r>
      <w:proofErr w:type="spellEnd"/>
      <w:r w:rsidR="00DF7087" w:rsidRPr="00CF0E6D">
        <w:t xml:space="preserve"> et al., 2021)</w:t>
      </w:r>
      <w:bookmarkEnd w:id="18"/>
      <w:r w:rsidR="00DF7087" w:rsidRPr="00CF0E6D">
        <w:t xml:space="preserve">. </w:t>
      </w:r>
      <w:bookmarkEnd w:id="19"/>
      <w:r w:rsidR="00165BB1" w:rsidRPr="00BC09CC">
        <w:rPr>
          <w:color w:val="000000" w:themeColor="text1"/>
        </w:rPr>
        <w:t>Further,</w:t>
      </w:r>
      <w:r w:rsidR="009B0F32" w:rsidRPr="00BC09CC">
        <w:t xml:space="preserve"> older individuals </w:t>
      </w:r>
      <w:r w:rsidR="00165BB1" w:rsidRPr="00BC09CC">
        <w:t xml:space="preserve">stick to life rhythms and </w:t>
      </w:r>
      <w:r w:rsidR="009B0F32" w:rsidRPr="00BC09CC">
        <w:t xml:space="preserve">are </w:t>
      </w:r>
      <w:r w:rsidR="00165BB1" w:rsidRPr="00BC09CC">
        <w:t xml:space="preserve">resistant to </w:t>
      </w:r>
      <w:r w:rsidR="009B0F32" w:rsidRPr="00BC09CC">
        <w:t>change (Duque et al., 2019</w:t>
      </w:r>
      <w:r w:rsidR="00D714C2">
        <w:t>; Dannemiller et al., 2023</w:t>
      </w:r>
      <w:r w:rsidR="009B0F32" w:rsidRPr="00BC09CC">
        <w:t xml:space="preserve">). </w:t>
      </w:r>
      <w:r w:rsidR="00826658" w:rsidRPr="00BC09CC">
        <w:rPr>
          <w:color w:val="000000" w:themeColor="text1"/>
        </w:rPr>
        <w:t>Th</w:t>
      </w:r>
      <w:r w:rsidR="00165BB1" w:rsidRPr="00BC09CC">
        <w:rPr>
          <w:color w:val="000000" w:themeColor="text1"/>
        </w:rPr>
        <w:t>us</w:t>
      </w:r>
      <w:r w:rsidR="00826658" w:rsidRPr="00BC09CC">
        <w:rPr>
          <w:color w:val="000000" w:themeColor="text1"/>
        </w:rPr>
        <w:t xml:space="preserve">, being accustomed to in-person workdays </w:t>
      </w:r>
      <w:r w:rsidR="00165BB1" w:rsidRPr="00BC09CC">
        <w:rPr>
          <w:color w:val="000000" w:themeColor="text1"/>
        </w:rPr>
        <w:t>before the pandemic</w:t>
      </w:r>
      <w:r w:rsidR="00826658" w:rsidRPr="00BC09CC">
        <w:rPr>
          <w:color w:val="000000" w:themeColor="text1"/>
        </w:rPr>
        <w:t xml:space="preserve">, older workers are less likely to prefer </w:t>
      </w:r>
      <w:r w:rsidR="00165BB1" w:rsidRPr="00BC09CC">
        <w:rPr>
          <w:color w:val="000000" w:themeColor="text1"/>
        </w:rPr>
        <w:t>telework</w:t>
      </w:r>
      <w:r w:rsidR="00DD0AFC" w:rsidRPr="00BC09CC">
        <w:rPr>
          <w:color w:val="000000" w:themeColor="text1"/>
        </w:rPr>
        <w:t>ing</w:t>
      </w:r>
      <w:r w:rsidR="00165BB1" w:rsidRPr="00BC09CC">
        <w:rPr>
          <w:color w:val="000000" w:themeColor="text1"/>
        </w:rPr>
        <w:t xml:space="preserve"> </w:t>
      </w:r>
      <w:r w:rsidR="00DD0AFC" w:rsidRPr="00BC09CC">
        <w:rPr>
          <w:color w:val="000000" w:themeColor="text1"/>
        </w:rPr>
        <w:t>arrangements</w:t>
      </w:r>
      <w:r w:rsidR="00826658" w:rsidRPr="00BC09CC">
        <w:rPr>
          <w:color w:val="000000" w:themeColor="text1"/>
        </w:rPr>
        <w:t xml:space="preserve"> (Asmussen et al., 2023). Additionally, challenges that arise with technology-use</w:t>
      </w:r>
      <w:r w:rsidR="00DD0AFC" w:rsidRPr="00BC09CC">
        <w:rPr>
          <w:color w:val="000000" w:themeColor="text1"/>
        </w:rPr>
        <w:t xml:space="preserve"> during</w:t>
      </w:r>
      <w:r w:rsidR="00826658" w:rsidRPr="00BC09CC">
        <w:rPr>
          <w:color w:val="000000" w:themeColor="text1"/>
        </w:rPr>
        <w:t xml:space="preserve"> teleworking may also </w:t>
      </w:r>
      <w:r w:rsidR="00DD0AFC" w:rsidRPr="00BC09CC">
        <w:rPr>
          <w:color w:val="000000" w:themeColor="text1"/>
        </w:rPr>
        <w:t xml:space="preserve">discourage teleworking among </w:t>
      </w:r>
      <w:r w:rsidR="00826658" w:rsidRPr="00BC09CC">
        <w:rPr>
          <w:color w:val="000000" w:themeColor="text1"/>
        </w:rPr>
        <w:t>older workers</w:t>
      </w:r>
      <w:r w:rsidR="00D714C2">
        <w:rPr>
          <w:color w:val="000000" w:themeColor="text1"/>
        </w:rPr>
        <w:t>, due to their generally lower rates of tech-savviness</w:t>
      </w:r>
      <w:r w:rsidR="00826658" w:rsidRPr="00BC09CC">
        <w:rPr>
          <w:color w:val="000000" w:themeColor="text1"/>
        </w:rPr>
        <w:t xml:space="preserve"> (Tahlyan et al., 2022b</w:t>
      </w:r>
      <w:r w:rsidR="00D714C2">
        <w:rPr>
          <w:color w:val="000000" w:themeColor="text1"/>
        </w:rPr>
        <w:t xml:space="preserve">; Moore et al., 2020; </w:t>
      </w:r>
      <w:proofErr w:type="spellStart"/>
      <w:r w:rsidR="00D714C2">
        <w:rPr>
          <w:color w:val="000000" w:themeColor="text1"/>
        </w:rPr>
        <w:t>Wali</w:t>
      </w:r>
      <w:proofErr w:type="spellEnd"/>
      <w:r w:rsidR="00D714C2">
        <w:rPr>
          <w:color w:val="000000" w:themeColor="text1"/>
        </w:rPr>
        <w:t xml:space="preserve"> and Khattak, 2022</w:t>
      </w:r>
      <w:r w:rsidR="00826658" w:rsidRPr="00BC09CC">
        <w:rPr>
          <w:color w:val="000000" w:themeColor="text1"/>
        </w:rPr>
        <w:t xml:space="preserve">). </w:t>
      </w:r>
      <w:r w:rsidR="00DD0AFC" w:rsidRPr="00BC09CC">
        <w:rPr>
          <w:color w:val="000000" w:themeColor="text1"/>
        </w:rPr>
        <w:t xml:space="preserve">However, it appears that, in their ideal work arrangements, younger individuals </w:t>
      </w:r>
      <w:r w:rsidR="004A2100" w:rsidRPr="00BC09CC">
        <w:rPr>
          <w:color w:val="000000" w:themeColor="text1"/>
        </w:rPr>
        <w:t xml:space="preserve">in the age group of 25-29 years </w:t>
      </w:r>
      <w:r w:rsidR="00DD0AFC" w:rsidRPr="00BC09CC">
        <w:rPr>
          <w:color w:val="000000" w:themeColor="text1"/>
        </w:rPr>
        <w:t xml:space="preserve">would </w:t>
      </w:r>
      <w:r w:rsidR="0065712C" w:rsidRPr="00BC09CC">
        <w:rPr>
          <w:color w:val="000000" w:themeColor="text1"/>
        </w:rPr>
        <w:t xml:space="preserve">prefer to telework less than </w:t>
      </w:r>
      <w:r w:rsidR="00B307C7" w:rsidRPr="00BC09CC">
        <w:rPr>
          <w:color w:val="000000" w:themeColor="text1"/>
        </w:rPr>
        <w:t xml:space="preserve">their </w:t>
      </w:r>
      <w:r w:rsidR="00DD0AFC" w:rsidRPr="00BC09CC">
        <w:rPr>
          <w:color w:val="000000" w:themeColor="text1"/>
        </w:rPr>
        <w:t xml:space="preserve">ETF, to the point that their ITF </w:t>
      </w:r>
      <w:r w:rsidR="004A2100" w:rsidRPr="00BC09CC">
        <w:rPr>
          <w:color w:val="000000" w:themeColor="text1"/>
        </w:rPr>
        <w:t xml:space="preserve">propensity </w:t>
      </w:r>
      <w:r w:rsidR="00DD0AFC" w:rsidRPr="00BC09CC">
        <w:rPr>
          <w:color w:val="000000" w:themeColor="text1"/>
        </w:rPr>
        <w:t>is actually lower than their older peers. Th</w:t>
      </w:r>
      <w:r w:rsidR="00DB1088" w:rsidRPr="00BC09CC">
        <w:rPr>
          <w:color w:val="000000" w:themeColor="text1"/>
        </w:rPr>
        <w:t>ere is a</w:t>
      </w:r>
      <w:r w:rsidR="00DD0AFC" w:rsidRPr="00BC09CC">
        <w:rPr>
          <w:color w:val="000000" w:themeColor="text1"/>
        </w:rPr>
        <w:t xml:space="preserve"> suggest</w:t>
      </w:r>
      <w:r w:rsidR="00DB1088" w:rsidRPr="00BC09CC">
        <w:rPr>
          <w:color w:val="000000" w:themeColor="text1"/>
        </w:rPr>
        <w:t>ion here</w:t>
      </w:r>
      <w:r w:rsidR="00DD0AFC" w:rsidRPr="00BC09CC">
        <w:rPr>
          <w:color w:val="000000" w:themeColor="text1"/>
        </w:rPr>
        <w:t xml:space="preserve"> that the pandemic, while opening up teleworking opportunities, has also led to a felt need among younger workers for more </w:t>
      </w:r>
      <w:r w:rsidR="0065712C" w:rsidRPr="00BC09CC">
        <w:rPr>
          <w:color w:val="000000" w:themeColor="text1"/>
        </w:rPr>
        <w:t>in-person mentorship and professional network</w:t>
      </w:r>
      <w:r w:rsidR="00DD0AFC" w:rsidRPr="00BC09CC">
        <w:rPr>
          <w:color w:val="000000" w:themeColor="text1"/>
        </w:rPr>
        <w:t>ing</w:t>
      </w:r>
      <w:r w:rsidR="0065712C" w:rsidRPr="00BC09CC">
        <w:rPr>
          <w:color w:val="000000" w:themeColor="text1"/>
        </w:rPr>
        <w:t xml:space="preserve"> opportunities for career advancement</w:t>
      </w:r>
      <w:r w:rsidR="00A550BD" w:rsidRPr="00BC09CC">
        <w:rPr>
          <w:color w:val="000000" w:themeColor="text1"/>
        </w:rPr>
        <w:t xml:space="preserve"> </w:t>
      </w:r>
      <w:r w:rsidR="0065712C" w:rsidRPr="00BC09CC">
        <w:rPr>
          <w:color w:val="000000" w:themeColor="text1"/>
        </w:rPr>
        <w:t xml:space="preserve">(Bucknell University, 2021; Tahlyan et al., 2022b). </w:t>
      </w:r>
      <w:r w:rsidR="004A2100" w:rsidRPr="00BC09CC">
        <w:rPr>
          <w:color w:val="000000" w:themeColor="text1"/>
        </w:rPr>
        <w:t xml:space="preserve">However, this holds only for the older young adults in the age group of 25-29 years, not to the youngest of adults in the age group of 18-24 years. </w:t>
      </w:r>
    </w:p>
    <w:p w14:paraId="3CD9D83A" w14:textId="3AB025FC" w:rsidR="00CF0B50" w:rsidRPr="00BC09CC" w:rsidRDefault="00F56ADB" w:rsidP="00BC09CC">
      <w:pPr>
        <w:ind w:firstLine="720"/>
        <w:jc w:val="both"/>
        <w:rPr>
          <w:rFonts w:eastAsiaTheme="majorEastAsia"/>
          <w:color w:val="000000" w:themeColor="text1"/>
        </w:rPr>
      </w:pPr>
      <w:r w:rsidRPr="00BC09CC">
        <w:rPr>
          <w:color w:val="000000" w:themeColor="text1"/>
        </w:rPr>
        <w:t xml:space="preserve">Similar to the case of younger workers, </w:t>
      </w:r>
      <w:r w:rsidR="0065712C" w:rsidRPr="00BC09CC">
        <w:rPr>
          <w:color w:val="000000" w:themeColor="text1"/>
        </w:rPr>
        <w:t xml:space="preserve">the results show </w:t>
      </w:r>
      <w:r w:rsidRPr="00BC09CC">
        <w:rPr>
          <w:color w:val="000000" w:themeColor="text1"/>
        </w:rPr>
        <w:t>a higher ETF among</w:t>
      </w:r>
      <w:r w:rsidR="0065712C" w:rsidRPr="00BC09CC">
        <w:rPr>
          <w:color w:val="000000" w:themeColor="text1"/>
        </w:rPr>
        <w:t xml:space="preserve"> individuals with a bachelor or graduate degree than </w:t>
      </w:r>
      <w:r w:rsidRPr="00BC09CC">
        <w:rPr>
          <w:color w:val="000000" w:themeColor="text1"/>
        </w:rPr>
        <w:t xml:space="preserve">among </w:t>
      </w:r>
      <w:r w:rsidR="0065712C" w:rsidRPr="00BC09CC">
        <w:rPr>
          <w:color w:val="000000" w:themeColor="text1"/>
        </w:rPr>
        <w:t xml:space="preserve">individuals with some college or </w:t>
      </w:r>
      <w:r w:rsidR="00C13978" w:rsidRPr="00BC09CC">
        <w:rPr>
          <w:color w:val="000000" w:themeColor="text1"/>
        </w:rPr>
        <w:t>high school</w:t>
      </w:r>
      <w:r w:rsidR="0065712C" w:rsidRPr="00BC09CC">
        <w:rPr>
          <w:color w:val="000000" w:themeColor="text1"/>
        </w:rPr>
        <w:t xml:space="preserve"> education</w:t>
      </w:r>
      <w:r w:rsidRPr="00BC09CC">
        <w:rPr>
          <w:color w:val="000000" w:themeColor="text1"/>
        </w:rPr>
        <w:t>, a result presumably of high-level knowledge jobs generally being more conducive to teleworking arrangement</w:t>
      </w:r>
      <w:r w:rsidR="00DB1088" w:rsidRPr="00BC09CC">
        <w:rPr>
          <w:color w:val="000000" w:themeColor="text1"/>
        </w:rPr>
        <w:t>s</w:t>
      </w:r>
      <w:r w:rsidRPr="00BC09CC">
        <w:rPr>
          <w:color w:val="000000" w:themeColor="text1"/>
        </w:rPr>
        <w:t xml:space="preserve"> </w:t>
      </w:r>
      <w:r w:rsidR="0065712C" w:rsidRPr="00BC09CC">
        <w:rPr>
          <w:color w:val="000000" w:themeColor="text1"/>
        </w:rPr>
        <w:t>(Sener and Bhat, 2011</w:t>
      </w:r>
      <w:r w:rsidRPr="00BC09CC">
        <w:rPr>
          <w:color w:val="000000" w:themeColor="text1"/>
        </w:rPr>
        <w:t xml:space="preserve">; </w:t>
      </w:r>
      <w:proofErr w:type="spellStart"/>
      <w:r w:rsidR="0065712C" w:rsidRPr="00BC09CC">
        <w:rPr>
          <w:color w:val="000000" w:themeColor="text1"/>
        </w:rPr>
        <w:t>Dua</w:t>
      </w:r>
      <w:proofErr w:type="spellEnd"/>
      <w:r w:rsidR="0065712C" w:rsidRPr="00BC09CC">
        <w:rPr>
          <w:color w:val="000000" w:themeColor="text1"/>
        </w:rPr>
        <w:t xml:space="preserve"> et al., 2022; Rembert et al., 2021; Marshall et al.,</w:t>
      </w:r>
      <w:r w:rsidR="008851E2" w:rsidRPr="00BC09CC">
        <w:rPr>
          <w:color w:val="000000" w:themeColor="text1"/>
        </w:rPr>
        <w:t xml:space="preserve"> </w:t>
      </w:r>
      <w:r w:rsidR="0065712C" w:rsidRPr="00BC09CC">
        <w:rPr>
          <w:color w:val="000000" w:themeColor="text1"/>
        </w:rPr>
        <w:t>2021; López-</w:t>
      </w:r>
      <w:proofErr w:type="spellStart"/>
      <w:r w:rsidR="0065712C" w:rsidRPr="00BC09CC">
        <w:rPr>
          <w:color w:val="000000" w:themeColor="text1"/>
        </w:rPr>
        <w:t>Igual</w:t>
      </w:r>
      <w:proofErr w:type="spellEnd"/>
      <w:r w:rsidR="0065712C" w:rsidRPr="00BC09CC">
        <w:rPr>
          <w:color w:val="000000" w:themeColor="text1"/>
        </w:rPr>
        <w:t xml:space="preserve"> and Rodríguez-</w:t>
      </w:r>
      <w:proofErr w:type="spellStart"/>
      <w:r w:rsidR="0065712C" w:rsidRPr="00BC09CC">
        <w:rPr>
          <w:color w:val="000000" w:themeColor="text1"/>
        </w:rPr>
        <w:t>Modroño</w:t>
      </w:r>
      <w:proofErr w:type="spellEnd"/>
      <w:r w:rsidR="0065712C" w:rsidRPr="00BC09CC">
        <w:rPr>
          <w:color w:val="000000" w:themeColor="text1"/>
        </w:rPr>
        <w:t>, 2020)</w:t>
      </w:r>
      <w:r w:rsidR="00DB1088" w:rsidRPr="00BC09CC">
        <w:rPr>
          <w:color w:val="000000" w:themeColor="text1"/>
        </w:rPr>
        <w:t>. In addition,</w:t>
      </w:r>
      <w:r w:rsidRPr="00BC09CC">
        <w:rPr>
          <w:color w:val="000000" w:themeColor="text1"/>
        </w:rPr>
        <w:t xml:space="preserve"> </w:t>
      </w:r>
      <w:r w:rsidR="0065712C" w:rsidRPr="00BC09CC">
        <w:rPr>
          <w:color w:val="000000" w:themeColor="text1"/>
        </w:rPr>
        <w:t xml:space="preserve">individuals with higher levels of </w:t>
      </w:r>
      <w:r w:rsidR="00C13978" w:rsidRPr="00BC09CC">
        <w:rPr>
          <w:color w:val="000000" w:themeColor="text1"/>
        </w:rPr>
        <w:t xml:space="preserve">formal </w:t>
      </w:r>
      <w:r w:rsidR="0065712C" w:rsidRPr="00BC09CC">
        <w:rPr>
          <w:color w:val="000000" w:themeColor="text1"/>
        </w:rPr>
        <w:t xml:space="preserve">education </w:t>
      </w:r>
      <w:r w:rsidR="00DB1088" w:rsidRPr="00BC09CC">
        <w:rPr>
          <w:color w:val="000000" w:themeColor="text1"/>
        </w:rPr>
        <w:t xml:space="preserve">typically </w:t>
      </w:r>
      <w:r w:rsidR="0065712C" w:rsidRPr="00BC09CC">
        <w:rPr>
          <w:color w:val="000000" w:themeColor="text1"/>
        </w:rPr>
        <w:t>hav</w:t>
      </w:r>
      <w:r w:rsidR="00DB1088" w:rsidRPr="00BC09CC">
        <w:rPr>
          <w:color w:val="000000" w:themeColor="text1"/>
        </w:rPr>
        <w:t>e</w:t>
      </w:r>
      <w:r w:rsidR="0065712C" w:rsidRPr="00BC09CC">
        <w:rPr>
          <w:color w:val="000000" w:themeColor="text1"/>
        </w:rPr>
        <w:t xml:space="preserve"> a</w:t>
      </w:r>
      <w:r w:rsidRPr="00BC09CC">
        <w:rPr>
          <w:color w:val="000000" w:themeColor="text1"/>
        </w:rPr>
        <w:t xml:space="preserve"> negotiating</w:t>
      </w:r>
      <w:r w:rsidR="0065712C" w:rsidRPr="00BC09CC">
        <w:rPr>
          <w:color w:val="000000" w:themeColor="text1"/>
        </w:rPr>
        <w:t xml:space="preserve"> advantage </w:t>
      </w:r>
      <w:r w:rsidRPr="00BC09CC">
        <w:rPr>
          <w:color w:val="000000" w:themeColor="text1"/>
        </w:rPr>
        <w:t xml:space="preserve">in the marketplace </w:t>
      </w:r>
      <w:r w:rsidR="0065712C" w:rsidRPr="00BC09CC">
        <w:rPr>
          <w:color w:val="000000" w:themeColor="text1"/>
        </w:rPr>
        <w:t>(Zhang et al., 2020)</w:t>
      </w:r>
      <w:r w:rsidR="00DB1088" w:rsidRPr="00BC09CC">
        <w:rPr>
          <w:color w:val="000000" w:themeColor="text1"/>
        </w:rPr>
        <w:t>, which may be contributing to the higher ETF propensity</w:t>
      </w:r>
      <w:r w:rsidR="0065712C" w:rsidRPr="00BC09CC">
        <w:rPr>
          <w:color w:val="000000" w:themeColor="text1"/>
        </w:rPr>
        <w:t xml:space="preserve">. </w:t>
      </w:r>
      <w:r w:rsidRPr="00BC09CC">
        <w:rPr>
          <w:color w:val="000000" w:themeColor="text1"/>
        </w:rPr>
        <w:t xml:space="preserve">However, as in the case of young workers, those with higher formal degrees would actually like to telework less </w:t>
      </w:r>
      <w:r w:rsidR="00B41F31" w:rsidRPr="00BC09CC">
        <w:rPr>
          <w:color w:val="000000" w:themeColor="text1"/>
        </w:rPr>
        <w:t>than their existing arrangem</w:t>
      </w:r>
      <w:r w:rsidR="003B4E77" w:rsidRPr="00BC09CC">
        <w:rPr>
          <w:color w:val="000000" w:themeColor="text1"/>
        </w:rPr>
        <w:t>ent</w:t>
      </w:r>
      <w:r w:rsidRPr="00BC09CC">
        <w:rPr>
          <w:color w:val="000000" w:themeColor="text1"/>
        </w:rPr>
        <w:t>, to the point where there is no differen</w:t>
      </w:r>
      <w:r w:rsidR="00B41F31" w:rsidRPr="00BC09CC">
        <w:rPr>
          <w:color w:val="000000" w:themeColor="text1"/>
        </w:rPr>
        <w:t>ce</w:t>
      </w:r>
      <w:r w:rsidRPr="00BC09CC">
        <w:rPr>
          <w:color w:val="000000" w:themeColor="text1"/>
        </w:rPr>
        <w:t xml:space="preserve"> in ITF based on education (note that the effect of </w:t>
      </w:r>
      <w:r w:rsidR="00B41F31" w:rsidRPr="00BC09CC">
        <w:rPr>
          <w:color w:val="000000" w:themeColor="text1"/>
        </w:rPr>
        <w:t>bachelor and graduate degree education is almost zero (=0.20</w:t>
      </w:r>
      <w:r w:rsidR="0079315B" w:rsidRPr="00BC09CC">
        <w:rPr>
          <w:color w:val="000000" w:themeColor="text1"/>
        </w:rPr>
        <w:t>1</w:t>
      </w:r>
      <w:r w:rsidR="00B41F31" w:rsidRPr="00BC09CC">
        <w:rPr>
          <w:color w:val="000000" w:themeColor="text1"/>
        </w:rPr>
        <w:t>-0.2</w:t>
      </w:r>
      <w:r w:rsidR="0079315B" w:rsidRPr="00BC09CC">
        <w:rPr>
          <w:color w:val="000000" w:themeColor="text1"/>
        </w:rPr>
        <w:t>23</w:t>
      </w:r>
      <w:r w:rsidR="00B41F31" w:rsidRPr="00BC09CC">
        <w:rPr>
          <w:color w:val="000000" w:themeColor="text1"/>
        </w:rPr>
        <w:t>) on ITF</w:t>
      </w:r>
      <w:r w:rsidR="003B4E77" w:rsidRPr="00BC09CC">
        <w:rPr>
          <w:color w:val="000000" w:themeColor="text1"/>
        </w:rPr>
        <w:t>)</w:t>
      </w:r>
      <w:r w:rsidR="00B41F31" w:rsidRPr="00BC09CC">
        <w:rPr>
          <w:color w:val="000000" w:themeColor="text1"/>
        </w:rPr>
        <w:t xml:space="preserve">. </w:t>
      </w:r>
      <w:r w:rsidR="0065712C" w:rsidRPr="00BC09CC">
        <w:rPr>
          <w:color w:val="000000" w:themeColor="text1"/>
        </w:rPr>
        <w:t xml:space="preserve">This is likely because workers with a higher level of </w:t>
      </w:r>
      <w:r w:rsidR="00C13978" w:rsidRPr="00BC09CC">
        <w:rPr>
          <w:color w:val="000000" w:themeColor="text1"/>
        </w:rPr>
        <w:t xml:space="preserve">formal </w:t>
      </w:r>
      <w:r w:rsidR="0065712C" w:rsidRPr="00BC09CC">
        <w:rPr>
          <w:color w:val="000000" w:themeColor="text1"/>
        </w:rPr>
        <w:t xml:space="preserve">education </w:t>
      </w:r>
      <w:r w:rsidR="00F3211A" w:rsidRPr="00BC09CC">
        <w:rPr>
          <w:color w:val="000000" w:themeColor="text1"/>
        </w:rPr>
        <w:t xml:space="preserve">may have become saturated with telework over the course of the pandemic and after, and </w:t>
      </w:r>
      <w:r w:rsidR="00292521" w:rsidRPr="00BC09CC">
        <w:rPr>
          <w:color w:val="000000" w:themeColor="text1"/>
        </w:rPr>
        <w:t xml:space="preserve">therefore </w:t>
      </w:r>
      <w:r w:rsidR="00F3211A" w:rsidRPr="00BC09CC">
        <w:rPr>
          <w:color w:val="000000" w:themeColor="text1"/>
        </w:rPr>
        <w:t>would like to go into the work office more often</w:t>
      </w:r>
      <w:r w:rsidR="00DB1088" w:rsidRPr="00BC09CC">
        <w:rPr>
          <w:color w:val="000000" w:themeColor="text1"/>
        </w:rPr>
        <w:t xml:space="preserve"> (</w:t>
      </w:r>
      <w:proofErr w:type="spellStart"/>
      <w:r w:rsidR="00E473E3" w:rsidRPr="00BC09CC">
        <w:rPr>
          <w:color w:val="000000" w:themeColor="text1"/>
        </w:rPr>
        <w:t>Asgari</w:t>
      </w:r>
      <w:proofErr w:type="spellEnd"/>
      <w:r w:rsidR="00E473E3" w:rsidRPr="00BC09CC">
        <w:rPr>
          <w:color w:val="000000" w:themeColor="text1"/>
        </w:rPr>
        <w:t xml:space="preserve"> et al., 2023</w:t>
      </w:r>
      <w:r w:rsidR="00DB1088" w:rsidRPr="00BC09CC">
        <w:rPr>
          <w:color w:val="000000" w:themeColor="text1"/>
        </w:rPr>
        <w:t>)</w:t>
      </w:r>
      <w:r w:rsidR="0065712C" w:rsidRPr="00BC09CC">
        <w:t xml:space="preserve">. </w:t>
      </w:r>
      <w:r w:rsidR="00F3211A" w:rsidRPr="00BC09CC">
        <w:t xml:space="preserve"> </w:t>
      </w:r>
    </w:p>
    <w:p w14:paraId="07E1B7F7" w14:textId="74368068" w:rsidR="00CF0B50" w:rsidRPr="00BC09CC" w:rsidRDefault="00267F8E" w:rsidP="00BC09CC">
      <w:pPr>
        <w:ind w:firstLine="720"/>
        <w:jc w:val="both"/>
        <w:rPr>
          <w:color w:val="000000" w:themeColor="text1"/>
        </w:rPr>
      </w:pPr>
      <w:r w:rsidRPr="00BC09CC">
        <w:rPr>
          <w:color w:val="000000" w:themeColor="text1"/>
        </w:rPr>
        <w:t xml:space="preserve">Among household demographics, clearly individuals from lower income households have a lower ETF predisposition than those from higher income households, as evidenced in the highest negative value for the lowest income bracket and progressively decreasing (but still negative) coefficients for other income brackets (with the highest income bracket being the base category).  </w:t>
      </w:r>
      <w:r w:rsidR="00CF0B50" w:rsidRPr="00BC09CC">
        <w:rPr>
          <w:color w:val="000000" w:themeColor="text1"/>
        </w:rPr>
        <w:t>Th</w:t>
      </w:r>
      <w:r w:rsidR="0088328D" w:rsidRPr="00BC09CC">
        <w:rPr>
          <w:color w:val="000000" w:themeColor="text1"/>
        </w:rPr>
        <w:t>ese findings</w:t>
      </w:r>
      <w:r w:rsidR="00CF0B50" w:rsidRPr="00BC09CC">
        <w:rPr>
          <w:color w:val="000000" w:themeColor="text1"/>
        </w:rPr>
        <w:t xml:space="preserve"> align with </w:t>
      </w:r>
      <w:r w:rsidR="000D7BAD" w:rsidRPr="00BC09CC">
        <w:rPr>
          <w:color w:val="000000" w:themeColor="text1"/>
        </w:rPr>
        <w:t xml:space="preserve">the </w:t>
      </w:r>
      <w:r w:rsidR="00CF0B50" w:rsidRPr="00BC09CC">
        <w:rPr>
          <w:color w:val="000000" w:themeColor="text1"/>
        </w:rPr>
        <w:t>previous literature</w:t>
      </w:r>
      <w:r w:rsidRPr="00BC09CC">
        <w:rPr>
          <w:color w:val="000000" w:themeColor="text1"/>
        </w:rPr>
        <w:t>, and may be ascribed to more options for telework, and more negotiating power to telework in the market place</w:t>
      </w:r>
      <w:r w:rsidR="0079315B" w:rsidRPr="00BC09CC">
        <w:rPr>
          <w:color w:val="000000" w:themeColor="text1"/>
        </w:rPr>
        <w:t>, for individuals with high income earning potential</w:t>
      </w:r>
      <w:r w:rsidR="00CF0B50" w:rsidRPr="00BC09CC">
        <w:rPr>
          <w:color w:val="000000" w:themeColor="text1"/>
        </w:rPr>
        <w:t xml:space="preserve"> (see for example Tahlyan et al., 2022</w:t>
      </w:r>
      <w:r w:rsidR="00885C4A" w:rsidRPr="00BC09CC">
        <w:rPr>
          <w:color w:val="000000" w:themeColor="text1"/>
        </w:rPr>
        <w:t>b</w:t>
      </w:r>
      <w:r w:rsidR="00CF0B50" w:rsidRPr="00BC09CC">
        <w:rPr>
          <w:color w:val="000000" w:themeColor="text1"/>
        </w:rPr>
        <w:t>, Asmussen et al., 2023</w:t>
      </w:r>
      <w:r w:rsidR="00E751AD" w:rsidRPr="00BC09CC">
        <w:rPr>
          <w:color w:val="000000" w:themeColor="text1"/>
        </w:rPr>
        <w:t>,</w:t>
      </w:r>
      <w:r w:rsidR="00CF0B50" w:rsidRPr="00BC09CC">
        <w:rPr>
          <w:color w:val="000000" w:themeColor="text1"/>
        </w:rPr>
        <w:t xml:space="preserve"> He and Hu, 2015). </w:t>
      </w:r>
      <w:r w:rsidR="00E751AD" w:rsidRPr="00BC09CC">
        <w:rPr>
          <w:color w:val="000000" w:themeColor="text1"/>
        </w:rPr>
        <w:t>However, workers</w:t>
      </w:r>
      <w:r w:rsidR="00CF0B50" w:rsidRPr="00BC09CC">
        <w:rPr>
          <w:color w:val="000000" w:themeColor="text1"/>
        </w:rPr>
        <w:t xml:space="preserve"> with a household income of</w:t>
      </w:r>
      <w:r w:rsidR="0088328D" w:rsidRPr="00BC09CC">
        <w:rPr>
          <w:color w:val="000000" w:themeColor="text1"/>
        </w:rPr>
        <w:t xml:space="preserve"> $50,000 to</w:t>
      </w:r>
      <w:r w:rsidR="00CF0B50" w:rsidRPr="00BC09CC">
        <w:rPr>
          <w:color w:val="000000" w:themeColor="text1"/>
        </w:rPr>
        <w:t xml:space="preserve"> $99,999 prefer to telework more </w:t>
      </w:r>
      <w:r w:rsidRPr="00BC09CC">
        <w:rPr>
          <w:color w:val="000000" w:themeColor="text1"/>
        </w:rPr>
        <w:t xml:space="preserve">in their ideal situation </w:t>
      </w:r>
      <w:r w:rsidR="00CF0B50" w:rsidRPr="00BC09CC">
        <w:rPr>
          <w:color w:val="000000" w:themeColor="text1"/>
        </w:rPr>
        <w:t xml:space="preserve">than </w:t>
      </w:r>
      <w:r w:rsidR="00B307C7" w:rsidRPr="00BC09CC">
        <w:rPr>
          <w:color w:val="000000" w:themeColor="text1"/>
        </w:rPr>
        <w:t>their existing telework arrangement</w:t>
      </w:r>
      <w:r w:rsidR="00CF0B50" w:rsidRPr="00BC09CC">
        <w:rPr>
          <w:color w:val="000000" w:themeColor="text1"/>
        </w:rPr>
        <w:t xml:space="preserve">. </w:t>
      </w:r>
      <w:r w:rsidR="000D7BAD" w:rsidRPr="00BC09CC">
        <w:rPr>
          <w:color w:val="000000" w:themeColor="text1"/>
        </w:rPr>
        <w:t xml:space="preserve">Effectively, then, </w:t>
      </w:r>
      <w:r w:rsidR="00977F8D" w:rsidRPr="00BC09CC">
        <w:rPr>
          <w:color w:val="000000" w:themeColor="text1"/>
        </w:rPr>
        <w:t xml:space="preserve">as for ETF propensity, </w:t>
      </w:r>
      <w:r w:rsidR="000D7BAD" w:rsidRPr="00BC09CC">
        <w:rPr>
          <w:color w:val="000000" w:themeColor="text1"/>
        </w:rPr>
        <w:t xml:space="preserve">employees from the lowest household income bracket continue to indicate the lowest ITF propensity, and those from the highest household income bracket continue to express the highest </w:t>
      </w:r>
      <w:r w:rsidR="000D7BAD" w:rsidRPr="00BC09CC">
        <w:rPr>
          <w:color w:val="000000" w:themeColor="text1"/>
        </w:rPr>
        <w:lastRenderedPageBreak/>
        <w:t xml:space="preserve">ITF propensity, </w:t>
      </w:r>
      <w:r w:rsidR="00977F8D" w:rsidRPr="00BC09CC">
        <w:rPr>
          <w:color w:val="000000" w:themeColor="text1"/>
        </w:rPr>
        <w:t xml:space="preserve">but </w:t>
      </w:r>
      <w:r w:rsidR="000D7BAD" w:rsidRPr="00BC09CC">
        <w:rPr>
          <w:color w:val="000000" w:themeColor="text1"/>
        </w:rPr>
        <w:t xml:space="preserve">there is little difference in ITF propensity </w:t>
      </w:r>
      <w:r w:rsidR="00977F8D" w:rsidRPr="00BC09CC">
        <w:rPr>
          <w:color w:val="000000" w:themeColor="text1"/>
        </w:rPr>
        <w:t>between</w:t>
      </w:r>
      <w:r w:rsidR="000D7BAD" w:rsidRPr="00BC09CC">
        <w:rPr>
          <w:color w:val="000000" w:themeColor="text1"/>
        </w:rPr>
        <w:t xml:space="preserve"> the </w:t>
      </w:r>
      <w:r w:rsidR="00977F8D" w:rsidRPr="00BC09CC">
        <w:rPr>
          <w:color w:val="000000" w:themeColor="text1"/>
        </w:rPr>
        <w:t xml:space="preserve">two </w:t>
      </w:r>
      <w:r w:rsidR="000D7BAD" w:rsidRPr="00BC09CC">
        <w:rPr>
          <w:color w:val="000000" w:themeColor="text1"/>
        </w:rPr>
        <w:t>middle income brackets</w:t>
      </w:r>
      <w:r w:rsidR="00DB1088" w:rsidRPr="00BC09CC">
        <w:rPr>
          <w:color w:val="000000" w:themeColor="text1"/>
        </w:rPr>
        <w:t xml:space="preserve"> of $50,000-$99,999 (ITF propensity effect of -</w:t>
      </w:r>
      <w:r w:rsidR="000D24E5" w:rsidRPr="00BC09CC">
        <w:rPr>
          <w:color w:val="000000" w:themeColor="text1"/>
        </w:rPr>
        <w:t xml:space="preserve">0.226 = -0.442+0.216) </w:t>
      </w:r>
      <w:r w:rsidR="00DB1088" w:rsidRPr="00BC09CC">
        <w:rPr>
          <w:color w:val="000000" w:themeColor="text1"/>
        </w:rPr>
        <w:t>and $100,000-$149,999 (</w:t>
      </w:r>
      <w:r w:rsidR="000D24E5" w:rsidRPr="00BC09CC">
        <w:rPr>
          <w:color w:val="000000" w:themeColor="text1"/>
        </w:rPr>
        <w:t>-0.328)</w:t>
      </w:r>
      <w:r w:rsidR="000D7BAD" w:rsidRPr="00BC09CC">
        <w:rPr>
          <w:color w:val="000000" w:themeColor="text1"/>
        </w:rPr>
        <w:t xml:space="preserve">.  </w:t>
      </w:r>
    </w:p>
    <w:p w14:paraId="27845F19" w14:textId="38292E78" w:rsidR="00CF0B50" w:rsidRPr="00BC09CC" w:rsidRDefault="00977F8D" w:rsidP="00BC09CC">
      <w:pPr>
        <w:ind w:firstLine="720"/>
        <w:jc w:val="both"/>
        <w:rPr>
          <w:color w:val="000000" w:themeColor="text1"/>
        </w:rPr>
      </w:pPr>
      <w:r w:rsidRPr="00BC09CC">
        <w:rPr>
          <w:color w:val="000000" w:themeColor="text1"/>
        </w:rPr>
        <w:t xml:space="preserve">With regard to </w:t>
      </w:r>
      <w:r w:rsidR="0088328D" w:rsidRPr="00BC09CC">
        <w:rPr>
          <w:color w:val="000000" w:themeColor="text1"/>
        </w:rPr>
        <w:t xml:space="preserve">household vehicle </w:t>
      </w:r>
      <w:r w:rsidRPr="00BC09CC">
        <w:rPr>
          <w:color w:val="000000" w:themeColor="text1"/>
        </w:rPr>
        <w:t>availability effects</w:t>
      </w:r>
      <w:r w:rsidR="0088328D" w:rsidRPr="00BC09CC">
        <w:rPr>
          <w:color w:val="000000" w:themeColor="text1"/>
        </w:rPr>
        <w:t xml:space="preserve">, </w:t>
      </w:r>
      <w:r w:rsidR="00CF0B50" w:rsidRPr="00BC09CC">
        <w:rPr>
          <w:color w:val="000000" w:themeColor="text1"/>
        </w:rPr>
        <w:t xml:space="preserve">households with more vehicles than household members (i.e., </w:t>
      </w:r>
      <w:r w:rsidRPr="00BC09CC">
        <w:rPr>
          <w:color w:val="000000" w:themeColor="text1"/>
        </w:rPr>
        <w:t>with</w:t>
      </w:r>
      <w:r w:rsidR="00CF0B50" w:rsidRPr="00BC09CC">
        <w:rPr>
          <w:color w:val="000000" w:themeColor="text1"/>
        </w:rPr>
        <w:t xml:space="preserve"> a surplus of vehicles) </w:t>
      </w:r>
      <w:r w:rsidR="00F31CE0">
        <w:rPr>
          <w:color w:val="000000" w:themeColor="text1"/>
        </w:rPr>
        <w:t xml:space="preserve">appear to </w:t>
      </w:r>
      <w:r w:rsidR="00CF0B50" w:rsidRPr="00BC09CC">
        <w:rPr>
          <w:color w:val="000000" w:themeColor="text1"/>
        </w:rPr>
        <w:t xml:space="preserve">have a lower </w:t>
      </w:r>
      <w:r w:rsidRPr="00BC09CC">
        <w:rPr>
          <w:color w:val="000000" w:themeColor="text1"/>
        </w:rPr>
        <w:t xml:space="preserve">ETF </w:t>
      </w:r>
      <w:r w:rsidR="00CF0B50" w:rsidRPr="00BC09CC">
        <w:rPr>
          <w:color w:val="000000" w:themeColor="text1"/>
        </w:rPr>
        <w:t>propensity</w:t>
      </w:r>
      <w:r w:rsidRPr="00BC09CC">
        <w:rPr>
          <w:color w:val="000000" w:themeColor="text1"/>
        </w:rPr>
        <w:t xml:space="preserve"> </w:t>
      </w:r>
      <w:r w:rsidR="00CF0B50" w:rsidRPr="00BC09CC">
        <w:rPr>
          <w:color w:val="000000" w:themeColor="text1"/>
        </w:rPr>
        <w:t>relative to households with the same number or less vehicles than household members</w:t>
      </w:r>
      <w:r w:rsidRPr="00BC09CC">
        <w:rPr>
          <w:color w:val="000000" w:themeColor="text1"/>
        </w:rPr>
        <w:t xml:space="preserve">, a result consistent with the findings from </w:t>
      </w:r>
      <w:r w:rsidR="00CF0B50" w:rsidRPr="00BC09CC">
        <w:rPr>
          <w:color w:val="000000" w:themeColor="text1"/>
        </w:rPr>
        <w:t>Sweet and Scott</w:t>
      </w:r>
      <w:r w:rsidRPr="00BC09CC">
        <w:rPr>
          <w:color w:val="000000" w:themeColor="text1"/>
        </w:rPr>
        <w:t xml:space="preserve"> (</w:t>
      </w:r>
      <w:r w:rsidR="00CF0B50" w:rsidRPr="00BC09CC">
        <w:rPr>
          <w:color w:val="000000" w:themeColor="text1"/>
        </w:rPr>
        <w:t>202</w:t>
      </w:r>
      <w:r w:rsidR="00EA4634" w:rsidRPr="00BC09CC">
        <w:rPr>
          <w:color w:val="000000" w:themeColor="text1"/>
        </w:rPr>
        <w:t>2</w:t>
      </w:r>
      <w:r w:rsidR="00CF0B50" w:rsidRPr="00BC09CC">
        <w:rPr>
          <w:color w:val="000000" w:themeColor="text1"/>
        </w:rPr>
        <w:t>)</w:t>
      </w:r>
      <w:r w:rsidR="00834A4C">
        <w:rPr>
          <w:color w:val="000000" w:themeColor="text1"/>
        </w:rPr>
        <w:t xml:space="preserve"> (though, in our analysis, this result is statistically significant at only the 85% confidence level).</w:t>
      </w:r>
      <w:r w:rsidR="00CF0B50" w:rsidRPr="00BC09CC">
        <w:rPr>
          <w:color w:val="000000" w:themeColor="text1"/>
        </w:rPr>
        <w:t xml:space="preserve"> </w:t>
      </w:r>
      <w:r w:rsidRPr="00BC09CC">
        <w:rPr>
          <w:color w:val="000000" w:themeColor="text1"/>
        </w:rPr>
        <w:t xml:space="preserve">In an ideal situation, though, this telework propensity difference based on vehicle availability </w:t>
      </w:r>
      <w:r w:rsidR="008C3530" w:rsidRPr="00BC09CC">
        <w:rPr>
          <w:color w:val="000000" w:themeColor="text1"/>
        </w:rPr>
        <w:t xml:space="preserve">becomes statistically insignificant </w:t>
      </w:r>
      <w:r w:rsidRPr="00BC09CC">
        <w:rPr>
          <w:color w:val="000000" w:themeColor="text1"/>
        </w:rPr>
        <w:t>(the vehicle availability effect on ITF propensity is +0.09</w:t>
      </w:r>
      <w:r w:rsidR="000D24E5" w:rsidRPr="00BC09CC">
        <w:rPr>
          <w:color w:val="000000" w:themeColor="text1"/>
        </w:rPr>
        <w:t>4</w:t>
      </w:r>
      <w:r w:rsidRPr="00BC09CC">
        <w:rPr>
          <w:color w:val="000000" w:themeColor="text1"/>
        </w:rPr>
        <w:t xml:space="preserve"> (0.21</w:t>
      </w:r>
      <w:r w:rsidR="000D24E5" w:rsidRPr="00BC09CC">
        <w:rPr>
          <w:color w:val="000000" w:themeColor="text1"/>
        </w:rPr>
        <w:t>4</w:t>
      </w:r>
      <w:r w:rsidRPr="00BC09CC">
        <w:rPr>
          <w:color w:val="000000" w:themeColor="text1"/>
        </w:rPr>
        <w:t>-0.1</w:t>
      </w:r>
      <w:r w:rsidR="000D24E5" w:rsidRPr="00BC09CC">
        <w:rPr>
          <w:color w:val="000000" w:themeColor="text1"/>
        </w:rPr>
        <w:t>20</w:t>
      </w:r>
      <w:r w:rsidRPr="00BC09CC">
        <w:rPr>
          <w:color w:val="000000" w:themeColor="text1"/>
        </w:rPr>
        <w:t xml:space="preserve">) with a corresponding t-statistic of only </w:t>
      </w:r>
      <w:r w:rsidR="008C3530" w:rsidRPr="00BC09CC">
        <w:rPr>
          <w:color w:val="000000" w:themeColor="text1"/>
        </w:rPr>
        <w:t>0.</w:t>
      </w:r>
      <w:r w:rsidR="000D24E5" w:rsidRPr="00BC09CC">
        <w:rPr>
          <w:color w:val="000000" w:themeColor="text1"/>
        </w:rPr>
        <w:t>67</w:t>
      </w:r>
      <w:r w:rsidR="008C3530" w:rsidRPr="00BC09CC">
        <w:rPr>
          <w:color w:val="000000" w:themeColor="text1"/>
        </w:rPr>
        <w:t xml:space="preserve">). Overall, it appears that many of the individual/household demographic effects are tempered in their effects on ITF propensity relative to their effects </w:t>
      </w:r>
      <w:r w:rsidR="000D24E5" w:rsidRPr="00BC09CC">
        <w:rPr>
          <w:color w:val="000000" w:themeColor="text1"/>
        </w:rPr>
        <w:t>on</w:t>
      </w:r>
      <w:r w:rsidR="008C3530" w:rsidRPr="00BC09CC">
        <w:rPr>
          <w:color w:val="000000" w:themeColor="text1"/>
        </w:rPr>
        <w:t xml:space="preserve"> ETF propensity, suggesting that the pandemic </w:t>
      </w:r>
      <w:r w:rsidR="00027F80" w:rsidRPr="00BC09CC">
        <w:rPr>
          <w:color w:val="000000" w:themeColor="text1"/>
        </w:rPr>
        <w:t xml:space="preserve">has opened up telework possibility in the minds of individuals from all demographic segments of society. </w:t>
      </w:r>
    </w:p>
    <w:p w14:paraId="5F59967F" w14:textId="77777777" w:rsidR="006C5847" w:rsidRPr="00BC09CC" w:rsidRDefault="006C5847" w:rsidP="00BC09CC">
      <w:pPr>
        <w:ind w:firstLine="720"/>
        <w:jc w:val="both"/>
        <w:rPr>
          <w:color w:val="FF0000"/>
        </w:rPr>
      </w:pPr>
    </w:p>
    <w:p w14:paraId="1C410BAA" w14:textId="135B1314" w:rsidR="00CF0B50" w:rsidRPr="00BC09CC" w:rsidRDefault="00CF0B50" w:rsidP="00BC09CC">
      <w:pPr>
        <w:pStyle w:val="Heading3"/>
        <w:spacing w:before="0"/>
        <w:rPr>
          <w:rFonts w:ascii="Times New Roman" w:hAnsi="Times New Roman" w:cs="Times New Roman"/>
          <w:color w:val="000000" w:themeColor="text1"/>
          <w:u w:val="single"/>
        </w:rPr>
      </w:pPr>
      <w:r w:rsidRPr="00BC09CC">
        <w:rPr>
          <w:rFonts w:ascii="Times New Roman" w:hAnsi="Times New Roman" w:cs="Times New Roman"/>
          <w:i/>
          <w:color w:val="000000" w:themeColor="text1"/>
        </w:rPr>
        <w:t>4.1.</w:t>
      </w:r>
      <w:r w:rsidR="00AC02B7">
        <w:rPr>
          <w:rFonts w:ascii="Times New Roman" w:hAnsi="Times New Roman" w:cs="Times New Roman"/>
          <w:i/>
          <w:color w:val="000000" w:themeColor="text1"/>
        </w:rPr>
        <w:t>2</w:t>
      </w:r>
      <w:r w:rsidRPr="00BC09CC">
        <w:rPr>
          <w:rFonts w:ascii="Times New Roman" w:hAnsi="Times New Roman" w:cs="Times New Roman"/>
          <w:i/>
          <w:color w:val="000000" w:themeColor="text1"/>
        </w:rPr>
        <w:t>.</w:t>
      </w:r>
      <w:r w:rsidRPr="00BC09CC">
        <w:rPr>
          <w:rFonts w:ascii="Times New Roman" w:hAnsi="Times New Roman" w:cs="Times New Roman"/>
          <w:i/>
          <w:color w:val="000000" w:themeColor="text1"/>
        </w:rPr>
        <w:tab/>
      </w:r>
      <w:r w:rsidRPr="00BC09CC">
        <w:rPr>
          <w:rFonts w:ascii="Times New Roman" w:hAnsi="Times New Roman" w:cs="Times New Roman"/>
          <w:i/>
          <w:iCs/>
          <w:color w:val="000000" w:themeColor="text1"/>
        </w:rPr>
        <w:t>Job</w:t>
      </w:r>
      <w:r w:rsidR="000D24E5" w:rsidRPr="00BC09CC">
        <w:rPr>
          <w:rFonts w:ascii="Times New Roman" w:hAnsi="Times New Roman" w:cs="Times New Roman"/>
          <w:i/>
          <w:iCs/>
          <w:color w:val="000000" w:themeColor="text1"/>
        </w:rPr>
        <w:t>-Related</w:t>
      </w:r>
      <w:r w:rsidRPr="00BC09CC">
        <w:rPr>
          <w:rFonts w:ascii="Times New Roman" w:hAnsi="Times New Roman" w:cs="Times New Roman"/>
          <w:i/>
          <w:iCs/>
          <w:color w:val="000000" w:themeColor="text1"/>
        </w:rPr>
        <w:t xml:space="preserve"> Characteristics</w:t>
      </w:r>
    </w:p>
    <w:p w14:paraId="09172B36" w14:textId="12A1DE08" w:rsidR="00CF0B50" w:rsidRPr="00BC09CC" w:rsidRDefault="00027F80" w:rsidP="00BC09CC">
      <w:pPr>
        <w:jc w:val="both"/>
        <w:rPr>
          <w:color w:val="000000" w:themeColor="text1"/>
          <w:u w:val="single"/>
        </w:rPr>
      </w:pPr>
      <w:r w:rsidRPr="00BC09CC">
        <w:rPr>
          <w:color w:val="000000" w:themeColor="text1"/>
        </w:rPr>
        <w:t xml:space="preserve">Within the set of job characteristics, </w:t>
      </w:r>
      <w:r w:rsidRPr="00BC09CC">
        <w:rPr>
          <w:bCs/>
        </w:rPr>
        <w:t xml:space="preserve">the occupation effects are consistent with expectations, with </w:t>
      </w:r>
      <w:r w:rsidR="00946868" w:rsidRPr="00BC09CC">
        <w:rPr>
          <w:bCs/>
        </w:rPr>
        <w:t xml:space="preserve">those in </w:t>
      </w:r>
      <w:r w:rsidRPr="00BC09CC">
        <w:rPr>
          <w:bCs/>
        </w:rPr>
        <w:t xml:space="preserve">frontline occupations (education, manufacturing/construction, and medical </w:t>
      </w:r>
      <w:r w:rsidR="00946868" w:rsidRPr="00BC09CC">
        <w:rPr>
          <w:bCs/>
        </w:rPr>
        <w:t xml:space="preserve">sectors) </w:t>
      </w:r>
      <w:r w:rsidRPr="00BC09CC">
        <w:rPr>
          <w:bCs/>
        </w:rPr>
        <w:t xml:space="preserve">exhibiting a lower </w:t>
      </w:r>
      <w:r w:rsidR="00946868" w:rsidRPr="00BC09CC">
        <w:rPr>
          <w:bCs/>
        </w:rPr>
        <w:t>ETF propensity</w:t>
      </w:r>
      <w:r w:rsidRPr="00BC09CC">
        <w:rPr>
          <w:bCs/>
        </w:rPr>
        <w:t xml:space="preserve">, </w:t>
      </w:r>
      <w:r w:rsidR="000D24E5" w:rsidRPr="00BC09CC">
        <w:rPr>
          <w:bCs/>
        </w:rPr>
        <w:t>and</w:t>
      </w:r>
      <w:r w:rsidRPr="00BC09CC">
        <w:rPr>
          <w:bCs/>
        </w:rPr>
        <w:t xml:space="preserve"> those in the </w:t>
      </w:r>
      <w:r w:rsidR="00946868" w:rsidRPr="00BC09CC">
        <w:rPr>
          <w:bCs/>
        </w:rPr>
        <w:t>professional, managerial, and technical professions exhibiting a higher ETF propensity, relative to those in public administration, s</w:t>
      </w:r>
      <w:r w:rsidR="000D24E5" w:rsidRPr="00BC09CC">
        <w:rPr>
          <w:bCs/>
        </w:rPr>
        <w:t>ervices</w:t>
      </w:r>
      <w:r w:rsidR="00946868" w:rsidRPr="00BC09CC">
        <w:rPr>
          <w:bCs/>
        </w:rPr>
        <w:t xml:space="preserve">/retail, </w:t>
      </w:r>
      <w:r w:rsidR="000D24E5" w:rsidRPr="00BC09CC">
        <w:rPr>
          <w:bCs/>
        </w:rPr>
        <w:t xml:space="preserve">transportation, </w:t>
      </w:r>
      <w:r w:rsidR="00946868" w:rsidRPr="00BC09CC">
        <w:rPr>
          <w:bCs/>
        </w:rPr>
        <w:t>and business-related sectors</w:t>
      </w:r>
      <w:r w:rsidRPr="00BC09CC">
        <w:rPr>
          <w:bCs/>
        </w:rPr>
        <w:t xml:space="preserve"> (</w:t>
      </w:r>
      <w:r w:rsidRPr="00BC09CC">
        <w:t>Astroza et al., 2020</w:t>
      </w:r>
      <w:r w:rsidR="00E763A7" w:rsidRPr="00BC09CC">
        <w:t xml:space="preserve">; </w:t>
      </w:r>
      <w:r w:rsidR="00E763A7" w:rsidRPr="00BC09CC">
        <w:rPr>
          <w:color w:val="000000" w:themeColor="text1"/>
        </w:rPr>
        <w:t>Dey et al., 2020; López-</w:t>
      </w:r>
      <w:proofErr w:type="spellStart"/>
      <w:r w:rsidR="00E763A7" w:rsidRPr="00BC09CC">
        <w:rPr>
          <w:color w:val="000000" w:themeColor="text1"/>
        </w:rPr>
        <w:t>Igual</w:t>
      </w:r>
      <w:proofErr w:type="spellEnd"/>
      <w:r w:rsidR="00E763A7" w:rsidRPr="00BC09CC">
        <w:rPr>
          <w:color w:val="000000" w:themeColor="text1"/>
        </w:rPr>
        <w:t xml:space="preserve"> and Rodríguez-</w:t>
      </w:r>
      <w:proofErr w:type="spellStart"/>
      <w:r w:rsidR="00E763A7" w:rsidRPr="00BC09CC">
        <w:rPr>
          <w:color w:val="000000" w:themeColor="text1"/>
        </w:rPr>
        <w:t>Modroño</w:t>
      </w:r>
      <w:proofErr w:type="spellEnd"/>
      <w:r w:rsidR="00E763A7" w:rsidRPr="00BC09CC">
        <w:rPr>
          <w:color w:val="000000" w:themeColor="text1"/>
        </w:rPr>
        <w:t>, 2020</w:t>
      </w:r>
      <w:r w:rsidRPr="00BC09CC">
        <w:rPr>
          <w:bCs/>
        </w:rPr>
        <w:t xml:space="preserve">). </w:t>
      </w:r>
      <w:r w:rsidR="00E763A7" w:rsidRPr="00BC09CC">
        <w:rPr>
          <w:bCs/>
        </w:rPr>
        <w:t xml:space="preserve">These differential teleworking intensities across sectors carry over to ITF propensity too, except </w:t>
      </w:r>
      <w:proofErr w:type="gramStart"/>
      <w:r w:rsidR="00E763A7" w:rsidRPr="00BC09CC">
        <w:rPr>
          <w:bCs/>
        </w:rPr>
        <w:t>that</w:t>
      </w:r>
      <w:r w:rsidR="000D24E5" w:rsidRPr="00BC09CC">
        <w:rPr>
          <w:bCs/>
        </w:rPr>
        <w:t xml:space="preserve"> </w:t>
      </w:r>
      <w:r w:rsidR="00946868" w:rsidRPr="00BC09CC">
        <w:rPr>
          <w:color w:val="000000" w:themeColor="text1"/>
        </w:rPr>
        <w:t>individuals</w:t>
      </w:r>
      <w:proofErr w:type="gramEnd"/>
      <w:r w:rsidR="000D24E5" w:rsidRPr="00BC09CC">
        <w:rPr>
          <w:color w:val="000000" w:themeColor="text1"/>
        </w:rPr>
        <w:t xml:space="preserve"> </w:t>
      </w:r>
      <w:r w:rsidR="00946868" w:rsidRPr="00BC09CC">
        <w:rPr>
          <w:color w:val="000000" w:themeColor="text1"/>
        </w:rPr>
        <w:t>in</w:t>
      </w:r>
      <w:r w:rsidR="000D24E5" w:rsidRPr="00BC09CC">
        <w:rPr>
          <w:color w:val="000000" w:themeColor="text1"/>
        </w:rPr>
        <w:t xml:space="preserve"> </w:t>
      </w:r>
      <w:r w:rsidR="00946868" w:rsidRPr="00BC09CC">
        <w:rPr>
          <w:color w:val="000000" w:themeColor="text1"/>
        </w:rPr>
        <w:t xml:space="preserve">the medical profession (i.e., first responders and other healthcare workers) would prefer to telework more than their existing telework arrangement (based on </w:t>
      </w:r>
      <w:r w:rsidR="00946868" w:rsidRPr="00BC09CC">
        <w:rPr>
          <w:bCs/>
        </w:rPr>
        <w:t>the positive coefficient for the medical sector corresponding to the ITF shift effect). The uptake of telemedicine during COVID appears to have tempered the perception among medical employees that they must go into the work office routinely</w:t>
      </w:r>
      <w:r w:rsidR="00E763A7" w:rsidRPr="00BC09CC">
        <w:rPr>
          <w:bCs/>
        </w:rPr>
        <w:t xml:space="preserve"> to pursue their job effectively</w:t>
      </w:r>
      <w:r w:rsidR="00946868" w:rsidRPr="00BC09CC">
        <w:rPr>
          <w:bCs/>
        </w:rPr>
        <w:t xml:space="preserve">, </w:t>
      </w:r>
      <w:r w:rsidR="00E763A7" w:rsidRPr="00BC09CC">
        <w:rPr>
          <w:bCs/>
        </w:rPr>
        <w:t>thus fueling a</w:t>
      </w:r>
      <w:r w:rsidR="00946868" w:rsidRPr="00BC09CC">
        <w:rPr>
          <w:bCs/>
        </w:rPr>
        <w:t xml:space="preserve"> desire for more telework</w:t>
      </w:r>
      <w:r w:rsidRPr="00BC09CC">
        <w:rPr>
          <w:bCs/>
        </w:rPr>
        <w:t xml:space="preserve"> (</w:t>
      </w:r>
      <w:proofErr w:type="spellStart"/>
      <w:r w:rsidRPr="00BC09CC">
        <w:t>Wosik</w:t>
      </w:r>
      <w:proofErr w:type="spellEnd"/>
      <w:r w:rsidRPr="00BC09CC">
        <w:t xml:space="preserve"> et al., 2020</w:t>
      </w:r>
      <w:r w:rsidRPr="00BC09CC">
        <w:rPr>
          <w:bCs/>
        </w:rPr>
        <w:t xml:space="preserve">). </w:t>
      </w:r>
    </w:p>
    <w:p w14:paraId="44D9A9B8" w14:textId="11064922" w:rsidR="00CF0B50" w:rsidRPr="00BC09CC" w:rsidRDefault="00C6687F" w:rsidP="00BC09CC">
      <w:pPr>
        <w:ind w:firstLine="720"/>
        <w:jc w:val="both"/>
        <w:rPr>
          <w:color w:val="000000" w:themeColor="text1"/>
        </w:rPr>
      </w:pPr>
      <w:r w:rsidRPr="00BC09CC">
        <w:rPr>
          <w:color w:val="000000" w:themeColor="text1"/>
        </w:rPr>
        <w:t>Also</w:t>
      </w:r>
      <w:r w:rsidR="00D01557" w:rsidRPr="00BC09CC">
        <w:rPr>
          <w:color w:val="000000" w:themeColor="text1"/>
        </w:rPr>
        <w:t>, in the set of job characteristics</w:t>
      </w:r>
      <w:r w:rsidR="00B8664A" w:rsidRPr="00BC09CC">
        <w:rPr>
          <w:color w:val="000000" w:themeColor="text1"/>
        </w:rPr>
        <w:t xml:space="preserve">, </w:t>
      </w:r>
      <w:r w:rsidR="00CF0B50" w:rsidRPr="00BC09CC">
        <w:rPr>
          <w:color w:val="000000" w:themeColor="text1"/>
        </w:rPr>
        <w:t xml:space="preserve">individuals </w:t>
      </w:r>
      <w:r w:rsidR="00B8664A" w:rsidRPr="00BC09CC">
        <w:rPr>
          <w:color w:val="000000" w:themeColor="text1"/>
        </w:rPr>
        <w:t xml:space="preserve">employed in small-sized firms </w:t>
      </w:r>
      <w:r w:rsidR="00CF0B50" w:rsidRPr="00BC09CC">
        <w:rPr>
          <w:color w:val="000000" w:themeColor="text1"/>
        </w:rPr>
        <w:t xml:space="preserve">(1 to 9 workers) have </w:t>
      </w:r>
      <w:r w:rsidR="00B8664A" w:rsidRPr="00BC09CC">
        <w:rPr>
          <w:color w:val="000000" w:themeColor="text1"/>
        </w:rPr>
        <w:t>the</w:t>
      </w:r>
      <w:r w:rsidR="00CF0B50" w:rsidRPr="00BC09CC">
        <w:rPr>
          <w:color w:val="000000" w:themeColor="text1"/>
        </w:rPr>
        <w:t xml:space="preserve"> high</w:t>
      </w:r>
      <w:r w:rsidR="00B8664A" w:rsidRPr="00BC09CC">
        <w:rPr>
          <w:color w:val="000000" w:themeColor="text1"/>
        </w:rPr>
        <w:t>est</w:t>
      </w:r>
      <w:r w:rsidR="00CF0B50" w:rsidRPr="00BC09CC">
        <w:rPr>
          <w:color w:val="000000" w:themeColor="text1"/>
        </w:rPr>
        <w:t xml:space="preserve"> </w:t>
      </w:r>
      <w:r w:rsidR="00B8664A" w:rsidRPr="00BC09CC">
        <w:rPr>
          <w:color w:val="000000" w:themeColor="text1"/>
        </w:rPr>
        <w:t xml:space="preserve">ETF </w:t>
      </w:r>
      <w:r w:rsidR="00CF0B50" w:rsidRPr="00BC09CC">
        <w:rPr>
          <w:color w:val="000000" w:themeColor="text1"/>
        </w:rPr>
        <w:t>propensity</w:t>
      </w:r>
      <w:r w:rsidR="00B8664A" w:rsidRPr="00BC09CC">
        <w:rPr>
          <w:color w:val="000000" w:themeColor="text1"/>
        </w:rPr>
        <w:t>, while those in mid-sized firms (10 to 99 workers) have the lowest ETF propensity. Zhang et al. (2020) and Haider and Anwar (2023) similarly find that those employed in smaller and larger firms have more teleworking opportunit</w:t>
      </w:r>
      <w:r w:rsidR="003701F6" w:rsidRPr="00BC09CC">
        <w:rPr>
          <w:color w:val="000000" w:themeColor="text1"/>
        </w:rPr>
        <w:t>i</w:t>
      </w:r>
      <w:r w:rsidR="00B8664A" w:rsidRPr="00BC09CC">
        <w:rPr>
          <w:color w:val="000000" w:themeColor="text1"/>
        </w:rPr>
        <w:t>es than those in mid-sized f</w:t>
      </w:r>
      <w:r w:rsidR="00DA5034" w:rsidRPr="00BC09CC">
        <w:rPr>
          <w:color w:val="000000" w:themeColor="text1"/>
        </w:rPr>
        <w:t>i</w:t>
      </w:r>
      <w:r w:rsidR="00B8664A" w:rsidRPr="00BC09CC">
        <w:rPr>
          <w:color w:val="000000" w:themeColor="text1"/>
        </w:rPr>
        <w:t xml:space="preserve">rms. The higher ETF propensity of employees of small-sized firms gets tempered in the context of ITF propensity, to the point that there is no difference between those employed in small-sized or large-sized firms. That is, employees in small-sized firms desire less teleworking than currently, perhaps because their current teleworking arrangement is dictated by lack of office space and not </w:t>
      </w:r>
      <w:r w:rsidR="00477A39" w:rsidRPr="00BC09CC">
        <w:rPr>
          <w:color w:val="000000" w:themeColor="text1"/>
        </w:rPr>
        <w:t xml:space="preserve">reflective of </w:t>
      </w:r>
      <w:r w:rsidR="00B8664A" w:rsidRPr="00BC09CC">
        <w:rPr>
          <w:color w:val="000000" w:themeColor="text1"/>
        </w:rPr>
        <w:t xml:space="preserve">their ideal preference.  </w:t>
      </w:r>
    </w:p>
    <w:p w14:paraId="6AF50086" w14:textId="77777777" w:rsidR="00E55E66" w:rsidRPr="00BC09CC" w:rsidRDefault="00E55E66" w:rsidP="00BC09CC">
      <w:pPr>
        <w:ind w:firstLine="720"/>
        <w:jc w:val="both"/>
        <w:rPr>
          <w:color w:val="000000" w:themeColor="text1"/>
        </w:rPr>
      </w:pPr>
    </w:p>
    <w:p w14:paraId="6D50C3BE" w14:textId="61B7D559" w:rsidR="00CF0B50" w:rsidRPr="00BC09CC" w:rsidRDefault="00CF0B50" w:rsidP="00BC09CC">
      <w:pPr>
        <w:pStyle w:val="Heading3"/>
        <w:spacing w:before="0"/>
        <w:rPr>
          <w:rFonts w:ascii="Times New Roman" w:hAnsi="Times New Roman" w:cs="Times New Roman"/>
          <w:i/>
          <w:iCs/>
          <w:color w:val="000000" w:themeColor="text1"/>
        </w:rPr>
      </w:pPr>
      <w:r w:rsidRPr="00BC09CC">
        <w:rPr>
          <w:rFonts w:ascii="Times New Roman" w:hAnsi="Times New Roman" w:cs="Times New Roman"/>
          <w:i/>
          <w:color w:val="000000" w:themeColor="text1"/>
        </w:rPr>
        <w:t>4.1.</w:t>
      </w:r>
      <w:r w:rsidR="00AC02B7">
        <w:rPr>
          <w:rFonts w:ascii="Times New Roman" w:hAnsi="Times New Roman" w:cs="Times New Roman"/>
          <w:i/>
          <w:color w:val="000000" w:themeColor="text1"/>
        </w:rPr>
        <w:t>3</w:t>
      </w:r>
      <w:r w:rsidRPr="00BC09CC">
        <w:rPr>
          <w:rFonts w:ascii="Times New Roman" w:hAnsi="Times New Roman" w:cs="Times New Roman"/>
          <w:i/>
          <w:color w:val="000000" w:themeColor="text1"/>
        </w:rPr>
        <w:t>.</w:t>
      </w:r>
      <w:r w:rsidRPr="00BC09CC">
        <w:rPr>
          <w:rFonts w:ascii="Times New Roman" w:hAnsi="Times New Roman" w:cs="Times New Roman"/>
          <w:i/>
          <w:color w:val="000000" w:themeColor="text1"/>
        </w:rPr>
        <w:tab/>
      </w:r>
      <w:r w:rsidRPr="00BC09CC">
        <w:rPr>
          <w:rFonts w:ascii="Times New Roman" w:hAnsi="Times New Roman" w:cs="Times New Roman"/>
          <w:i/>
          <w:iCs/>
          <w:color w:val="000000" w:themeColor="text1"/>
        </w:rPr>
        <w:t xml:space="preserve">Residential </w:t>
      </w:r>
      <w:r w:rsidR="00477A39" w:rsidRPr="00BC09CC">
        <w:rPr>
          <w:rFonts w:ascii="Times New Roman" w:hAnsi="Times New Roman" w:cs="Times New Roman"/>
          <w:i/>
          <w:iCs/>
          <w:color w:val="000000" w:themeColor="text1"/>
        </w:rPr>
        <w:t>Attributes</w:t>
      </w:r>
    </w:p>
    <w:p w14:paraId="7445117E" w14:textId="6B6FEB1E" w:rsidR="00CE7142" w:rsidRPr="00BC09CC" w:rsidRDefault="000D24E5" w:rsidP="00BC09CC">
      <w:pPr>
        <w:jc w:val="both"/>
        <w:rPr>
          <w:color w:val="000000" w:themeColor="text1"/>
        </w:rPr>
      </w:pPr>
      <w:r w:rsidRPr="00BC09CC">
        <w:rPr>
          <w:color w:val="000000" w:themeColor="text1"/>
        </w:rPr>
        <w:t xml:space="preserve">The </w:t>
      </w:r>
      <w:r w:rsidR="007975B7" w:rsidRPr="00BC09CC">
        <w:rPr>
          <w:color w:val="000000" w:themeColor="text1"/>
        </w:rPr>
        <w:t xml:space="preserve">residential </w:t>
      </w:r>
      <w:r w:rsidR="00C6687F" w:rsidRPr="00BC09CC">
        <w:rPr>
          <w:color w:val="000000" w:themeColor="text1"/>
        </w:rPr>
        <w:t>attributes</w:t>
      </w:r>
      <w:r w:rsidRPr="00BC09CC">
        <w:rPr>
          <w:color w:val="000000" w:themeColor="text1"/>
        </w:rPr>
        <w:t xml:space="preserve"> that turned out to be statistically significant in our specification include </w:t>
      </w:r>
      <w:r w:rsidR="00C6687F" w:rsidRPr="00BC09CC">
        <w:rPr>
          <w:color w:val="000000" w:themeColor="text1"/>
        </w:rPr>
        <w:t xml:space="preserve">residential </w:t>
      </w:r>
      <w:r w:rsidR="007975B7" w:rsidRPr="00BC09CC">
        <w:rPr>
          <w:color w:val="000000" w:themeColor="text1"/>
        </w:rPr>
        <w:t>location (characterized by</w:t>
      </w:r>
      <w:r w:rsidR="00C6687F" w:rsidRPr="00BC09CC">
        <w:rPr>
          <w:color w:val="000000" w:themeColor="text1"/>
        </w:rPr>
        <w:t xml:space="preserve"> distance to the work office, density type of neighborhood in the three categories of </w:t>
      </w:r>
      <w:r w:rsidR="007975B7" w:rsidRPr="00BC09CC">
        <w:rPr>
          <w:color w:val="000000" w:themeColor="text1"/>
        </w:rPr>
        <w:t xml:space="preserve">urban, suburban, and rural, </w:t>
      </w:r>
      <w:r w:rsidR="00C6687F" w:rsidRPr="00BC09CC">
        <w:rPr>
          <w:color w:val="000000" w:themeColor="text1"/>
        </w:rPr>
        <w:t xml:space="preserve">and </w:t>
      </w:r>
      <w:r w:rsidR="007975B7" w:rsidRPr="00BC09CC">
        <w:rPr>
          <w:color w:val="000000" w:themeColor="text1"/>
        </w:rPr>
        <w:t>U.S. state of residence)</w:t>
      </w:r>
      <w:r w:rsidR="00CF0B50" w:rsidRPr="00BC09CC">
        <w:rPr>
          <w:color w:val="000000" w:themeColor="text1"/>
        </w:rPr>
        <w:t xml:space="preserve">, </w:t>
      </w:r>
      <w:r w:rsidRPr="00BC09CC">
        <w:rPr>
          <w:color w:val="000000" w:themeColor="text1"/>
        </w:rPr>
        <w:t xml:space="preserve">and </w:t>
      </w:r>
      <w:r w:rsidR="007975B7" w:rsidRPr="00BC09CC">
        <w:rPr>
          <w:color w:val="000000" w:themeColor="text1"/>
        </w:rPr>
        <w:t xml:space="preserve">housing </w:t>
      </w:r>
      <w:r w:rsidR="00CF0B50" w:rsidRPr="00BC09CC">
        <w:rPr>
          <w:color w:val="000000" w:themeColor="text1"/>
        </w:rPr>
        <w:t>tenure</w:t>
      </w:r>
      <w:r w:rsidR="007975B7" w:rsidRPr="00BC09CC">
        <w:rPr>
          <w:color w:val="000000" w:themeColor="text1"/>
        </w:rPr>
        <w:t xml:space="preserve">. </w:t>
      </w:r>
      <w:r w:rsidR="00C6687F" w:rsidRPr="00BC09CC">
        <w:rPr>
          <w:color w:val="000000" w:themeColor="text1"/>
        </w:rPr>
        <w:t xml:space="preserve">The distance to work effects reveal a </w:t>
      </w:r>
      <w:r w:rsidR="00ED38E8" w:rsidRPr="00BC09CC">
        <w:rPr>
          <w:color w:val="000000" w:themeColor="text1"/>
        </w:rPr>
        <w:t>higher</w:t>
      </w:r>
      <w:r w:rsidR="00C6687F" w:rsidRPr="00BC09CC">
        <w:rPr>
          <w:color w:val="000000" w:themeColor="text1"/>
        </w:rPr>
        <w:t xml:space="preserve"> ETF propensity among those with </w:t>
      </w:r>
      <w:r w:rsidR="00ED38E8" w:rsidRPr="00BC09CC">
        <w:rPr>
          <w:color w:val="000000" w:themeColor="text1"/>
        </w:rPr>
        <w:t>a commute distance of 31</w:t>
      </w:r>
      <w:r w:rsidR="00A517FE" w:rsidRPr="00BC09CC">
        <w:rPr>
          <w:color w:val="000000" w:themeColor="text1"/>
        </w:rPr>
        <w:t>.00</w:t>
      </w:r>
      <w:r w:rsidR="00ED38E8" w:rsidRPr="00BC09CC">
        <w:rPr>
          <w:color w:val="000000" w:themeColor="text1"/>
        </w:rPr>
        <w:t xml:space="preserve"> miles or longer relative to those with shorter commute distances</w:t>
      </w:r>
      <w:r w:rsidR="00834A4C">
        <w:rPr>
          <w:color w:val="000000" w:themeColor="text1"/>
        </w:rPr>
        <w:t xml:space="preserve"> (though the difference in ETF propensity between those with a commute distance of more than 31 miles and those with commute distances shorter than 6 miles is significant only at the 72% confidence level)</w:t>
      </w:r>
      <w:r w:rsidR="00ED38E8" w:rsidRPr="00BC09CC">
        <w:rPr>
          <w:color w:val="000000" w:themeColor="text1"/>
        </w:rPr>
        <w:t xml:space="preserve">. Also of </w:t>
      </w:r>
      <w:r w:rsidR="00ED38E8" w:rsidRPr="00BC09CC">
        <w:rPr>
          <w:color w:val="000000" w:themeColor="text1"/>
        </w:rPr>
        <w:lastRenderedPageBreak/>
        <w:t>note is that individuals commuting between 6</w:t>
      </w:r>
      <w:r w:rsidR="00A517FE" w:rsidRPr="00BC09CC">
        <w:rPr>
          <w:color w:val="000000" w:themeColor="text1"/>
        </w:rPr>
        <w:t>.00</w:t>
      </w:r>
      <w:r w:rsidR="00ED38E8" w:rsidRPr="00BC09CC">
        <w:rPr>
          <w:color w:val="000000" w:themeColor="text1"/>
        </w:rPr>
        <w:t xml:space="preserve">-30.99 miles are less likely to telework relative to those with a commute distance of shorter than six miles. That is, teleworkers appear to be clustered in the relatively low commute distance range and the high commute distance range, and least in the middle commute distance range in a U-shaped pattern. </w:t>
      </w:r>
      <w:r w:rsidR="00E07557" w:rsidRPr="00BC09CC">
        <w:rPr>
          <w:color w:val="000000" w:themeColor="text1"/>
        </w:rPr>
        <w:t xml:space="preserve">The telework clustering at the low commute distance end </w:t>
      </w:r>
      <w:r w:rsidR="00ED38E8" w:rsidRPr="00BC09CC">
        <w:rPr>
          <w:color w:val="000000" w:themeColor="text1"/>
        </w:rPr>
        <w:t xml:space="preserve">may be a reflection of a conscious </w:t>
      </w:r>
      <w:r w:rsidR="007C0060" w:rsidRPr="00BC09CC">
        <w:rPr>
          <w:color w:val="000000" w:themeColor="text1"/>
        </w:rPr>
        <w:t xml:space="preserve">effort on the part of those who like to socialize </w:t>
      </w:r>
      <w:r w:rsidR="00E07557" w:rsidRPr="00BC09CC">
        <w:rPr>
          <w:color w:val="000000" w:themeColor="text1"/>
        </w:rPr>
        <w:t xml:space="preserve">beyond work but also </w:t>
      </w:r>
      <w:r w:rsidR="007C0060" w:rsidRPr="00BC09CC">
        <w:rPr>
          <w:color w:val="000000" w:themeColor="text1"/>
        </w:rPr>
        <w:t>at work</w:t>
      </w:r>
      <w:r w:rsidR="00E07557" w:rsidRPr="00BC09CC">
        <w:rPr>
          <w:color w:val="000000" w:themeColor="text1"/>
        </w:rPr>
        <w:t xml:space="preserve"> to locate themselves close to the office</w:t>
      </w:r>
      <w:r w:rsidR="007C0060" w:rsidRPr="00BC09CC">
        <w:rPr>
          <w:color w:val="000000" w:themeColor="text1"/>
        </w:rPr>
        <w:t xml:space="preserve">. </w:t>
      </w:r>
      <w:r w:rsidR="00E07557" w:rsidRPr="00BC09CC">
        <w:rPr>
          <w:color w:val="000000" w:themeColor="text1"/>
        </w:rPr>
        <w:t xml:space="preserve">The telework clustering at the high commute distance range is </w:t>
      </w:r>
      <w:r w:rsidR="00C6687F" w:rsidRPr="00BC09CC">
        <w:rPr>
          <w:color w:val="000000" w:themeColor="text1"/>
        </w:rPr>
        <w:t>consistent with that ob</w:t>
      </w:r>
      <w:r w:rsidRPr="00BC09CC">
        <w:rPr>
          <w:color w:val="000000" w:themeColor="text1"/>
        </w:rPr>
        <w:t>served</w:t>
      </w:r>
      <w:r w:rsidR="00C6687F" w:rsidRPr="00BC09CC">
        <w:rPr>
          <w:color w:val="000000" w:themeColor="text1"/>
        </w:rPr>
        <w:t xml:space="preserve"> </w:t>
      </w:r>
      <w:r w:rsidRPr="00BC09CC">
        <w:rPr>
          <w:color w:val="000000" w:themeColor="text1"/>
        </w:rPr>
        <w:t>in the</w:t>
      </w:r>
      <w:r w:rsidR="00C6687F" w:rsidRPr="00BC09CC">
        <w:rPr>
          <w:color w:val="000000" w:themeColor="text1"/>
        </w:rPr>
        <w:t xml:space="preserve"> earlier literature (</w:t>
      </w:r>
      <w:proofErr w:type="spellStart"/>
      <w:r w:rsidR="00C6687F" w:rsidRPr="00BC09CC">
        <w:rPr>
          <w:color w:val="000000" w:themeColor="text1"/>
        </w:rPr>
        <w:t>Ravalet</w:t>
      </w:r>
      <w:proofErr w:type="spellEnd"/>
      <w:r w:rsidR="00C6687F" w:rsidRPr="00BC09CC">
        <w:rPr>
          <w:color w:val="000000" w:themeColor="text1"/>
        </w:rPr>
        <w:t xml:space="preserve"> and </w:t>
      </w:r>
      <w:proofErr w:type="spellStart"/>
      <w:r w:rsidR="00C6687F" w:rsidRPr="00BC09CC">
        <w:rPr>
          <w:color w:val="000000" w:themeColor="text1"/>
        </w:rPr>
        <w:t>Rérat</w:t>
      </w:r>
      <w:proofErr w:type="spellEnd"/>
      <w:r w:rsidR="00C6687F" w:rsidRPr="00BC09CC">
        <w:rPr>
          <w:color w:val="000000" w:themeColor="text1"/>
        </w:rPr>
        <w:t xml:space="preserve">, 2019; </w:t>
      </w:r>
      <w:proofErr w:type="spellStart"/>
      <w:r w:rsidR="00C6687F" w:rsidRPr="00BC09CC">
        <w:rPr>
          <w:color w:val="000000" w:themeColor="text1"/>
        </w:rPr>
        <w:t>Cerqueira</w:t>
      </w:r>
      <w:proofErr w:type="spellEnd"/>
      <w:r w:rsidR="00C6687F" w:rsidRPr="00BC09CC">
        <w:rPr>
          <w:color w:val="000000" w:themeColor="text1"/>
        </w:rPr>
        <w:t xml:space="preserve"> et al., 2020; Melo and de Abreu e Silva, 2017; He and Hu, 2015). </w:t>
      </w:r>
      <w:r w:rsidR="00E07557" w:rsidRPr="00BC09CC">
        <w:rPr>
          <w:color w:val="000000" w:themeColor="text1"/>
        </w:rPr>
        <w:t>As</w:t>
      </w:r>
      <w:r w:rsidR="00C6687F" w:rsidRPr="00BC09CC">
        <w:rPr>
          <w:color w:val="000000" w:themeColor="text1"/>
        </w:rPr>
        <w:t xml:space="preserve"> interesting is that </w:t>
      </w:r>
      <w:r w:rsidR="00CE7142" w:rsidRPr="00BC09CC">
        <w:rPr>
          <w:color w:val="000000" w:themeColor="text1"/>
        </w:rPr>
        <w:t>individuals in the middle commute distance range of 6</w:t>
      </w:r>
      <w:r w:rsidR="00A517FE" w:rsidRPr="00BC09CC">
        <w:rPr>
          <w:color w:val="000000" w:themeColor="text1"/>
        </w:rPr>
        <w:t>.00</w:t>
      </w:r>
      <w:r w:rsidR="00CE7142" w:rsidRPr="00BC09CC">
        <w:rPr>
          <w:color w:val="000000" w:themeColor="text1"/>
        </w:rPr>
        <w:t xml:space="preserve">-30.99 miles, who have the lowest ETF propensity, would like to telework more in their ideal state. In fact, the </w:t>
      </w:r>
      <w:r w:rsidR="00C6687F" w:rsidRPr="00BC09CC">
        <w:rPr>
          <w:color w:val="000000" w:themeColor="text1"/>
        </w:rPr>
        <w:t>commute distance effect literally vanish</w:t>
      </w:r>
      <w:r w:rsidR="00CE7142" w:rsidRPr="00BC09CC">
        <w:rPr>
          <w:color w:val="000000" w:themeColor="text1"/>
        </w:rPr>
        <w:t>es</w:t>
      </w:r>
      <w:r w:rsidR="00C6687F" w:rsidRPr="00BC09CC">
        <w:rPr>
          <w:color w:val="000000" w:themeColor="text1"/>
        </w:rPr>
        <w:t xml:space="preserve"> in the context of ITF propensity for distances below 31 miles, with only those with extreme commutes (</w:t>
      </w:r>
      <w:r w:rsidR="00DA5034" w:rsidRPr="00BC09CC">
        <w:rPr>
          <w:color w:val="000000" w:themeColor="text1"/>
        </w:rPr>
        <w:t xml:space="preserve">≥ </w:t>
      </w:r>
      <w:r w:rsidR="00C6687F" w:rsidRPr="00BC09CC">
        <w:rPr>
          <w:color w:val="000000" w:themeColor="text1"/>
        </w:rPr>
        <w:t>31</w:t>
      </w:r>
      <w:r w:rsidR="00A517FE" w:rsidRPr="00BC09CC">
        <w:rPr>
          <w:color w:val="000000" w:themeColor="text1"/>
        </w:rPr>
        <w:t>.00</w:t>
      </w:r>
      <w:r w:rsidR="00C6687F" w:rsidRPr="00BC09CC">
        <w:rPr>
          <w:color w:val="000000" w:themeColor="text1"/>
        </w:rPr>
        <w:t xml:space="preserve"> miles) having a uniformly higher ITF propensity than other individuals (notice that the 6</w:t>
      </w:r>
      <w:r w:rsidR="00A517FE" w:rsidRPr="00BC09CC">
        <w:rPr>
          <w:color w:val="000000" w:themeColor="text1"/>
        </w:rPr>
        <w:t>.00</w:t>
      </w:r>
      <w:r w:rsidR="00C6687F" w:rsidRPr="00BC09CC">
        <w:rPr>
          <w:color w:val="000000" w:themeColor="text1"/>
        </w:rPr>
        <w:t>-10</w:t>
      </w:r>
      <w:r w:rsidR="00A517FE" w:rsidRPr="00BC09CC">
        <w:rPr>
          <w:color w:val="000000" w:themeColor="text1"/>
        </w:rPr>
        <w:t>.99</w:t>
      </w:r>
      <w:r w:rsidR="00C6687F" w:rsidRPr="00BC09CC">
        <w:rPr>
          <w:color w:val="000000" w:themeColor="text1"/>
        </w:rPr>
        <w:t xml:space="preserve"> miles distance effect on ITF propensity is -0.4</w:t>
      </w:r>
      <w:r w:rsidR="00CE7142" w:rsidRPr="00BC09CC">
        <w:rPr>
          <w:color w:val="000000" w:themeColor="text1"/>
        </w:rPr>
        <w:t>4</w:t>
      </w:r>
      <w:r w:rsidR="00C6687F" w:rsidRPr="00BC09CC">
        <w:rPr>
          <w:color w:val="000000" w:themeColor="text1"/>
        </w:rPr>
        <w:t>1+0.3</w:t>
      </w:r>
      <w:r w:rsidR="00CE7142" w:rsidRPr="00BC09CC">
        <w:rPr>
          <w:color w:val="000000" w:themeColor="text1"/>
        </w:rPr>
        <w:t>55</w:t>
      </w:r>
      <w:r w:rsidR="00C6687F" w:rsidRPr="00BC09CC">
        <w:rPr>
          <w:color w:val="000000" w:themeColor="text1"/>
        </w:rPr>
        <w:t>=-0</w:t>
      </w:r>
      <w:r w:rsidR="00CE7142" w:rsidRPr="00BC09CC">
        <w:rPr>
          <w:color w:val="000000" w:themeColor="text1"/>
        </w:rPr>
        <w:t>.086</w:t>
      </w:r>
      <w:r w:rsidR="00C6687F" w:rsidRPr="00BC09CC">
        <w:rPr>
          <w:color w:val="000000" w:themeColor="text1"/>
        </w:rPr>
        <w:t>, and the 11</w:t>
      </w:r>
      <w:r w:rsidR="00A517FE" w:rsidRPr="00BC09CC">
        <w:rPr>
          <w:color w:val="000000" w:themeColor="text1"/>
        </w:rPr>
        <w:t>.00</w:t>
      </w:r>
      <w:r w:rsidR="00C6687F" w:rsidRPr="00BC09CC">
        <w:rPr>
          <w:color w:val="000000" w:themeColor="text1"/>
        </w:rPr>
        <w:t>-30</w:t>
      </w:r>
      <w:r w:rsidR="00A517FE" w:rsidRPr="00BC09CC">
        <w:rPr>
          <w:color w:val="000000" w:themeColor="text1"/>
        </w:rPr>
        <w:t>.99</w:t>
      </w:r>
      <w:r w:rsidR="00C6687F" w:rsidRPr="00BC09CC">
        <w:rPr>
          <w:color w:val="000000" w:themeColor="text1"/>
        </w:rPr>
        <w:t xml:space="preserve"> miles distance effect on ITF propensity is -0.4</w:t>
      </w:r>
      <w:r w:rsidR="00CE7142" w:rsidRPr="00BC09CC">
        <w:rPr>
          <w:color w:val="000000" w:themeColor="text1"/>
        </w:rPr>
        <w:t>41</w:t>
      </w:r>
      <w:r w:rsidR="00C6687F" w:rsidRPr="00BC09CC">
        <w:rPr>
          <w:color w:val="000000" w:themeColor="text1"/>
        </w:rPr>
        <w:t>+0.34</w:t>
      </w:r>
      <w:r w:rsidR="00CE7142" w:rsidRPr="00BC09CC">
        <w:rPr>
          <w:color w:val="000000" w:themeColor="text1"/>
        </w:rPr>
        <w:t>8</w:t>
      </w:r>
      <w:r w:rsidR="00C6687F" w:rsidRPr="00BC09CC">
        <w:rPr>
          <w:color w:val="000000" w:themeColor="text1"/>
        </w:rPr>
        <w:t xml:space="preserve"> =-0</w:t>
      </w:r>
      <w:r w:rsidR="00CE7142" w:rsidRPr="00BC09CC">
        <w:rPr>
          <w:color w:val="000000" w:themeColor="text1"/>
        </w:rPr>
        <w:t>.093</w:t>
      </w:r>
      <w:r w:rsidR="00C6687F" w:rsidRPr="00BC09CC">
        <w:rPr>
          <w:color w:val="000000" w:themeColor="text1"/>
        </w:rPr>
        <w:t>, while the 0</w:t>
      </w:r>
      <w:r w:rsidR="00A517FE" w:rsidRPr="00BC09CC">
        <w:rPr>
          <w:color w:val="000000" w:themeColor="text1"/>
        </w:rPr>
        <w:t>.00</w:t>
      </w:r>
      <w:r w:rsidR="00C6687F" w:rsidRPr="00BC09CC">
        <w:rPr>
          <w:color w:val="000000" w:themeColor="text1"/>
        </w:rPr>
        <w:t>-5</w:t>
      </w:r>
      <w:r w:rsidR="00A517FE" w:rsidRPr="00BC09CC">
        <w:rPr>
          <w:color w:val="000000" w:themeColor="text1"/>
        </w:rPr>
        <w:t>.99</w:t>
      </w:r>
      <w:r w:rsidR="00C6687F" w:rsidRPr="00BC09CC">
        <w:rPr>
          <w:color w:val="000000" w:themeColor="text1"/>
        </w:rPr>
        <w:t xml:space="preserve"> miles distance effect on ITF propensity remains at</w:t>
      </w:r>
      <w:r w:rsidR="00DA5034" w:rsidRPr="00BC09CC">
        <w:rPr>
          <w:color w:val="000000" w:themeColor="text1"/>
        </w:rPr>
        <w:t xml:space="preserve"> </w:t>
      </w:r>
      <w:r w:rsidR="00834A4C">
        <w:rPr>
          <w:color w:val="000000" w:themeColor="text1"/>
        </w:rPr>
        <w:t>-</w:t>
      </w:r>
      <w:r w:rsidR="00C6687F" w:rsidRPr="00BC09CC">
        <w:rPr>
          <w:color w:val="000000" w:themeColor="text1"/>
        </w:rPr>
        <w:t>0.1</w:t>
      </w:r>
      <w:r w:rsidR="00CE7142" w:rsidRPr="00BC09CC">
        <w:rPr>
          <w:color w:val="000000" w:themeColor="text1"/>
        </w:rPr>
        <w:t>32</w:t>
      </w:r>
      <w:r w:rsidR="00C6687F" w:rsidRPr="00BC09CC">
        <w:rPr>
          <w:color w:val="000000" w:themeColor="text1"/>
        </w:rPr>
        <w:t>; all these three distance effects are about the same and are not statistically significant even at the 20% level of significance)</w:t>
      </w:r>
      <w:r w:rsidR="00CE7142" w:rsidRPr="00BC09CC">
        <w:rPr>
          <w:color w:val="000000" w:themeColor="text1"/>
        </w:rPr>
        <w:t xml:space="preserve">. We considered interaction effects for the commute distance effect based on density type of living for both ETF and ITF propensities, but these did not turn out to be statistically significant. </w:t>
      </w:r>
    </w:p>
    <w:p w14:paraId="651FC13D" w14:textId="27F9069F" w:rsidR="00816F85" w:rsidRPr="00BC09CC" w:rsidRDefault="00CE7142" w:rsidP="00BC09CC">
      <w:pPr>
        <w:ind w:firstLine="720"/>
        <w:jc w:val="both"/>
        <w:rPr>
          <w:i/>
          <w:iCs/>
          <w:color w:val="000000" w:themeColor="text1"/>
        </w:rPr>
      </w:pPr>
      <w:r w:rsidRPr="00BC09CC">
        <w:rPr>
          <w:color w:val="000000" w:themeColor="text1"/>
        </w:rPr>
        <w:t xml:space="preserve">In terms of a density main effect, </w:t>
      </w:r>
      <w:r w:rsidR="00E61666" w:rsidRPr="00BC09CC">
        <w:rPr>
          <w:color w:val="000000" w:themeColor="text1"/>
        </w:rPr>
        <w:t xml:space="preserve">the results show that </w:t>
      </w:r>
      <w:r w:rsidR="00CF0B50" w:rsidRPr="00BC09CC">
        <w:rPr>
          <w:color w:val="000000" w:themeColor="text1"/>
        </w:rPr>
        <w:t>individuals liv</w:t>
      </w:r>
      <w:r w:rsidRPr="00BC09CC">
        <w:rPr>
          <w:color w:val="000000" w:themeColor="text1"/>
        </w:rPr>
        <w:t>ing</w:t>
      </w:r>
      <w:r w:rsidR="00CF0B50" w:rsidRPr="00BC09CC">
        <w:rPr>
          <w:color w:val="000000" w:themeColor="text1"/>
        </w:rPr>
        <w:t xml:space="preserve"> in a rural area prefer to telework more than</w:t>
      </w:r>
      <w:r w:rsidR="00B307C7" w:rsidRPr="00BC09CC">
        <w:rPr>
          <w:color w:val="000000" w:themeColor="text1"/>
        </w:rPr>
        <w:t xml:space="preserve"> their existing telework arrangement</w:t>
      </w:r>
      <w:r w:rsidR="00CF0B50" w:rsidRPr="00BC09CC">
        <w:rPr>
          <w:color w:val="000000" w:themeColor="text1"/>
        </w:rPr>
        <w:t xml:space="preserve">. This is consistent with previous research that has determined that </w:t>
      </w:r>
      <w:r w:rsidRPr="00BC09CC">
        <w:rPr>
          <w:color w:val="000000" w:themeColor="text1"/>
        </w:rPr>
        <w:t xml:space="preserve">many </w:t>
      </w:r>
      <w:r w:rsidR="00CF0B50" w:rsidRPr="00BC09CC">
        <w:rPr>
          <w:color w:val="000000" w:themeColor="text1"/>
        </w:rPr>
        <w:t>teleworkers have moved to a remote</w:t>
      </w:r>
      <w:r w:rsidRPr="00BC09CC">
        <w:rPr>
          <w:color w:val="000000" w:themeColor="text1"/>
        </w:rPr>
        <w:t xml:space="preserve"> </w:t>
      </w:r>
      <w:r w:rsidR="00CF0B50" w:rsidRPr="00BC09CC">
        <w:rPr>
          <w:color w:val="000000" w:themeColor="text1"/>
        </w:rPr>
        <w:t xml:space="preserve">residential location </w:t>
      </w:r>
      <w:r w:rsidRPr="00BC09CC">
        <w:rPr>
          <w:color w:val="000000" w:themeColor="text1"/>
        </w:rPr>
        <w:t xml:space="preserve">after the onset of the pandemic </w:t>
      </w:r>
      <w:r w:rsidR="00CF0B50" w:rsidRPr="00BC09CC">
        <w:rPr>
          <w:color w:val="000000" w:themeColor="text1"/>
        </w:rPr>
        <w:t>(</w:t>
      </w:r>
      <w:proofErr w:type="spellStart"/>
      <w:r w:rsidR="00CF0B50" w:rsidRPr="00BC09CC">
        <w:rPr>
          <w:color w:val="000000" w:themeColor="text1"/>
        </w:rPr>
        <w:t>Caldarola</w:t>
      </w:r>
      <w:proofErr w:type="spellEnd"/>
      <w:r w:rsidR="00CF0B50" w:rsidRPr="00BC09CC">
        <w:rPr>
          <w:color w:val="000000" w:themeColor="text1"/>
        </w:rPr>
        <w:t xml:space="preserve"> and Sorrell, 2022; </w:t>
      </w:r>
      <w:proofErr w:type="spellStart"/>
      <w:r w:rsidR="00CF0B50" w:rsidRPr="00BC09CC">
        <w:rPr>
          <w:color w:val="000000" w:themeColor="text1"/>
        </w:rPr>
        <w:t>Cerqueira</w:t>
      </w:r>
      <w:proofErr w:type="spellEnd"/>
      <w:r w:rsidR="00CF0B50" w:rsidRPr="00BC09CC">
        <w:rPr>
          <w:color w:val="000000" w:themeColor="text1"/>
        </w:rPr>
        <w:t xml:space="preserve"> et al., 2020). Therefore, it makes sense that </w:t>
      </w:r>
      <w:r w:rsidRPr="00BC09CC">
        <w:rPr>
          <w:color w:val="000000" w:themeColor="text1"/>
        </w:rPr>
        <w:t xml:space="preserve">these </w:t>
      </w:r>
      <w:r w:rsidR="00CF0B50" w:rsidRPr="00BC09CC">
        <w:rPr>
          <w:color w:val="000000" w:themeColor="text1"/>
        </w:rPr>
        <w:t xml:space="preserve">workers </w:t>
      </w:r>
      <w:r w:rsidRPr="00BC09CC">
        <w:rPr>
          <w:color w:val="000000" w:themeColor="text1"/>
        </w:rPr>
        <w:t xml:space="preserve">would </w:t>
      </w:r>
      <w:r w:rsidR="00CF0B50" w:rsidRPr="00BC09CC">
        <w:rPr>
          <w:color w:val="000000" w:themeColor="text1"/>
        </w:rPr>
        <w:t>prefer even more telework than their current remote</w:t>
      </w:r>
      <w:r w:rsidRPr="00BC09CC">
        <w:rPr>
          <w:color w:val="000000" w:themeColor="text1"/>
        </w:rPr>
        <w:t xml:space="preserve"> </w:t>
      </w:r>
      <w:r w:rsidR="00CF0B50" w:rsidRPr="00BC09CC">
        <w:rPr>
          <w:color w:val="000000" w:themeColor="text1"/>
        </w:rPr>
        <w:t>work arrangement</w:t>
      </w:r>
      <w:r w:rsidR="00E61666" w:rsidRPr="00BC09CC">
        <w:rPr>
          <w:color w:val="000000" w:themeColor="text1"/>
        </w:rPr>
        <w:t xml:space="preserve"> as a result of a longer commute distance to work.</w:t>
      </w:r>
      <w:r w:rsidR="00E61666" w:rsidRPr="00BC09CC">
        <w:rPr>
          <w:i/>
          <w:iCs/>
          <w:color w:val="000000" w:themeColor="text1"/>
        </w:rPr>
        <w:t xml:space="preserve"> </w:t>
      </w:r>
    </w:p>
    <w:p w14:paraId="71456374" w14:textId="7CB61295" w:rsidR="006B5A84" w:rsidRPr="00BC09CC" w:rsidRDefault="00816F85" w:rsidP="00BC09CC">
      <w:pPr>
        <w:ind w:firstLine="720"/>
        <w:jc w:val="both"/>
      </w:pPr>
      <w:r w:rsidRPr="00BC09CC">
        <w:rPr>
          <w:color w:val="000000" w:themeColor="text1"/>
        </w:rPr>
        <w:t>The other residential location attribute effects are uniform and remain unchanged between the ETF and ITF propensities.</w:t>
      </w:r>
      <w:r w:rsidR="001B48DE" w:rsidRPr="00BC09CC">
        <w:rPr>
          <w:color w:val="000000" w:themeColor="text1"/>
        </w:rPr>
        <w:t xml:space="preserve"> These reveal that telework propensity is </w:t>
      </w:r>
      <w:r w:rsidR="00781FE4" w:rsidRPr="00BC09CC">
        <w:rPr>
          <w:color w:val="000000" w:themeColor="text1"/>
        </w:rPr>
        <w:t>highe</w:t>
      </w:r>
      <w:r w:rsidR="001B48DE" w:rsidRPr="00BC09CC">
        <w:rPr>
          <w:color w:val="000000" w:themeColor="text1"/>
        </w:rPr>
        <w:t xml:space="preserve">r for </w:t>
      </w:r>
      <w:r w:rsidR="00CF0B50" w:rsidRPr="00BC09CC">
        <w:rPr>
          <w:color w:val="000000" w:themeColor="text1"/>
        </w:rPr>
        <w:t xml:space="preserve">individuals </w:t>
      </w:r>
      <w:r w:rsidR="00CE7142" w:rsidRPr="00BC09CC">
        <w:rPr>
          <w:color w:val="000000" w:themeColor="text1"/>
        </w:rPr>
        <w:t>who</w:t>
      </w:r>
      <w:r w:rsidR="00CF0B50" w:rsidRPr="00BC09CC">
        <w:rPr>
          <w:color w:val="000000" w:themeColor="text1"/>
        </w:rPr>
        <w:t xml:space="preserve"> </w:t>
      </w:r>
      <w:r w:rsidR="001B48DE" w:rsidRPr="00BC09CC">
        <w:rPr>
          <w:color w:val="000000" w:themeColor="text1"/>
        </w:rPr>
        <w:t>(</w:t>
      </w:r>
      <w:r w:rsidR="0079315B" w:rsidRPr="00BC09CC">
        <w:rPr>
          <w:color w:val="000000" w:themeColor="text1"/>
        </w:rPr>
        <w:t>a</w:t>
      </w:r>
      <w:r w:rsidR="001B48DE" w:rsidRPr="00BC09CC">
        <w:rPr>
          <w:color w:val="000000" w:themeColor="text1"/>
        </w:rPr>
        <w:t>) live in states in the west</w:t>
      </w:r>
      <w:r w:rsidR="008C1603" w:rsidRPr="00BC09CC">
        <w:rPr>
          <w:color w:val="000000" w:themeColor="text1"/>
        </w:rPr>
        <w:t xml:space="preserve"> besides Arizona and California</w:t>
      </w:r>
      <w:r w:rsidR="0079315B" w:rsidRPr="00BC09CC">
        <w:rPr>
          <w:color w:val="000000" w:themeColor="text1"/>
        </w:rPr>
        <w:t xml:space="preserve">, and (b) </w:t>
      </w:r>
      <w:r w:rsidR="00781FE4" w:rsidRPr="00BC09CC">
        <w:rPr>
          <w:color w:val="000000" w:themeColor="text1"/>
        </w:rPr>
        <w:t>own</w:t>
      </w:r>
      <w:r w:rsidR="0079315B" w:rsidRPr="00BC09CC">
        <w:rPr>
          <w:color w:val="000000" w:themeColor="text1"/>
        </w:rPr>
        <w:t xml:space="preserve"> a home rather than </w:t>
      </w:r>
      <w:r w:rsidR="00781FE4" w:rsidRPr="00BC09CC">
        <w:rPr>
          <w:color w:val="000000" w:themeColor="text1"/>
        </w:rPr>
        <w:t>rent</w:t>
      </w:r>
      <w:r w:rsidR="0079315B" w:rsidRPr="00BC09CC">
        <w:rPr>
          <w:color w:val="000000" w:themeColor="text1"/>
        </w:rPr>
        <w:t xml:space="preserve"> a home</w:t>
      </w:r>
      <w:r w:rsidR="003A2D35">
        <w:rPr>
          <w:color w:val="000000" w:themeColor="text1"/>
        </w:rPr>
        <w:t xml:space="preserve"> (this latter effect is statistically significant only at the 70% confidence level)</w:t>
      </w:r>
      <w:r w:rsidR="00CF0B50" w:rsidRPr="00BC09CC">
        <w:rPr>
          <w:color w:val="000000" w:themeColor="text1"/>
        </w:rPr>
        <w:t xml:space="preserve">. </w:t>
      </w:r>
      <w:r w:rsidR="0079315B" w:rsidRPr="00BC09CC">
        <w:rPr>
          <w:color w:val="000000" w:themeColor="text1"/>
        </w:rPr>
        <w:t xml:space="preserve">The higher ETF propensity in the western part of the U.S. (excluding Arizona and California) should be interpreted simply as an overall adjustment term to accommodate for a whole set of unobserved spatial factors, though </w:t>
      </w:r>
      <w:proofErr w:type="spellStart"/>
      <w:r w:rsidR="0079315B" w:rsidRPr="00BC09CC">
        <w:t>Ozimek</w:t>
      </w:r>
      <w:proofErr w:type="spellEnd"/>
      <w:r w:rsidR="0079315B" w:rsidRPr="00BC09CC">
        <w:t xml:space="preserve"> and Carlson (2022) also find that telework is less frequent in the Midwest and Southern regions of the U.S. </w:t>
      </w:r>
      <w:r w:rsidR="008C1603" w:rsidRPr="00BC09CC">
        <w:rPr>
          <w:color w:val="000000" w:themeColor="text1"/>
        </w:rPr>
        <w:t xml:space="preserve">The </w:t>
      </w:r>
      <w:r w:rsidR="0079315B" w:rsidRPr="00BC09CC">
        <w:rPr>
          <w:color w:val="000000" w:themeColor="text1"/>
        </w:rPr>
        <w:t>latter</w:t>
      </w:r>
      <w:r w:rsidR="008C1603" w:rsidRPr="00BC09CC">
        <w:rPr>
          <w:color w:val="000000" w:themeColor="text1"/>
        </w:rPr>
        <w:t xml:space="preserve"> result </w:t>
      </w:r>
      <w:r w:rsidR="0079315B" w:rsidRPr="00BC09CC">
        <w:rPr>
          <w:color w:val="000000" w:themeColor="text1"/>
        </w:rPr>
        <w:t>related to housing ten</w:t>
      </w:r>
      <w:r w:rsidR="003701F6" w:rsidRPr="00BC09CC">
        <w:rPr>
          <w:color w:val="000000" w:themeColor="text1"/>
        </w:rPr>
        <w:t>u</w:t>
      </w:r>
      <w:r w:rsidR="0079315B" w:rsidRPr="00BC09CC">
        <w:rPr>
          <w:color w:val="000000" w:themeColor="text1"/>
        </w:rPr>
        <w:t xml:space="preserve">re </w:t>
      </w:r>
      <w:r w:rsidR="008C1603" w:rsidRPr="00BC09CC">
        <w:rPr>
          <w:color w:val="000000" w:themeColor="text1"/>
        </w:rPr>
        <w:t>may be explained by more privacy and fewer distractions when in a</w:t>
      </w:r>
      <w:r w:rsidR="0079315B" w:rsidRPr="00BC09CC">
        <w:rPr>
          <w:color w:val="000000" w:themeColor="text1"/>
        </w:rPr>
        <w:t>n</w:t>
      </w:r>
      <w:r w:rsidR="008C1603" w:rsidRPr="00BC09CC">
        <w:rPr>
          <w:color w:val="000000" w:themeColor="text1"/>
        </w:rPr>
        <w:t xml:space="preserve"> own home rather than in a rented home. Also, we found substantial correlation between housing tenure and dwelling type, with those owning a home almost always living in a private standalone home, wh</w:t>
      </w:r>
      <w:r w:rsidR="00CE7142" w:rsidRPr="00BC09CC">
        <w:rPr>
          <w:color w:val="000000" w:themeColor="text1"/>
        </w:rPr>
        <w:t>i</w:t>
      </w:r>
      <w:r w:rsidR="008C1603" w:rsidRPr="00BC09CC">
        <w:rPr>
          <w:color w:val="000000" w:themeColor="text1"/>
        </w:rPr>
        <w:t>le those renting a home residing in a condominium/apartment complex. Thus, we did not include the dwelling unit type as another explanatory variable in addition to housing tenure. But given this correlation, it gives further reinforcement for the elevated privacy/less distraction justification for the</w:t>
      </w:r>
      <w:r w:rsidR="00DD25D0">
        <w:rPr>
          <w:color w:val="000000" w:themeColor="text1"/>
        </w:rPr>
        <w:t xml:space="preserve"> slightly</w:t>
      </w:r>
      <w:r w:rsidR="008C1603" w:rsidRPr="00BC09CC">
        <w:rPr>
          <w:color w:val="000000" w:themeColor="text1"/>
        </w:rPr>
        <w:t xml:space="preserve"> lower telework propensity among those who rent a home </w:t>
      </w:r>
      <w:r w:rsidR="00CF0B50" w:rsidRPr="00BC09CC">
        <w:rPr>
          <w:color w:val="000000" w:themeColor="text1"/>
        </w:rPr>
        <w:t>(</w:t>
      </w:r>
      <w:r w:rsidR="008C1603" w:rsidRPr="00BC09CC">
        <w:rPr>
          <w:color w:val="000000" w:themeColor="text1"/>
        </w:rPr>
        <w:t xml:space="preserve">see also </w:t>
      </w:r>
      <w:r w:rsidR="00CF0B50" w:rsidRPr="00BC09CC">
        <w:rPr>
          <w:color w:val="000000" w:themeColor="text1"/>
        </w:rPr>
        <w:t xml:space="preserve">Zhang et al., 2020; </w:t>
      </w:r>
      <w:proofErr w:type="spellStart"/>
      <w:r w:rsidR="00CF0B50" w:rsidRPr="00BC09CC">
        <w:rPr>
          <w:color w:val="000000" w:themeColor="text1"/>
        </w:rPr>
        <w:t>Caldarola</w:t>
      </w:r>
      <w:proofErr w:type="spellEnd"/>
      <w:r w:rsidR="00CF0B50" w:rsidRPr="00BC09CC">
        <w:rPr>
          <w:color w:val="000000" w:themeColor="text1"/>
        </w:rPr>
        <w:t xml:space="preserve"> and Sorrell, 2022). </w:t>
      </w:r>
    </w:p>
    <w:p w14:paraId="3A469CC9" w14:textId="77777777" w:rsidR="006B5A84" w:rsidRPr="00BC09CC" w:rsidRDefault="006B5A84" w:rsidP="00BC09CC">
      <w:pPr>
        <w:jc w:val="both"/>
      </w:pPr>
    </w:p>
    <w:p w14:paraId="08306CF0" w14:textId="227F9D11" w:rsidR="00CF0B50" w:rsidRPr="00F01655" w:rsidRDefault="00CF0B50" w:rsidP="002966B2">
      <w:pPr>
        <w:pStyle w:val="Heading2"/>
        <w:spacing w:before="0"/>
        <w:ind w:left="540" w:hanging="540"/>
        <w:rPr>
          <w:rFonts w:ascii="Times New Roman" w:hAnsi="Times New Roman" w:cs="Times New Roman"/>
          <w:b/>
          <w:bCs/>
          <w:color w:val="000000" w:themeColor="text1"/>
          <w:sz w:val="24"/>
          <w:szCs w:val="24"/>
        </w:rPr>
      </w:pPr>
      <w:r w:rsidRPr="00F01655">
        <w:rPr>
          <w:rFonts w:ascii="Times New Roman" w:hAnsi="Times New Roman" w:cs="Times New Roman"/>
          <w:b/>
          <w:bCs/>
          <w:color w:val="000000" w:themeColor="text1"/>
          <w:sz w:val="24"/>
          <w:szCs w:val="24"/>
        </w:rPr>
        <w:t>4.2.</w:t>
      </w:r>
      <w:r w:rsidRPr="00F01655">
        <w:rPr>
          <w:rFonts w:ascii="Times New Roman" w:hAnsi="Times New Roman" w:cs="Times New Roman"/>
          <w:b/>
          <w:bCs/>
          <w:color w:val="000000" w:themeColor="text1"/>
          <w:sz w:val="24"/>
          <w:szCs w:val="24"/>
        </w:rPr>
        <w:tab/>
        <w:t>Parameter Estimates on Threshold Values</w:t>
      </w:r>
    </w:p>
    <w:p w14:paraId="0B399D5B" w14:textId="11A79E24" w:rsidR="009C1E58" w:rsidRPr="00F01655" w:rsidRDefault="00CF0B50" w:rsidP="00BC09CC">
      <w:pPr>
        <w:jc w:val="both"/>
      </w:pPr>
      <w:r w:rsidRPr="00F01655">
        <w:t xml:space="preserve">The second </w:t>
      </w:r>
      <w:r w:rsidR="006B5A84" w:rsidRPr="00F01655">
        <w:t xml:space="preserve">row panel </w:t>
      </w:r>
      <w:r w:rsidRPr="00F01655">
        <w:t xml:space="preserve">of Table 3 presents the threshold values </w:t>
      </w:r>
      <w:r w:rsidR="00135D7F" w:rsidRPr="00F01655">
        <w:t xml:space="preserve">and the many </w:t>
      </w:r>
      <w:proofErr w:type="gramStart"/>
      <w:r w:rsidR="002F3997">
        <w:t>threshold</w:t>
      </w:r>
      <w:proofErr w:type="gramEnd"/>
      <w:r w:rsidR="002F3997">
        <w:t xml:space="preserve"> </w:t>
      </w:r>
      <w:r w:rsidR="00135D7F" w:rsidRPr="00F01655">
        <w:t>shifts in these values. The ETF thresholds</w:t>
      </w:r>
      <w:r w:rsidR="00382FA4" w:rsidRPr="00F01655">
        <w:t xml:space="preserve"> (elements of the </w:t>
      </w:r>
      <w:r w:rsidR="00BC09CC" w:rsidRPr="00F648BD">
        <w:rPr>
          <w:noProof/>
          <w:position w:val="-10"/>
        </w:rPr>
        <w:object w:dxaOrig="260" w:dyaOrig="279" w14:anchorId="40ED1544">
          <v:shape id="_x0000_i1123" type="#_x0000_t75" alt="" style="width:12.85pt;height:13.7pt;mso-width-percent:0;mso-height-percent:0;mso-width-percent:0;mso-height-percent:0" o:ole="" o:preferrelative="f">
            <v:imagedata r:id="rId187" o:title=""/>
            <o:lock v:ext="edit" aspectratio="f"/>
          </v:shape>
          <o:OLEObject Type="Embed" ProgID="Equation.DSMT4" ShapeID="_x0000_i1123" DrawAspect="Content" ObjectID="_1778681356" r:id="rId200"/>
        </w:object>
      </w:r>
      <w:r w:rsidR="00BC09CC">
        <w:rPr>
          <w:noProof/>
        </w:rPr>
        <w:t xml:space="preserve"> </w:t>
      </w:r>
      <w:r w:rsidR="00382FA4" w:rsidRPr="00F01655">
        <w:t>vector)</w:t>
      </w:r>
      <w:r w:rsidR="0079315B" w:rsidRPr="00F01655">
        <w:rPr>
          <w:noProof/>
        </w:rPr>
        <w:t xml:space="preserve"> </w:t>
      </w:r>
      <w:r w:rsidR="00135D7F" w:rsidRPr="00F01655">
        <w:t xml:space="preserve">and the unadjusted ITF thresholds </w:t>
      </w:r>
      <w:r w:rsidR="00382FA4" w:rsidRPr="00F01655">
        <w:rPr>
          <w:noProof/>
        </w:rPr>
        <w:t xml:space="preserve">(elements of the </w:t>
      </w:r>
      <w:r w:rsidR="00360236" w:rsidRPr="00F648BD">
        <w:rPr>
          <w:noProof/>
          <w:position w:val="-10"/>
        </w:rPr>
        <w:object w:dxaOrig="220" w:dyaOrig="320" w14:anchorId="7CA3DEF2">
          <v:shape id="_x0000_i1124" type="#_x0000_t75" alt="" style="width:10.7pt;height:15.85pt;mso-width-percent:0;mso-height-percent:0;mso-width-percent:0;mso-height-percent:0" o:ole="" o:preferrelative="f">
            <v:imagedata r:id="rId189" o:title=""/>
            <o:lock v:ext="edit" aspectratio="f"/>
          </v:shape>
          <o:OLEObject Type="Embed" ProgID="Equation.DSMT4" ShapeID="_x0000_i1124" DrawAspect="Content" ObjectID="_1778681357" r:id="rId201"/>
        </w:object>
      </w:r>
      <w:r w:rsidR="00382FA4" w:rsidRPr="00F01655">
        <w:t xml:space="preserve"> vector) </w:t>
      </w:r>
      <w:r w:rsidR="00135D7F" w:rsidRPr="00F01655">
        <w:t>do not have any substantive interpretation</w:t>
      </w:r>
      <w:r w:rsidR="00CE7142" w:rsidRPr="00F01655">
        <w:t>s</w:t>
      </w:r>
      <w:r w:rsidR="00135D7F" w:rsidRPr="00F01655">
        <w:t xml:space="preserve">, but simply adjust to provide </w:t>
      </w:r>
      <w:r w:rsidR="00135D7F" w:rsidRPr="00F01655">
        <w:lastRenderedPageBreak/>
        <w:t>the best mapping between the underlying latent ETF/ITF propensities and the actual observed bivariate ETF/ITF ordinal outcomes of individuals</w:t>
      </w:r>
      <w:r w:rsidR="00CE7142" w:rsidRPr="00F01655">
        <w:t>,</w:t>
      </w:r>
      <w:r w:rsidR="00135D7F" w:rsidRPr="00F01655">
        <w:t xml:space="preserve"> after accommodating all other model effects. </w:t>
      </w:r>
    </w:p>
    <w:p w14:paraId="7FDC0C45" w14:textId="34AB8D52" w:rsidR="00940492" w:rsidRPr="00F01655" w:rsidRDefault="00940492" w:rsidP="00BC09CC">
      <w:pPr>
        <w:jc w:val="both"/>
      </w:pPr>
      <w:r w:rsidRPr="00F01655">
        <w:tab/>
        <w:t xml:space="preserve">The constant </w:t>
      </w:r>
      <w:r w:rsidR="00646A88">
        <w:t xml:space="preserve">“same-threshold” </w:t>
      </w:r>
      <w:r w:rsidRPr="00F01655">
        <w:t xml:space="preserve">shift effects refer to </w:t>
      </w:r>
      <w:r w:rsidR="00382FA4" w:rsidRPr="00F01655">
        <w:t xml:space="preserve">elements of </w:t>
      </w:r>
      <w:r w:rsidRPr="00F01655">
        <w:t>the</w:t>
      </w:r>
      <w:r w:rsidR="00382FA4" w:rsidRPr="00F01655">
        <w:t xml:space="preserve"> </w:t>
      </w:r>
      <w:r w:rsidR="002966B2" w:rsidRPr="00F648BD">
        <w:rPr>
          <w:noProof/>
          <w:position w:val="-4"/>
        </w:rPr>
        <w:object w:dxaOrig="240" w:dyaOrig="260" w14:anchorId="487870ED">
          <v:shape id="_x0000_i1125" type="#_x0000_t75" alt="" style="width:12.45pt;height:12.85pt;mso-width-percent:0;mso-height-percent:0;mso-width-percent:0;mso-height-percent:0" o:ole="" o:preferrelative="f">
            <v:imagedata r:id="rId191" o:title=""/>
            <o:lock v:ext="edit" aspectratio="f"/>
          </v:shape>
          <o:OLEObject Type="Embed" ProgID="Equation.DSMT4" ShapeID="_x0000_i1125" DrawAspect="Content" ObjectID="_1778681358" r:id="rId202"/>
        </w:object>
      </w:r>
      <w:r w:rsidRPr="00F01655">
        <w:t xml:space="preserve"> </w:t>
      </w:r>
      <w:r w:rsidR="00382FA4" w:rsidRPr="00F01655">
        <w:t>vector</w:t>
      </w:r>
      <w:r w:rsidRPr="00F01655">
        <w:t xml:space="preserve">. The magnitudes of these constant consonance shift effects, like the unadjusted ITF thresholds, do not have any substantive interpretation. But all these effects are positive, indicative of clear consonance effects at play (as discussed earlier in Section </w:t>
      </w:r>
      <w:r w:rsidR="00382FA4" w:rsidRPr="00F01655">
        <w:t>3.2.2</w:t>
      </w:r>
      <w:r w:rsidRPr="00F01655">
        <w:t xml:space="preserve">, </w:t>
      </w:r>
      <w:r w:rsidR="00D424FE" w:rsidRPr="00F01655">
        <w:t>more than 46 percent of the individuals in our sample demonstrated consonant behavio</w:t>
      </w:r>
      <w:r w:rsidRPr="00F01655">
        <w:t>r).</w:t>
      </w:r>
    </w:p>
    <w:p w14:paraId="3E62A5D5" w14:textId="765C6BAC" w:rsidR="00CF0B50" w:rsidRPr="00F01655" w:rsidRDefault="00CF0B50" w:rsidP="00BC09CC">
      <w:pPr>
        <w:ind w:firstLine="720"/>
        <w:jc w:val="both"/>
        <w:rPr>
          <w:color w:val="000000" w:themeColor="text1"/>
        </w:rPr>
      </w:pPr>
      <w:r w:rsidRPr="00F01655">
        <w:t xml:space="preserve"> The </w:t>
      </w:r>
      <w:r w:rsidR="00940492" w:rsidRPr="00F01655">
        <w:t xml:space="preserve">next set of generic </w:t>
      </w:r>
      <w:r w:rsidR="00646A88">
        <w:t xml:space="preserve">“same-threshold” </w:t>
      </w:r>
      <w:r w:rsidR="00940492" w:rsidRPr="00F01655">
        <w:t xml:space="preserve">shift effects in Table 3 refer to the elements of the </w:t>
      </w:r>
      <w:r w:rsidR="00BC09CC" w:rsidRPr="005039AE">
        <w:rPr>
          <w:noProof/>
          <w:position w:val="-4"/>
        </w:rPr>
        <w:object w:dxaOrig="220" w:dyaOrig="260" w14:anchorId="7C69DCF8">
          <v:shape id="_x0000_i1126" type="#_x0000_t75" alt="" style="width:10.7pt;height:12.85pt;mso-width-percent:0;mso-height-percent:0;mso-width-percent:0;mso-height-percent:0" o:ole="" o:preferrelative="f">
            <v:imagedata r:id="rId120" o:title=""/>
            <o:lock v:ext="edit" aspectratio="f"/>
          </v:shape>
          <o:OLEObject Type="Embed" ProgID="Equation.DSMT4" ShapeID="_x0000_i1126" DrawAspect="Content" ObjectID="_1778681359" r:id="rId203"/>
        </w:object>
      </w:r>
      <w:r w:rsidR="00940492" w:rsidRPr="00F01655">
        <w:t xml:space="preserve">vector. </w:t>
      </w:r>
      <w:r w:rsidR="002D6611" w:rsidRPr="00F01655">
        <w:t>The results indicate, very intuitively, that</w:t>
      </w:r>
      <w:r w:rsidRPr="00F01655">
        <w:rPr>
          <w:color w:val="000000" w:themeColor="text1"/>
        </w:rPr>
        <w:t xml:space="preserve"> </w:t>
      </w:r>
      <w:r w:rsidR="009C1E58" w:rsidRPr="00F01655">
        <w:rPr>
          <w:color w:val="000000" w:themeColor="text1"/>
        </w:rPr>
        <w:t xml:space="preserve">individuals with </w:t>
      </w:r>
      <w:r w:rsidR="009C1E58" w:rsidRPr="00F01655">
        <w:t>a</w:t>
      </w:r>
      <w:r w:rsidR="00203E92" w:rsidRPr="00F01655">
        <w:t>n annual</w:t>
      </w:r>
      <w:r w:rsidR="009C1E58" w:rsidRPr="00F01655">
        <w:t xml:space="preserve"> household income of less than $50,000 are </w:t>
      </w:r>
      <w:r w:rsidR="002D6611" w:rsidRPr="00F01655">
        <w:t xml:space="preserve">least likely to </w:t>
      </w:r>
      <w:r w:rsidR="00203E92" w:rsidRPr="00F01655">
        <w:t xml:space="preserve">have </w:t>
      </w:r>
      <w:r w:rsidR="005E1C07" w:rsidRPr="00F01655">
        <w:t xml:space="preserve">consonance, while those in the highest </w:t>
      </w:r>
      <w:r w:rsidR="00203E92" w:rsidRPr="00F01655">
        <w:t xml:space="preserve">household annual </w:t>
      </w:r>
      <w:r w:rsidR="005E1C07" w:rsidRPr="00F01655">
        <w:t xml:space="preserve">income bracket </w:t>
      </w:r>
      <w:r w:rsidR="00203E92" w:rsidRPr="00F01655">
        <w:t xml:space="preserve">of 150K or more have </w:t>
      </w:r>
      <w:r w:rsidR="00382FA4" w:rsidRPr="00F01655">
        <w:t xml:space="preserve">the highest </w:t>
      </w:r>
      <w:r w:rsidR="005E1C07" w:rsidRPr="00F01655">
        <w:t>consonance</w:t>
      </w:r>
      <w:r w:rsidR="00382FA4" w:rsidRPr="00F01655">
        <w:t xml:space="preserve"> level</w:t>
      </w:r>
      <w:r w:rsidR="005E1C07" w:rsidRPr="00F01655">
        <w:t xml:space="preserve">. </w:t>
      </w:r>
      <w:r w:rsidR="009C1E58" w:rsidRPr="00F01655">
        <w:t xml:space="preserve">Typically, individuals with less </w:t>
      </w:r>
      <w:r w:rsidR="00203E92" w:rsidRPr="00F01655">
        <w:t xml:space="preserve">income </w:t>
      </w:r>
      <w:r w:rsidR="00781963" w:rsidRPr="00F01655">
        <w:t>earnings have</w:t>
      </w:r>
      <w:r w:rsidR="00203E92" w:rsidRPr="00F01655">
        <w:t xml:space="preserve"> the lowest bargaining ability in the </w:t>
      </w:r>
      <w:r w:rsidR="00A63499" w:rsidRPr="00BC09CC">
        <w:t>marketplace</w:t>
      </w:r>
      <w:r w:rsidR="009C1E58" w:rsidRPr="00BC09CC">
        <w:rPr>
          <w:color w:val="FF0000"/>
        </w:rPr>
        <w:t xml:space="preserve"> </w:t>
      </w:r>
      <w:r w:rsidRPr="00BC09CC">
        <w:t>(</w:t>
      </w:r>
      <w:r w:rsidRPr="00BC09CC">
        <w:rPr>
          <w:color w:val="000000" w:themeColor="text1"/>
        </w:rPr>
        <w:t>Asmussen et al., 2023).</w:t>
      </w:r>
      <w:r w:rsidRPr="00BC09CC">
        <w:t xml:space="preserve"> </w:t>
      </w:r>
      <w:r w:rsidR="00203E92" w:rsidRPr="00BC09CC">
        <w:t xml:space="preserve">Also, </w:t>
      </w:r>
      <w:r w:rsidRPr="00BC09CC">
        <w:t xml:space="preserve">individuals </w:t>
      </w:r>
      <w:r w:rsidR="00203E92" w:rsidRPr="00BC09CC">
        <w:t>who</w:t>
      </w:r>
      <w:r w:rsidRPr="00BC09CC">
        <w:t xml:space="preserve"> work at a medium-sized company (10 to 99 workers) </w:t>
      </w:r>
      <w:r w:rsidR="00DD25D0">
        <w:t>may be</w:t>
      </w:r>
      <w:r w:rsidR="00DD25D0" w:rsidRPr="00BC09CC">
        <w:t xml:space="preserve"> </w:t>
      </w:r>
      <w:r w:rsidRPr="00BC09CC">
        <w:t>more likely to experience dissonance</w:t>
      </w:r>
      <w:r w:rsidR="00203E92" w:rsidRPr="00BC09CC">
        <w:t xml:space="preserve"> than those who work at a small or large-sized company</w:t>
      </w:r>
      <w:r w:rsidR="003A2D35">
        <w:t xml:space="preserve"> (this effect is statistically significant only at the 80% confidence level)</w:t>
      </w:r>
      <w:r w:rsidRPr="00BC09CC">
        <w:t xml:space="preserve">. </w:t>
      </w:r>
      <w:r w:rsidR="00955EB0" w:rsidRPr="00BC09CC">
        <w:t>Typically</w:t>
      </w:r>
      <w:r w:rsidRPr="00BC09CC">
        <w:t>,</w:t>
      </w:r>
      <w:r w:rsidR="003701F6" w:rsidRPr="00BC09CC">
        <w:t xml:space="preserve"> </w:t>
      </w:r>
      <w:r w:rsidRPr="00BC09CC">
        <w:t>relatively small</w:t>
      </w:r>
      <w:r w:rsidR="003701F6" w:rsidRPr="00BC09CC">
        <w:t>-</w:t>
      </w:r>
      <w:r w:rsidRPr="00BC09CC">
        <w:t xml:space="preserve"> or larger-sized firms have more flexibility</w:t>
      </w:r>
      <w:r w:rsidR="00203E92" w:rsidRPr="00BC09CC">
        <w:t>,</w:t>
      </w:r>
      <w:r w:rsidRPr="00BC09CC">
        <w:t xml:space="preserve"> which enables their employees to telework </w:t>
      </w:r>
      <w:r w:rsidRPr="00BC09CC">
        <w:rPr>
          <w:color w:val="000000" w:themeColor="text1"/>
        </w:rPr>
        <w:t>according to their preferences</w:t>
      </w:r>
      <w:r w:rsidR="00203E92" w:rsidRPr="00BC09CC">
        <w:rPr>
          <w:color w:val="000000" w:themeColor="text1"/>
        </w:rPr>
        <w:t xml:space="preserve"> (see </w:t>
      </w:r>
      <w:r w:rsidR="00E473E3" w:rsidRPr="00BC09CC">
        <w:rPr>
          <w:color w:val="000000" w:themeColor="text1"/>
        </w:rPr>
        <w:t>Zhang et al., 2020</w:t>
      </w:r>
      <w:r w:rsidR="000001CC" w:rsidRPr="00BC09CC">
        <w:rPr>
          <w:color w:val="000000" w:themeColor="text1"/>
        </w:rPr>
        <w:t xml:space="preserve"> and Lister and Harnish, 2011</w:t>
      </w:r>
      <w:r w:rsidR="00203E92" w:rsidRPr="00BC09CC">
        <w:rPr>
          <w:color w:val="000000" w:themeColor="text1"/>
        </w:rPr>
        <w:t>)</w:t>
      </w:r>
      <w:r w:rsidRPr="00BC09CC">
        <w:rPr>
          <w:color w:val="000000" w:themeColor="text1"/>
        </w:rPr>
        <w:t>.</w:t>
      </w:r>
      <w:r w:rsidRPr="00F01655">
        <w:rPr>
          <w:color w:val="000000" w:themeColor="text1"/>
        </w:rPr>
        <w:t xml:space="preserve"> </w:t>
      </w:r>
    </w:p>
    <w:p w14:paraId="27F1615A" w14:textId="1D779D4F" w:rsidR="00CF0B50" w:rsidRPr="00F01655" w:rsidRDefault="00BB61E8" w:rsidP="00BC09CC">
      <w:pPr>
        <w:ind w:firstLine="720"/>
        <w:jc w:val="both"/>
      </w:pPr>
      <w:r w:rsidRPr="00F01655">
        <w:t xml:space="preserve">The outcome-specific </w:t>
      </w:r>
      <w:r w:rsidR="00646A88">
        <w:t xml:space="preserve">“same-threshold” </w:t>
      </w:r>
      <w:r w:rsidRPr="00F01655">
        <w:t xml:space="preserve">shift effects, corresponding to the vector </w:t>
      </w:r>
      <w:r w:rsidR="006C4CCD" w:rsidRPr="00141BDB">
        <w:rPr>
          <w:noProof/>
          <w:position w:val="-14"/>
        </w:rPr>
        <w:object w:dxaOrig="300" w:dyaOrig="380" w14:anchorId="5E48BB6A">
          <v:shape id="_x0000_i1127" type="#_x0000_t75" alt="" style="width:15pt;height:18.85pt;mso-width-percent:0;mso-height-percent:0;mso-width-percent:0;mso-height-percent:0" o:ole="" o:preferrelative="f">
            <v:imagedata r:id="rId128" o:title=""/>
            <o:lock v:ext="edit" aspectratio="f"/>
          </v:shape>
          <o:OLEObject Type="Embed" ProgID="Equation.DSMT4" ShapeID="_x0000_i1127" DrawAspect="Content" ObjectID="_1778681360" r:id="rId204"/>
        </w:object>
      </w:r>
      <w:r w:rsidRPr="00F01655">
        <w:rPr>
          <w:noProof/>
        </w:rPr>
        <w:t xml:space="preserve">, are listed next in the table. </w:t>
      </w:r>
      <w:r w:rsidR="00955EB0" w:rsidRPr="00F01655">
        <w:t xml:space="preserve">The results reveal that single individuals have the least consonance (the most dissonance) in terms of telework every day. This effect reinforces the earlier finding that single individuals would rather have a lower telework frequency in their ideal state than their existing telework frequency, but indicates that this effect is particularly acute for those currently teleworking every day. That is, single individuals currently teleworking everyday appear to want to be in the work office at least on some days of the week. In contrast, </w:t>
      </w:r>
      <w:r w:rsidR="00BC02DD" w:rsidRPr="00F01655">
        <w:t xml:space="preserve">individuals in the lowest household income bracket </w:t>
      </w:r>
      <w:r w:rsidR="00955EB0" w:rsidRPr="00F01655">
        <w:t xml:space="preserve">(who </w:t>
      </w:r>
      <w:r w:rsidR="00BC02DD" w:rsidRPr="00F01655">
        <w:t>display the most dissonance</w:t>
      </w:r>
      <w:r w:rsidR="006F6494" w:rsidRPr="00F01655">
        <w:t xml:space="preserve"> across all telework frequency levels because of a lack of bargaining ability</w:t>
      </w:r>
      <w:r w:rsidR="00955EB0" w:rsidRPr="00F01655">
        <w:t xml:space="preserve">) </w:t>
      </w:r>
      <w:r w:rsidR="00BC02DD" w:rsidRPr="00F01655">
        <w:t xml:space="preserve">have </w:t>
      </w:r>
      <w:r w:rsidR="00955EB0" w:rsidRPr="00F01655">
        <w:t xml:space="preserve">that dissonance level tempered some </w:t>
      </w:r>
      <w:r w:rsidR="00BC02DD" w:rsidRPr="00F01655">
        <w:t xml:space="preserve">in the lowest level of telework, as indicated by the positive coefficient on the “&lt;50,000*Never Telework” variable. Again, this is rather intuitive, given that </w:t>
      </w:r>
      <w:r w:rsidR="006F6494" w:rsidRPr="00F01655">
        <w:t xml:space="preserve">individuals in the lowest income group </w:t>
      </w:r>
      <w:r w:rsidR="00955EB0" w:rsidRPr="00F01655">
        <w:t xml:space="preserve">would be cognizant of the relatively </w:t>
      </w:r>
      <w:r w:rsidR="006F6494" w:rsidRPr="00F01655">
        <w:t xml:space="preserve">essential nature of their occupations, and </w:t>
      </w:r>
      <w:r w:rsidR="00955EB0" w:rsidRPr="00F01655">
        <w:t xml:space="preserve">may </w:t>
      </w:r>
      <w:r w:rsidR="006F6494" w:rsidRPr="00F01655">
        <w:t xml:space="preserve">have come to terms </w:t>
      </w:r>
      <w:r w:rsidR="00955EB0" w:rsidRPr="00F01655">
        <w:t xml:space="preserve">somewhat </w:t>
      </w:r>
      <w:r w:rsidR="006F6494" w:rsidRPr="00F01655">
        <w:t xml:space="preserve">with never being able to telework.  </w:t>
      </w:r>
      <w:r w:rsidR="00AA1C66" w:rsidRPr="00F01655">
        <w:t>Further</w:t>
      </w:r>
      <w:r w:rsidR="002F6BB1" w:rsidRPr="00F01655">
        <w:t xml:space="preserve">, the results </w:t>
      </w:r>
      <w:r w:rsidR="00613D82" w:rsidRPr="00F01655">
        <w:t>point to a high</w:t>
      </w:r>
      <w:r w:rsidR="00DD25D0">
        <w:t>er</w:t>
      </w:r>
      <w:r w:rsidR="00613D82" w:rsidRPr="00F01655">
        <w:t xml:space="preserve"> level of consonance among </w:t>
      </w:r>
      <w:r w:rsidR="006F6494" w:rsidRPr="00F01655">
        <w:t>those working</w:t>
      </w:r>
      <w:r w:rsidR="00DA5034" w:rsidRPr="00F01655">
        <w:t xml:space="preserve"> in</w:t>
      </w:r>
      <w:r w:rsidR="006F6494" w:rsidRPr="00F01655">
        <w:t xml:space="preserve"> small firms of 1-9 workers</w:t>
      </w:r>
      <w:r w:rsidR="00EA6BAA" w:rsidRPr="00F01655">
        <w:t>,</w:t>
      </w:r>
      <w:r w:rsidR="006F6494" w:rsidRPr="00F01655">
        <w:t xml:space="preserve"> </w:t>
      </w:r>
      <w:r w:rsidR="00613D82" w:rsidRPr="00F01655">
        <w:t xml:space="preserve">in </w:t>
      </w:r>
      <w:r w:rsidR="00EA6BAA" w:rsidRPr="00F01655">
        <w:t xml:space="preserve">terms of </w:t>
      </w:r>
      <w:r w:rsidR="00613D82" w:rsidRPr="00F01655">
        <w:t xml:space="preserve">their </w:t>
      </w:r>
      <w:r w:rsidR="00EA6BAA" w:rsidRPr="00F01655">
        <w:t xml:space="preserve">specific </w:t>
      </w:r>
      <w:r w:rsidR="00613D82" w:rsidRPr="00F01655">
        <w:t>preference to telework every day</w:t>
      </w:r>
      <w:r w:rsidR="003A2D35">
        <w:t xml:space="preserve"> (statistically significant only at the 84% confidence level)</w:t>
      </w:r>
      <w:r w:rsidR="00613D82" w:rsidRPr="00F01655">
        <w:t>.</w:t>
      </w:r>
      <w:r w:rsidR="00C508CF" w:rsidRPr="00F01655">
        <w:t xml:space="preserve"> This may seem to be inconsistent with the earlier finding that employees in small-sized firms desire less teleworking than currently, but the </w:t>
      </w:r>
      <w:r w:rsidR="00A63499" w:rsidRPr="00F01655">
        <w:t>takeaway</w:t>
      </w:r>
      <w:r w:rsidR="00C508CF" w:rsidRPr="00F01655">
        <w:t xml:space="preserve"> is that, among employees in small-sized firms, those currently teleworking everyday are happy continuing to do so. However, employees in small-sized firms who are currently teleworking at other teleworking levels would rather do less teleworking.   </w:t>
      </w:r>
    </w:p>
    <w:p w14:paraId="0860FDBF" w14:textId="77D45E0D" w:rsidR="0037533D" w:rsidRPr="00F01655" w:rsidRDefault="00B83B0D" w:rsidP="00BC09CC">
      <w:pPr>
        <w:ind w:firstLine="720"/>
        <w:jc w:val="both"/>
      </w:pPr>
      <w:r w:rsidRPr="00F01655">
        <w:t xml:space="preserve">Finally, to accommodate ETF-ITF combinations that are unlikely to occur, we include cross ETF-ITF threshold adjustments, as explained in Section </w:t>
      </w:r>
      <w:r w:rsidR="0017219E" w:rsidRPr="00F01655">
        <w:t>3.3.1</w:t>
      </w:r>
      <w:r w:rsidRPr="00F01655">
        <w:t>. The two that turned out statistically significant correspond to the “Never ETF/2-3 times ITF” and “Never ETF/everyday ITF” combinations. The observed positive effect on the ITF thresholds pushes the thresholds toward the right. The net effect</w:t>
      </w:r>
      <w:r w:rsidR="001119BE" w:rsidRPr="00F01655">
        <w:t xml:space="preserve"> is to mimic the observed outcome combinations in the sample. This is particularly discernible for the large positive shift of the lower bound of the “Everyday ITF” threshold for those who have “Never ETF” as their outcome. This adjustment has the effect of substantially reducing the “Never ETF/Everyday ITF” combination to fit the very low percentage of individuals with “Never ETF” who desire “Everyday ITF” (see Table 1), so that </w:t>
      </w:r>
      <w:r w:rsidR="00955EB0" w:rsidRPr="00F01655">
        <w:t xml:space="preserve">such </w:t>
      </w:r>
      <w:r w:rsidR="001119BE" w:rsidRPr="00F01655">
        <w:t xml:space="preserve">infrequent combinations do not unduly corrupt </w:t>
      </w:r>
      <w:r w:rsidR="00382FA4" w:rsidRPr="00F01655">
        <w:t>dis</w:t>
      </w:r>
      <w:r w:rsidR="003701F6" w:rsidRPr="00F01655">
        <w:t>sonance</w:t>
      </w:r>
      <w:r w:rsidR="001119BE" w:rsidRPr="00F01655">
        <w:t xml:space="preserve"> estimation levels. </w:t>
      </w:r>
    </w:p>
    <w:p w14:paraId="2715D87C" w14:textId="448A1960" w:rsidR="00CF0B50" w:rsidRPr="00F01655" w:rsidRDefault="00CF0B50" w:rsidP="002966B2">
      <w:pPr>
        <w:pStyle w:val="Heading2"/>
        <w:spacing w:before="0"/>
        <w:ind w:left="540" w:hanging="540"/>
        <w:rPr>
          <w:rFonts w:ascii="Times New Roman" w:hAnsi="Times New Roman" w:cs="Times New Roman"/>
          <w:b/>
          <w:bCs/>
          <w:color w:val="000000" w:themeColor="text1"/>
          <w:sz w:val="24"/>
          <w:szCs w:val="24"/>
        </w:rPr>
      </w:pPr>
      <w:r w:rsidRPr="00F01655">
        <w:rPr>
          <w:rFonts w:ascii="Times New Roman" w:hAnsi="Times New Roman" w:cs="Times New Roman"/>
          <w:b/>
          <w:bCs/>
          <w:color w:val="000000" w:themeColor="text1"/>
          <w:sz w:val="24"/>
          <w:szCs w:val="24"/>
        </w:rPr>
        <w:lastRenderedPageBreak/>
        <w:t>4.3.</w:t>
      </w:r>
      <w:r w:rsidRPr="00F01655">
        <w:rPr>
          <w:rFonts w:ascii="Times New Roman" w:hAnsi="Times New Roman" w:cs="Times New Roman"/>
          <w:b/>
          <w:bCs/>
          <w:color w:val="000000" w:themeColor="text1"/>
          <w:sz w:val="24"/>
          <w:szCs w:val="24"/>
        </w:rPr>
        <w:tab/>
        <w:t xml:space="preserve">Correlation </w:t>
      </w:r>
      <w:r w:rsidR="006A4FEC" w:rsidRPr="00F01655">
        <w:rPr>
          <w:rFonts w:ascii="Times New Roman" w:hAnsi="Times New Roman" w:cs="Times New Roman"/>
          <w:b/>
          <w:bCs/>
          <w:color w:val="000000" w:themeColor="text1"/>
          <w:sz w:val="24"/>
          <w:szCs w:val="24"/>
        </w:rPr>
        <w:t>Terms</w:t>
      </w:r>
    </w:p>
    <w:p w14:paraId="19F2AC22" w14:textId="30E94688" w:rsidR="00CF0B50" w:rsidRPr="00F01655" w:rsidRDefault="00CF0B50" w:rsidP="006C4CCD">
      <w:pPr>
        <w:jc w:val="both"/>
      </w:pPr>
      <w:r w:rsidRPr="00F01655">
        <w:rPr>
          <w:bCs/>
          <w:color w:val="000000" w:themeColor="text1"/>
        </w:rPr>
        <w:t xml:space="preserve">The </w:t>
      </w:r>
      <w:r w:rsidR="00912380" w:rsidRPr="00F01655">
        <w:rPr>
          <w:bCs/>
          <w:color w:val="000000" w:themeColor="text1"/>
        </w:rPr>
        <w:t xml:space="preserve">penultimate row panel </w:t>
      </w:r>
      <w:r w:rsidRPr="00F01655">
        <w:rPr>
          <w:bCs/>
          <w:color w:val="000000" w:themeColor="text1"/>
        </w:rPr>
        <w:t>of Table 3 presents the</w:t>
      </w:r>
      <w:r w:rsidR="00BA1665" w:rsidRPr="00F01655">
        <w:rPr>
          <w:bCs/>
          <w:color w:val="000000" w:themeColor="text1"/>
        </w:rPr>
        <w:t xml:space="preserve"> estimates corresponding to the </w:t>
      </w:r>
      <w:r w:rsidR="00912380" w:rsidRPr="00F01655">
        <w:rPr>
          <w:bCs/>
          <w:color w:val="000000" w:themeColor="text1"/>
        </w:rPr>
        <w:t xml:space="preserve">vector </w:t>
      </w:r>
      <w:r w:rsidR="00360236" w:rsidRPr="00360236">
        <w:rPr>
          <w:b/>
          <w:color w:val="000000" w:themeColor="text1"/>
        </w:rPr>
        <w:t>θ</w:t>
      </w:r>
      <w:r w:rsidR="00333E71" w:rsidRPr="00F01655">
        <w:rPr>
          <w:noProof/>
        </w:rPr>
        <w:t xml:space="preserve"> </w:t>
      </w:r>
      <w:r w:rsidR="00912380" w:rsidRPr="00F01655">
        <w:t xml:space="preserve">embedded in the correlation function </w:t>
      </w:r>
      <w:r w:rsidR="00BA1665" w:rsidRPr="00F01655">
        <w:rPr>
          <w:bCs/>
          <w:color w:val="000000" w:themeColor="text1"/>
        </w:rPr>
        <w:t>(see Section 3.</w:t>
      </w:r>
      <w:r w:rsidR="009028CC" w:rsidRPr="00F01655">
        <w:rPr>
          <w:bCs/>
          <w:color w:val="000000" w:themeColor="text1"/>
        </w:rPr>
        <w:t>3</w:t>
      </w:r>
      <w:r w:rsidR="00BA1665" w:rsidRPr="00F01655">
        <w:rPr>
          <w:bCs/>
          <w:color w:val="000000" w:themeColor="text1"/>
        </w:rPr>
        <w:t xml:space="preserve">.2). </w:t>
      </w:r>
      <w:r w:rsidR="00912380" w:rsidRPr="00F01655">
        <w:rPr>
          <w:bCs/>
          <w:color w:val="000000" w:themeColor="text1"/>
        </w:rPr>
        <w:t>The constant value of -0.</w:t>
      </w:r>
      <w:r w:rsidR="00AA1C66" w:rsidRPr="00F01655">
        <w:rPr>
          <w:bCs/>
          <w:color w:val="000000" w:themeColor="text1"/>
        </w:rPr>
        <w:t>499</w:t>
      </w:r>
      <w:r w:rsidR="00912380" w:rsidRPr="00F01655">
        <w:rPr>
          <w:bCs/>
          <w:color w:val="000000" w:themeColor="text1"/>
        </w:rPr>
        <w:t xml:space="preserve"> indicates that the correlation between the ETF and ITF propensities for the base individual (that is, an individual who is 18-64 years of age, in the less than 100K or 150K or more household annual income range, and with two or more individuals in the household) is +0.2</w:t>
      </w:r>
      <w:r w:rsidR="00AA1C66" w:rsidRPr="00F01655">
        <w:rPr>
          <w:bCs/>
          <w:color w:val="000000" w:themeColor="text1"/>
        </w:rPr>
        <w:t>44</w:t>
      </w:r>
      <w:r w:rsidR="006A4FEC" w:rsidRPr="00F01655">
        <w:rPr>
          <w:bCs/>
          <w:color w:val="000000" w:themeColor="text1"/>
        </w:rPr>
        <w:t xml:space="preserve"> with a t-statistic of </w:t>
      </w:r>
      <w:r w:rsidR="00CB40F4" w:rsidRPr="00F01655">
        <w:rPr>
          <w:bCs/>
          <w:color w:val="000000" w:themeColor="text1"/>
        </w:rPr>
        <w:t>2.33</w:t>
      </w:r>
      <w:r w:rsidR="00912380" w:rsidRPr="00F01655">
        <w:rPr>
          <w:bCs/>
          <w:color w:val="000000" w:themeColor="text1"/>
        </w:rPr>
        <w:t>.</w:t>
      </w:r>
      <w:r w:rsidR="004A029F">
        <w:rPr>
          <w:bCs/>
          <w:color w:val="000000" w:themeColor="text1"/>
        </w:rPr>
        <w:t xml:space="preserve"> </w:t>
      </w:r>
      <w:r w:rsidR="00BA1665" w:rsidRPr="00F01655">
        <w:rPr>
          <w:bCs/>
          <w:color w:val="000000" w:themeColor="text1"/>
        </w:rPr>
        <w:t xml:space="preserve">This </w:t>
      </w:r>
      <w:r w:rsidR="006A4FEC" w:rsidRPr="00F01655">
        <w:rPr>
          <w:bCs/>
          <w:color w:val="000000" w:themeColor="text1"/>
        </w:rPr>
        <w:t xml:space="preserve">significant correlation </w:t>
      </w:r>
      <w:r w:rsidR="00BA1665" w:rsidRPr="00F01655">
        <w:rPr>
          <w:bCs/>
          <w:color w:val="000000" w:themeColor="text1"/>
        </w:rPr>
        <w:t>indicates the presence of several unobserved factors that influence both current as well as preferred telework frequency</w:t>
      </w:r>
      <w:r w:rsidR="00C054E5" w:rsidRPr="00F01655">
        <w:rPr>
          <w:bCs/>
          <w:color w:val="000000" w:themeColor="text1"/>
        </w:rPr>
        <w:t xml:space="preserve"> in the same </w:t>
      </w:r>
      <w:r w:rsidR="006A4FEC" w:rsidRPr="00F01655">
        <w:rPr>
          <w:bCs/>
          <w:color w:val="000000" w:themeColor="text1"/>
        </w:rPr>
        <w:t>direction</w:t>
      </w:r>
      <w:r w:rsidR="00BA1665" w:rsidRPr="00F01655">
        <w:rPr>
          <w:bCs/>
          <w:color w:val="000000" w:themeColor="text1"/>
        </w:rPr>
        <w:t xml:space="preserve">. </w:t>
      </w:r>
      <w:r w:rsidR="00AA1C66" w:rsidRPr="00F01655">
        <w:rPr>
          <w:bCs/>
          <w:color w:val="000000" w:themeColor="text1"/>
        </w:rPr>
        <w:t>E</w:t>
      </w:r>
      <w:r w:rsidR="00BA1665" w:rsidRPr="00F01655">
        <w:rPr>
          <w:bCs/>
          <w:color w:val="000000" w:themeColor="text1"/>
        </w:rPr>
        <w:t xml:space="preserve">xplicitly incorporating the correlation is important </w:t>
      </w:r>
      <w:r w:rsidR="00AA1C66" w:rsidRPr="00F01655">
        <w:rPr>
          <w:bCs/>
          <w:color w:val="000000" w:themeColor="text1"/>
        </w:rPr>
        <w:t>to maintain the strict jointness of the ETF and ITF outcomes</w:t>
      </w:r>
      <w:r w:rsidR="00BA1665" w:rsidRPr="00F01655">
        <w:rPr>
          <w:bCs/>
          <w:color w:val="000000" w:themeColor="text1"/>
        </w:rPr>
        <w:t xml:space="preserve">, since current telework frequency is used as an </w:t>
      </w:r>
      <w:r w:rsidR="006A4FEC" w:rsidRPr="00F01655">
        <w:rPr>
          <w:bCs/>
          <w:color w:val="000000" w:themeColor="text1"/>
        </w:rPr>
        <w:t xml:space="preserve">“endogenous” </w:t>
      </w:r>
      <w:r w:rsidR="00BA1665" w:rsidRPr="00F01655">
        <w:rPr>
          <w:bCs/>
          <w:color w:val="000000" w:themeColor="text1"/>
        </w:rPr>
        <w:t xml:space="preserve">explanatory variable in the thresholds of </w:t>
      </w:r>
      <w:r w:rsidR="00AA1C66" w:rsidRPr="00F01655">
        <w:rPr>
          <w:bCs/>
          <w:color w:val="000000" w:themeColor="text1"/>
        </w:rPr>
        <w:t>ITF propensity</w:t>
      </w:r>
      <w:r w:rsidR="006A4FEC" w:rsidRPr="00F01655">
        <w:rPr>
          <w:bCs/>
          <w:color w:val="000000" w:themeColor="text1"/>
        </w:rPr>
        <w:t>.</w:t>
      </w:r>
      <w:r w:rsidR="006C4CCD">
        <w:rPr>
          <w:bCs/>
          <w:color w:val="000000" w:themeColor="text1"/>
        </w:rPr>
        <w:t xml:space="preserve"> </w:t>
      </w:r>
      <w:r w:rsidR="006A4FEC" w:rsidRPr="00F01655">
        <w:rPr>
          <w:bCs/>
          <w:color w:val="000000" w:themeColor="text1"/>
        </w:rPr>
        <w:t xml:space="preserve">The other sociodemographic effects modify the correlation intensity. Specifically, </w:t>
      </w:r>
      <w:r w:rsidR="006A4FEC" w:rsidRPr="00F01655">
        <w:t xml:space="preserve">a higher correlation between ITF and ETF propensity is observed for </w:t>
      </w:r>
      <w:r w:rsidR="00C054E5" w:rsidRPr="00F01655">
        <w:t>older individuals (i.e., 65 and above) and individuals belonging to single households, as compared to all others sub</w:t>
      </w:r>
      <w:r w:rsidR="006C4CCD">
        <w:t>-</w:t>
      </w:r>
      <w:r w:rsidR="00C054E5" w:rsidRPr="00F01655">
        <w:t>segments in the population</w:t>
      </w:r>
      <w:r w:rsidR="006A4FEC" w:rsidRPr="00F01655">
        <w:t xml:space="preserve"> (thus, for example, the estimates in the table indicate that the correlation rises to a value of 0.5</w:t>
      </w:r>
      <w:r w:rsidR="00AA1C66" w:rsidRPr="00F01655">
        <w:t>26</w:t>
      </w:r>
      <w:r w:rsidR="006A4FEC" w:rsidRPr="00F01655">
        <w:t xml:space="preserve"> for older individuals in households with at least one additional individual</w:t>
      </w:r>
      <w:r w:rsidR="00DD25D0">
        <w:t xml:space="preserve"> (statistically significant at only the </w:t>
      </w:r>
      <w:r w:rsidR="00F31CE0">
        <w:t>75</w:t>
      </w:r>
      <w:r w:rsidR="00DD25D0">
        <w:t>% confidence level)</w:t>
      </w:r>
      <w:r w:rsidR="006A4FEC" w:rsidRPr="00F01655">
        <w:t xml:space="preserve"> and with an income of less than 100K or 150K or more).</w:t>
      </w:r>
      <w:r w:rsidR="004A029F">
        <w:t xml:space="preserve"> </w:t>
      </w:r>
      <w:r w:rsidR="006A4FEC" w:rsidRPr="00F01655">
        <w:t xml:space="preserve">In contrast, </w:t>
      </w:r>
      <w:r w:rsidR="00314B6C" w:rsidRPr="00F01655">
        <w:t>individuals from medium income households have lower correlations relative to individuals from households belonging to other income categorie</w:t>
      </w:r>
      <w:r w:rsidR="00AA1C66" w:rsidRPr="00F01655">
        <w:t>s.</w:t>
      </w:r>
    </w:p>
    <w:p w14:paraId="6209A315" w14:textId="77777777" w:rsidR="009028CC" w:rsidRPr="00F01655" w:rsidRDefault="009028CC" w:rsidP="00BC09CC">
      <w:pPr>
        <w:jc w:val="both"/>
      </w:pPr>
    </w:p>
    <w:p w14:paraId="50F28B1D" w14:textId="77777777" w:rsidR="00DE243E" w:rsidRPr="00F01655" w:rsidRDefault="00DE243E" w:rsidP="002966B2">
      <w:pPr>
        <w:pStyle w:val="Heading2"/>
        <w:spacing w:before="0"/>
        <w:ind w:left="540" w:hanging="540"/>
        <w:rPr>
          <w:rFonts w:ascii="Times New Roman" w:hAnsi="Times New Roman" w:cs="Times New Roman"/>
          <w:b/>
          <w:bCs/>
          <w:color w:val="000000" w:themeColor="text1"/>
          <w:sz w:val="24"/>
          <w:szCs w:val="24"/>
        </w:rPr>
      </w:pPr>
      <w:r w:rsidRPr="00F01655">
        <w:rPr>
          <w:rFonts w:ascii="Times New Roman" w:hAnsi="Times New Roman" w:cs="Times New Roman"/>
          <w:b/>
          <w:bCs/>
          <w:color w:val="000000" w:themeColor="text1"/>
          <w:sz w:val="24"/>
          <w:szCs w:val="24"/>
        </w:rPr>
        <w:t>4.4.</w:t>
      </w:r>
      <w:r w:rsidRPr="00F01655">
        <w:rPr>
          <w:rFonts w:ascii="Times New Roman" w:hAnsi="Times New Roman" w:cs="Times New Roman"/>
          <w:b/>
          <w:bCs/>
          <w:color w:val="000000" w:themeColor="text1"/>
          <w:sz w:val="24"/>
          <w:szCs w:val="24"/>
        </w:rPr>
        <w:tab/>
        <w:t>Model Goodness of Fit</w:t>
      </w:r>
    </w:p>
    <w:p w14:paraId="03CFCB27" w14:textId="1654EC89" w:rsidR="00DE243E" w:rsidRPr="00F01655" w:rsidRDefault="00B04B09" w:rsidP="00BC09CC">
      <w:pPr>
        <w:jc w:val="both"/>
      </w:pPr>
      <w:r w:rsidRPr="00F01655">
        <w:t>The goodness of fit measures for the developed model are presented in two form</w:t>
      </w:r>
      <w:r w:rsidR="00DE22F9" w:rsidRPr="00F01655">
        <w:t>s</w:t>
      </w:r>
      <w:r w:rsidRPr="00F01655">
        <w:t xml:space="preserve"> – (a) Likelihood based goodness of fit measures, and (b) non-</w:t>
      </w:r>
      <w:r w:rsidR="00AD6464" w:rsidRPr="00F01655">
        <w:t>likelihood-based</w:t>
      </w:r>
      <w:r w:rsidRPr="00F01655">
        <w:t xml:space="preserve"> goodness of fit measures. We first discuss the </w:t>
      </w:r>
      <w:r w:rsidR="00AD6464" w:rsidRPr="00F01655">
        <w:t>likelihood-based</w:t>
      </w:r>
      <w:r w:rsidRPr="00F01655">
        <w:t xml:space="preserve"> data measures.</w:t>
      </w:r>
    </w:p>
    <w:p w14:paraId="07D3A246" w14:textId="77777777" w:rsidR="002C3DCC" w:rsidRPr="00F01655" w:rsidRDefault="002C3DCC" w:rsidP="00BC09CC"/>
    <w:p w14:paraId="16BEC605" w14:textId="65BCEBC2" w:rsidR="00B04B09" w:rsidRPr="00F01655" w:rsidRDefault="00B04B09" w:rsidP="00BC09CC">
      <w:r w:rsidRPr="00BC09CC">
        <w:rPr>
          <w:i/>
        </w:rPr>
        <w:t xml:space="preserve">4.4.1. </w:t>
      </w:r>
      <w:r w:rsidR="002C3DCC" w:rsidRPr="00BC09CC">
        <w:rPr>
          <w:i/>
        </w:rPr>
        <w:tab/>
      </w:r>
      <w:r w:rsidRPr="00F01655">
        <w:rPr>
          <w:i/>
          <w:iCs/>
        </w:rPr>
        <w:t xml:space="preserve">Likelihood </w:t>
      </w:r>
      <w:r w:rsidR="002C3DCC" w:rsidRPr="00F01655">
        <w:rPr>
          <w:i/>
          <w:iCs/>
        </w:rPr>
        <w:t>B</w:t>
      </w:r>
      <w:r w:rsidRPr="00F01655">
        <w:rPr>
          <w:i/>
          <w:iCs/>
        </w:rPr>
        <w:t xml:space="preserve">ased </w:t>
      </w:r>
      <w:r w:rsidR="002C3DCC" w:rsidRPr="00F01655">
        <w:rPr>
          <w:i/>
          <w:iCs/>
        </w:rPr>
        <w:t>G</w:t>
      </w:r>
      <w:r w:rsidRPr="00F01655">
        <w:rPr>
          <w:i/>
          <w:iCs/>
        </w:rPr>
        <w:t xml:space="preserve">oodness of </w:t>
      </w:r>
      <w:r w:rsidR="002C3DCC" w:rsidRPr="00F01655">
        <w:rPr>
          <w:i/>
          <w:iCs/>
        </w:rPr>
        <w:t>F</w:t>
      </w:r>
      <w:r w:rsidRPr="00F01655">
        <w:rPr>
          <w:i/>
          <w:iCs/>
        </w:rPr>
        <w:t xml:space="preserve">it </w:t>
      </w:r>
      <w:r w:rsidR="002C3DCC" w:rsidRPr="00F01655">
        <w:rPr>
          <w:i/>
          <w:iCs/>
        </w:rPr>
        <w:t>M</w:t>
      </w:r>
      <w:r w:rsidRPr="00F01655">
        <w:rPr>
          <w:i/>
          <w:iCs/>
        </w:rPr>
        <w:t>easures</w:t>
      </w:r>
    </w:p>
    <w:p w14:paraId="4121CF47" w14:textId="0043A774" w:rsidR="006C4CCD" w:rsidRPr="004A029F" w:rsidRDefault="002C3DCC" w:rsidP="004A029F">
      <w:pPr>
        <w:widowControl w:val="0"/>
        <w:spacing w:after="160"/>
        <w:jc w:val="both"/>
      </w:pPr>
      <w:r w:rsidRPr="00F01655">
        <w:t>As shown in Table 4, the log</w:t>
      </w:r>
      <w:r w:rsidR="0048425E" w:rsidRPr="00F01655">
        <w:t>-</w:t>
      </w:r>
      <w:r w:rsidR="00AD6464" w:rsidRPr="00F01655">
        <w:t>like</w:t>
      </w:r>
      <w:r w:rsidR="0048425E" w:rsidRPr="00F01655">
        <w:t>li</w:t>
      </w:r>
      <w:r w:rsidR="00AD6464" w:rsidRPr="00F01655">
        <w:t>hood</w:t>
      </w:r>
      <w:r w:rsidRPr="00F01655">
        <w:t xml:space="preserve"> at convergence and the constants-only predictive log-likelihood estimates are sufficient</w:t>
      </w:r>
      <w:r w:rsidR="00DE22F9" w:rsidRPr="00F01655">
        <w:t xml:space="preserve"> to assess fit</w:t>
      </w:r>
      <w:r w:rsidRPr="00F01655">
        <w:t xml:space="preserve">. </w:t>
      </w:r>
      <w:r w:rsidR="00AD6464" w:rsidRPr="00F01655">
        <w:t>Through the log-likelihood ratio, the results indicate that the model with the sociodemographic attributes in the specification describe the telecommuting behavior better than the constants-only model at any reasonable significance level.</w:t>
      </w:r>
    </w:p>
    <w:p w14:paraId="0F18FBA4" w14:textId="77777777" w:rsidR="00DE243E" w:rsidRPr="006C4CCD" w:rsidRDefault="00DE243E" w:rsidP="00DE243E">
      <w:pPr>
        <w:rPr>
          <w:b/>
          <w:bCs/>
        </w:rPr>
      </w:pPr>
      <w:r w:rsidRPr="006C4CCD">
        <w:rPr>
          <w:b/>
          <w:bCs/>
        </w:rPr>
        <w:t>Table 4. Disaggregate Data Fit Measures</w:t>
      </w:r>
    </w:p>
    <w:tbl>
      <w:tblPr>
        <w:tblW w:w="9020" w:type="dxa"/>
        <w:tblLook w:val="04A0" w:firstRow="1" w:lastRow="0" w:firstColumn="1" w:lastColumn="0" w:noHBand="0" w:noVBand="1"/>
      </w:tblPr>
      <w:tblGrid>
        <w:gridCol w:w="5080"/>
        <w:gridCol w:w="3940"/>
      </w:tblGrid>
      <w:tr w:rsidR="00DE243E" w:rsidRPr="006C4CCD" w14:paraId="238F92B3" w14:textId="77777777" w:rsidTr="006C4CCD">
        <w:trPr>
          <w:trHeight w:val="20"/>
        </w:trPr>
        <w:tc>
          <w:tcPr>
            <w:tcW w:w="5080"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4C7A783A" w14:textId="77777777" w:rsidR="00DE243E" w:rsidRPr="004A029F" w:rsidRDefault="00DE243E" w:rsidP="000A2446">
            <w:pPr>
              <w:jc w:val="center"/>
              <w:rPr>
                <w:b/>
                <w:bCs/>
                <w:color w:val="000000"/>
                <w:sz w:val="22"/>
                <w:szCs w:val="22"/>
              </w:rPr>
            </w:pPr>
            <w:r w:rsidRPr="004A029F">
              <w:rPr>
                <w:b/>
                <w:bCs/>
                <w:color w:val="000000"/>
                <w:sz w:val="22"/>
                <w:szCs w:val="22"/>
              </w:rPr>
              <w:t>Metric</w:t>
            </w:r>
          </w:p>
        </w:tc>
        <w:tc>
          <w:tcPr>
            <w:tcW w:w="3940" w:type="dxa"/>
            <w:tcBorders>
              <w:top w:val="double" w:sz="4" w:space="0" w:color="auto"/>
              <w:left w:val="nil"/>
              <w:bottom w:val="double" w:sz="4" w:space="0" w:color="auto"/>
              <w:right w:val="double" w:sz="4" w:space="0" w:color="auto"/>
            </w:tcBorders>
            <w:shd w:val="clear" w:color="auto" w:fill="auto"/>
            <w:noWrap/>
            <w:vAlign w:val="center"/>
            <w:hideMark/>
          </w:tcPr>
          <w:p w14:paraId="11632503" w14:textId="77777777" w:rsidR="00DE243E" w:rsidRPr="004A029F" w:rsidRDefault="00DE243E" w:rsidP="000A2446">
            <w:pPr>
              <w:jc w:val="center"/>
              <w:rPr>
                <w:b/>
                <w:bCs/>
                <w:color w:val="000000"/>
                <w:sz w:val="22"/>
                <w:szCs w:val="22"/>
              </w:rPr>
            </w:pPr>
            <w:r w:rsidRPr="004A029F">
              <w:rPr>
                <w:b/>
                <w:bCs/>
                <w:color w:val="000000"/>
                <w:sz w:val="22"/>
                <w:szCs w:val="22"/>
              </w:rPr>
              <w:t>Proposed Model</w:t>
            </w:r>
          </w:p>
        </w:tc>
      </w:tr>
      <w:tr w:rsidR="00DE243E" w:rsidRPr="006C4CCD" w14:paraId="18871C41" w14:textId="77777777" w:rsidTr="006C4CCD">
        <w:trPr>
          <w:trHeight w:val="20"/>
        </w:trPr>
        <w:tc>
          <w:tcPr>
            <w:tcW w:w="508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5FB8FC1" w14:textId="77777777" w:rsidR="00DE243E" w:rsidRPr="004A029F" w:rsidRDefault="00DE243E" w:rsidP="00B005F6">
            <w:pPr>
              <w:rPr>
                <w:color w:val="000000"/>
                <w:sz w:val="22"/>
                <w:szCs w:val="22"/>
              </w:rPr>
            </w:pPr>
            <w:r w:rsidRPr="004A029F">
              <w:rPr>
                <w:color w:val="000000"/>
                <w:sz w:val="22"/>
                <w:szCs w:val="22"/>
              </w:rPr>
              <w:t>Log-Likelihood at Convergence</w:t>
            </w:r>
          </w:p>
        </w:tc>
        <w:tc>
          <w:tcPr>
            <w:tcW w:w="3940" w:type="dxa"/>
            <w:tcBorders>
              <w:top w:val="double" w:sz="4" w:space="0" w:color="auto"/>
              <w:left w:val="nil"/>
              <w:bottom w:val="single" w:sz="4" w:space="0" w:color="auto"/>
              <w:right w:val="double" w:sz="4" w:space="0" w:color="auto"/>
            </w:tcBorders>
            <w:shd w:val="clear" w:color="auto" w:fill="auto"/>
            <w:noWrap/>
            <w:vAlign w:val="center"/>
            <w:hideMark/>
          </w:tcPr>
          <w:p w14:paraId="2EC6B7D4" w14:textId="77777777" w:rsidR="00DE243E" w:rsidRPr="004A029F" w:rsidRDefault="00DE243E" w:rsidP="00B005F6">
            <w:pPr>
              <w:jc w:val="right"/>
              <w:rPr>
                <w:color w:val="000000"/>
                <w:sz w:val="22"/>
                <w:szCs w:val="22"/>
              </w:rPr>
            </w:pPr>
            <w:r w:rsidRPr="004A029F">
              <w:rPr>
                <w:color w:val="000000"/>
                <w:sz w:val="22"/>
                <w:szCs w:val="22"/>
              </w:rPr>
              <w:t>-3038.11</w:t>
            </w:r>
          </w:p>
        </w:tc>
      </w:tr>
      <w:tr w:rsidR="00DE243E" w:rsidRPr="006C4CCD" w14:paraId="5A0EDB5D" w14:textId="77777777" w:rsidTr="006C4CCD">
        <w:trPr>
          <w:trHeight w:val="20"/>
        </w:trPr>
        <w:tc>
          <w:tcPr>
            <w:tcW w:w="5080" w:type="dxa"/>
            <w:tcBorders>
              <w:top w:val="nil"/>
              <w:left w:val="double" w:sz="4" w:space="0" w:color="auto"/>
              <w:bottom w:val="single" w:sz="4" w:space="0" w:color="auto"/>
              <w:right w:val="single" w:sz="4" w:space="0" w:color="auto"/>
            </w:tcBorders>
            <w:shd w:val="clear" w:color="auto" w:fill="auto"/>
            <w:noWrap/>
            <w:vAlign w:val="center"/>
            <w:hideMark/>
          </w:tcPr>
          <w:p w14:paraId="1253B418" w14:textId="77777777" w:rsidR="00DE243E" w:rsidRPr="004A029F" w:rsidRDefault="00DE243E" w:rsidP="00B005F6">
            <w:pPr>
              <w:rPr>
                <w:color w:val="000000"/>
                <w:sz w:val="22"/>
                <w:szCs w:val="22"/>
              </w:rPr>
            </w:pPr>
            <w:r w:rsidRPr="004A029F">
              <w:rPr>
                <w:color w:val="000000"/>
                <w:sz w:val="22"/>
                <w:szCs w:val="22"/>
              </w:rPr>
              <w:t>Number of Parameters</w:t>
            </w:r>
          </w:p>
        </w:tc>
        <w:tc>
          <w:tcPr>
            <w:tcW w:w="3940" w:type="dxa"/>
            <w:tcBorders>
              <w:top w:val="nil"/>
              <w:left w:val="nil"/>
              <w:bottom w:val="single" w:sz="4" w:space="0" w:color="auto"/>
              <w:right w:val="double" w:sz="4" w:space="0" w:color="auto"/>
            </w:tcBorders>
            <w:shd w:val="clear" w:color="auto" w:fill="auto"/>
            <w:noWrap/>
            <w:vAlign w:val="center"/>
            <w:hideMark/>
          </w:tcPr>
          <w:p w14:paraId="3030C553" w14:textId="0DC6BE42" w:rsidR="00DE243E" w:rsidRPr="004A029F" w:rsidRDefault="00EE3E5F" w:rsidP="00B005F6">
            <w:pPr>
              <w:jc w:val="right"/>
              <w:rPr>
                <w:color w:val="000000"/>
                <w:sz w:val="22"/>
                <w:szCs w:val="22"/>
              </w:rPr>
            </w:pPr>
            <w:r w:rsidRPr="004A029F">
              <w:rPr>
                <w:color w:val="000000"/>
                <w:sz w:val="22"/>
                <w:szCs w:val="22"/>
              </w:rPr>
              <w:t>59</w:t>
            </w:r>
          </w:p>
        </w:tc>
      </w:tr>
      <w:tr w:rsidR="00DE243E" w:rsidRPr="006C4CCD" w14:paraId="2B658394" w14:textId="77777777" w:rsidTr="006C4CCD">
        <w:trPr>
          <w:trHeight w:val="20"/>
        </w:trPr>
        <w:tc>
          <w:tcPr>
            <w:tcW w:w="5080" w:type="dxa"/>
            <w:tcBorders>
              <w:top w:val="nil"/>
              <w:left w:val="double" w:sz="4" w:space="0" w:color="auto"/>
              <w:bottom w:val="single" w:sz="4" w:space="0" w:color="auto"/>
              <w:right w:val="single" w:sz="4" w:space="0" w:color="auto"/>
            </w:tcBorders>
            <w:shd w:val="clear" w:color="auto" w:fill="auto"/>
            <w:noWrap/>
            <w:vAlign w:val="center"/>
            <w:hideMark/>
          </w:tcPr>
          <w:p w14:paraId="0702734D" w14:textId="77777777" w:rsidR="00DE243E" w:rsidRPr="004A029F" w:rsidRDefault="00DE243E" w:rsidP="00B005F6">
            <w:pPr>
              <w:rPr>
                <w:color w:val="000000"/>
                <w:sz w:val="22"/>
                <w:szCs w:val="22"/>
              </w:rPr>
            </w:pPr>
            <w:r w:rsidRPr="004A029F">
              <w:rPr>
                <w:color w:val="000000"/>
                <w:sz w:val="22"/>
                <w:szCs w:val="22"/>
              </w:rPr>
              <w:t>Constants-Only Predictive Log-Likelihood</w:t>
            </w:r>
          </w:p>
        </w:tc>
        <w:tc>
          <w:tcPr>
            <w:tcW w:w="3940" w:type="dxa"/>
            <w:tcBorders>
              <w:top w:val="nil"/>
              <w:left w:val="nil"/>
              <w:bottom w:val="single" w:sz="4" w:space="0" w:color="auto"/>
              <w:right w:val="double" w:sz="4" w:space="0" w:color="auto"/>
            </w:tcBorders>
            <w:shd w:val="clear" w:color="auto" w:fill="auto"/>
            <w:noWrap/>
            <w:vAlign w:val="center"/>
            <w:hideMark/>
          </w:tcPr>
          <w:p w14:paraId="040E15C3" w14:textId="77777777" w:rsidR="00DE243E" w:rsidRPr="004A029F" w:rsidRDefault="00DE243E" w:rsidP="00B005F6">
            <w:pPr>
              <w:jc w:val="right"/>
              <w:rPr>
                <w:color w:val="000000"/>
                <w:sz w:val="22"/>
                <w:szCs w:val="22"/>
              </w:rPr>
            </w:pPr>
            <w:r w:rsidRPr="004A029F">
              <w:rPr>
                <w:color w:val="000000"/>
                <w:sz w:val="22"/>
                <w:szCs w:val="22"/>
              </w:rPr>
              <w:t>-3305.60</w:t>
            </w:r>
          </w:p>
        </w:tc>
      </w:tr>
      <w:tr w:rsidR="00DE243E" w:rsidRPr="006C4CCD" w14:paraId="1E928BE6" w14:textId="77777777" w:rsidTr="006C4CCD">
        <w:trPr>
          <w:trHeight w:val="20"/>
        </w:trPr>
        <w:tc>
          <w:tcPr>
            <w:tcW w:w="5080" w:type="dxa"/>
            <w:tcBorders>
              <w:top w:val="nil"/>
              <w:left w:val="double" w:sz="4" w:space="0" w:color="auto"/>
              <w:bottom w:val="single" w:sz="4" w:space="0" w:color="auto"/>
              <w:right w:val="single" w:sz="4" w:space="0" w:color="auto"/>
            </w:tcBorders>
            <w:shd w:val="clear" w:color="auto" w:fill="auto"/>
            <w:noWrap/>
            <w:vAlign w:val="center"/>
            <w:hideMark/>
          </w:tcPr>
          <w:p w14:paraId="70757EE8" w14:textId="77777777" w:rsidR="00DE243E" w:rsidRPr="004A029F" w:rsidRDefault="00DE243E" w:rsidP="00B005F6">
            <w:pPr>
              <w:rPr>
                <w:color w:val="000000"/>
                <w:sz w:val="22"/>
                <w:szCs w:val="22"/>
              </w:rPr>
            </w:pPr>
            <w:r w:rsidRPr="004A029F">
              <w:rPr>
                <w:color w:val="000000"/>
                <w:sz w:val="22"/>
                <w:szCs w:val="22"/>
              </w:rPr>
              <w:t>Number of Parameters for Constants-Only Model</w:t>
            </w:r>
          </w:p>
        </w:tc>
        <w:tc>
          <w:tcPr>
            <w:tcW w:w="3940" w:type="dxa"/>
            <w:tcBorders>
              <w:top w:val="nil"/>
              <w:left w:val="nil"/>
              <w:bottom w:val="single" w:sz="4" w:space="0" w:color="auto"/>
              <w:right w:val="double" w:sz="4" w:space="0" w:color="auto"/>
            </w:tcBorders>
            <w:shd w:val="clear" w:color="auto" w:fill="auto"/>
            <w:noWrap/>
            <w:vAlign w:val="center"/>
            <w:hideMark/>
          </w:tcPr>
          <w:p w14:paraId="669288AF" w14:textId="77777777" w:rsidR="00DE243E" w:rsidRPr="004A029F" w:rsidRDefault="00DE243E" w:rsidP="00B005F6">
            <w:pPr>
              <w:jc w:val="right"/>
              <w:rPr>
                <w:color w:val="000000"/>
                <w:sz w:val="22"/>
                <w:szCs w:val="22"/>
              </w:rPr>
            </w:pPr>
            <w:r w:rsidRPr="004A029F">
              <w:rPr>
                <w:color w:val="000000"/>
                <w:sz w:val="22"/>
                <w:szCs w:val="22"/>
              </w:rPr>
              <w:t>10</w:t>
            </w:r>
          </w:p>
        </w:tc>
      </w:tr>
      <w:tr w:rsidR="00DE243E" w:rsidRPr="006C4CCD" w14:paraId="0B9AA7C9" w14:textId="77777777" w:rsidTr="006C4CCD">
        <w:trPr>
          <w:trHeight w:val="20"/>
        </w:trPr>
        <w:tc>
          <w:tcPr>
            <w:tcW w:w="5080"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4A0EAB49" w14:textId="77777777" w:rsidR="00DE243E" w:rsidRPr="004A029F" w:rsidRDefault="00DE243E" w:rsidP="00B005F6">
            <w:pPr>
              <w:rPr>
                <w:color w:val="000000"/>
                <w:sz w:val="22"/>
                <w:szCs w:val="22"/>
              </w:rPr>
            </w:pPr>
            <w:r w:rsidRPr="004A029F">
              <w:rPr>
                <w:color w:val="000000"/>
                <w:sz w:val="22"/>
                <w:szCs w:val="22"/>
              </w:rPr>
              <w:t>Likelihood Ratio Test</w:t>
            </w:r>
          </w:p>
        </w:tc>
        <w:tc>
          <w:tcPr>
            <w:tcW w:w="3940" w:type="dxa"/>
            <w:tcBorders>
              <w:top w:val="single" w:sz="4" w:space="0" w:color="auto"/>
              <w:left w:val="nil"/>
              <w:bottom w:val="double" w:sz="4" w:space="0" w:color="auto"/>
              <w:right w:val="double" w:sz="4" w:space="0" w:color="auto"/>
            </w:tcBorders>
            <w:shd w:val="clear" w:color="auto" w:fill="auto"/>
            <w:noWrap/>
            <w:vAlign w:val="center"/>
            <w:hideMark/>
          </w:tcPr>
          <w:p w14:paraId="2FCDF772" w14:textId="63E25D21" w:rsidR="00DE243E" w:rsidRPr="004A029F" w:rsidRDefault="006C4CCD" w:rsidP="00B005F6">
            <w:pPr>
              <w:jc w:val="center"/>
              <w:rPr>
                <w:color w:val="000000"/>
                <w:sz w:val="22"/>
                <w:szCs w:val="22"/>
              </w:rPr>
            </w:pPr>
            <w:r w:rsidRPr="004A029F">
              <w:rPr>
                <w:position w:val="-14"/>
                <w:sz w:val="22"/>
                <w:szCs w:val="22"/>
              </w:rPr>
              <w:object w:dxaOrig="3100" w:dyaOrig="400" w14:anchorId="2F7CDACB">
                <v:shape id="_x0000_i1128" type="#_x0000_t75" style="width:141pt;height:18pt" o:ole="">
                  <v:imagedata r:id="rId205" o:title=""/>
                </v:shape>
                <o:OLEObject Type="Embed" ProgID="Equation.DSMT4" ShapeID="_x0000_i1128" DrawAspect="Content" ObjectID="_1778681361" r:id="rId206"/>
              </w:object>
            </w:r>
          </w:p>
        </w:tc>
      </w:tr>
    </w:tbl>
    <w:p w14:paraId="78273934" w14:textId="17C03D95" w:rsidR="006C4CCD" w:rsidRPr="004A029F" w:rsidRDefault="006C4CCD" w:rsidP="006C4CCD">
      <w:pPr>
        <w:jc w:val="both"/>
        <w:rPr>
          <w:iCs/>
          <w:sz w:val="20"/>
          <w:szCs w:val="20"/>
        </w:rPr>
      </w:pPr>
    </w:p>
    <w:p w14:paraId="6682191A" w14:textId="4919A6F7" w:rsidR="00B04B09" w:rsidRPr="00F01655" w:rsidRDefault="00B04B09" w:rsidP="006C4CCD">
      <w:pPr>
        <w:jc w:val="both"/>
        <w:rPr>
          <w:i/>
          <w:iCs/>
        </w:rPr>
      </w:pPr>
      <w:r w:rsidRPr="00BC09CC">
        <w:rPr>
          <w:i/>
        </w:rPr>
        <w:t>4.4.2.</w:t>
      </w:r>
      <w:r w:rsidR="002C3DCC" w:rsidRPr="00BC09CC">
        <w:rPr>
          <w:i/>
        </w:rPr>
        <w:tab/>
      </w:r>
      <w:r w:rsidRPr="00F01655">
        <w:t xml:space="preserve"> </w:t>
      </w:r>
      <w:r w:rsidRPr="00F01655">
        <w:rPr>
          <w:i/>
          <w:iCs/>
        </w:rPr>
        <w:t>Non-</w:t>
      </w:r>
      <w:r w:rsidR="002C3DCC" w:rsidRPr="00F01655">
        <w:rPr>
          <w:i/>
          <w:iCs/>
        </w:rPr>
        <w:t>L</w:t>
      </w:r>
      <w:r w:rsidRPr="00F01655">
        <w:rPr>
          <w:i/>
          <w:iCs/>
        </w:rPr>
        <w:t xml:space="preserve">ikelihood </w:t>
      </w:r>
      <w:r w:rsidR="002C3DCC" w:rsidRPr="00F01655">
        <w:rPr>
          <w:i/>
          <w:iCs/>
        </w:rPr>
        <w:t>B</w:t>
      </w:r>
      <w:r w:rsidRPr="00F01655">
        <w:rPr>
          <w:i/>
          <w:iCs/>
        </w:rPr>
        <w:t xml:space="preserve">ased </w:t>
      </w:r>
      <w:r w:rsidR="002C3DCC" w:rsidRPr="00F01655">
        <w:rPr>
          <w:i/>
          <w:iCs/>
        </w:rPr>
        <w:t>G</w:t>
      </w:r>
      <w:r w:rsidRPr="00F01655">
        <w:rPr>
          <w:i/>
          <w:iCs/>
        </w:rPr>
        <w:t xml:space="preserve">oodness of </w:t>
      </w:r>
      <w:r w:rsidR="002C3DCC" w:rsidRPr="00F01655">
        <w:rPr>
          <w:i/>
          <w:iCs/>
        </w:rPr>
        <w:t>Fit</w:t>
      </w:r>
      <w:r w:rsidRPr="00F01655">
        <w:rPr>
          <w:i/>
          <w:iCs/>
        </w:rPr>
        <w:t xml:space="preserve"> </w:t>
      </w:r>
      <w:r w:rsidR="002C3DCC" w:rsidRPr="00F01655">
        <w:rPr>
          <w:i/>
          <w:iCs/>
        </w:rPr>
        <w:t>M</w:t>
      </w:r>
      <w:r w:rsidRPr="00F01655">
        <w:rPr>
          <w:i/>
          <w:iCs/>
        </w:rPr>
        <w:t>easures</w:t>
      </w:r>
    </w:p>
    <w:p w14:paraId="3454F7BE" w14:textId="35A9C32C" w:rsidR="00AD6464" w:rsidRPr="004A029F" w:rsidRDefault="00B04B09" w:rsidP="00AD6464">
      <w:pPr>
        <w:jc w:val="both"/>
        <w:sectPr w:rsidR="00AD6464" w:rsidRPr="004A029F" w:rsidSect="006C4CCD">
          <w:pgSz w:w="12240" w:h="15840"/>
          <w:pgMar w:top="1440" w:right="1440" w:bottom="1440" w:left="1440" w:header="720" w:footer="720" w:gutter="0"/>
          <w:cols w:space="720"/>
          <w:docGrid w:linePitch="360"/>
        </w:sectPr>
      </w:pPr>
      <w:r w:rsidRPr="00F01655">
        <w:t>To further supplement the likelihood</w:t>
      </w:r>
      <w:r w:rsidR="00DE4073" w:rsidRPr="00F01655">
        <w:t>-</w:t>
      </w:r>
      <w:r w:rsidRPr="00F01655">
        <w:t xml:space="preserve">based data fit measures (reported in Table 4), we </w:t>
      </w:r>
      <w:r w:rsidR="0030653F" w:rsidRPr="00F01655">
        <w:t>evaluate the disaggregate level joint distribution for the entire sample. Further, the joint distribution is aggregated to arrive at the predicted</w:t>
      </w:r>
      <w:r w:rsidR="00DE4073" w:rsidRPr="00F01655">
        <w:t xml:space="preserve"> distribution of the</w:t>
      </w:r>
      <w:r w:rsidR="0030653F" w:rsidRPr="00F01655">
        <w:t xml:space="preserve"> </w:t>
      </w:r>
      <w:r w:rsidR="00DE4073" w:rsidRPr="00F01655">
        <w:t>“existing” and “ideal”</w:t>
      </w:r>
      <w:r w:rsidR="0030653F" w:rsidRPr="00F01655">
        <w:t xml:space="preserve"> </w:t>
      </w:r>
      <w:r w:rsidR="00DE4073" w:rsidRPr="00F01655">
        <w:t>telecommuting frequencies in the estimation sample</w:t>
      </w:r>
      <w:r w:rsidR="0030653F" w:rsidRPr="00F01655">
        <w:t>. Notably, due to our moderately sized sample, we undertook an in-sample evaluation rather than a more tradition</w:t>
      </w:r>
      <w:r w:rsidR="00DE4073" w:rsidRPr="00F01655">
        <w:t>al</w:t>
      </w:r>
      <w:r w:rsidR="0030653F" w:rsidRPr="00F01655">
        <w:t xml:space="preserve"> hold-out sample validation</w:t>
      </w:r>
      <w:r w:rsidRPr="00F01655">
        <w:t>.</w:t>
      </w:r>
      <w:r w:rsidR="0030653F" w:rsidRPr="00F01655">
        <w:t xml:space="preserve"> The predicted in-sample ETF and ITF are reported in Table 5.</w:t>
      </w:r>
      <w:r w:rsidRPr="00F01655">
        <w:t xml:space="preserve"> </w:t>
      </w:r>
      <w:r w:rsidR="0030653F" w:rsidRPr="00F01655">
        <w:t>Clearly</w:t>
      </w:r>
      <w:r w:rsidR="00DE243E" w:rsidRPr="00F01655">
        <w:t>, the developed model is able</w:t>
      </w:r>
      <w:r w:rsidR="00DE22F9" w:rsidRPr="00F01655">
        <w:t xml:space="preserve"> to replicate the sample trends fairly accurately.</w:t>
      </w:r>
      <w:r w:rsidR="00DE243E" w:rsidRPr="00F01655">
        <w:t xml:space="preserve"> </w:t>
      </w:r>
      <w:r w:rsidR="004A029F">
        <w:t xml:space="preserve"> </w:t>
      </w:r>
    </w:p>
    <w:p w14:paraId="0A064FD2" w14:textId="77777777" w:rsidR="00AD6464" w:rsidRPr="00F01655" w:rsidRDefault="00AD6464" w:rsidP="00AD6464">
      <w:pPr>
        <w:jc w:val="both"/>
        <w:rPr>
          <w:b/>
          <w:bCs/>
        </w:rPr>
      </w:pPr>
      <w:r w:rsidRPr="00F01655">
        <w:rPr>
          <w:b/>
          <w:bCs/>
        </w:rPr>
        <w:lastRenderedPageBreak/>
        <w:t>Table 5. Predicted Frequency Within Each ETF and ITF Category</w:t>
      </w:r>
    </w:p>
    <w:tbl>
      <w:tblPr>
        <w:tblW w:w="12945" w:type="dxa"/>
        <w:tblLook w:val="04A0" w:firstRow="1" w:lastRow="0" w:firstColumn="1" w:lastColumn="0" w:noHBand="0" w:noVBand="1"/>
      </w:tblPr>
      <w:tblGrid>
        <w:gridCol w:w="2051"/>
        <w:gridCol w:w="720"/>
        <w:gridCol w:w="836"/>
        <w:gridCol w:w="694"/>
        <w:gridCol w:w="826"/>
        <w:gridCol w:w="704"/>
        <w:gridCol w:w="828"/>
        <w:gridCol w:w="704"/>
        <w:gridCol w:w="826"/>
        <w:gridCol w:w="704"/>
        <w:gridCol w:w="828"/>
        <w:gridCol w:w="704"/>
        <w:gridCol w:w="806"/>
        <w:gridCol w:w="716"/>
        <w:gridCol w:w="998"/>
      </w:tblGrid>
      <w:tr w:rsidR="004A029F" w:rsidRPr="004A029F" w14:paraId="3E38856A" w14:textId="77777777" w:rsidTr="004A029F">
        <w:trPr>
          <w:trHeight w:val="345"/>
        </w:trPr>
        <w:tc>
          <w:tcPr>
            <w:tcW w:w="2051" w:type="dxa"/>
            <w:vMerge w:val="restart"/>
            <w:tcBorders>
              <w:top w:val="double" w:sz="4" w:space="0" w:color="auto"/>
              <w:left w:val="double" w:sz="4" w:space="0" w:color="auto"/>
              <w:bottom w:val="single" w:sz="4" w:space="0" w:color="000000"/>
              <w:right w:val="single" w:sz="4" w:space="0" w:color="auto"/>
            </w:tcBorders>
            <w:shd w:val="clear" w:color="000000" w:fill="FFFFFF"/>
            <w:tcMar>
              <w:left w:w="58" w:type="dxa"/>
              <w:right w:w="58" w:type="dxa"/>
            </w:tcMar>
            <w:vAlign w:val="center"/>
            <w:hideMark/>
          </w:tcPr>
          <w:p w14:paraId="2F30E7AF" w14:textId="77777777" w:rsidR="004A029F" w:rsidRPr="004A029F" w:rsidRDefault="004A029F" w:rsidP="000A2446">
            <w:pPr>
              <w:jc w:val="center"/>
              <w:rPr>
                <w:b/>
                <w:bCs/>
                <w:color w:val="000000"/>
                <w:sz w:val="23"/>
                <w:szCs w:val="23"/>
              </w:rPr>
            </w:pPr>
            <w:r w:rsidRPr="004A029F">
              <w:rPr>
                <w:b/>
                <w:bCs/>
                <w:color w:val="000000"/>
                <w:sz w:val="23"/>
                <w:szCs w:val="23"/>
              </w:rPr>
              <w:t>ETF</w:t>
            </w:r>
          </w:p>
        </w:tc>
        <w:tc>
          <w:tcPr>
            <w:tcW w:w="9180" w:type="dxa"/>
            <w:gridSpan w:val="12"/>
            <w:tcBorders>
              <w:top w:val="double" w:sz="4" w:space="0" w:color="auto"/>
              <w:left w:val="nil"/>
              <w:bottom w:val="single" w:sz="4" w:space="0" w:color="auto"/>
              <w:right w:val="single" w:sz="4" w:space="0" w:color="000000"/>
            </w:tcBorders>
            <w:shd w:val="clear" w:color="000000" w:fill="FFFFFF"/>
            <w:tcMar>
              <w:left w:w="58" w:type="dxa"/>
              <w:right w:w="58" w:type="dxa"/>
            </w:tcMar>
            <w:vAlign w:val="center"/>
            <w:hideMark/>
          </w:tcPr>
          <w:p w14:paraId="0234E77D" w14:textId="77777777" w:rsidR="004A029F" w:rsidRPr="004A029F" w:rsidRDefault="004A029F" w:rsidP="000A2446">
            <w:pPr>
              <w:jc w:val="center"/>
              <w:rPr>
                <w:b/>
                <w:bCs/>
                <w:color w:val="000000"/>
                <w:sz w:val="23"/>
                <w:szCs w:val="23"/>
              </w:rPr>
            </w:pPr>
            <w:r w:rsidRPr="004A029F">
              <w:rPr>
                <w:b/>
                <w:bCs/>
                <w:color w:val="000000"/>
                <w:sz w:val="23"/>
                <w:szCs w:val="23"/>
              </w:rPr>
              <w:t>ITF</w:t>
            </w:r>
          </w:p>
        </w:tc>
        <w:tc>
          <w:tcPr>
            <w:tcW w:w="1714" w:type="dxa"/>
            <w:gridSpan w:val="2"/>
            <w:vMerge w:val="restart"/>
            <w:tcBorders>
              <w:top w:val="double" w:sz="4" w:space="0" w:color="auto"/>
              <w:left w:val="single" w:sz="4" w:space="0" w:color="auto"/>
              <w:right w:val="double" w:sz="4" w:space="0" w:color="auto"/>
            </w:tcBorders>
            <w:shd w:val="clear" w:color="000000" w:fill="FFFFFF"/>
            <w:tcMar>
              <w:left w:w="58" w:type="dxa"/>
              <w:right w:w="58" w:type="dxa"/>
            </w:tcMar>
            <w:vAlign w:val="center"/>
            <w:hideMark/>
          </w:tcPr>
          <w:p w14:paraId="42A161C1" w14:textId="77777777" w:rsidR="004A029F" w:rsidRPr="004A029F" w:rsidRDefault="004A029F" w:rsidP="000A2446">
            <w:pPr>
              <w:jc w:val="center"/>
              <w:rPr>
                <w:b/>
                <w:bCs/>
                <w:color w:val="000000"/>
                <w:sz w:val="23"/>
                <w:szCs w:val="23"/>
              </w:rPr>
            </w:pPr>
            <w:r w:rsidRPr="004A029F">
              <w:rPr>
                <w:b/>
                <w:bCs/>
                <w:color w:val="000000"/>
                <w:sz w:val="23"/>
                <w:szCs w:val="23"/>
              </w:rPr>
              <w:t>ETF Marginal</w:t>
            </w:r>
          </w:p>
        </w:tc>
      </w:tr>
      <w:tr w:rsidR="004A029F" w:rsidRPr="004A029F" w14:paraId="186135C3" w14:textId="77777777" w:rsidTr="004A029F">
        <w:trPr>
          <w:trHeight w:val="611"/>
        </w:trPr>
        <w:tc>
          <w:tcPr>
            <w:tcW w:w="2051" w:type="dxa"/>
            <w:vMerge/>
            <w:tcBorders>
              <w:top w:val="double" w:sz="6" w:space="0" w:color="auto"/>
              <w:left w:val="double" w:sz="4" w:space="0" w:color="auto"/>
              <w:bottom w:val="single" w:sz="4" w:space="0" w:color="000000"/>
              <w:right w:val="single" w:sz="4" w:space="0" w:color="auto"/>
            </w:tcBorders>
            <w:tcMar>
              <w:left w:w="58" w:type="dxa"/>
              <w:right w:w="58" w:type="dxa"/>
            </w:tcMar>
            <w:vAlign w:val="center"/>
            <w:hideMark/>
          </w:tcPr>
          <w:p w14:paraId="001F3CA2" w14:textId="77777777" w:rsidR="004A029F" w:rsidRPr="004A029F" w:rsidRDefault="004A029F" w:rsidP="000A2446">
            <w:pPr>
              <w:rPr>
                <w:b/>
                <w:bCs/>
                <w:color w:val="000000"/>
                <w:sz w:val="23"/>
                <w:szCs w:val="23"/>
              </w:rPr>
            </w:pPr>
          </w:p>
        </w:tc>
        <w:tc>
          <w:tcPr>
            <w:tcW w:w="1556" w:type="dxa"/>
            <w:gridSpan w:val="2"/>
            <w:tcBorders>
              <w:top w:val="single" w:sz="4" w:space="0" w:color="auto"/>
              <w:left w:val="nil"/>
              <w:bottom w:val="single" w:sz="4" w:space="0" w:color="auto"/>
              <w:right w:val="single" w:sz="4" w:space="0" w:color="000000"/>
            </w:tcBorders>
            <w:shd w:val="clear" w:color="000000" w:fill="FFFFFF"/>
            <w:tcMar>
              <w:left w:w="58" w:type="dxa"/>
              <w:right w:w="58" w:type="dxa"/>
            </w:tcMar>
            <w:vAlign w:val="center"/>
            <w:hideMark/>
          </w:tcPr>
          <w:p w14:paraId="4965B29F" w14:textId="77777777" w:rsidR="004A029F" w:rsidRPr="004A029F" w:rsidRDefault="004A029F" w:rsidP="000A2446">
            <w:pPr>
              <w:jc w:val="center"/>
              <w:rPr>
                <w:color w:val="000000"/>
                <w:sz w:val="23"/>
                <w:szCs w:val="23"/>
              </w:rPr>
            </w:pPr>
            <w:r w:rsidRPr="004A029F">
              <w:rPr>
                <w:color w:val="000000"/>
                <w:sz w:val="23"/>
                <w:szCs w:val="23"/>
              </w:rPr>
              <w:t>Never</w:t>
            </w:r>
          </w:p>
        </w:tc>
        <w:tc>
          <w:tcPr>
            <w:tcW w:w="1520" w:type="dxa"/>
            <w:gridSpan w:val="2"/>
            <w:tcBorders>
              <w:top w:val="single" w:sz="4" w:space="0" w:color="auto"/>
              <w:left w:val="nil"/>
              <w:bottom w:val="single" w:sz="4" w:space="0" w:color="auto"/>
              <w:right w:val="single" w:sz="4" w:space="0" w:color="000000"/>
            </w:tcBorders>
            <w:shd w:val="clear" w:color="000000" w:fill="FFFFFF"/>
            <w:tcMar>
              <w:left w:w="58" w:type="dxa"/>
              <w:right w:w="58" w:type="dxa"/>
            </w:tcMar>
            <w:vAlign w:val="center"/>
            <w:hideMark/>
          </w:tcPr>
          <w:p w14:paraId="5D825833" w14:textId="088A363F" w:rsidR="004A029F" w:rsidRPr="004A029F" w:rsidRDefault="004A029F" w:rsidP="000A2446">
            <w:pPr>
              <w:jc w:val="center"/>
              <w:rPr>
                <w:color w:val="000000"/>
                <w:sz w:val="23"/>
                <w:szCs w:val="23"/>
              </w:rPr>
            </w:pPr>
            <w:r w:rsidRPr="004A029F">
              <w:rPr>
                <w:color w:val="000000"/>
                <w:sz w:val="23"/>
                <w:szCs w:val="23"/>
              </w:rPr>
              <w:t>A Few Times/Year</w:t>
            </w:r>
          </w:p>
        </w:tc>
        <w:tc>
          <w:tcPr>
            <w:tcW w:w="1532" w:type="dxa"/>
            <w:gridSpan w:val="2"/>
            <w:tcBorders>
              <w:top w:val="single" w:sz="4" w:space="0" w:color="auto"/>
              <w:left w:val="nil"/>
              <w:bottom w:val="single" w:sz="4" w:space="0" w:color="auto"/>
              <w:right w:val="single" w:sz="4" w:space="0" w:color="000000"/>
            </w:tcBorders>
            <w:shd w:val="clear" w:color="000000" w:fill="FFFFFF"/>
            <w:tcMar>
              <w:left w:w="58" w:type="dxa"/>
              <w:right w:w="58" w:type="dxa"/>
            </w:tcMar>
            <w:vAlign w:val="center"/>
            <w:hideMark/>
          </w:tcPr>
          <w:p w14:paraId="6C7E8DF7" w14:textId="77777777" w:rsidR="004A029F" w:rsidRPr="004A029F" w:rsidRDefault="004A029F" w:rsidP="000A2446">
            <w:pPr>
              <w:jc w:val="center"/>
              <w:rPr>
                <w:color w:val="000000"/>
                <w:sz w:val="23"/>
                <w:szCs w:val="23"/>
              </w:rPr>
            </w:pPr>
            <w:r w:rsidRPr="004A029F">
              <w:rPr>
                <w:color w:val="000000"/>
                <w:sz w:val="23"/>
                <w:szCs w:val="23"/>
              </w:rPr>
              <w:t>A Few Times/Month</w:t>
            </w:r>
          </w:p>
        </w:tc>
        <w:tc>
          <w:tcPr>
            <w:tcW w:w="1530" w:type="dxa"/>
            <w:gridSpan w:val="2"/>
            <w:tcBorders>
              <w:top w:val="single" w:sz="4" w:space="0" w:color="auto"/>
              <w:left w:val="nil"/>
              <w:bottom w:val="single" w:sz="4" w:space="0" w:color="auto"/>
              <w:right w:val="single" w:sz="4" w:space="0" w:color="000000"/>
            </w:tcBorders>
            <w:shd w:val="clear" w:color="000000" w:fill="FFFFFF"/>
            <w:tcMar>
              <w:left w:w="58" w:type="dxa"/>
              <w:right w:w="58" w:type="dxa"/>
            </w:tcMar>
            <w:vAlign w:val="center"/>
            <w:hideMark/>
          </w:tcPr>
          <w:p w14:paraId="4E193D15" w14:textId="77777777" w:rsidR="004A029F" w:rsidRPr="004A029F" w:rsidRDefault="004A029F" w:rsidP="000A2446">
            <w:pPr>
              <w:jc w:val="center"/>
              <w:rPr>
                <w:color w:val="000000"/>
                <w:sz w:val="23"/>
                <w:szCs w:val="23"/>
              </w:rPr>
            </w:pPr>
            <w:r w:rsidRPr="004A029F">
              <w:rPr>
                <w:color w:val="000000"/>
                <w:sz w:val="23"/>
                <w:szCs w:val="23"/>
              </w:rPr>
              <w:t>Once/Week</w:t>
            </w:r>
          </w:p>
        </w:tc>
        <w:tc>
          <w:tcPr>
            <w:tcW w:w="1532" w:type="dxa"/>
            <w:gridSpan w:val="2"/>
            <w:tcBorders>
              <w:top w:val="single" w:sz="4" w:space="0" w:color="auto"/>
              <w:left w:val="nil"/>
              <w:bottom w:val="single" w:sz="4" w:space="0" w:color="auto"/>
              <w:right w:val="single" w:sz="4" w:space="0" w:color="000000"/>
            </w:tcBorders>
            <w:shd w:val="clear" w:color="000000" w:fill="FFFFFF"/>
            <w:tcMar>
              <w:left w:w="58" w:type="dxa"/>
              <w:right w:w="58" w:type="dxa"/>
            </w:tcMar>
            <w:vAlign w:val="center"/>
            <w:hideMark/>
          </w:tcPr>
          <w:p w14:paraId="39492E50" w14:textId="77777777" w:rsidR="004A029F" w:rsidRPr="004A029F" w:rsidRDefault="004A029F" w:rsidP="000A2446">
            <w:pPr>
              <w:jc w:val="center"/>
              <w:rPr>
                <w:color w:val="000000"/>
                <w:sz w:val="23"/>
                <w:szCs w:val="23"/>
              </w:rPr>
            </w:pPr>
            <w:r w:rsidRPr="004A029F">
              <w:rPr>
                <w:color w:val="000000"/>
                <w:sz w:val="23"/>
                <w:szCs w:val="23"/>
              </w:rPr>
              <w:t>A Few Times/Week</w:t>
            </w:r>
          </w:p>
        </w:tc>
        <w:tc>
          <w:tcPr>
            <w:tcW w:w="1510" w:type="dxa"/>
            <w:gridSpan w:val="2"/>
            <w:tcBorders>
              <w:top w:val="single" w:sz="4" w:space="0" w:color="auto"/>
              <w:left w:val="nil"/>
              <w:bottom w:val="single" w:sz="4" w:space="0" w:color="auto"/>
              <w:right w:val="single" w:sz="4" w:space="0" w:color="000000"/>
            </w:tcBorders>
            <w:shd w:val="clear" w:color="000000" w:fill="FFFFFF"/>
            <w:tcMar>
              <w:left w:w="58" w:type="dxa"/>
              <w:right w:w="58" w:type="dxa"/>
            </w:tcMar>
            <w:vAlign w:val="center"/>
            <w:hideMark/>
          </w:tcPr>
          <w:p w14:paraId="47828B2E" w14:textId="77777777" w:rsidR="004A029F" w:rsidRPr="004A029F" w:rsidRDefault="004A029F" w:rsidP="000A2446">
            <w:pPr>
              <w:jc w:val="center"/>
              <w:rPr>
                <w:color w:val="000000"/>
                <w:sz w:val="23"/>
                <w:szCs w:val="23"/>
              </w:rPr>
            </w:pPr>
            <w:r w:rsidRPr="004A029F">
              <w:rPr>
                <w:color w:val="000000"/>
                <w:sz w:val="23"/>
                <w:szCs w:val="23"/>
              </w:rPr>
              <w:t>Every Day</w:t>
            </w:r>
          </w:p>
        </w:tc>
        <w:tc>
          <w:tcPr>
            <w:tcW w:w="1714" w:type="dxa"/>
            <w:gridSpan w:val="2"/>
            <w:vMerge/>
            <w:tcBorders>
              <w:left w:val="single" w:sz="4" w:space="0" w:color="auto"/>
              <w:bottom w:val="single" w:sz="4" w:space="0" w:color="000000"/>
              <w:right w:val="double" w:sz="4" w:space="0" w:color="auto"/>
            </w:tcBorders>
            <w:tcMar>
              <w:left w:w="58" w:type="dxa"/>
              <w:right w:w="58" w:type="dxa"/>
            </w:tcMar>
            <w:vAlign w:val="center"/>
            <w:hideMark/>
          </w:tcPr>
          <w:p w14:paraId="76222E90" w14:textId="77777777" w:rsidR="004A029F" w:rsidRPr="004A029F" w:rsidRDefault="004A029F" w:rsidP="000A2446">
            <w:pPr>
              <w:rPr>
                <w:b/>
                <w:bCs/>
                <w:color w:val="000000"/>
                <w:sz w:val="23"/>
                <w:szCs w:val="23"/>
              </w:rPr>
            </w:pPr>
          </w:p>
        </w:tc>
      </w:tr>
      <w:tr w:rsidR="004A029F" w:rsidRPr="004A029F" w14:paraId="1FA4CCA9" w14:textId="77777777" w:rsidTr="004A029F">
        <w:trPr>
          <w:trHeight w:val="345"/>
        </w:trPr>
        <w:tc>
          <w:tcPr>
            <w:tcW w:w="2051" w:type="dxa"/>
            <w:vMerge/>
            <w:tcBorders>
              <w:top w:val="double" w:sz="6" w:space="0" w:color="auto"/>
              <w:left w:val="double" w:sz="4" w:space="0" w:color="auto"/>
              <w:bottom w:val="double" w:sz="4" w:space="0" w:color="auto"/>
              <w:right w:val="single" w:sz="4" w:space="0" w:color="auto"/>
            </w:tcBorders>
            <w:tcMar>
              <w:left w:w="58" w:type="dxa"/>
              <w:right w:w="58" w:type="dxa"/>
            </w:tcMar>
            <w:vAlign w:val="center"/>
            <w:hideMark/>
          </w:tcPr>
          <w:p w14:paraId="64583F99" w14:textId="77777777" w:rsidR="00AD6464" w:rsidRPr="004A029F" w:rsidRDefault="00AD6464" w:rsidP="00AD6464">
            <w:pPr>
              <w:rPr>
                <w:b/>
                <w:bCs/>
                <w:color w:val="000000"/>
                <w:sz w:val="23"/>
                <w:szCs w:val="23"/>
              </w:rPr>
            </w:pPr>
          </w:p>
        </w:tc>
        <w:tc>
          <w:tcPr>
            <w:tcW w:w="720"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288CAE8B" w14:textId="77777777" w:rsidR="00AD6464" w:rsidRPr="004A029F" w:rsidRDefault="00AD6464" w:rsidP="00AD6464">
            <w:pPr>
              <w:jc w:val="center"/>
              <w:rPr>
                <w:color w:val="000000"/>
                <w:sz w:val="23"/>
                <w:szCs w:val="23"/>
              </w:rPr>
            </w:pPr>
            <w:r w:rsidRPr="004A029F">
              <w:rPr>
                <w:color w:val="000000"/>
                <w:sz w:val="23"/>
                <w:szCs w:val="23"/>
              </w:rPr>
              <w:t>Count</w:t>
            </w:r>
          </w:p>
        </w:tc>
        <w:tc>
          <w:tcPr>
            <w:tcW w:w="836"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3810DBCB" w14:textId="77777777" w:rsidR="00AD6464" w:rsidRPr="004A029F" w:rsidRDefault="00AD6464" w:rsidP="00AD6464">
            <w:pPr>
              <w:jc w:val="center"/>
              <w:rPr>
                <w:color w:val="000000"/>
                <w:sz w:val="23"/>
                <w:szCs w:val="23"/>
              </w:rPr>
            </w:pPr>
            <w:r w:rsidRPr="004A029F">
              <w:rPr>
                <w:color w:val="000000"/>
                <w:sz w:val="23"/>
                <w:szCs w:val="23"/>
              </w:rPr>
              <w:t>Percent</w:t>
            </w:r>
          </w:p>
        </w:tc>
        <w:tc>
          <w:tcPr>
            <w:tcW w:w="694"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79CCD7A7" w14:textId="77777777" w:rsidR="00AD6464" w:rsidRPr="004A029F" w:rsidRDefault="00AD6464" w:rsidP="00AD6464">
            <w:pPr>
              <w:jc w:val="center"/>
              <w:rPr>
                <w:color w:val="000000"/>
                <w:sz w:val="23"/>
                <w:szCs w:val="23"/>
              </w:rPr>
            </w:pPr>
            <w:r w:rsidRPr="004A029F">
              <w:rPr>
                <w:color w:val="000000"/>
                <w:sz w:val="23"/>
                <w:szCs w:val="23"/>
              </w:rPr>
              <w:t>Count</w:t>
            </w:r>
          </w:p>
        </w:tc>
        <w:tc>
          <w:tcPr>
            <w:tcW w:w="826"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427A2ADD" w14:textId="77777777" w:rsidR="00AD6464" w:rsidRPr="004A029F" w:rsidRDefault="00AD6464" w:rsidP="00AD6464">
            <w:pPr>
              <w:jc w:val="center"/>
              <w:rPr>
                <w:color w:val="000000"/>
                <w:sz w:val="23"/>
                <w:szCs w:val="23"/>
              </w:rPr>
            </w:pPr>
            <w:r w:rsidRPr="004A029F">
              <w:rPr>
                <w:color w:val="000000"/>
                <w:sz w:val="23"/>
                <w:szCs w:val="23"/>
              </w:rPr>
              <w:t>Percent</w:t>
            </w:r>
          </w:p>
        </w:tc>
        <w:tc>
          <w:tcPr>
            <w:tcW w:w="704"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63CB2A3D" w14:textId="77777777" w:rsidR="00AD6464" w:rsidRPr="004A029F" w:rsidRDefault="00AD6464" w:rsidP="00AD6464">
            <w:pPr>
              <w:jc w:val="center"/>
              <w:rPr>
                <w:color w:val="000000"/>
                <w:sz w:val="23"/>
                <w:szCs w:val="23"/>
              </w:rPr>
            </w:pPr>
            <w:r w:rsidRPr="004A029F">
              <w:rPr>
                <w:color w:val="000000"/>
                <w:sz w:val="23"/>
                <w:szCs w:val="23"/>
              </w:rPr>
              <w:t>Count</w:t>
            </w:r>
          </w:p>
        </w:tc>
        <w:tc>
          <w:tcPr>
            <w:tcW w:w="828"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04204AB8" w14:textId="77777777" w:rsidR="00AD6464" w:rsidRPr="004A029F" w:rsidRDefault="00AD6464" w:rsidP="00AD6464">
            <w:pPr>
              <w:jc w:val="center"/>
              <w:rPr>
                <w:color w:val="000000"/>
                <w:sz w:val="23"/>
                <w:szCs w:val="23"/>
              </w:rPr>
            </w:pPr>
            <w:r w:rsidRPr="004A029F">
              <w:rPr>
                <w:color w:val="000000"/>
                <w:sz w:val="23"/>
                <w:szCs w:val="23"/>
              </w:rPr>
              <w:t>Percent</w:t>
            </w:r>
          </w:p>
        </w:tc>
        <w:tc>
          <w:tcPr>
            <w:tcW w:w="704"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65DF1F2D" w14:textId="77777777" w:rsidR="00AD6464" w:rsidRPr="004A029F" w:rsidRDefault="00AD6464" w:rsidP="00AD6464">
            <w:pPr>
              <w:jc w:val="center"/>
              <w:rPr>
                <w:color w:val="000000"/>
                <w:sz w:val="23"/>
                <w:szCs w:val="23"/>
              </w:rPr>
            </w:pPr>
            <w:r w:rsidRPr="004A029F">
              <w:rPr>
                <w:color w:val="000000"/>
                <w:sz w:val="23"/>
                <w:szCs w:val="23"/>
              </w:rPr>
              <w:t>Count</w:t>
            </w:r>
          </w:p>
        </w:tc>
        <w:tc>
          <w:tcPr>
            <w:tcW w:w="826"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3BBBF33D" w14:textId="77777777" w:rsidR="00AD6464" w:rsidRPr="004A029F" w:rsidRDefault="00AD6464" w:rsidP="00AD6464">
            <w:pPr>
              <w:jc w:val="center"/>
              <w:rPr>
                <w:color w:val="000000"/>
                <w:sz w:val="23"/>
                <w:szCs w:val="23"/>
              </w:rPr>
            </w:pPr>
            <w:r w:rsidRPr="004A029F">
              <w:rPr>
                <w:color w:val="000000"/>
                <w:sz w:val="23"/>
                <w:szCs w:val="23"/>
              </w:rPr>
              <w:t>Percent</w:t>
            </w:r>
          </w:p>
        </w:tc>
        <w:tc>
          <w:tcPr>
            <w:tcW w:w="704"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346F4899" w14:textId="77777777" w:rsidR="00AD6464" w:rsidRPr="004A029F" w:rsidRDefault="00AD6464" w:rsidP="00AD6464">
            <w:pPr>
              <w:jc w:val="center"/>
              <w:rPr>
                <w:color w:val="000000"/>
                <w:sz w:val="23"/>
                <w:szCs w:val="23"/>
              </w:rPr>
            </w:pPr>
            <w:r w:rsidRPr="004A029F">
              <w:rPr>
                <w:color w:val="000000"/>
                <w:sz w:val="23"/>
                <w:szCs w:val="23"/>
              </w:rPr>
              <w:t>Count</w:t>
            </w:r>
          </w:p>
        </w:tc>
        <w:tc>
          <w:tcPr>
            <w:tcW w:w="828"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2C40DC77" w14:textId="77777777" w:rsidR="00AD6464" w:rsidRPr="004A029F" w:rsidRDefault="00AD6464" w:rsidP="00AD6464">
            <w:pPr>
              <w:jc w:val="center"/>
              <w:rPr>
                <w:color w:val="000000"/>
                <w:sz w:val="23"/>
                <w:szCs w:val="23"/>
              </w:rPr>
            </w:pPr>
            <w:r w:rsidRPr="004A029F">
              <w:rPr>
                <w:color w:val="000000"/>
                <w:sz w:val="23"/>
                <w:szCs w:val="23"/>
              </w:rPr>
              <w:t>Percent</w:t>
            </w:r>
          </w:p>
        </w:tc>
        <w:tc>
          <w:tcPr>
            <w:tcW w:w="704"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4F5694A0" w14:textId="181F5579" w:rsidR="00AD6464" w:rsidRPr="004A029F" w:rsidRDefault="00AD6464" w:rsidP="00AD6464">
            <w:pPr>
              <w:jc w:val="center"/>
              <w:rPr>
                <w:color w:val="000000"/>
                <w:sz w:val="23"/>
                <w:szCs w:val="23"/>
              </w:rPr>
            </w:pPr>
            <w:r w:rsidRPr="004A029F">
              <w:rPr>
                <w:color w:val="000000"/>
                <w:sz w:val="23"/>
                <w:szCs w:val="23"/>
              </w:rPr>
              <w:t>Count</w:t>
            </w:r>
          </w:p>
        </w:tc>
        <w:tc>
          <w:tcPr>
            <w:tcW w:w="806"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47909E55" w14:textId="01D01EA6" w:rsidR="00AD6464" w:rsidRPr="004A029F" w:rsidRDefault="00AD6464" w:rsidP="00AD6464">
            <w:pPr>
              <w:jc w:val="center"/>
              <w:rPr>
                <w:color w:val="000000"/>
                <w:sz w:val="23"/>
                <w:szCs w:val="23"/>
              </w:rPr>
            </w:pPr>
            <w:r w:rsidRPr="004A029F">
              <w:rPr>
                <w:color w:val="000000"/>
                <w:sz w:val="23"/>
                <w:szCs w:val="23"/>
              </w:rPr>
              <w:t>Percent</w:t>
            </w:r>
          </w:p>
        </w:tc>
        <w:tc>
          <w:tcPr>
            <w:tcW w:w="716" w:type="dxa"/>
            <w:tcBorders>
              <w:top w:val="nil"/>
              <w:left w:val="nil"/>
              <w:bottom w:val="double" w:sz="4" w:space="0" w:color="auto"/>
              <w:right w:val="single" w:sz="4" w:space="0" w:color="auto"/>
            </w:tcBorders>
            <w:shd w:val="clear" w:color="000000" w:fill="FFFFFF"/>
            <w:tcMar>
              <w:left w:w="58" w:type="dxa"/>
              <w:right w:w="58" w:type="dxa"/>
            </w:tcMar>
            <w:vAlign w:val="center"/>
            <w:hideMark/>
          </w:tcPr>
          <w:p w14:paraId="1217056A" w14:textId="77777777" w:rsidR="00AD6464" w:rsidRPr="004A029F" w:rsidRDefault="00AD6464" w:rsidP="00AD6464">
            <w:pPr>
              <w:jc w:val="center"/>
              <w:rPr>
                <w:color w:val="000000"/>
                <w:sz w:val="23"/>
                <w:szCs w:val="23"/>
              </w:rPr>
            </w:pPr>
            <w:r w:rsidRPr="004A029F">
              <w:rPr>
                <w:color w:val="000000"/>
                <w:sz w:val="23"/>
                <w:szCs w:val="23"/>
              </w:rPr>
              <w:t>Count</w:t>
            </w:r>
          </w:p>
        </w:tc>
        <w:tc>
          <w:tcPr>
            <w:tcW w:w="998" w:type="dxa"/>
            <w:tcBorders>
              <w:top w:val="nil"/>
              <w:left w:val="nil"/>
              <w:bottom w:val="double" w:sz="4" w:space="0" w:color="auto"/>
              <w:right w:val="double" w:sz="4" w:space="0" w:color="auto"/>
            </w:tcBorders>
            <w:shd w:val="clear" w:color="000000" w:fill="FFFFFF"/>
            <w:noWrap/>
            <w:tcMar>
              <w:left w:w="58" w:type="dxa"/>
              <w:right w:w="58" w:type="dxa"/>
            </w:tcMar>
            <w:vAlign w:val="center"/>
            <w:hideMark/>
          </w:tcPr>
          <w:p w14:paraId="18376184" w14:textId="7B0B0EF6" w:rsidR="00AD6464" w:rsidRPr="004A029F" w:rsidRDefault="00AD6464" w:rsidP="00AD6464">
            <w:pPr>
              <w:jc w:val="center"/>
              <w:rPr>
                <w:color w:val="000000"/>
                <w:sz w:val="23"/>
                <w:szCs w:val="23"/>
              </w:rPr>
            </w:pPr>
            <w:r w:rsidRPr="004A029F">
              <w:rPr>
                <w:color w:val="000000"/>
                <w:sz w:val="23"/>
                <w:szCs w:val="23"/>
              </w:rPr>
              <w:t>Percent</w:t>
            </w:r>
          </w:p>
        </w:tc>
      </w:tr>
      <w:tr w:rsidR="004A029F" w:rsidRPr="004A029F" w14:paraId="2BFA4CA8" w14:textId="77777777" w:rsidTr="004A029F">
        <w:trPr>
          <w:trHeight w:val="440"/>
        </w:trPr>
        <w:tc>
          <w:tcPr>
            <w:tcW w:w="2051" w:type="dxa"/>
            <w:tcBorders>
              <w:top w:val="double" w:sz="4" w:space="0" w:color="auto"/>
              <w:left w:val="double" w:sz="4" w:space="0" w:color="auto"/>
              <w:bottom w:val="nil"/>
              <w:right w:val="single" w:sz="4" w:space="0" w:color="auto"/>
            </w:tcBorders>
            <w:shd w:val="clear" w:color="000000" w:fill="FFFFFF"/>
            <w:tcMar>
              <w:left w:w="58" w:type="dxa"/>
              <w:right w:w="58" w:type="dxa"/>
            </w:tcMar>
            <w:vAlign w:val="center"/>
            <w:hideMark/>
          </w:tcPr>
          <w:p w14:paraId="104C42B8" w14:textId="77777777" w:rsidR="00AD6464" w:rsidRPr="004A029F" w:rsidRDefault="00AD6464" w:rsidP="00BC09CC">
            <w:pPr>
              <w:ind w:left="195" w:hanging="195"/>
              <w:rPr>
                <w:color w:val="000000"/>
                <w:sz w:val="23"/>
                <w:szCs w:val="23"/>
              </w:rPr>
            </w:pPr>
            <w:r w:rsidRPr="004A029F">
              <w:rPr>
                <w:color w:val="000000"/>
                <w:sz w:val="23"/>
                <w:szCs w:val="23"/>
              </w:rPr>
              <w:t>Never</w:t>
            </w:r>
          </w:p>
        </w:tc>
        <w:tc>
          <w:tcPr>
            <w:tcW w:w="720" w:type="dxa"/>
            <w:tcBorders>
              <w:top w:val="double" w:sz="4" w:space="0" w:color="auto"/>
              <w:left w:val="nil"/>
              <w:bottom w:val="nil"/>
              <w:right w:val="nil"/>
            </w:tcBorders>
            <w:shd w:val="clear" w:color="000000" w:fill="FFFFFF"/>
            <w:tcMar>
              <w:left w:w="58" w:type="dxa"/>
              <w:right w:w="58" w:type="dxa"/>
            </w:tcMar>
            <w:vAlign w:val="center"/>
            <w:hideMark/>
          </w:tcPr>
          <w:p w14:paraId="58A83FB8" w14:textId="77777777" w:rsidR="00AD6464" w:rsidRPr="004A029F" w:rsidRDefault="00AD6464" w:rsidP="000A2446">
            <w:pPr>
              <w:jc w:val="center"/>
              <w:rPr>
                <w:b/>
                <w:bCs/>
                <w:color w:val="000000"/>
                <w:sz w:val="23"/>
                <w:szCs w:val="23"/>
              </w:rPr>
            </w:pPr>
            <w:r w:rsidRPr="004A029F">
              <w:rPr>
                <w:b/>
                <w:bCs/>
                <w:color w:val="000000"/>
                <w:sz w:val="23"/>
                <w:szCs w:val="23"/>
              </w:rPr>
              <w:t>54</w:t>
            </w:r>
          </w:p>
        </w:tc>
        <w:tc>
          <w:tcPr>
            <w:tcW w:w="836" w:type="dxa"/>
            <w:tcBorders>
              <w:top w:val="double" w:sz="4" w:space="0" w:color="auto"/>
              <w:left w:val="nil"/>
              <w:bottom w:val="nil"/>
              <w:right w:val="single" w:sz="4" w:space="0" w:color="auto"/>
            </w:tcBorders>
            <w:shd w:val="clear" w:color="000000" w:fill="FFFFFF"/>
            <w:tcMar>
              <w:left w:w="58" w:type="dxa"/>
              <w:right w:w="58" w:type="dxa"/>
            </w:tcMar>
            <w:vAlign w:val="center"/>
            <w:hideMark/>
          </w:tcPr>
          <w:p w14:paraId="49A15C7F" w14:textId="77777777" w:rsidR="00AD6464" w:rsidRPr="004A029F" w:rsidRDefault="00AD6464" w:rsidP="000A2446">
            <w:pPr>
              <w:jc w:val="center"/>
              <w:rPr>
                <w:color w:val="000000"/>
                <w:sz w:val="23"/>
                <w:szCs w:val="23"/>
              </w:rPr>
            </w:pPr>
            <w:r w:rsidRPr="004A029F">
              <w:rPr>
                <w:color w:val="000000"/>
                <w:sz w:val="23"/>
                <w:szCs w:val="23"/>
              </w:rPr>
              <w:t>15.4%</w:t>
            </w:r>
          </w:p>
        </w:tc>
        <w:tc>
          <w:tcPr>
            <w:tcW w:w="694" w:type="dxa"/>
            <w:tcBorders>
              <w:top w:val="double" w:sz="4" w:space="0" w:color="auto"/>
              <w:left w:val="nil"/>
              <w:bottom w:val="nil"/>
              <w:right w:val="nil"/>
            </w:tcBorders>
            <w:shd w:val="clear" w:color="000000" w:fill="FFFFFF"/>
            <w:tcMar>
              <w:left w:w="58" w:type="dxa"/>
              <w:right w:w="58" w:type="dxa"/>
            </w:tcMar>
            <w:vAlign w:val="center"/>
            <w:hideMark/>
          </w:tcPr>
          <w:p w14:paraId="4E664821" w14:textId="77777777" w:rsidR="00AD6464" w:rsidRPr="004A029F" w:rsidRDefault="00AD6464" w:rsidP="000A2446">
            <w:pPr>
              <w:jc w:val="center"/>
              <w:rPr>
                <w:color w:val="000000"/>
                <w:sz w:val="23"/>
                <w:szCs w:val="23"/>
              </w:rPr>
            </w:pPr>
            <w:r w:rsidRPr="004A029F">
              <w:rPr>
                <w:color w:val="000000"/>
                <w:sz w:val="23"/>
                <w:szCs w:val="23"/>
              </w:rPr>
              <w:t>32</w:t>
            </w:r>
          </w:p>
        </w:tc>
        <w:tc>
          <w:tcPr>
            <w:tcW w:w="826" w:type="dxa"/>
            <w:tcBorders>
              <w:top w:val="double" w:sz="4" w:space="0" w:color="auto"/>
              <w:left w:val="nil"/>
              <w:bottom w:val="nil"/>
              <w:right w:val="single" w:sz="4" w:space="0" w:color="auto"/>
            </w:tcBorders>
            <w:shd w:val="clear" w:color="000000" w:fill="FFFFFF"/>
            <w:tcMar>
              <w:left w:w="58" w:type="dxa"/>
              <w:right w:w="58" w:type="dxa"/>
            </w:tcMar>
            <w:vAlign w:val="center"/>
            <w:hideMark/>
          </w:tcPr>
          <w:p w14:paraId="44EA0B94" w14:textId="77777777" w:rsidR="00AD6464" w:rsidRPr="004A029F" w:rsidRDefault="00AD6464" w:rsidP="000A2446">
            <w:pPr>
              <w:jc w:val="center"/>
              <w:rPr>
                <w:color w:val="000000"/>
                <w:sz w:val="23"/>
                <w:szCs w:val="23"/>
              </w:rPr>
            </w:pPr>
            <w:r w:rsidRPr="004A029F">
              <w:rPr>
                <w:color w:val="000000"/>
                <w:sz w:val="23"/>
                <w:szCs w:val="23"/>
              </w:rPr>
              <w:t>9.1%</w:t>
            </w:r>
          </w:p>
        </w:tc>
        <w:tc>
          <w:tcPr>
            <w:tcW w:w="704" w:type="dxa"/>
            <w:tcBorders>
              <w:top w:val="double" w:sz="4" w:space="0" w:color="auto"/>
              <w:left w:val="nil"/>
              <w:bottom w:val="nil"/>
              <w:right w:val="nil"/>
            </w:tcBorders>
            <w:shd w:val="clear" w:color="000000" w:fill="FFFFFF"/>
            <w:tcMar>
              <w:left w:w="58" w:type="dxa"/>
              <w:right w:w="58" w:type="dxa"/>
            </w:tcMar>
            <w:vAlign w:val="center"/>
            <w:hideMark/>
          </w:tcPr>
          <w:p w14:paraId="61CB14B0" w14:textId="77777777" w:rsidR="00AD6464" w:rsidRPr="004A029F" w:rsidRDefault="00AD6464" w:rsidP="000A2446">
            <w:pPr>
              <w:jc w:val="center"/>
              <w:rPr>
                <w:color w:val="000000"/>
                <w:sz w:val="23"/>
                <w:szCs w:val="23"/>
              </w:rPr>
            </w:pPr>
            <w:r w:rsidRPr="004A029F">
              <w:rPr>
                <w:color w:val="000000"/>
                <w:sz w:val="23"/>
                <w:szCs w:val="23"/>
              </w:rPr>
              <w:t>47</w:t>
            </w:r>
          </w:p>
        </w:tc>
        <w:tc>
          <w:tcPr>
            <w:tcW w:w="828" w:type="dxa"/>
            <w:tcBorders>
              <w:top w:val="double" w:sz="4" w:space="0" w:color="auto"/>
              <w:left w:val="nil"/>
              <w:bottom w:val="nil"/>
              <w:right w:val="single" w:sz="4" w:space="0" w:color="auto"/>
            </w:tcBorders>
            <w:shd w:val="clear" w:color="000000" w:fill="FFFFFF"/>
            <w:tcMar>
              <w:left w:w="58" w:type="dxa"/>
              <w:right w:w="58" w:type="dxa"/>
            </w:tcMar>
            <w:vAlign w:val="center"/>
            <w:hideMark/>
          </w:tcPr>
          <w:p w14:paraId="46E5A1AB" w14:textId="77777777" w:rsidR="00AD6464" w:rsidRPr="004A029F" w:rsidRDefault="00AD6464" w:rsidP="000A2446">
            <w:pPr>
              <w:jc w:val="center"/>
              <w:rPr>
                <w:color w:val="000000"/>
                <w:sz w:val="23"/>
                <w:szCs w:val="23"/>
              </w:rPr>
            </w:pPr>
            <w:r w:rsidRPr="004A029F">
              <w:rPr>
                <w:color w:val="000000"/>
                <w:sz w:val="23"/>
                <w:szCs w:val="23"/>
              </w:rPr>
              <w:t>13.4%</w:t>
            </w:r>
          </w:p>
        </w:tc>
        <w:tc>
          <w:tcPr>
            <w:tcW w:w="704" w:type="dxa"/>
            <w:tcBorders>
              <w:top w:val="double" w:sz="4" w:space="0" w:color="auto"/>
              <w:left w:val="nil"/>
              <w:bottom w:val="nil"/>
              <w:right w:val="nil"/>
            </w:tcBorders>
            <w:shd w:val="clear" w:color="000000" w:fill="FFFFFF"/>
            <w:tcMar>
              <w:left w:w="58" w:type="dxa"/>
              <w:right w:w="58" w:type="dxa"/>
            </w:tcMar>
            <w:vAlign w:val="center"/>
            <w:hideMark/>
          </w:tcPr>
          <w:p w14:paraId="7277EF04" w14:textId="77777777" w:rsidR="00AD6464" w:rsidRPr="004A029F" w:rsidRDefault="00AD6464" w:rsidP="000A2446">
            <w:pPr>
              <w:jc w:val="center"/>
              <w:rPr>
                <w:color w:val="000000"/>
                <w:sz w:val="23"/>
                <w:szCs w:val="23"/>
              </w:rPr>
            </w:pPr>
            <w:r w:rsidRPr="004A029F">
              <w:rPr>
                <w:color w:val="000000"/>
                <w:sz w:val="23"/>
                <w:szCs w:val="23"/>
              </w:rPr>
              <w:t>49</w:t>
            </w:r>
          </w:p>
        </w:tc>
        <w:tc>
          <w:tcPr>
            <w:tcW w:w="826" w:type="dxa"/>
            <w:tcBorders>
              <w:top w:val="double" w:sz="4" w:space="0" w:color="auto"/>
              <w:left w:val="nil"/>
              <w:bottom w:val="nil"/>
              <w:right w:val="single" w:sz="4" w:space="0" w:color="auto"/>
            </w:tcBorders>
            <w:shd w:val="clear" w:color="000000" w:fill="FFFFFF"/>
            <w:tcMar>
              <w:left w:w="58" w:type="dxa"/>
              <w:right w:w="58" w:type="dxa"/>
            </w:tcMar>
            <w:vAlign w:val="center"/>
            <w:hideMark/>
          </w:tcPr>
          <w:p w14:paraId="7E195ABE" w14:textId="77777777" w:rsidR="00AD6464" w:rsidRPr="004A029F" w:rsidRDefault="00AD6464" w:rsidP="000A2446">
            <w:pPr>
              <w:jc w:val="center"/>
              <w:rPr>
                <w:color w:val="000000"/>
                <w:sz w:val="23"/>
                <w:szCs w:val="23"/>
              </w:rPr>
            </w:pPr>
            <w:r w:rsidRPr="004A029F">
              <w:rPr>
                <w:color w:val="000000"/>
                <w:sz w:val="23"/>
                <w:szCs w:val="23"/>
              </w:rPr>
              <w:t>14.0%</w:t>
            </w:r>
          </w:p>
        </w:tc>
        <w:tc>
          <w:tcPr>
            <w:tcW w:w="704" w:type="dxa"/>
            <w:tcBorders>
              <w:top w:val="double" w:sz="4" w:space="0" w:color="auto"/>
              <w:left w:val="nil"/>
              <w:bottom w:val="nil"/>
              <w:right w:val="nil"/>
            </w:tcBorders>
            <w:shd w:val="clear" w:color="000000" w:fill="FFFFFF"/>
            <w:tcMar>
              <w:left w:w="58" w:type="dxa"/>
              <w:right w:w="58" w:type="dxa"/>
            </w:tcMar>
            <w:vAlign w:val="center"/>
            <w:hideMark/>
          </w:tcPr>
          <w:p w14:paraId="2DBB399D" w14:textId="77777777" w:rsidR="00AD6464" w:rsidRPr="004A029F" w:rsidRDefault="00AD6464" w:rsidP="000A2446">
            <w:pPr>
              <w:jc w:val="center"/>
              <w:rPr>
                <w:color w:val="000000"/>
                <w:sz w:val="23"/>
                <w:szCs w:val="23"/>
              </w:rPr>
            </w:pPr>
            <w:r w:rsidRPr="004A029F">
              <w:rPr>
                <w:color w:val="000000"/>
                <w:sz w:val="23"/>
                <w:szCs w:val="23"/>
              </w:rPr>
              <w:t>148</w:t>
            </w:r>
          </w:p>
        </w:tc>
        <w:tc>
          <w:tcPr>
            <w:tcW w:w="828" w:type="dxa"/>
            <w:tcBorders>
              <w:top w:val="double" w:sz="4" w:space="0" w:color="auto"/>
              <w:left w:val="nil"/>
              <w:bottom w:val="nil"/>
              <w:right w:val="single" w:sz="4" w:space="0" w:color="auto"/>
            </w:tcBorders>
            <w:shd w:val="clear" w:color="000000" w:fill="FFFFFF"/>
            <w:tcMar>
              <w:left w:w="58" w:type="dxa"/>
              <w:right w:w="58" w:type="dxa"/>
            </w:tcMar>
            <w:vAlign w:val="center"/>
            <w:hideMark/>
          </w:tcPr>
          <w:p w14:paraId="029E08FE" w14:textId="77777777" w:rsidR="00AD6464" w:rsidRPr="004A029F" w:rsidRDefault="00AD6464" w:rsidP="000A2446">
            <w:pPr>
              <w:jc w:val="center"/>
              <w:rPr>
                <w:color w:val="000000"/>
                <w:sz w:val="23"/>
                <w:szCs w:val="23"/>
              </w:rPr>
            </w:pPr>
            <w:r w:rsidRPr="004A029F">
              <w:rPr>
                <w:color w:val="000000"/>
                <w:sz w:val="23"/>
                <w:szCs w:val="23"/>
              </w:rPr>
              <w:t>42.2%</w:t>
            </w:r>
          </w:p>
        </w:tc>
        <w:tc>
          <w:tcPr>
            <w:tcW w:w="704" w:type="dxa"/>
            <w:tcBorders>
              <w:top w:val="double" w:sz="4" w:space="0" w:color="auto"/>
              <w:left w:val="nil"/>
              <w:bottom w:val="nil"/>
              <w:right w:val="nil"/>
            </w:tcBorders>
            <w:shd w:val="clear" w:color="000000" w:fill="FFFFFF"/>
            <w:tcMar>
              <w:left w:w="58" w:type="dxa"/>
              <w:right w:w="58" w:type="dxa"/>
            </w:tcMar>
            <w:vAlign w:val="center"/>
            <w:hideMark/>
          </w:tcPr>
          <w:p w14:paraId="03CB9A4B" w14:textId="77777777" w:rsidR="00AD6464" w:rsidRPr="004A029F" w:rsidRDefault="00AD6464" w:rsidP="000A2446">
            <w:pPr>
              <w:jc w:val="center"/>
              <w:rPr>
                <w:color w:val="000000"/>
                <w:sz w:val="23"/>
                <w:szCs w:val="23"/>
              </w:rPr>
            </w:pPr>
            <w:r w:rsidRPr="004A029F">
              <w:rPr>
                <w:color w:val="000000"/>
                <w:sz w:val="23"/>
                <w:szCs w:val="23"/>
              </w:rPr>
              <w:t>21</w:t>
            </w:r>
          </w:p>
        </w:tc>
        <w:tc>
          <w:tcPr>
            <w:tcW w:w="806" w:type="dxa"/>
            <w:tcBorders>
              <w:top w:val="double" w:sz="4" w:space="0" w:color="auto"/>
              <w:left w:val="nil"/>
              <w:bottom w:val="nil"/>
              <w:right w:val="single" w:sz="4" w:space="0" w:color="auto"/>
            </w:tcBorders>
            <w:shd w:val="clear" w:color="000000" w:fill="FFFFFF"/>
            <w:tcMar>
              <w:left w:w="58" w:type="dxa"/>
              <w:right w:w="58" w:type="dxa"/>
            </w:tcMar>
            <w:vAlign w:val="center"/>
            <w:hideMark/>
          </w:tcPr>
          <w:p w14:paraId="34EAF48F" w14:textId="77777777" w:rsidR="00AD6464" w:rsidRPr="004A029F" w:rsidRDefault="00AD6464" w:rsidP="000A2446">
            <w:pPr>
              <w:jc w:val="center"/>
              <w:rPr>
                <w:color w:val="000000"/>
                <w:sz w:val="23"/>
                <w:szCs w:val="23"/>
              </w:rPr>
            </w:pPr>
            <w:r w:rsidRPr="004A029F">
              <w:rPr>
                <w:color w:val="000000"/>
                <w:sz w:val="23"/>
                <w:szCs w:val="23"/>
              </w:rPr>
              <w:t>6.0%</w:t>
            </w:r>
          </w:p>
        </w:tc>
        <w:tc>
          <w:tcPr>
            <w:tcW w:w="716" w:type="dxa"/>
            <w:tcBorders>
              <w:top w:val="double" w:sz="4" w:space="0" w:color="auto"/>
              <w:left w:val="nil"/>
              <w:bottom w:val="nil"/>
              <w:right w:val="nil"/>
            </w:tcBorders>
            <w:shd w:val="clear" w:color="000000" w:fill="FFFFFF"/>
            <w:tcMar>
              <w:left w:w="58" w:type="dxa"/>
              <w:right w:w="58" w:type="dxa"/>
            </w:tcMar>
            <w:vAlign w:val="center"/>
            <w:hideMark/>
          </w:tcPr>
          <w:p w14:paraId="34B4DD18" w14:textId="77777777" w:rsidR="00AD6464" w:rsidRPr="004A029F" w:rsidRDefault="00AD6464" w:rsidP="000A2446">
            <w:pPr>
              <w:jc w:val="center"/>
              <w:rPr>
                <w:color w:val="000000"/>
                <w:sz w:val="23"/>
                <w:szCs w:val="23"/>
              </w:rPr>
            </w:pPr>
            <w:r w:rsidRPr="004A029F">
              <w:rPr>
                <w:color w:val="000000"/>
                <w:sz w:val="23"/>
                <w:szCs w:val="23"/>
              </w:rPr>
              <w:t>351</w:t>
            </w:r>
          </w:p>
        </w:tc>
        <w:tc>
          <w:tcPr>
            <w:tcW w:w="998" w:type="dxa"/>
            <w:tcBorders>
              <w:top w:val="double" w:sz="4" w:space="0" w:color="auto"/>
              <w:left w:val="nil"/>
              <w:bottom w:val="nil"/>
              <w:right w:val="double" w:sz="4" w:space="0" w:color="auto"/>
            </w:tcBorders>
            <w:shd w:val="clear" w:color="000000" w:fill="FFFFFF"/>
            <w:noWrap/>
            <w:tcMar>
              <w:left w:w="58" w:type="dxa"/>
              <w:right w:w="58" w:type="dxa"/>
            </w:tcMar>
            <w:vAlign w:val="center"/>
            <w:hideMark/>
          </w:tcPr>
          <w:p w14:paraId="1992B36E" w14:textId="77777777" w:rsidR="00AD6464" w:rsidRPr="004A029F" w:rsidRDefault="00AD6464" w:rsidP="000A2446">
            <w:pPr>
              <w:jc w:val="center"/>
              <w:rPr>
                <w:color w:val="000000"/>
                <w:sz w:val="23"/>
                <w:szCs w:val="23"/>
              </w:rPr>
            </w:pPr>
            <w:r w:rsidRPr="004A029F">
              <w:rPr>
                <w:color w:val="000000"/>
                <w:sz w:val="23"/>
                <w:szCs w:val="23"/>
              </w:rPr>
              <w:t>100.0%</w:t>
            </w:r>
          </w:p>
        </w:tc>
      </w:tr>
      <w:tr w:rsidR="004A029F" w:rsidRPr="004A029F" w14:paraId="7283C75C" w14:textId="77777777" w:rsidTr="004A029F">
        <w:trPr>
          <w:trHeight w:val="549"/>
        </w:trPr>
        <w:tc>
          <w:tcPr>
            <w:tcW w:w="2051" w:type="dxa"/>
            <w:tcBorders>
              <w:top w:val="nil"/>
              <w:left w:val="double" w:sz="4" w:space="0" w:color="auto"/>
              <w:bottom w:val="nil"/>
              <w:right w:val="single" w:sz="4" w:space="0" w:color="auto"/>
            </w:tcBorders>
            <w:shd w:val="clear" w:color="000000" w:fill="FFFFFF"/>
            <w:tcMar>
              <w:left w:w="58" w:type="dxa"/>
              <w:right w:w="58" w:type="dxa"/>
            </w:tcMar>
            <w:vAlign w:val="center"/>
            <w:hideMark/>
          </w:tcPr>
          <w:p w14:paraId="3C5B8204" w14:textId="38096BBE" w:rsidR="00AD6464" w:rsidRPr="004A029F" w:rsidRDefault="00AD6464" w:rsidP="00BC09CC">
            <w:pPr>
              <w:ind w:left="195" w:hanging="195"/>
              <w:rPr>
                <w:color w:val="000000"/>
                <w:sz w:val="23"/>
                <w:szCs w:val="23"/>
              </w:rPr>
            </w:pPr>
            <w:r w:rsidRPr="004A029F">
              <w:rPr>
                <w:color w:val="000000"/>
                <w:sz w:val="23"/>
                <w:szCs w:val="23"/>
              </w:rPr>
              <w:t xml:space="preserve">A </w:t>
            </w:r>
            <w:r w:rsidR="00BC09CC" w:rsidRPr="004A029F">
              <w:rPr>
                <w:color w:val="000000"/>
                <w:sz w:val="23"/>
                <w:szCs w:val="23"/>
              </w:rPr>
              <w:t>F</w:t>
            </w:r>
            <w:r w:rsidRPr="004A029F">
              <w:rPr>
                <w:color w:val="000000"/>
                <w:sz w:val="23"/>
                <w:szCs w:val="23"/>
              </w:rPr>
              <w:t>ew Times/Year</w:t>
            </w:r>
          </w:p>
        </w:tc>
        <w:tc>
          <w:tcPr>
            <w:tcW w:w="720" w:type="dxa"/>
            <w:tcBorders>
              <w:top w:val="nil"/>
              <w:left w:val="nil"/>
              <w:bottom w:val="nil"/>
              <w:right w:val="nil"/>
            </w:tcBorders>
            <w:shd w:val="clear" w:color="000000" w:fill="FFFFFF"/>
            <w:tcMar>
              <w:left w:w="58" w:type="dxa"/>
              <w:right w:w="58" w:type="dxa"/>
            </w:tcMar>
            <w:vAlign w:val="center"/>
            <w:hideMark/>
          </w:tcPr>
          <w:p w14:paraId="1D979F65" w14:textId="77777777" w:rsidR="00AD6464" w:rsidRPr="004A029F" w:rsidRDefault="00AD6464" w:rsidP="000A2446">
            <w:pPr>
              <w:jc w:val="center"/>
              <w:rPr>
                <w:color w:val="000000"/>
                <w:sz w:val="23"/>
                <w:szCs w:val="23"/>
              </w:rPr>
            </w:pPr>
            <w:r w:rsidRPr="004A029F">
              <w:rPr>
                <w:color w:val="000000"/>
                <w:sz w:val="23"/>
                <w:szCs w:val="23"/>
              </w:rPr>
              <w:t>0</w:t>
            </w:r>
          </w:p>
        </w:tc>
        <w:tc>
          <w:tcPr>
            <w:tcW w:w="836" w:type="dxa"/>
            <w:tcBorders>
              <w:top w:val="nil"/>
              <w:left w:val="nil"/>
              <w:bottom w:val="nil"/>
              <w:right w:val="single" w:sz="4" w:space="0" w:color="auto"/>
            </w:tcBorders>
            <w:shd w:val="clear" w:color="000000" w:fill="FFFFFF"/>
            <w:tcMar>
              <w:left w:w="58" w:type="dxa"/>
              <w:right w:w="58" w:type="dxa"/>
            </w:tcMar>
            <w:vAlign w:val="center"/>
            <w:hideMark/>
          </w:tcPr>
          <w:p w14:paraId="5CCAAFDE" w14:textId="77777777" w:rsidR="00AD6464" w:rsidRPr="004A029F" w:rsidRDefault="00AD6464" w:rsidP="000A2446">
            <w:pPr>
              <w:jc w:val="center"/>
              <w:rPr>
                <w:color w:val="000000"/>
                <w:sz w:val="23"/>
                <w:szCs w:val="23"/>
              </w:rPr>
            </w:pPr>
            <w:r w:rsidRPr="004A029F">
              <w:rPr>
                <w:color w:val="000000"/>
                <w:sz w:val="23"/>
                <w:szCs w:val="23"/>
              </w:rPr>
              <w:t>0.0%</w:t>
            </w:r>
          </w:p>
        </w:tc>
        <w:tc>
          <w:tcPr>
            <w:tcW w:w="694" w:type="dxa"/>
            <w:tcBorders>
              <w:top w:val="nil"/>
              <w:left w:val="nil"/>
              <w:bottom w:val="nil"/>
              <w:right w:val="nil"/>
            </w:tcBorders>
            <w:shd w:val="clear" w:color="000000" w:fill="FFFFFF"/>
            <w:tcMar>
              <w:left w:w="58" w:type="dxa"/>
              <w:right w:w="58" w:type="dxa"/>
            </w:tcMar>
            <w:vAlign w:val="center"/>
            <w:hideMark/>
          </w:tcPr>
          <w:p w14:paraId="66C9D11B" w14:textId="77777777" w:rsidR="00AD6464" w:rsidRPr="004A029F" w:rsidRDefault="00AD6464" w:rsidP="000A2446">
            <w:pPr>
              <w:jc w:val="center"/>
              <w:rPr>
                <w:b/>
                <w:bCs/>
                <w:color w:val="000000"/>
                <w:sz w:val="23"/>
                <w:szCs w:val="23"/>
              </w:rPr>
            </w:pPr>
            <w:r w:rsidRPr="004A029F">
              <w:rPr>
                <w:b/>
                <w:bCs/>
                <w:color w:val="000000"/>
                <w:sz w:val="23"/>
                <w:szCs w:val="23"/>
              </w:rPr>
              <w:t>20</w:t>
            </w:r>
          </w:p>
        </w:tc>
        <w:tc>
          <w:tcPr>
            <w:tcW w:w="826" w:type="dxa"/>
            <w:tcBorders>
              <w:top w:val="nil"/>
              <w:left w:val="nil"/>
              <w:bottom w:val="nil"/>
              <w:right w:val="single" w:sz="4" w:space="0" w:color="auto"/>
            </w:tcBorders>
            <w:shd w:val="clear" w:color="000000" w:fill="FFFFFF"/>
            <w:tcMar>
              <w:left w:w="58" w:type="dxa"/>
              <w:right w:w="58" w:type="dxa"/>
            </w:tcMar>
            <w:vAlign w:val="center"/>
            <w:hideMark/>
          </w:tcPr>
          <w:p w14:paraId="6767E381" w14:textId="77777777" w:rsidR="00AD6464" w:rsidRPr="004A029F" w:rsidRDefault="00AD6464" w:rsidP="000A2446">
            <w:pPr>
              <w:jc w:val="center"/>
              <w:rPr>
                <w:color w:val="000000"/>
                <w:sz w:val="23"/>
                <w:szCs w:val="23"/>
              </w:rPr>
            </w:pPr>
            <w:r w:rsidRPr="004A029F">
              <w:rPr>
                <w:color w:val="000000"/>
                <w:sz w:val="23"/>
                <w:szCs w:val="23"/>
              </w:rPr>
              <w:t>50.0%</w:t>
            </w:r>
          </w:p>
        </w:tc>
        <w:tc>
          <w:tcPr>
            <w:tcW w:w="704" w:type="dxa"/>
            <w:tcBorders>
              <w:top w:val="nil"/>
              <w:left w:val="nil"/>
              <w:bottom w:val="nil"/>
              <w:right w:val="nil"/>
            </w:tcBorders>
            <w:shd w:val="clear" w:color="000000" w:fill="FFFFFF"/>
            <w:tcMar>
              <w:left w:w="58" w:type="dxa"/>
              <w:right w:w="58" w:type="dxa"/>
            </w:tcMar>
            <w:vAlign w:val="center"/>
            <w:hideMark/>
          </w:tcPr>
          <w:p w14:paraId="178FBEE2" w14:textId="77777777" w:rsidR="00AD6464" w:rsidRPr="004A029F" w:rsidRDefault="00AD6464" w:rsidP="000A2446">
            <w:pPr>
              <w:jc w:val="center"/>
              <w:rPr>
                <w:color w:val="000000"/>
                <w:sz w:val="23"/>
                <w:szCs w:val="23"/>
              </w:rPr>
            </w:pPr>
            <w:r w:rsidRPr="004A029F">
              <w:rPr>
                <w:color w:val="000000"/>
                <w:sz w:val="23"/>
                <w:szCs w:val="23"/>
              </w:rPr>
              <w:t>6</w:t>
            </w:r>
          </w:p>
        </w:tc>
        <w:tc>
          <w:tcPr>
            <w:tcW w:w="828" w:type="dxa"/>
            <w:tcBorders>
              <w:top w:val="nil"/>
              <w:left w:val="nil"/>
              <w:bottom w:val="nil"/>
              <w:right w:val="single" w:sz="4" w:space="0" w:color="auto"/>
            </w:tcBorders>
            <w:shd w:val="clear" w:color="000000" w:fill="FFFFFF"/>
            <w:tcMar>
              <w:left w:w="58" w:type="dxa"/>
              <w:right w:w="58" w:type="dxa"/>
            </w:tcMar>
            <w:vAlign w:val="center"/>
            <w:hideMark/>
          </w:tcPr>
          <w:p w14:paraId="009A909D" w14:textId="77777777" w:rsidR="00AD6464" w:rsidRPr="004A029F" w:rsidRDefault="00AD6464" w:rsidP="000A2446">
            <w:pPr>
              <w:jc w:val="center"/>
              <w:rPr>
                <w:color w:val="000000"/>
                <w:sz w:val="23"/>
                <w:szCs w:val="23"/>
              </w:rPr>
            </w:pPr>
            <w:r w:rsidRPr="004A029F">
              <w:rPr>
                <w:color w:val="000000"/>
                <w:sz w:val="23"/>
                <w:szCs w:val="23"/>
              </w:rPr>
              <w:t>15.0%</w:t>
            </w:r>
          </w:p>
        </w:tc>
        <w:tc>
          <w:tcPr>
            <w:tcW w:w="704" w:type="dxa"/>
            <w:tcBorders>
              <w:top w:val="nil"/>
              <w:left w:val="nil"/>
              <w:bottom w:val="nil"/>
              <w:right w:val="nil"/>
            </w:tcBorders>
            <w:shd w:val="clear" w:color="000000" w:fill="FFFFFF"/>
            <w:tcMar>
              <w:left w:w="58" w:type="dxa"/>
              <w:right w:w="58" w:type="dxa"/>
            </w:tcMar>
            <w:vAlign w:val="center"/>
            <w:hideMark/>
          </w:tcPr>
          <w:p w14:paraId="44AA8677" w14:textId="77777777" w:rsidR="00AD6464" w:rsidRPr="004A029F" w:rsidRDefault="00AD6464" w:rsidP="000A2446">
            <w:pPr>
              <w:jc w:val="center"/>
              <w:rPr>
                <w:color w:val="000000"/>
                <w:sz w:val="23"/>
                <w:szCs w:val="23"/>
              </w:rPr>
            </w:pPr>
            <w:r w:rsidRPr="004A029F">
              <w:rPr>
                <w:color w:val="000000"/>
                <w:sz w:val="23"/>
                <w:szCs w:val="23"/>
              </w:rPr>
              <w:t>2</w:t>
            </w:r>
          </w:p>
        </w:tc>
        <w:tc>
          <w:tcPr>
            <w:tcW w:w="826" w:type="dxa"/>
            <w:tcBorders>
              <w:top w:val="nil"/>
              <w:left w:val="nil"/>
              <w:bottom w:val="nil"/>
              <w:right w:val="single" w:sz="4" w:space="0" w:color="auto"/>
            </w:tcBorders>
            <w:shd w:val="clear" w:color="000000" w:fill="FFFFFF"/>
            <w:tcMar>
              <w:left w:w="58" w:type="dxa"/>
              <w:right w:w="58" w:type="dxa"/>
            </w:tcMar>
            <w:vAlign w:val="center"/>
            <w:hideMark/>
          </w:tcPr>
          <w:p w14:paraId="5CF55C3F" w14:textId="77777777" w:rsidR="00AD6464" w:rsidRPr="004A029F" w:rsidRDefault="00AD6464" w:rsidP="000A2446">
            <w:pPr>
              <w:jc w:val="center"/>
              <w:rPr>
                <w:color w:val="000000"/>
                <w:sz w:val="23"/>
                <w:szCs w:val="23"/>
              </w:rPr>
            </w:pPr>
            <w:r w:rsidRPr="004A029F">
              <w:rPr>
                <w:color w:val="000000"/>
                <w:sz w:val="23"/>
                <w:szCs w:val="23"/>
              </w:rPr>
              <w:t>5.0%</w:t>
            </w:r>
          </w:p>
        </w:tc>
        <w:tc>
          <w:tcPr>
            <w:tcW w:w="704" w:type="dxa"/>
            <w:tcBorders>
              <w:top w:val="nil"/>
              <w:left w:val="nil"/>
              <w:bottom w:val="nil"/>
              <w:right w:val="nil"/>
            </w:tcBorders>
            <w:shd w:val="clear" w:color="000000" w:fill="FFFFFF"/>
            <w:tcMar>
              <w:left w:w="58" w:type="dxa"/>
              <w:right w:w="58" w:type="dxa"/>
            </w:tcMar>
            <w:vAlign w:val="center"/>
            <w:hideMark/>
          </w:tcPr>
          <w:p w14:paraId="4BE0BA19" w14:textId="77777777" w:rsidR="00AD6464" w:rsidRPr="004A029F" w:rsidRDefault="00AD6464" w:rsidP="000A2446">
            <w:pPr>
              <w:jc w:val="center"/>
              <w:rPr>
                <w:color w:val="000000"/>
                <w:sz w:val="23"/>
                <w:szCs w:val="23"/>
              </w:rPr>
            </w:pPr>
            <w:r w:rsidRPr="004A029F">
              <w:rPr>
                <w:color w:val="000000"/>
                <w:sz w:val="23"/>
                <w:szCs w:val="23"/>
              </w:rPr>
              <w:t>8</w:t>
            </w:r>
          </w:p>
        </w:tc>
        <w:tc>
          <w:tcPr>
            <w:tcW w:w="828" w:type="dxa"/>
            <w:tcBorders>
              <w:top w:val="nil"/>
              <w:left w:val="nil"/>
              <w:bottom w:val="nil"/>
              <w:right w:val="single" w:sz="4" w:space="0" w:color="auto"/>
            </w:tcBorders>
            <w:shd w:val="clear" w:color="000000" w:fill="FFFFFF"/>
            <w:tcMar>
              <w:left w:w="58" w:type="dxa"/>
              <w:right w:w="58" w:type="dxa"/>
            </w:tcMar>
            <w:vAlign w:val="center"/>
            <w:hideMark/>
          </w:tcPr>
          <w:p w14:paraId="0750296D" w14:textId="77777777" w:rsidR="00AD6464" w:rsidRPr="004A029F" w:rsidRDefault="00AD6464" w:rsidP="000A2446">
            <w:pPr>
              <w:jc w:val="center"/>
              <w:rPr>
                <w:color w:val="000000"/>
                <w:sz w:val="23"/>
                <w:szCs w:val="23"/>
              </w:rPr>
            </w:pPr>
            <w:r w:rsidRPr="004A029F">
              <w:rPr>
                <w:color w:val="000000"/>
                <w:sz w:val="23"/>
                <w:szCs w:val="23"/>
              </w:rPr>
              <w:t>20.0%</w:t>
            </w:r>
          </w:p>
        </w:tc>
        <w:tc>
          <w:tcPr>
            <w:tcW w:w="704" w:type="dxa"/>
            <w:tcBorders>
              <w:top w:val="nil"/>
              <w:left w:val="nil"/>
              <w:bottom w:val="nil"/>
              <w:right w:val="nil"/>
            </w:tcBorders>
            <w:shd w:val="clear" w:color="000000" w:fill="FFFFFF"/>
            <w:tcMar>
              <w:left w:w="58" w:type="dxa"/>
              <w:right w:w="58" w:type="dxa"/>
            </w:tcMar>
            <w:vAlign w:val="center"/>
            <w:hideMark/>
          </w:tcPr>
          <w:p w14:paraId="2951F3FF" w14:textId="77777777" w:rsidR="00AD6464" w:rsidRPr="004A029F" w:rsidRDefault="00AD6464" w:rsidP="000A2446">
            <w:pPr>
              <w:jc w:val="center"/>
              <w:rPr>
                <w:color w:val="000000"/>
                <w:sz w:val="23"/>
                <w:szCs w:val="23"/>
              </w:rPr>
            </w:pPr>
            <w:r w:rsidRPr="004A029F">
              <w:rPr>
                <w:color w:val="000000"/>
                <w:sz w:val="23"/>
                <w:szCs w:val="23"/>
              </w:rPr>
              <w:t>4</w:t>
            </w:r>
          </w:p>
        </w:tc>
        <w:tc>
          <w:tcPr>
            <w:tcW w:w="806" w:type="dxa"/>
            <w:tcBorders>
              <w:top w:val="nil"/>
              <w:left w:val="nil"/>
              <w:bottom w:val="nil"/>
              <w:right w:val="single" w:sz="4" w:space="0" w:color="auto"/>
            </w:tcBorders>
            <w:shd w:val="clear" w:color="000000" w:fill="FFFFFF"/>
            <w:tcMar>
              <w:left w:w="58" w:type="dxa"/>
              <w:right w:w="58" w:type="dxa"/>
            </w:tcMar>
            <w:vAlign w:val="center"/>
            <w:hideMark/>
          </w:tcPr>
          <w:p w14:paraId="480A365B" w14:textId="77777777" w:rsidR="00AD6464" w:rsidRPr="004A029F" w:rsidRDefault="00AD6464" w:rsidP="000A2446">
            <w:pPr>
              <w:jc w:val="center"/>
              <w:rPr>
                <w:color w:val="000000"/>
                <w:sz w:val="23"/>
                <w:szCs w:val="23"/>
              </w:rPr>
            </w:pPr>
            <w:r w:rsidRPr="004A029F">
              <w:rPr>
                <w:color w:val="000000"/>
                <w:sz w:val="23"/>
                <w:szCs w:val="23"/>
              </w:rPr>
              <w:t>10.0%</w:t>
            </w:r>
          </w:p>
        </w:tc>
        <w:tc>
          <w:tcPr>
            <w:tcW w:w="716" w:type="dxa"/>
            <w:tcBorders>
              <w:top w:val="nil"/>
              <w:left w:val="nil"/>
              <w:bottom w:val="nil"/>
              <w:right w:val="nil"/>
            </w:tcBorders>
            <w:shd w:val="clear" w:color="000000" w:fill="FFFFFF"/>
            <w:tcMar>
              <w:left w:w="58" w:type="dxa"/>
              <w:right w:w="58" w:type="dxa"/>
            </w:tcMar>
            <w:vAlign w:val="center"/>
            <w:hideMark/>
          </w:tcPr>
          <w:p w14:paraId="4AD42E27" w14:textId="77777777" w:rsidR="00AD6464" w:rsidRPr="004A029F" w:rsidRDefault="00AD6464" w:rsidP="000A2446">
            <w:pPr>
              <w:jc w:val="center"/>
              <w:rPr>
                <w:color w:val="000000"/>
                <w:sz w:val="23"/>
                <w:szCs w:val="23"/>
              </w:rPr>
            </w:pPr>
            <w:r w:rsidRPr="004A029F">
              <w:rPr>
                <w:color w:val="000000"/>
                <w:sz w:val="23"/>
                <w:szCs w:val="23"/>
              </w:rPr>
              <w:t>40</w:t>
            </w:r>
          </w:p>
        </w:tc>
        <w:tc>
          <w:tcPr>
            <w:tcW w:w="998" w:type="dxa"/>
            <w:tcBorders>
              <w:top w:val="nil"/>
              <w:left w:val="nil"/>
              <w:bottom w:val="nil"/>
              <w:right w:val="double" w:sz="4" w:space="0" w:color="auto"/>
            </w:tcBorders>
            <w:shd w:val="clear" w:color="000000" w:fill="FFFFFF"/>
            <w:noWrap/>
            <w:tcMar>
              <w:left w:w="58" w:type="dxa"/>
              <w:right w:w="58" w:type="dxa"/>
            </w:tcMar>
            <w:vAlign w:val="center"/>
            <w:hideMark/>
          </w:tcPr>
          <w:p w14:paraId="48FB79FD" w14:textId="77777777" w:rsidR="00AD6464" w:rsidRPr="004A029F" w:rsidRDefault="00AD6464" w:rsidP="000A2446">
            <w:pPr>
              <w:jc w:val="center"/>
              <w:rPr>
                <w:color w:val="000000"/>
                <w:sz w:val="23"/>
                <w:szCs w:val="23"/>
              </w:rPr>
            </w:pPr>
            <w:r w:rsidRPr="004A029F">
              <w:rPr>
                <w:color w:val="000000"/>
                <w:sz w:val="23"/>
                <w:szCs w:val="23"/>
              </w:rPr>
              <w:t>100.0%</w:t>
            </w:r>
          </w:p>
        </w:tc>
      </w:tr>
      <w:tr w:rsidR="004A029F" w:rsidRPr="004A029F" w14:paraId="10EC3112" w14:textId="77777777" w:rsidTr="004A029F">
        <w:trPr>
          <w:trHeight w:val="531"/>
        </w:trPr>
        <w:tc>
          <w:tcPr>
            <w:tcW w:w="2051" w:type="dxa"/>
            <w:tcBorders>
              <w:top w:val="nil"/>
              <w:left w:val="double" w:sz="4" w:space="0" w:color="auto"/>
              <w:bottom w:val="nil"/>
              <w:right w:val="single" w:sz="4" w:space="0" w:color="auto"/>
            </w:tcBorders>
            <w:shd w:val="clear" w:color="000000" w:fill="FFFFFF"/>
            <w:tcMar>
              <w:left w:w="58" w:type="dxa"/>
              <w:right w:w="58" w:type="dxa"/>
            </w:tcMar>
            <w:vAlign w:val="center"/>
            <w:hideMark/>
          </w:tcPr>
          <w:p w14:paraId="4483F634" w14:textId="77777777" w:rsidR="00AD6464" w:rsidRPr="004A029F" w:rsidRDefault="00AD6464" w:rsidP="00BC09CC">
            <w:pPr>
              <w:ind w:left="195" w:hanging="195"/>
              <w:rPr>
                <w:color w:val="000000"/>
                <w:sz w:val="23"/>
                <w:szCs w:val="23"/>
              </w:rPr>
            </w:pPr>
            <w:r w:rsidRPr="004A029F">
              <w:rPr>
                <w:color w:val="000000"/>
                <w:sz w:val="23"/>
                <w:szCs w:val="23"/>
              </w:rPr>
              <w:t>A Few Times/Month</w:t>
            </w:r>
          </w:p>
        </w:tc>
        <w:tc>
          <w:tcPr>
            <w:tcW w:w="720" w:type="dxa"/>
            <w:tcBorders>
              <w:top w:val="nil"/>
              <w:left w:val="nil"/>
              <w:bottom w:val="nil"/>
              <w:right w:val="nil"/>
            </w:tcBorders>
            <w:shd w:val="clear" w:color="000000" w:fill="FFFFFF"/>
            <w:tcMar>
              <w:left w:w="58" w:type="dxa"/>
              <w:right w:w="58" w:type="dxa"/>
            </w:tcMar>
            <w:vAlign w:val="center"/>
            <w:hideMark/>
          </w:tcPr>
          <w:p w14:paraId="15890462" w14:textId="77777777" w:rsidR="00AD6464" w:rsidRPr="004A029F" w:rsidRDefault="00AD6464" w:rsidP="000A2446">
            <w:pPr>
              <w:jc w:val="center"/>
              <w:rPr>
                <w:color w:val="000000"/>
                <w:sz w:val="23"/>
                <w:szCs w:val="23"/>
              </w:rPr>
            </w:pPr>
            <w:r w:rsidRPr="004A029F">
              <w:rPr>
                <w:color w:val="000000"/>
                <w:sz w:val="23"/>
                <w:szCs w:val="23"/>
              </w:rPr>
              <w:t>1</w:t>
            </w:r>
          </w:p>
        </w:tc>
        <w:tc>
          <w:tcPr>
            <w:tcW w:w="836" w:type="dxa"/>
            <w:tcBorders>
              <w:top w:val="nil"/>
              <w:left w:val="nil"/>
              <w:bottom w:val="nil"/>
              <w:right w:val="single" w:sz="4" w:space="0" w:color="auto"/>
            </w:tcBorders>
            <w:shd w:val="clear" w:color="000000" w:fill="FFFFFF"/>
            <w:tcMar>
              <w:left w:w="58" w:type="dxa"/>
              <w:right w:w="58" w:type="dxa"/>
            </w:tcMar>
            <w:vAlign w:val="center"/>
            <w:hideMark/>
          </w:tcPr>
          <w:p w14:paraId="4479CEC3" w14:textId="77777777" w:rsidR="00AD6464" w:rsidRPr="004A029F" w:rsidRDefault="00AD6464" w:rsidP="000A2446">
            <w:pPr>
              <w:jc w:val="center"/>
              <w:rPr>
                <w:color w:val="000000"/>
                <w:sz w:val="23"/>
                <w:szCs w:val="23"/>
              </w:rPr>
            </w:pPr>
            <w:r w:rsidRPr="004A029F">
              <w:rPr>
                <w:color w:val="000000"/>
                <w:sz w:val="23"/>
                <w:szCs w:val="23"/>
              </w:rPr>
              <w:t>1.0%</w:t>
            </w:r>
          </w:p>
        </w:tc>
        <w:tc>
          <w:tcPr>
            <w:tcW w:w="694" w:type="dxa"/>
            <w:tcBorders>
              <w:top w:val="nil"/>
              <w:left w:val="nil"/>
              <w:bottom w:val="nil"/>
              <w:right w:val="nil"/>
            </w:tcBorders>
            <w:shd w:val="clear" w:color="000000" w:fill="FFFFFF"/>
            <w:tcMar>
              <w:left w:w="58" w:type="dxa"/>
              <w:right w:w="58" w:type="dxa"/>
            </w:tcMar>
            <w:vAlign w:val="center"/>
            <w:hideMark/>
          </w:tcPr>
          <w:p w14:paraId="0FFDDA4C" w14:textId="77777777" w:rsidR="00AD6464" w:rsidRPr="004A029F" w:rsidRDefault="00AD6464" w:rsidP="000A2446">
            <w:pPr>
              <w:jc w:val="center"/>
              <w:rPr>
                <w:color w:val="000000"/>
                <w:sz w:val="23"/>
                <w:szCs w:val="23"/>
              </w:rPr>
            </w:pPr>
            <w:r w:rsidRPr="004A029F">
              <w:rPr>
                <w:color w:val="000000"/>
                <w:sz w:val="23"/>
                <w:szCs w:val="23"/>
              </w:rPr>
              <w:t>1</w:t>
            </w:r>
          </w:p>
        </w:tc>
        <w:tc>
          <w:tcPr>
            <w:tcW w:w="826" w:type="dxa"/>
            <w:tcBorders>
              <w:top w:val="nil"/>
              <w:left w:val="nil"/>
              <w:bottom w:val="nil"/>
              <w:right w:val="single" w:sz="4" w:space="0" w:color="auto"/>
            </w:tcBorders>
            <w:shd w:val="clear" w:color="000000" w:fill="FFFFFF"/>
            <w:tcMar>
              <w:left w:w="58" w:type="dxa"/>
              <w:right w:w="58" w:type="dxa"/>
            </w:tcMar>
            <w:vAlign w:val="center"/>
            <w:hideMark/>
          </w:tcPr>
          <w:p w14:paraId="18AC45B7" w14:textId="77777777" w:rsidR="00AD6464" w:rsidRPr="004A029F" w:rsidRDefault="00AD6464" w:rsidP="000A2446">
            <w:pPr>
              <w:jc w:val="center"/>
              <w:rPr>
                <w:color w:val="000000"/>
                <w:sz w:val="23"/>
                <w:szCs w:val="23"/>
              </w:rPr>
            </w:pPr>
            <w:r w:rsidRPr="004A029F">
              <w:rPr>
                <w:color w:val="000000"/>
                <w:sz w:val="23"/>
                <w:szCs w:val="23"/>
              </w:rPr>
              <w:t>1.0%</w:t>
            </w:r>
          </w:p>
        </w:tc>
        <w:tc>
          <w:tcPr>
            <w:tcW w:w="704" w:type="dxa"/>
            <w:tcBorders>
              <w:top w:val="nil"/>
              <w:left w:val="nil"/>
              <w:bottom w:val="nil"/>
              <w:right w:val="nil"/>
            </w:tcBorders>
            <w:shd w:val="clear" w:color="000000" w:fill="FFFFFF"/>
            <w:tcMar>
              <w:left w:w="58" w:type="dxa"/>
              <w:right w:w="58" w:type="dxa"/>
            </w:tcMar>
            <w:vAlign w:val="center"/>
            <w:hideMark/>
          </w:tcPr>
          <w:p w14:paraId="23FB487C" w14:textId="77777777" w:rsidR="00AD6464" w:rsidRPr="004A029F" w:rsidRDefault="00AD6464" w:rsidP="000A2446">
            <w:pPr>
              <w:jc w:val="center"/>
              <w:rPr>
                <w:b/>
                <w:bCs/>
                <w:color w:val="000000"/>
                <w:sz w:val="23"/>
                <w:szCs w:val="23"/>
              </w:rPr>
            </w:pPr>
            <w:r w:rsidRPr="004A029F">
              <w:rPr>
                <w:b/>
                <w:bCs/>
                <w:color w:val="000000"/>
                <w:sz w:val="23"/>
                <w:szCs w:val="23"/>
              </w:rPr>
              <w:t>54</w:t>
            </w:r>
          </w:p>
        </w:tc>
        <w:tc>
          <w:tcPr>
            <w:tcW w:w="828" w:type="dxa"/>
            <w:tcBorders>
              <w:top w:val="nil"/>
              <w:left w:val="nil"/>
              <w:bottom w:val="nil"/>
              <w:right w:val="single" w:sz="4" w:space="0" w:color="auto"/>
            </w:tcBorders>
            <w:shd w:val="clear" w:color="000000" w:fill="FFFFFF"/>
            <w:tcMar>
              <w:left w:w="58" w:type="dxa"/>
              <w:right w:w="58" w:type="dxa"/>
            </w:tcMar>
            <w:vAlign w:val="center"/>
            <w:hideMark/>
          </w:tcPr>
          <w:p w14:paraId="7A189010" w14:textId="77777777" w:rsidR="00AD6464" w:rsidRPr="004A029F" w:rsidRDefault="00AD6464" w:rsidP="000A2446">
            <w:pPr>
              <w:jc w:val="center"/>
              <w:rPr>
                <w:color w:val="000000"/>
                <w:sz w:val="23"/>
                <w:szCs w:val="23"/>
              </w:rPr>
            </w:pPr>
            <w:r w:rsidRPr="004A029F">
              <w:rPr>
                <w:color w:val="000000"/>
                <w:sz w:val="23"/>
                <w:szCs w:val="23"/>
              </w:rPr>
              <w:t>56.3%</w:t>
            </w:r>
          </w:p>
        </w:tc>
        <w:tc>
          <w:tcPr>
            <w:tcW w:w="704" w:type="dxa"/>
            <w:tcBorders>
              <w:top w:val="nil"/>
              <w:left w:val="nil"/>
              <w:bottom w:val="nil"/>
              <w:right w:val="nil"/>
            </w:tcBorders>
            <w:shd w:val="clear" w:color="000000" w:fill="FFFFFF"/>
            <w:tcMar>
              <w:left w:w="58" w:type="dxa"/>
              <w:right w:w="58" w:type="dxa"/>
            </w:tcMar>
            <w:vAlign w:val="center"/>
            <w:hideMark/>
          </w:tcPr>
          <w:p w14:paraId="1B5BBFE8" w14:textId="77777777" w:rsidR="00AD6464" w:rsidRPr="004A029F" w:rsidRDefault="00AD6464" w:rsidP="000A2446">
            <w:pPr>
              <w:jc w:val="center"/>
              <w:rPr>
                <w:color w:val="000000"/>
                <w:sz w:val="23"/>
                <w:szCs w:val="23"/>
              </w:rPr>
            </w:pPr>
            <w:r w:rsidRPr="004A029F">
              <w:rPr>
                <w:color w:val="000000"/>
                <w:sz w:val="23"/>
                <w:szCs w:val="23"/>
              </w:rPr>
              <w:t>5</w:t>
            </w:r>
          </w:p>
        </w:tc>
        <w:tc>
          <w:tcPr>
            <w:tcW w:w="826" w:type="dxa"/>
            <w:tcBorders>
              <w:top w:val="nil"/>
              <w:left w:val="nil"/>
              <w:bottom w:val="nil"/>
              <w:right w:val="single" w:sz="4" w:space="0" w:color="auto"/>
            </w:tcBorders>
            <w:shd w:val="clear" w:color="000000" w:fill="FFFFFF"/>
            <w:tcMar>
              <w:left w:w="58" w:type="dxa"/>
              <w:right w:w="58" w:type="dxa"/>
            </w:tcMar>
            <w:vAlign w:val="center"/>
            <w:hideMark/>
          </w:tcPr>
          <w:p w14:paraId="29DDF821" w14:textId="77777777" w:rsidR="00AD6464" w:rsidRPr="004A029F" w:rsidRDefault="00AD6464" w:rsidP="000A2446">
            <w:pPr>
              <w:jc w:val="center"/>
              <w:rPr>
                <w:color w:val="000000"/>
                <w:sz w:val="23"/>
                <w:szCs w:val="23"/>
              </w:rPr>
            </w:pPr>
            <w:r w:rsidRPr="004A029F">
              <w:rPr>
                <w:color w:val="000000"/>
                <w:sz w:val="23"/>
                <w:szCs w:val="23"/>
              </w:rPr>
              <w:t>5.2%</w:t>
            </w:r>
          </w:p>
        </w:tc>
        <w:tc>
          <w:tcPr>
            <w:tcW w:w="704" w:type="dxa"/>
            <w:tcBorders>
              <w:top w:val="nil"/>
              <w:left w:val="nil"/>
              <w:bottom w:val="nil"/>
              <w:right w:val="nil"/>
            </w:tcBorders>
            <w:shd w:val="clear" w:color="000000" w:fill="FFFFFF"/>
            <w:tcMar>
              <w:left w:w="58" w:type="dxa"/>
              <w:right w:w="58" w:type="dxa"/>
            </w:tcMar>
            <w:vAlign w:val="center"/>
            <w:hideMark/>
          </w:tcPr>
          <w:p w14:paraId="4384E374" w14:textId="77777777" w:rsidR="00AD6464" w:rsidRPr="004A029F" w:rsidRDefault="00AD6464" w:rsidP="000A2446">
            <w:pPr>
              <w:jc w:val="center"/>
              <w:rPr>
                <w:color w:val="000000"/>
                <w:sz w:val="23"/>
                <w:szCs w:val="23"/>
              </w:rPr>
            </w:pPr>
            <w:r w:rsidRPr="004A029F">
              <w:rPr>
                <w:color w:val="000000"/>
                <w:sz w:val="23"/>
                <w:szCs w:val="23"/>
              </w:rPr>
              <w:t>21</w:t>
            </w:r>
          </w:p>
        </w:tc>
        <w:tc>
          <w:tcPr>
            <w:tcW w:w="828" w:type="dxa"/>
            <w:tcBorders>
              <w:top w:val="nil"/>
              <w:left w:val="nil"/>
              <w:bottom w:val="nil"/>
              <w:right w:val="single" w:sz="4" w:space="0" w:color="auto"/>
            </w:tcBorders>
            <w:shd w:val="clear" w:color="000000" w:fill="FFFFFF"/>
            <w:tcMar>
              <w:left w:w="58" w:type="dxa"/>
              <w:right w:w="58" w:type="dxa"/>
            </w:tcMar>
            <w:vAlign w:val="center"/>
            <w:hideMark/>
          </w:tcPr>
          <w:p w14:paraId="5C16AE55" w14:textId="77777777" w:rsidR="00AD6464" w:rsidRPr="004A029F" w:rsidRDefault="00AD6464" w:rsidP="000A2446">
            <w:pPr>
              <w:jc w:val="center"/>
              <w:rPr>
                <w:color w:val="000000"/>
                <w:sz w:val="23"/>
                <w:szCs w:val="23"/>
              </w:rPr>
            </w:pPr>
            <w:r w:rsidRPr="004A029F">
              <w:rPr>
                <w:color w:val="000000"/>
                <w:sz w:val="23"/>
                <w:szCs w:val="23"/>
              </w:rPr>
              <w:t>21.9%</w:t>
            </w:r>
          </w:p>
        </w:tc>
        <w:tc>
          <w:tcPr>
            <w:tcW w:w="704" w:type="dxa"/>
            <w:tcBorders>
              <w:top w:val="nil"/>
              <w:left w:val="nil"/>
              <w:bottom w:val="nil"/>
              <w:right w:val="nil"/>
            </w:tcBorders>
            <w:shd w:val="clear" w:color="000000" w:fill="FFFFFF"/>
            <w:tcMar>
              <w:left w:w="58" w:type="dxa"/>
              <w:right w:w="58" w:type="dxa"/>
            </w:tcMar>
            <w:vAlign w:val="center"/>
            <w:hideMark/>
          </w:tcPr>
          <w:p w14:paraId="6D2AE0DF" w14:textId="77777777" w:rsidR="00AD6464" w:rsidRPr="004A029F" w:rsidRDefault="00AD6464" w:rsidP="000A2446">
            <w:pPr>
              <w:jc w:val="center"/>
              <w:rPr>
                <w:color w:val="000000"/>
                <w:sz w:val="23"/>
                <w:szCs w:val="23"/>
              </w:rPr>
            </w:pPr>
            <w:r w:rsidRPr="004A029F">
              <w:rPr>
                <w:color w:val="000000"/>
                <w:sz w:val="23"/>
                <w:szCs w:val="23"/>
              </w:rPr>
              <w:t>14</w:t>
            </w:r>
          </w:p>
        </w:tc>
        <w:tc>
          <w:tcPr>
            <w:tcW w:w="806" w:type="dxa"/>
            <w:tcBorders>
              <w:top w:val="nil"/>
              <w:left w:val="nil"/>
              <w:bottom w:val="nil"/>
              <w:right w:val="single" w:sz="4" w:space="0" w:color="auto"/>
            </w:tcBorders>
            <w:shd w:val="clear" w:color="000000" w:fill="FFFFFF"/>
            <w:tcMar>
              <w:left w:w="58" w:type="dxa"/>
              <w:right w:w="58" w:type="dxa"/>
            </w:tcMar>
            <w:vAlign w:val="center"/>
            <w:hideMark/>
          </w:tcPr>
          <w:p w14:paraId="2101BDBB" w14:textId="77777777" w:rsidR="00AD6464" w:rsidRPr="004A029F" w:rsidRDefault="00AD6464" w:rsidP="000A2446">
            <w:pPr>
              <w:jc w:val="center"/>
              <w:rPr>
                <w:color w:val="000000"/>
                <w:sz w:val="23"/>
                <w:szCs w:val="23"/>
              </w:rPr>
            </w:pPr>
            <w:r w:rsidRPr="004A029F">
              <w:rPr>
                <w:color w:val="000000"/>
                <w:sz w:val="23"/>
                <w:szCs w:val="23"/>
              </w:rPr>
              <w:t>14.6%</w:t>
            </w:r>
          </w:p>
        </w:tc>
        <w:tc>
          <w:tcPr>
            <w:tcW w:w="716" w:type="dxa"/>
            <w:tcBorders>
              <w:top w:val="nil"/>
              <w:left w:val="nil"/>
              <w:bottom w:val="nil"/>
              <w:right w:val="nil"/>
            </w:tcBorders>
            <w:shd w:val="clear" w:color="000000" w:fill="FFFFFF"/>
            <w:tcMar>
              <w:left w:w="58" w:type="dxa"/>
              <w:right w:w="58" w:type="dxa"/>
            </w:tcMar>
            <w:vAlign w:val="center"/>
            <w:hideMark/>
          </w:tcPr>
          <w:p w14:paraId="5AD86601" w14:textId="77777777" w:rsidR="00AD6464" w:rsidRPr="004A029F" w:rsidRDefault="00AD6464" w:rsidP="000A2446">
            <w:pPr>
              <w:jc w:val="center"/>
              <w:rPr>
                <w:color w:val="000000"/>
                <w:sz w:val="23"/>
                <w:szCs w:val="23"/>
              </w:rPr>
            </w:pPr>
            <w:r w:rsidRPr="004A029F">
              <w:rPr>
                <w:color w:val="000000"/>
                <w:sz w:val="23"/>
                <w:szCs w:val="23"/>
              </w:rPr>
              <w:t>96</w:t>
            </w:r>
          </w:p>
        </w:tc>
        <w:tc>
          <w:tcPr>
            <w:tcW w:w="998" w:type="dxa"/>
            <w:tcBorders>
              <w:top w:val="nil"/>
              <w:left w:val="nil"/>
              <w:bottom w:val="nil"/>
              <w:right w:val="double" w:sz="4" w:space="0" w:color="auto"/>
            </w:tcBorders>
            <w:shd w:val="clear" w:color="000000" w:fill="FFFFFF"/>
            <w:noWrap/>
            <w:tcMar>
              <w:left w:w="58" w:type="dxa"/>
              <w:right w:w="58" w:type="dxa"/>
            </w:tcMar>
            <w:vAlign w:val="center"/>
            <w:hideMark/>
          </w:tcPr>
          <w:p w14:paraId="3ACE219C" w14:textId="77777777" w:rsidR="00AD6464" w:rsidRPr="004A029F" w:rsidRDefault="00AD6464" w:rsidP="000A2446">
            <w:pPr>
              <w:jc w:val="center"/>
              <w:rPr>
                <w:color w:val="000000"/>
                <w:sz w:val="23"/>
                <w:szCs w:val="23"/>
              </w:rPr>
            </w:pPr>
            <w:r w:rsidRPr="004A029F">
              <w:rPr>
                <w:color w:val="000000"/>
                <w:sz w:val="23"/>
                <w:szCs w:val="23"/>
              </w:rPr>
              <w:t>100.0%</w:t>
            </w:r>
          </w:p>
        </w:tc>
      </w:tr>
      <w:tr w:rsidR="004A029F" w:rsidRPr="004A029F" w14:paraId="487D23FE" w14:textId="77777777" w:rsidTr="004A029F">
        <w:trPr>
          <w:trHeight w:val="345"/>
        </w:trPr>
        <w:tc>
          <w:tcPr>
            <w:tcW w:w="2051" w:type="dxa"/>
            <w:tcBorders>
              <w:top w:val="nil"/>
              <w:left w:val="double" w:sz="4" w:space="0" w:color="auto"/>
              <w:bottom w:val="nil"/>
              <w:right w:val="single" w:sz="4" w:space="0" w:color="auto"/>
            </w:tcBorders>
            <w:shd w:val="clear" w:color="000000" w:fill="FFFFFF"/>
            <w:tcMar>
              <w:left w:w="58" w:type="dxa"/>
              <w:right w:w="58" w:type="dxa"/>
            </w:tcMar>
            <w:vAlign w:val="center"/>
            <w:hideMark/>
          </w:tcPr>
          <w:p w14:paraId="50233962" w14:textId="77777777" w:rsidR="00AD6464" w:rsidRPr="004A029F" w:rsidRDefault="00AD6464" w:rsidP="00BC09CC">
            <w:pPr>
              <w:ind w:left="195" w:hanging="195"/>
              <w:rPr>
                <w:color w:val="000000"/>
                <w:sz w:val="23"/>
                <w:szCs w:val="23"/>
              </w:rPr>
            </w:pPr>
            <w:r w:rsidRPr="004A029F">
              <w:rPr>
                <w:color w:val="000000"/>
                <w:sz w:val="23"/>
                <w:szCs w:val="23"/>
              </w:rPr>
              <w:t>Once/Week</w:t>
            </w:r>
          </w:p>
        </w:tc>
        <w:tc>
          <w:tcPr>
            <w:tcW w:w="720" w:type="dxa"/>
            <w:tcBorders>
              <w:top w:val="nil"/>
              <w:left w:val="nil"/>
              <w:bottom w:val="nil"/>
              <w:right w:val="nil"/>
            </w:tcBorders>
            <w:shd w:val="clear" w:color="000000" w:fill="FFFFFF"/>
            <w:tcMar>
              <w:left w:w="58" w:type="dxa"/>
              <w:right w:w="58" w:type="dxa"/>
            </w:tcMar>
            <w:vAlign w:val="center"/>
            <w:hideMark/>
          </w:tcPr>
          <w:p w14:paraId="725D4721" w14:textId="77777777" w:rsidR="00AD6464" w:rsidRPr="004A029F" w:rsidRDefault="00AD6464" w:rsidP="000A2446">
            <w:pPr>
              <w:jc w:val="center"/>
              <w:rPr>
                <w:color w:val="000000"/>
                <w:sz w:val="23"/>
                <w:szCs w:val="23"/>
              </w:rPr>
            </w:pPr>
            <w:r w:rsidRPr="004A029F">
              <w:rPr>
                <w:color w:val="000000"/>
                <w:sz w:val="23"/>
                <w:szCs w:val="23"/>
              </w:rPr>
              <w:t>1</w:t>
            </w:r>
          </w:p>
        </w:tc>
        <w:tc>
          <w:tcPr>
            <w:tcW w:w="836" w:type="dxa"/>
            <w:tcBorders>
              <w:top w:val="nil"/>
              <w:left w:val="nil"/>
              <w:bottom w:val="nil"/>
              <w:right w:val="single" w:sz="4" w:space="0" w:color="auto"/>
            </w:tcBorders>
            <w:shd w:val="clear" w:color="000000" w:fill="FFFFFF"/>
            <w:tcMar>
              <w:left w:w="58" w:type="dxa"/>
              <w:right w:w="58" w:type="dxa"/>
            </w:tcMar>
            <w:vAlign w:val="center"/>
            <w:hideMark/>
          </w:tcPr>
          <w:p w14:paraId="7F7EB7B8" w14:textId="77777777" w:rsidR="00AD6464" w:rsidRPr="004A029F" w:rsidRDefault="00AD6464" w:rsidP="000A2446">
            <w:pPr>
              <w:jc w:val="center"/>
              <w:rPr>
                <w:color w:val="000000"/>
                <w:sz w:val="23"/>
                <w:szCs w:val="23"/>
              </w:rPr>
            </w:pPr>
            <w:r w:rsidRPr="004A029F">
              <w:rPr>
                <w:color w:val="000000"/>
                <w:sz w:val="23"/>
                <w:szCs w:val="23"/>
              </w:rPr>
              <w:t>1.2%</w:t>
            </w:r>
          </w:p>
        </w:tc>
        <w:tc>
          <w:tcPr>
            <w:tcW w:w="694" w:type="dxa"/>
            <w:tcBorders>
              <w:top w:val="nil"/>
              <w:left w:val="nil"/>
              <w:bottom w:val="nil"/>
              <w:right w:val="nil"/>
            </w:tcBorders>
            <w:shd w:val="clear" w:color="000000" w:fill="FFFFFF"/>
            <w:tcMar>
              <w:left w:w="58" w:type="dxa"/>
              <w:right w:w="58" w:type="dxa"/>
            </w:tcMar>
            <w:vAlign w:val="center"/>
            <w:hideMark/>
          </w:tcPr>
          <w:p w14:paraId="3B5AFC10" w14:textId="77777777" w:rsidR="00AD6464" w:rsidRPr="004A029F" w:rsidRDefault="00AD6464" w:rsidP="000A2446">
            <w:pPr>
              <w:jc w:val="center"/>
              <w:rPr>
                <w:color w:val="000000"/>
                <w:sz w:val="23"/>
                <w:szCs w:val="23"/>
              </w:rPr>
            </w:pPr>
            <w:r w:rsidRPr="004A029F">
              <w:rPr>
                <w:color w:val="000000"/>
                <w:sz w:val="23"/>
                <w:szCs w:val="23"/>
              </w:rPr>
              <w:t>1</w:t>
            </w:r>
          </w:p>
        </w:tc>
        <w:tc>
          <w:tcPr>
            <w:tcW w:w="826" w:type="dxa"/>
            <w:tcBorders>
              <w:top w:val="nil"/>
              <w:left w:val="nil"/>
              <w:bottom w:val="nil"/>
              <w:right w:val="single" w:sz="4" w:space="0" w:color="auto"/>
            </w:tcBorders>
            <w:shd w:val="clear" w:color="000000" w:fill="FFFFFF"/>
            <w:tcMar>
              <w:left w:w="58" w:type="dxa"/>
              <w:right w:w="58" w:type="dxa"/>
            </w:tcMar>
            <w:vAlign w:val="center"/>
            <w:hideMark/>
          </w:tcPr>
          <w:p w14:paraId="2C84D325" w14:textId="77777777" w:rsidR="00AD6464" w:rsidRPr="004A029F" w:rsidRDefault="00AD6464" w:rsidP="000A2446">
            <w:pPr>
              <w:jc w:val="center"/>
              <w:rPr>
                <w:color w:val="000000"/>
                <w:sz w:val="23"/>
                <w:szCs w:val="23"/>
              </w:rPr>
            </w:pPr>
            <w:r w:rsidRPr="004A029F">
              <w:rPr>
                <w:color w:val="000000"/>
                <w:sz w:val="23"/>
                <w:szCs w:val="23"/>
              </w:rPr>
              <w:t>1.2%</w:t>
            </w:r>
          </w:p>
        </w:tc>
        <w:tc>
          <w:tcPr>
            <w:tcW w:w="704" w:type="dxa"/>
            <w:tcBorders>
              <w:top w:val="nil"/>
              <w:left w:val="nil"/>
              <w:bottom w:val="nil"/>
              <w:right w:val="nil"/>
            </w:tcBorders>
            <w:shd w:val="clear" w:color="000000" w:fill="FFFFFF"/>
            <w:tcMar>
              <w:left w:w="58" w:type="dxa"/>
              <w:right w:w="58" w:type="dxa"/>
            </w:tcMar>
            <w:vAlign w:val="center"/>
            <w:hideMark/>
          </w:tcPr>
          <w:p w14:paraId="7EA50A67" w14:textId="77777777" w:rsidR="00AD6464" w:rsidRPr="004A029F" w:rsidRDefault="00AD6464" w:rsidP="000A2446">
            <w:pPr>
              <w:jc w:val="center"/>
              <w:rPr>
                <w:color w:val="000000"/>
                <w:sz w:val="23"/>
                <w:szCs w:val="23"/>
              </w:rPr>
            </w:pPr>
            <w:r w:rsidRPr="004A029F">
              <w:rPr>
                <w:color w:val="000000"/>
                <w:sz w:val="23"/>
                <w:szCs w:val="23"/>
              </w:rPr>
              <w:t>2</w:t>
            </w:r>
          </w:p>
        </w:tc>
        <w:tc>
          <w:tcPr>
            <w:tcW w:w="828" w:type="dxa"/>
            <w:tcBorders>
              <w:top w:val="nil"/>
              <w:left w:val="nil"/>
              <w:bottom w:val="nil"/>
              <w:right w:val="single" w:sz="4" w:space="0" w:color="auto"/>
            </w:tcBorders>
            <w:shd w:val="clear" w:color="000000" w:fill="FFFFFF"/>
            <w:tcMar>
              <w:left w:w="58" w:type="dxa"/>
              <w:right w:w="58" w:type="dxa"/>
            </w:tcMar>
            <w:vAlign w:val="center"/>
            <w:hideMark/>
          </w:tcPr>
          <w:p w14:paraId="1C8D1B10" w14:textId="77777777" w:rsidR="00AD6464" w:rsidRPr="004A029F" w:rsidRDefault="00AD6464" w:rsidP="000A2446">
            <w:pPr>
              <w:jc w:val="center"/>
              <w:rPr>
                <w:color w:val="000000"/>
                <w:sz w:val="23"/>
                <w:szCs w:val="23"/>
              </w:rPr>
            </w:pPr>
            <w:r w:rsidRPr="004A029F">
              <w:rPr>
                <w:color w:val="000000"/>
                <w:sz w:val="23"/>
                <w:szCs w:val="23"/>
              </w:rPr>
              <w:t>2.3%</w:t>
            </w:r>
          </w:p>
        </w:tc>
        <w:tc>
          <w:tcPr>
            <w:tcW w:w="704" w:type="dxa"/>
            <w:tcBorders>
              <w:top w:val="nil"/>
              <w:left w:val="nil"/>
              <w:bottom w:val="nil"/>
              <w:right w:val="nil"/>
            </w:tcBorders>
            <w:shd w:val="clear" w:color="000000" w:fill="FFFFFF"/>
            <w:tcMar>
              <w:left w:w="58" w:type="dxa"/>
              <w:right w:w="58" w:type="dxa"/>
            </w:tcMar>
            <w:vAlign w:val="center"/>
            <w:hideMark/>
          </w:tcPr>
          <w:p w14:paraId="6C540236" w14:textId="77777777" w:rsidR="00AD6464" w:rsidRPr="004A029F" w:rsidRDefault="00AD6464" w:rsidP="000A2446">
            <w:pPr>
              <w:jc w:val="center"/>
              <w:rPr>
                <w:b/>
                <w:bCs/>
                <w:color w:val="000000"/>
                <w:sz w:val="23"/>
                <w:szCs w:val="23"/>
              </w:rPr>
            </w:pPr>
            <w:r w:rsidRPr="004A029F">
              <w:rPr>
                <w:b/>
                <w:bCs/>
                <w:color w:val="000000"/>
                <w:sz w:val="23"/>
                <w:szCs w:val="23"/>
              </w:rPr>
              <w:t>27</w:t>
            </w:r>
          </w:p>
        </w:tc>
        <w:tc>
          <w:tcPr>
            <w:tcW w:w="826" w:type="dxa"/>
            <w:tcBorders>
              <w:top w:val="nil"/>
              <w:left w:val="nil"/>
              <w:bottom w:val="nil"/>
              <w:right w:val="single" w:sz="4" w:space="0" w:color="auto"/>
            </w:tcBorders>
            <w:shd w:val="clear" w:color="000000" w:fill="FFFFFF"/>
            <w:tcMar>
              <w:left w:w="58" w:type="dxa"/>
              <w:right w:w="58" w:type="dxa"/>
            </w:tcMar>
            <w:vAlign w:val="center"/>
            <w:hideMark/>
          </w:tcPr>
          <w:p w14:paraId="6DE5C3CE" w14:textId="77777777" w:rsidR="00AD6464" w:rsidRPr="004A029F" w:rsidRDefault="00AD6464" w:rsidP="000A2446">
            <w:pPr>
              <w:jc w:val="center"/>
              <w:rPr>
                <w:color w:val="000000"/>
                <w:sz w:val="23"/>
                <w:szCs w:val="23"/>
              </w:rPr>
            </w:pPr>
            <w:r w:rsidRPr="004A029F">
              <w:rPr>
                <w:color w:val="000000"/>
                <w:sz w:val="23"/>
                <w:szCs w:val="23"/>
              </w:rPr>
              <w:t>31.4%</w:t>
            </w:r>
          </w:p>
        </w:tc>
        <w:tc>
          <w:tcPr>
            <w:tcW w:w="704" w:type="dxa"/>
            <w:tcBorders>
              <w:top w:val="nil"/>
              <w:left w:val="nil"/>
              <w:bottom w:val="nil"/>
              <w:right w:val="nil"/>
            </w:tcBorders>
            <w:shd w:val="clear" w:color="000000" w:fill="FFFFFF"/>
            <w:tcMar>
              <w:left w:w="58" w:type="dxa"/>
              <w:right w:w="58" w:type="dxa"/>
            </w:tcMar>
            <w:vAlign w:val="center"/>
            <w:hideMark/>
          </w:tcPr>
          <w:p w14:paraId="2295AF26" w14:textId="77777777" w:rsidR="00AD6464" w:rsidRPr="004A029F" w:rsidRDefault="00AD6464" w:rsidP="000A2446">
            <w:pPr>
              <w:jc w:val="center"/>
              <w:rPr>
                <w:color w:val="000000"/>
                <w:sz w:val="23"/>
                <w:szCs w:val="23"/>
              </w:rPr>
            </w:pPr>
            <w:r w:rsidRPr="004A029F">
              <w:rPr>
                <w:color w:val="000000"/>
                <w:sz w:val="23"/>
                <w:szCs w:val="23"/>
              </w:rPr>
              <w:t>24</w:t>
            </w:r>
          </w:p>
        </w:tc>
        <w:tc>
          <w:tcPr>
            <w:tcW w:w="828" w:type="dxa"/>
            <w:tcBorders>
              <w:top w:val="nil"/>
              <w:left w:val="nil"/>
              <w:bottom w:val="nil"/>
              <w:right w:val="single" w:sz="4" w:space="0" w:color="auto"/>
            </w:tcBorders>
            <w:shd w:val="clear" w:color="000000" w:fill="FFFFFF"/>
            <w:tcMar>
              <w:left w:w="58" w:type="dxa"/>
              <w:right w:w="58" w:type="dxa"/>
            </w:tcMar>
            <w:vAlign w:val="center"/>
            <w:hideMark/>
          </w:tcPr>
          <w:p w14:paraId="636CFB47" w14:textId="77777777" w:rsidR="00AD6464" w:rsidRPr="004A029F" w:rsidRDefault="00AD6464" w:rsidP="000A2446">
            <w:pPr>
              <w:jc w:val="center"/>
              <w:rPr>
                <w:color w:val="000000"/>
                <w:sz w:val="23"/>
                <w:szCs w:val="23"/>
              </w:rPr>
            </w:pPr>
            <w:r w:rsidRPr="004A029F">
              <w:rPr>
                <w:color w:val="000000"/>
                <w:sz w:val="23"/>
                <w:szCs w:val="23"/>
              </w:rPr>
              <w:t>27.9%</w:t>
            </w:r>
          </w:p>
        </w:tc>
        <w:tc>
          <w:tcPr>
            <w:tcW w:w="704" w:type="dxa"/>
            <w:tcBorders>
              <w:top w:val="nil"/>
              <w:left w:val="nil"/>
              <w:bottom w:val="nil"/>
              <w:right w:val="nil"/>
            </w:tcBorders>
            <w:shd w:val="clear" w:color="000000" w:fill="FFFFFF"/>
            <w:tcMar>
              <w:left w:w="58" w:type="dxa"/>
              <w:right w:w="58" w:type="dxa"/>
            </w:tcMar>
            <w:vAlign w:val="center"/>
            <w:hideMark/>
          </w:tcPr>
          <w:p w14:paraId="66F0AEA7" w14:textId="77777777" w:rsidR="00AD6464" w:rsidRPr="004A029F" w:rsidRDefault="00AD6464" w:rsidP="000A2446">
            <w:pPr>
              <w:jc w:val="center"/>
              <w:rPr>
                <w:color w:val="000000"/>
                <w:sz w:val="23"/>
                <w:szCs w:val="23"/>
              </w:rPr>
            </w:pPr>
            <w:r w:rsidRPr="004A029F">
              <w:rPr>
                <w:color w:val="000000"/>
                <w:sz w:val="23"/>
                <w:szCs w:val="23"/>
              </w:rPr>
              <w:t>31</w:t>
            </w:r>
          </w:p>
        </w:tc>
        <w:tc>
          <w:tcPr>
            <w:tcW w:w="806" w:type="dxa"/>
            <w:tcBorders>
              <w:top w:val="nil"/>
              <w:left w:val="nil"/>
              <w:bottom w:val="nil"/>
              <w:right w:val="single" w:sz="4" w:space="0" w:color="auto"/>
            </w:tcBorders>
            <w:shd w:val="clear" w:color="000000" w:fill="FFFFFF"/>
            <w:tcMar>
              <w:left w:w="58" w:type="dxa"/>
              <w:right w:w="58" w:type="dxa"/>
            </w:tcMar>
            <w:vAlign w:val="center"/>
            <w:hideMark/>
          </w:tcPr>
          <w:p w14:paraId="3A693108" w14:textId="77777777" w:rsidR="00AD6464" w:rsidRPr="004A029F" w:rsidRDefault="00AD6464" w:rsidP="000A2446">
            <w:pPr>
              <w:jc w:val="center"/>
              <w:rPr>
                <w:color w:val="000000"/>
                <w:sz w:val="23"/>
                <w:szCs w:val="23"/>
              </w:rPr>
            </w:pPr>
            <w:r w:rsidRPr="004A029F">
              <w:rPr>
                <w:color w:val="000000"/>
                <w:sz w:val="23"/>
                <w:szCs w:val="23"/>
              </w:rPr>
              <w:t>36.0%</w:t>
            </w:r>
          </w:p>
        </w:tc>
        <w:tc>
          <w:tcPr>
            <w:tcW w:w="716" w:type="dxa"/>
            <w:tcBorders>
              <w:top w:val="nil"/>
              <w:left w:val="nil"/>
              <w:bottom w:val="nil"/>
              <w:right w:val="nil"/>
            </w:tcBorders>
            <w:shd w:val="clear" w:color="000000" w:fill="FFFFFF"/>
            <w:tcMar>
              <w:left w:w="58" w:type="dxa"/>
              <w:right w:w="58" w:type="dxa"/>
            </w:tcMar>
            <w:vAlign w:val="center"/>
            <w:hideMark/>
          </w:tcPr>
          <w:p w14:paraId="708ADD1D" w14:textId="77777777" w:rsidR="00AD6464" w:rsidRPr="004A029F" w:rsidRDefault="00AD6464" w:rsidP="000A2446">
            <w:pPr>
              <w:jc w:val="center"/>
              <w:rPr>
                <w:color w:val="000000"/>
                <w:sz w:val="23"/>
                <w:szCs w:val="23"/>
              </w:rPr>
            </w:pPr>
            <w:r w:rsidRPr="004A029F">
              <w:rPr>
                <w:color w:val="000000"/>
                <w:sz w:val="23"/>
                <w:szCs w:val="23"/>
              </w:rPr>
              <w:t>86</w:t>
            </w:r>
          </w:p>
        </w:tc>
        <w:tc>
          <w:tcPr>
            <w:tcW w:w="998" w:type="dxa"/>
            <w:tcBorders>
              <w:top w:val="nil"/>
              <w:left w:val="nil"/>
              <w:bottom w:val="nil"/>
              <w:right w:val="double" w:sz="4" w:space="0" w:color="auto"/>
            </w:tcBorders>
            <w:shd w:val="clear" w:color="000000" w:fill="FFFFFF"/>
            <w:noWrap/>
            <w:tcMar>
              <w:left w:w="58" w:type="dxa"/>
              <w:right w:w="58" w:type="dxa"/>
            </w:tcMar>
            <w:vAlign w:val="center"/>
            <w:hideMark/>
          </w:tcPr>
          <w:p w14:paraId="1A51A03E" w14:textId="77777777" w:rsidR="00AD6464" w:rsidRPr="004A029F" w:rsidRDefault="00AD6464" w:rsidP="000A2446">
            <w:pPr>
              <w:jc w:val="center"/>
              <w:rPr>
                <w:color w:val="000000"/>
                <w:sz w:val="23"/>
                <w:szCs w:val="23"/>
              </w:rPr>
            </w:pPr>
            <w:r w:rsidRPr="004A029F">
              <w:rPr>
                <w:color w:val="000000"/>
                <w:sz w:val="23"/>
                <w:szCs w:val="23"/>
              </w:rPr>
              <w:t>100.0%</w:t>
            </w:r>
          </w:p>
        </w:tc>
      </w:tr>
      <w:tr w:rsidR="004A029F" w:rsidRPr="004A029F" w14:paraId="2BD8E698" w14:textId="77777777" w:rsidTr="004A029F">
        <w:trPr>
          <w:trHeight w:val="693"/>
        </w:trPr>
        <w:tc>
          <w:tcPr>
            <w:tcW w:w="2051" w:type="dxa"/>
            <w:tcBorders>
              <w:top w:val="nil"/>
              <w:left w:val="double" w:sz="4" w:space="0" w:color="auto"/>
              <w:bottom w:val="nil"/>
              <w:right w:val="single" w:sz="4" w:space="0" w:color="auto"/>
            </w:tcBorders>
            <w:shd w:val="clear" w:color="000000" w:fill="FFFFFF"/>
            <w:tcMar>
              <w:left w:w="58" w:type="dxa"/>
              <w:right w:w="58" w:type="dxa"/>
            </w:tcMar>
            <w:vAlign w:val="center"/>
            <w:hideMark/>
          </w:tcPr>
          <w:p w14:paraId="03DAAD54" w14:textId="77777777" w:rsidR="00AD6464" w:rsidRPr="004A029F" w:rsidRDefault="00AD6464" w:rsidP="00BC09CC">
            <w:pPr>
              <w:ind w:left="195" w:hanging="195"/>
              <w:rPr>
                <w:color w:val="000000"/>
                <w:sz w:val="23"/>
                <w:szCs w:val="23"/>
              </w:rPr>
            </w:pPr>
            <w:r w:rsidRPr="004A029F">
              <w:rPr>
                <w:color w:val="000000"/>
                <w:sz w:val="23"/>
                <w:szCs w:val="23"/>
              </w:rPr>
              <w:t>A Few Times/Week</w:t>
            </w:r>
          </w:p>
        </w:tc>
        <w:tc>
          <w:tcPr>
            <w:tcW w:w="720" w:type="dxa"/>
            <w:tcBorders>
              <w:top w:val="nil"/>
              <w:left w:val="nil"/>
              <w:bottom w:val="nil"/>
              <w:right w:val="nil"/>
            </w:tcBorders>
            <w:shd w:val="clear" w:color="000000" w:fill="FFFFFF"/>
            <w:tcMar>
              <w:left w:w="58" w:type="dxa"/>
              <w:right w:w="58" w:type="dxa"/>
            </w:tcMar>
            <w:vAlign w:val="center"/>
            <w:hideMark/>
          </w:tcPr>
          <w:p w14:paraId="77383220" w14:textId="77777777" w:rsidR="00AD6464" w:rsidRPr="004A029F" w:rsidRDefault="00AD6464" w:rsidP="000A2446">
            <w:pPr>
              <w:jc w:val="center"/>
              <w:rPr>
                <w:color w:val="000000"/>
                <w:sz w:val="23"/>
                <w:szCs w:val="23"/>
              </w:rPr>
            </w:pPr>
            <w:r w:rsidRPr="004A029F">
              <w:rPr>
                <w:color w:val="000000"/>
                <w:sz w:val="23"/>
                <w:szCs w:val="23"/>
              </w:rPr>
              <w:t>2</w:t>
            </w:r>
          </w:p>
        </w:tc>
        <w:tc>
          <w:tcPr>
            <w:tcW w:w="836" w:type="dxa"/>
            <w:tcBorders>
              <w:top w:val="nil"/>
              <w:left w:val="nil"/>
              <w:bottom w:val="nil"/>
              <w:right w:val="single" w:sz="4" w:space="0" w:color="auto"/>
            </w:tcBorders>
            <w:shd w:val="clear" w:color="000000" w:fill="FFFFFF"/>
            <w:tcMar>
              <w:left w:w="58" w:type="dxa"/>
              <w:right w:w="58" w:type="dxa"/>
            </w:tcMar>
            <w:vAlign w:val="center"/>
            <w:hideMark/>
          </w:tcPr>
          <w:p w14:paraId="41E7E1D2" w14:textId="77777777" w:rsidR="00AD6464" w:rsidRPr="004A029F" w:rsidRDefault="00AD6464" w:rsidP="000A2446">
            <w:pPr>
              <w:jc w:val="center"/>
              <w:rPr>
                <w:color w:val="000000"/>
                <w:sz w:val="23"/>
                <w:szCs w:val="23"/>
              </w:rPr>
            </w:pPr>
            <w:r w:rsidRPr="004A029F">
              <w:rPr>
                <w:color w:val="000000"/>
                <w:sz w:val="23"/>
                <w:szCs w:val="23"/>
              </w:rPr>
              <w:t>0.5%</w:t>
            </w:r>
          </w:p>
        </w:tc>
        <w:tc>
          <w:tcPr>
            <w:tcW w:w="694" w:type="dxa"/>
            <w:tcBorders>
              <w:top w:val="nil"/>
              <w:left w:val="nil"/>
              <w:bottom w:val="nil"/>
              <w:right w:val="nil"/>
            </w:tcBorders>
            <w:shd w:val="clear" w:color="000000" w:fill="FFFFFF"/>
            <w:tcMar>
              <w:left w:w="58" w:type="dxa"/>
              <w:right w:w="58" w:type="dxa"/>
            </w:tcMar>
            <w:vAlign w:val="center"/>
            <w:hideMark/>
          </w:tcPr>
          <w:p w14:paraId="77CF1A37" w14:textId="77777777" w:rsidR="00AD6464" w:rsidRPr="004A029F" w:rsidRDefault="00AD6464" w:rsidP="000A2446">
            <w:pPr>
              <w:jc w:val="center"/>
              <w:rPr>
                <w:color w:val="000000"/>
                <w:sz w:val="23"/>
                <w:szCs w:val="23"/>
              </w:rPr>
            </w:pPr>
            <w:r w:rsidRPr="004A029F">
              <w:rPr>
                <w:color w:val="000000"/>
                <w:sz w:val="23"/>
                <w:szCs w:val="23"/>
              </w:rPr>
              <w:t>2</w:t>
            </w:r>
          </w:p>
        </w:tc>
        <w:tc>
          <w:tcPr>
            <w:tcW w:w="826" w:type="dxa"/>
            <w:tcBorders>
              <w:top w:val="nil"/>
              <w:left w:val="nil"/>
              <w:bottom w:val="nil"/>
              <w:right w:val="single" w:sz="4" w:space="0" w:color="auto"/>
            </w:tcBorders>
            <w:shd w:val="clear" w:color="000000" w:fill="FFFFFF"/>
            <w:tcMar>
              <w:left w:w="58" w:type="dxa"/>
              <w:right w:w="58" w:type="dxa"/>
            </w:tcMar>
            <w:vAlign w:val="center"/>
            <w:hideMark/>
          </w:tcPr>
          <w:p w14:paraId="5F2DA385" w14:textId="77777777" w:rsidR="00AD6464" w:rsidRPr="004A029F" w:rsidRDefault="00AD6464" w:rsidP="000A2446">
            <w:pPr>
              <w:jc w:val="center"/>
              <w:rPr>
                <w:color w:val="000000"/>
                <w:sz w:val="23"/>
                <w:szCs w:val="23"/>
              </w:rPr>
            </w:pPr>
            <w:r w:rsidRPr="004A029F">
              <w:rPr>
                <w:color w:val="000000"/>
                <w:sz w:val="23"/>
                <w:szCs w:val="23"/>
              </w:rPr>
              <w:t>0.5%</w:t>
            </w:r>
          </w:p>
        </w:tc>
        <w:tc>
          <w:tcPr>
            <w:tcW w:w="704" w:type="dxa"/>
            <w:tcBorders>
              <w:top w:val="nil"/>
              <w:left w:val="nil"/>
              <w:bottom w:val="nil"/>
              <w:right w:val="nil"/>
            </w:tcBorders>
            <w:shd w:val="clear" w:color="000000" w:fill="FFFFFF"/>
            <w:tcMar>
              <w:left w:w="58" w:type="dxa"/>
              <w:right w:w="58" w:type="dxa"/>
            </w:tcMar>
            <w:vAlign w:val="center"/>
            <w:hideMark/>
          </w:tcPr>
          <w:p w14:paraId="74E702C0" w14:textId="77777777" w:rsidR="00AD6464" w:rsidRPr="004A029F" w:rsidRDefault="00AD6464" w:rsidP="000A2446">
            <w:pPr>
              <w:jc w:val="center"/>
              <w:rPr>
                <w:color w:val="000000"/>
                <w:sz w:val="23"/>
                <w:szCs w:val="23"/>
              </w:rPr>
            </w:pPr>
            <w:r w:rsidRPr="004A029F">
              <w:rPr>
                <w:color w:val="000000"/>
                <w:sz w:val="23"/>
                <w:szCs w:val="23"/>
              </w:rPr>
              <w:t>6</w:t>
            </w:r>
          </w:p>
        </w:tc>
        <w:tc>
          <w:tcPr>
            <w:tcW w:w="828" w:type="dxa"/>
            <w:tcBorders>
              <w:top w:val="nil"/>
              <w:left w:val="nil"/>
              <w:bottom w:val="nil"/>
              <w:right w:val="single" w:sz="4" w:space="0" w:color="auto"/>
            </w:tcBorders>
            <w:shd w:val="clear" w:color="000000" w:fill="FFFFFF"/>
            <w:tcMar>
              <w:left w:w="58" w:type="dxa"/>
              <w:right w:w="58" w:type="dxa"/>
            </w:tcMar>
            <w:vAlign w:val="center"/>
            <w:hideMark/>
          </w:tcPr>
          <w:p w14:paraId="5D616CFE" w14:textId="77777777" w:rsidR="00AD6464" w:rsidRPr="004A029F" w:rsidRDefault="00AD6464" w:rsidP="000A2446">
            <w:pPr>
              <w:jc w:val="center"/>
              <w:rPr>
                <w:color w:val="000000"/>
                <w:sz w:val="23"/>
                <w:szCs w:val="23"/>
              </w:rPr>
            </w:pPr>
            <w:r w:rsidRPr="004A029F">
              <w:rPr>
                <w:color w:val="000000"/>
                <w:sz w:val="23"/>
                <w:szCs w:val="23"/>
              </w:rPr>
              <w:t>1.6%</w:t>
            </w:r>
          </w:p>
        </w:tc>
        <w:tc>
          <w:tcPr>
            <w:tcW w:w="704" w:type="dxa"/>
            <w:tcBorders>
              <w:top w:val="nil"/>
              <w:left w:val="nil"/>
              <w:bottom w:val="nil"/>
              <w:right w:val="nil"/>
            </w:tcBorders>
            <w:shd w:val="clear" w:color="000000" w:fill="FFFFFF"/>
            <w:tcMar>
              <w:left w:w="58" w:type="dxa"/>
              <w:right w:w="58" w:type="dxa"/>
            </w:tcMar>
            <w:vAlign w:val="center"/>
            <w:hideMark/>
          </w:tcPr>
          <w:p w14:paraId="7D9F462E" w14:textId="77777777" w:rsidR="00AD6464" w:rsidRPr="004A029F" w:rsidRDefault="00AD6464" w:rsidP="000A2446">
            <w:pPr>
              <w:jc w:val="center"/>
              <w:rPr>
                <w:color w:val="000000"/>
                <w:sz w:val="23"/>
                <w:szCs w:val="23"/>
              </w:rPr>
            </w:pPr>
            <w:r w:rsidRPr="004A029F">
              <w:rPr>
                <w:color w:val="000000"/>
                <w:sz w:val="23"/>
                <w:szCs w:val="23"/>
              </w:rPr>
              <w:t>3</w:t>
            </w:r>
          </w:p>
        </w:tc>
        <w:tc>
          <w:tcPr>
            <w:tcW w:w="826" w:type="dxa"/>
            <w:tcBorders>
              <w:top w:val="nil"/>
              <w:left w:val="nil"/>
              <w:bottom w:val="nil"/>
              <w:right w:val="single" w:sz="4" w:space="0" w:color="auto"/>
            </w:tcBorders>
            <w:shd w:val="clear" w:color="000000" w:fill="FFFFFF"/>
            <w:tcMar>
              <w:left w:w="58" w:type="dxa"/>
              <w:right w:w="58" w:type="dxa"/>
            </w:tcMar>
            <w:vAlign w:val="center"/>
            <w:hideMark/>
          </w:tcPr>
          <w:p w14:paraId="625440DB" w14:textId="77777777" w:rsidR="00AD6464" w:rsidRPr="004A029F" w:rsidRDefault="00AD6464" w:rsidP="000A2446">
            <w:pPr>
              <w:jc w:val="center"/>
              <w:rPr>
                <w:color w:val="000000"/>
                <w:sz w:val="23"/>
                <w:szCs w:val="23"/>
              </w:rPr>
            </w:pPr>
            <w:r w:rsidRPr="004A029F">
              <w:rPr>
                <w:color w:val="000000"/>
                <w:sz w:val="23"/>
                <w:szCs w:val="23"/>
              </w:rPr>
              <w:t>0.8%</w:t>
            </w:r>
          </w:p>
        </w:tc>
        <w:tc>
          <w:tcPr>
            <w:tcW w:w="704" w:type="dxa"/>
            <w:tcBorders>
              <w:top w:val="nil"/>
              <w:left w:val="nil"/>
              <w:bottom w:val="nil"/>
              <w:right w:val="nil"/>
            </w:tcBorders>
            <w:shd w:val="clear" w:color="000000" w:fill="FFFFFF"/>
            <w:tcMar>
              <w:left w:w="58" w:type="dxa"/>
              <w:right w:w="58" w:type="dxa"/>
            </w:tcMar>
            <w:vAlign w:val="center"/>
            <w:hideMark/>
          </w:tcPr>
          <w:p w14:paraId="5548EBFF" w14:textId="77777777" w:rsidR="00AD6464" w:rsidRPr="004A029F" w:rsidRDefault="00AD6464" w:rsidP="000A2446">
            <w:pPr>
              <w:jc w:val="center"/>
              <w:rPr>
                <w:b/>
                <w:bCs/>
                <w:color w:val="000000"/>
                <w:sz w:val="23"/>
                <w:szCs w:val="23"/>
              </w:rPr>
            </w:pPr>
            <w:r w:rsidRPr="004A029F">
              <w:rPr>
                <w:b/>
                <w:bCs/>
                <w:color w:val="000000"/>
                <w:sz w:val="23"/>
                <w:szCs w:val="23"/>
              </w:rPr>
              <w:t>163</w:t>
            </w:r>
          </w:p>
        </w:tc>
        <w:tc>
          <w:tcPr>
            <w:tcW w:w="828" w:type="dxa"/>
            <w:tcBorders>
              <w:top w:val="nil"/>
              <w:left w:val="nil"/>
              <w:bottom w:val="nil"/>
              <w:right w:val="single" w:sz="4" w:space="0" w:color="auto"/>
            </w:tcBorders>
            <w:shd w:val="clear" w:color="000000" w:fill="FFFFFF"/>
            <w:tcMar>
              <w:left w:w="58" w:type="dxa"/>
              <w:right w:w="58" w:type="dxa"/>
            </w:tcMar>
            <w:vAlign w:val="center"/>
            <w:hideMark/>
          </w:tcPr>
          <w:p w14:paraId="699278B1" w14:textId="77777777" w:rsidR="00AD6464" w:rsidRPr="004A029F" w:rsidRDefault="00AD6464" w:rsidP="000A2446">
            <w:pPr>
              <w:jc w:val="center"/>
              <w:rPr>
                <w:color w:val="000000"/>
                <w:sz w:val="23"/>
                <w:szCs w:val="23"/>
              </w:rPr>
            </w:pPr>
            <w:r w:rsidRPr="004A029F">
              <w:rPr>
                <w:color w:val="000000"/>
                <w:sz w:val="23"/>
                <w:szCs w:val="23"/>
              </w:rPr>
              <w:t>44.2%</w:t>
            </w:r>
          </w:p>
        </w:tc>
        <w:tc>
          <w:tcPr>
            <w:tcW w:w="704" w:type="dxa"/>
            <w:tcBorders>
              <w:top w:val="nil"/>
              <w:left w:val="nil"/>
              <w:bottom w:val="nil"/>
              <w:right w:val="nil"/>
            </w:tcBorders>
            <w:shd w:val="clear" w:color="000000" w:fill="FFFFFF"/>
            <w:tcMar>
              <w:left w:w="58" w:type="dxa"/>
              <w:right w:w="58" w:type="dxa"/>
            </w:tcMar>
            <w:vAlign w:val="center"/>
            <w:hideMark/>
          </w:tcPr>
          <w:p w14:paraId="332CFD16" w14:textId="77777777" w:rsidR="00AD6464" w:rsidRPr="004A029F" w:rsidRDefault="00AD6464" w:rsidP="000A2446">
            <w:pPr>
              <w:jc w:val="center"/>
              <w:rPr>
                <w:color w:val="000000"/>
                <w:sz w:val="23"/>
                <w:szCs w:val="23"/>
              </w:rPr>
            </w:pPr>
            <w:r w:rsidRPr="004A029F">
              <w:rPr>
                <w:color w:val="000000"/>
                <w:sz w:val="23"/>
                <w:szCs w:val="23"/>
              </w:rPr>
              <w:t>193</w:t>
            </w:r>
          </w:p>
        </w:tc>
        <w:tc>
          <w:tcPr>
            <w:tcW w:w="806" w:type="dxa"/>
            <w:tcBorders>
              <w:top w:val="nil"/>
              <w:left w:val="nil"/>
              <w:bottom w:val="nil"/>
              <w:right w:val="single" w:sz="4" w:space="0" w:color="auto"/>
            </w:tcBorders>
            <w:shd w:val="clear" w:color="000000" w:fill="FFFFFF"/>
            <w:tcMar>
              <w:left w:w="58" w:type="dxa"/>
              <w:right w:w="58" w:type="dxa"/>
            </w:tcMar>
            <w:vAlign w:val="center"/>
            <w:hideMark/>
          </w:tcPr>
          <w:p w14:paraId="5FF60636" w14:textId="77777777" w:rsidR="00AD6464" w:rsidRPr="004A029F" w:rsidRDefault="00AD6464" w:rsidP="000A2446">
            <w:pPr>
              <w:jc w:val="center"/>
              <w:rPr>
                <w:color w:val="000000"/>
                <w:sz w:val="23"/>
                <w:szCs w:val="23"/>
              </w:rPr>
            </w:pPr>
            <w:r w:rsidRPr="004A029F">
              <w:rPr>
                <w:color w:val="000000"/>
                <w:sz w:val="23"/>
                <w:szCs w:val="23"/>
              </w:rPr>
              <w:t>52.3%</w:t>
            </w:r>
          </w:p>
        </w:tc>
        <w:tc>
          <w:tcPr>
            <w:tcW w:w="716" w:type="dxa"/>
            <w:tcBorders>
              <w:top w:val="nil"/>
              <w:left w:val="nil"/>
              <w:bottom w:val="nil"/>
              <w:right w:val="nil"/>
            </w:tcBorders>
            <w:shd w:val="clear" w:color="000000" w:fill="FFFFFF"/>
            <w:tcMar>
              <w:left w:w="58" w:type="dxa"/>
              <w:right w:w="58" w:type="dxa"/>
            </w:tcMar>
            <w:vAlign w:val="center"/>
            <w:hideMark/>
          </w:tcPr>
          <w:p w14:paraId="7C5941EB" w14:textId="77777777" w:rsidR="00AD6464" w:rsidRPr="004A029F" w:rsidRDefault="00AD6464" w:rsidP="000A2446">
            <w:pPr>
              <w:jc w:val="center"/>
              <w:rPr>
                <w:color w:val="000000"/>
                <w:sz w:val="23"/>
                <w:szCs w:val="23"/>
              </w:rPr>
            </w:pPr>
            <w:r w:rsidRPr="004A029F">
              <w:rPr>
                <w:color w:val="000000"/>
                <w:sz w:val="23"/>
                <w:szCs w:val="23"/>
              </w:rPr>
              <w:t>369</w:t>
            </w:r>
          </w:p>
        </w:tc>
        <w:tc>
          <w:tcPr>
            <w:tcW w:w="998" w:type="dxa"/>
            <w:tcBorders>
              <w:top w:val="nil"/>
              <w:left w:val="nil"/>
              <w:bottom w:val="nil"/>
              <w:right w:val="double" w:sz="4" w:space="0" w:color="auto"/>
            </w:tcBorders>
            <w:shd w:val="clear" w:color="000000" w:fill="FFFFFF"/>
            <w:noWrap/>
            <w:tcMar>
              <w:left w:w="58" w:type="dxa"/>
              <w:right w:w="58" w:type="dxa"/>
            </w:tcMar>
            <w:vAlign w:val="center"/>
            <w:hideMark/>
          </w:tcPr>
          <w:p w14:paraId="0742E1B1" w14:textId="77777777" w:rsidR="00AD6464" w:rsidRPr="004A029F" w:rsidRDefault="00AD6464" w:rsidP="000A2446">
            <w:pPr>
              <w:jc w:val="center"/>
              <w:rPr>
                <w:color w:val="000000"/>
                <w:sz w:val="23"/>
                <w:szCs w:val="23"/>
              </w:rPr>
            </w:pPr>
            <w:r w:rsidRPr="004A029F">
              <w:rPr>
                <w:color w:val="000000"/>
                <w:sz w:val="23"/>
                <w:szCs w:val="23"/>
              </w:rPr>
              <w:t>100.0%</w:t>
            </w:r>
          </w:p>
        </w:tc>
      </w:tr>
      <w:tr w:rsidR="004A029F" w:rsidRPr="004A029F" w14:paraId="33EBA648" w14:textId="77777777" w:rsidTr="004A029F">
        <w:trPr>
          <w:trHeight w:val="345"/>
        </w:trPr>
        <w:tc>
          <w:tcPr>
            <w:tcW w:w="2051" w:type="dxa"/>
            <w:tcBorders>
              <w:top w:val="nil"/>
              <w:left w:val="double" w:sz="4" w:space="0" w:color="auto"/>
              <w:bottom w:val="single" w:sz="4" w:space="0" w:color="auto"/>
              <w:right w:val="single" w:sz="4" w:space="0" w:color="auto"/>
            </w:tcBorders>
            <w:shd w:val="clear" w:color="000000" w:fill="FFFFFF"/>
            <w:tcMar>
              <w:left w:w="58" w:type="dxa"/>
              <w:right w:w="58" w:type="dxa"/>
            </w:tcMar>
            <w:vAlign w:val="center"/>
            <w:hideMark/>
          </w:tcPr>
          <w:p w14:paraId="3B131DE6" w14:textId="77777777" w:rsidR="00AD6464" w:rsidRPr="004A029F" w:rsidRDefault="00AD6464" w:rsidP="00BC09CC">
            <w:pPr>
              <w:ind w:left="195" w:hanging="195"/>
              <w:rPr>
                <w:color w:val="000000"/>
                <w:sz w:val="23"/>
                <w:szCs w:val="23"/>
              </w:rPr>
            </w:pPr>
            <w:r w:rsidRPr="004A029F">
              <w:rPr>
                <w:color w:val="000000"/>
                <w:sz w:val="23"/>
                <w:szCs w:val="23"/>
              </w:rPr>
              <w:t>Every Day</w:t>
            </w:r>
          </w:p>
        </w:tc>
        <w:tc>
          <w:tcPr>
            <w:tcW w:w="720" w:type="dxa"/>
            <w:tcBorders>
              <w:top w:val="nil"/>
              <w:left w:val="nil"/>
              <w:bottom w:val="single" w:sz="4" w:space="0" w:color="auto"/>
              <w:right w:val="nil"/>
            </w:tcBorders>
            <w:shd w:val="clear" w:color="000000" w:fill="FFFFFF"/>
            <w:tcMar>
              <w:left w:w="58" w:type="dxa"/>
              <w:right w:w="58" w:type="dxa"/>
            </w:tcMar>
            <w:vAlign w:val="center"/>
            <w:hideMark/>
          </w:tcPr>
          <w:p w14:paraId="676EE1BC" w14:textId="77777777" w:rsidR="00AD6464" w:rsidRPr="004A029F" w:rsidRDefault="00AD6464" w:rsidP="000A2446">
            <w:pPr>
              <w:jc w:val="center"/>
              <w:rPr>
                <w:color w:val="000000"/>
                <w:sz w:val="23"/>
                <w:szCs w:val="23"/>
              </w:rPr>
            </w:pPr>
            <w:r w:rsidRPr="004A029F">
              <w:rPr>
                <w:color w:val="000000"/>
                <w:sz w:val="23"/>
                <w:szCs w:val="23"/>
              </w:rPr>
              <w:t>0</w:t>
            </w:r>
          </w:p>
        </w:tc>
        <w:tc>
          <w:tcPr>
            <w:tcW w:w="836" w:type="dxa"/>
            <w:tcBorders>
              <w:top w:val="nil"/>
              <w:left w:val="nil"/>
              <w:bottom w:val="single" w:sz="4" w:space="0" w:color="auto"/>
              <w:right w:val="single" w:sz="4" w:space="0" w:color="auto"/>
            </w:tcBorders>
            <w:shd w:val="clear" w:color="000000" w:fill="FFFFFF"/>
            <w:tcMar>
              <w:left w:w="58" w:type="dxa"/>
              <w:right w:w="58" w:type="dxa"/>
            </w:tcMar>
            <w:vAlign w:val="center"/>
            <w:hideMark/>
          </w:tcPr>
          <w:p w14:paraId="23D6D9B1" w14:textId="77777777" w:rsidR="00AD6464" w:rsidRPr="004A029F" w:rsidRDefault="00AD6464" w:rsidP="000A2446">
            <w:pPr>
              <w:jc w:val="center"/>
              <w:rPr>
                <w:color w:val="000000"/>
                <w:sz w:val="23"/>
                <w:szCs w:val="23"/>
              </w:rPr>
            </w:pPr>
            <w:r w:rsidRPr="004A029F">
              <w:rPr>
                <w:color w:val="000000"/>
                <w:sz w:val="23"/>
                <w:szCs w:val="23"/>
              </w:rPr>
              <w:t>0.0%</w:t>
            </w:r>
          </w:p>
        </w:tc>
        <w:tc>
          <w:tcPr>
            <w:tcW w:w="694" w:type="dxa"/>
            <w:tcBorders>
              <w:top w:val="nil"/>
              <w:left w:val="nil"/>
              <w:bottom w:val="single" w:sz="4" w:space="0" w:color="auto"/>
              <w:right w:val="nil"/>
            </w:tcBorders>
            <w:shd w:val="clear" w:color="000000" w:fill="FFFFFF"/>
            <w:tcMar>
              <w:left w:w="58" w:type="dxa"/>
              <w:right w:w="58" w:type="dxa"/>
            </w:tcMar>
            <w:vAlign w:val="center"/>
            <w:hideMark/>
          </w:tcPr>
          <w:p w14:paraId="046A2077" w14:textId="77777777" w:rsidR="00AD6464" w:rsidRPr="004A029F" w:rsidRDefault="00AD6464" w:rsidP="000A2446">
            <w:pPr>
              <w:jc w:val="center"/>
              <w:rPr>
                <w:color w:val="000000"/>
                <w:sz w:val="23"/>
                <w:szCs w:val="23"/>
              </w:rPr>
            </w:pPr>
            <w:r w:rsidRPr="004A029F">
              <w:rPr>
                <w:color w:val="000000"/>
                <w:sz w:val="23"/>
                <w:szCs w:val="23"/>
              </w:rPr>
              <w:t>1</w:t>
            </w:r>
          </w:p>
        </w:tc>
        <w:tc>
          <w:tcPr>
            <w:tcW w:w="826" w:type="dxa"/>
            <w:tcBorders>
              <w:top w:val="nil"/>
              <w:left w:val="nil"/>
              <w:bottom w:val="single" w:sz="4" w:space="0" w:color="auto"/>
              <w:right w:val="single" w:sz="4" w:space="0" w:color="auto"/>
            </w:tcBorders>
            <w:shd w:val="clear" w:color="000000" w:fill="FFFFFF"/>
            <w:tcMar>
              <w:left w:w="58" w:type="dxa"/>
              <w:right w:w="58" w:type="dxa"/>
            </w:tcMar>
            <w:vAlign w:val="center"/>
            <w:hideMark/>
          </w:tcPr>
          <w:p w14:paraId="766C1B71" w14:textId="77777777" w:rsidR="00AD6464" w:rsidRPr="004A029F" w:rsidRDefault="00AD6464" w:rsidP="000A2446">
            <w:pPr>
              <w:jc w:val="center"/>
              <w:rPr>
                <w:color w:val="000000"/>
                <w:sz w:val="23"/>
                <w:szCs w:val="23"/>
              </w:rPr>
            </w:pPr>
            <w:r w:rsidRPr="004A029F">
              <w:rPr>
                <w:color w:val="000000"/>
                <w:sz w:val="23"/>
                <w:szCs w:val="23"/>
              </w:rPr>
              <w:t>0.3%</w:t>
            </w:r>
          </w:p>
        </w:tc>
        <w:tc>
          <w:tcPr>
            <w:tcW w:w="704" w:type="dxa"/>
            <w:tcBorders>
              <w:top w:val="nil"/>
              <w:left w:val="nil"/>
              <w:bottom w:val="single" w:sz="4" w:space="0" w:color="auto"/>
              <w:right w:val="nil"/>
            </w:tcBorders>
            <w:shd w:val="clear" w:color="000000" w:fill="FFFFFF"/>
            <w:tcMar>
              <w:left w:w="58" w:type="dxa"/>
              <w:right w:w="58" w:type="dxa"/>
            </w:tcMar>
            <w:vAlign w:val="center"/>
            <w:hideMark/>
          </w:tcPr>
          <w:p w14:paraId="2C65B051" w14:textId="77777777" w:rsidR="00AD6464" w:rsidRPr="004A029F" w:rsidRDefault="00AD6464" w:rsidP="000A2446">
            <w:pPr>
              <w:jc w:val="center"/>
              <w:rPr>
                <w:color w:val="000000"/>
                <w:sz w:val="23"/>
                <w:szCs w:val="23"/>
              </w:rPr>
            </w:pPr>
            <w:r w:rsidRPr="004A029F">
              <w:rPr>
                <w:color w:val="000000"/>
                <w:sz w:val="23"/>
                <w:szCs w:val="23"/>
              </w:rPr>
              <w:t>2</w:t>
            </w:r>
          </w:p>
        </w:tc>
        <w:tc>
          <w:tcPr>
            <w:tcW w:w="828" w:type="dxa"/>
            <w:tcBorders>
              <w:top w:val="nil"/>
              <w:left w:val="nil"/>
              <w:bottom w:val="single" w:sz="4" w:space="0" w:color="auto"/>
              <w:right w:val="single" w:sz="4" w:space="0" w:color="auto"/>
            </w:tcBorders>
            <w:shd w:val="clear" w:color="000000" w:fill="FFFFFF"/>
            <w:tcMar>
              <w:left w:w="58" w:type="dxa"/>
              <w:right w:w="58" w:type="dxa"/>
            </w:tcMar>
            <w:vAlign w:val="center"/>
            <w:hideMark/>
          </w:tcPr>
          <w:p w14:paraId="5429ED6A" w14:textId="77777777" w:rsidR="00AD6464" w:rsidRPr="004A029F" w:rsidRDefault="00AD6464" w:rsidP="000A2446">
            <w:pPr>
              <w:jc w:val="center"/>
              <w:rPr>
                <w:color w:val="000000"/>
                <w:sz w:val="23"/>
                <w:szCs w:val="23"/>
              </w:rPr>
            </w:pPr>
            <w:r w:rsidRPr="004A029F">
              <w:rPr>
                <w:color w:val="000000"/>
                <w:sz w:val="23"/>
                <w:szCs w:val="23"/>
              </w:rPr>
              <w:t>0.7%</w:t>
            </w:r>
          </w:p>
        </w:tc>
        <w:tc>
          <w:tcPr>
            <w:tcW w:w="704" w:type="dxa"/>
            <w:tcBorders>
              <w:top w:val="nil"/>
              <w:left w:val="nil"/>
              <w:bottom w:val="single" w:sz="4" w:space="0" w:color="auto"/>
              <w:right w:val="nil"/>
            </w:tcBorders>
            <w:shd w:val="clear" w:color="000000" w:fill="FFFFFF"/>
            <w:tcMar>
              <w:left w:w="58" w:type="dxa"/>
              <w:right w:w="58" w:type="dxa"/>
            </w:tcMar>
            <w:vAlign w:val="center"/>
            <w:hideMark/>
          </w:tcPr>
          <w:p w14:paraId="6785DB1D" w14:textId="77777777" w:rsidR="00AD6464" w:rsidRPr="004A029F" w:rsidRDefault="00AD6464" w:rsidP="000A2446">
            <w:pPr>
              <w:jc w:val="center"/>
              <w:rPr>
                <w:color w:val="000000"/>
                <w:sz w:val="23"/>
                <w:szCs w:val="23"/>
              </w:rPr>
            </w:pPr>
            <w:r w:rsidRPr="004A029F">
              <w:rPr>
                <w:color w:val="000000"/>
                <w:sz w:val="23"/>
                <w:szCs w:val="23"/>
              </w:rPr>
              <w:t>1</w:t>
            </w:r>
          </w:p>
        </w:tc>
        <w:tc>
          <w:tcPr>
            <w:tcW w:w="826" w:type="dxa"/>
            <w:tcBorders>
              <w:top w:val="nil"/>
              <w:left w:val="nil"/>
              <w:bottom w:val="single" w:sz="4" w:space="0" w:color="auto"/>
              <w:right w:val="single" w:sz="4" w:space="0" w:color="auto"/>
            </w:tcBorders>
            <w:shd w:val="clear" w:color="000000" w:fill="FFFFFF"/>
            <w:tcMar>
              <w:left w:w="58" w:type="dxa"/>
              <w:right w:w="58" w:type="dxa"/>
            </w:tcMar>
            <w:vAlign w:val="center"/>
            <w:hideMark/>
          </w:tcPr>
          <w:p w14:paraId="1533DF0C" w14:textId="77777777" w:rsidR="00AD6464" w:rsidRPr="004A029F" w:rsidRDefault="00AD6464" w:rsidP="000A2446">
            <w:pPr>
              <w:jc w:val="center"/>
              <w:rPr>
                <w:color w:val="000000"/>
                <w:sz w:val="23"/>
                <w:szCs w:val="23"/>
              </w:rPr>
            </w:pPr>
            <w:r w:rsidRPr="004A029F">
              <w:rPr>
                <w:color w:val="000000"/>
                <w:sz w:val="23"/>
                <w:szCs w:val="23"/>
              </w:rPr>
              <w:t>0.3%</w:t>
            </w:r>
          </w:p>
        </w:tc>
        <w:tc>
          <w:tcPr>
            <w:tcW w:w="704" w:type="dxa"/>
            <w:tcBorders>
              <w:top w:val="nil"/>
              <w:left w:val="nil"/>
              <w:bottom w:val="single" w:sz="4" w:space="0" w:color="auto"/>
              <w:right w:val="nil"/>
            </w:tcBorders>
            <w:shd w:val="clear" w:color="000000" w:fill="FFFFFF"/>
            <w:tcMar>
              <w:left w:w="58" w:type="dxa"/>
              <w:right w:w="58" w:type="dxa"/>
            </w:tcMar>
            <w:vAlign w:val="center"/>
            <w:hideMark/>
          </w:tcPr>
          <w:p w14:paraId="02009E57" w14:textId="77777777" w:rsidR="00AD6464" w:rsidRPr="004A029F" w:rsidRDefault="00AD6464" w:rsidP="000A2446">
            <w:pPr>
              <w:jc w:val="center"/>
              <w:rPr>
                <w:color w:val="000000"/>
                <w:sz w:val="23"/>
                <w:szCs w:val="23"/>
              </w:rPr>
            </w:pPr>
            <w:r w:rsidRPr="004A029F">
              <w:rPr>
                <w:color w:val="000000"/>
                <w:sz w:val="23"/>
                <w:szCs w:val="23"/>
              </w:rPr>
              <w:t>18</w:t>
            </w:r>
          </w:p>
        </w:tc>
        <w:tc>
          <w:tcPr>
            <w:tcW w:w="828" w:type="dxa"/>
            <w:tcBorders>
              <w:top w:val="nil"/>
              <w:left w:val="nil"/>
              <w:bottom w:val="single" w:sz="4" w:space="0" w:color="auto"/>
              <w:right w:val="single" w:sz="4" w:space="0" w:color="auto"/>
            </w:tcBorders>
            <w:shd w:val="clear" w:color="000000" w:fill="FFFFFF"/>
            <w:tcMar>
              <w:left w:w="58" w:type="dxa"/>
              <w:right w:w="58" w:type="dxa"/>
            </w:tcMar>
            <w:vAlign w:val="center"/>
            <w:hideMark/>
          </w:tcPr>
          <w:p w14:paraId="6CC70DF3" w14:textId="77777777" w:rsidR="00AD6464" w:rsidRPr="004A029F" w:rsidRDefault="00AD6464" w:rsidP="000A2446">
            <w:pPr>
              <w:jc w:val="center"/>
              <w:rPr>
                <w:color w:val="000000"/>
                <w:sz w:val="23"/>
                <w:szCs w:val="23"/>
              </w:rPr>
            </w:pPr>
            <w:r w:rsidRPr="004A029F">
              <w:rPr>
                <w:color w:val="000000"/>
                <w:sz w:val="23"/>
                <w:szCs w:val="23"/>
              </w:rPr>
              <w:t>6.1%</w:t>
            </w:r>
          </w:p>
        </w:tc>
        <w:tc>
          <w:tcPr>
            <w:tcW w:w="704" w:type="dxa"/>
            <w:tcBorders>
              <w:top w:val="nil"/>
              <w:left w:val="nil"/>
              <w:bottom w:val="single" w:sz="4" w:space="0" w:color="auto"/>
              <w:right w:val="nil"/>
            </w:tcBorders>
            <w:shd w:val="clear" w:color="000000" w:fill="FFFFFF"/>
            <w:tcMar>
              <w:left w:w="58" w:type="dxa"/>
              <w:right w:w="58" w:type="dxa"/>
            </w:tcMar>
            <w:vAlign w:val="center"/>
            <w:hideMark/>
          </w:tcPr>
          <w:p w14:paraId="2B6F12C6" w14:textId="77777777" w:rsidR="00AD6464" w:rsidRPr="004A029F" w:rsidRDefault="00AD6464" w:rsidP="000A2446">
            <w:pPr>
              <w:jc w:val="center"/>
              <w:rPr>
                <w:b/>
                <w:bCs/>
                <w:color w:val="000000"/>
                <w:sz w:val="23"/>
                <w:szCs w:val="23"/>
              </w:rPr>
            </w:pPr>
            <w:r w:rsidRPr="004A029F">
              <w:rPr>
                <w:b/>
                <w:bCs/>
                <w:color w:val="000000"/>
                <w:sz w:val="23"/>
                <w:szCs w:val="23"/>
              </w:rPr>
              <w:t>275</w:t>
            </w:r>
          </w:p>
        </w:tc>
        <w:tc>
          <w:tcPr>
            <w:tcW w:w="806" w:type="dxa"/>
            <w:tcBorders>
              <w:top w:val="nil"/>
              <w:left w:val="nil"/>
              <w:bottom w:val="single" w:sz="4" w:space="0" w:color="auto"/>
              <w:right w:val="single" w:sz="4" w:space="0" w:color="auto"/>
            </w:tcBorders>
            <w:shd w:val="clear" w:color="000000" w:fill="FFFFFF"/>
            <w:tcMar>
              <w:left w:w="58" w:type="dxa"/>
              <w:right w:w="58" w:type="dxa"/>
            </w:tcMar>
            <w:vAlign w:val="center"/>
            <w:hideMark/>
          </w:tcPr>
          <w:p w14:paraId="5F300B45" w14:textId="77777777" w:rsidR="00AD6464" w:rsidRPr="004A029F" w:rsidRDefault="00AD6464" w:rsidP="000A2446">
            <w:pPr>
              <w:jc w:val="center"/>
              <w:rPr>
                <w:color w:val="000000"/>
                <w:sz w:val="23"/>
                <w:szCs w:val="23"/>
              </w:rPr>
            </w:pPr>
            <w:r w:rsidRPr="004A029F">
              <w:rPr>
                <w:color w:val="000000"/>
                <w:sz w:val="23"/>
                <w:szCs w:val="23"/>
              </w:rPr>
              <w:t>92.6%</w:t>
            </w:r>
          </w:p>
        </w:tc>
        <w:tc>
          <w:tcPr>
            <w:tcW w:w="716" w:type="dxa"/>
            <w:tcBorders>
              <w:top w:val="nil"/>
              <w:left w:val="nil"/>
              <w:bottom w:val="single" w:sz="4" w:space="0" w:color="auto"/>
              <w:right w:val="nil"/>
            </w:tcBorders>
            <w:shd w:val="clear" w:color="000000" w:fill="FFFFFF"/>
            <w:tcMar>
              <w:left w:w="58" w:type="dxa"/>
              <w:right w:w="58" w:type="dxa"/>
            </w:tcMar>
            <w:vAlign w:val="center"/>
            <w:hideMark/>
          </w:tcPr>
          <w:p w14:paraId="512D51FF" w14:textId="77777777" w:rsidR="00AD6464" w:rsidRPr="004A029F" w:rsidRDefault="00AD6464" w:rsidP="000A2446">
            <w:pPr>
              <w:jc w:val="center"/>
              <w:rPr>
                <w:color w:val="000000"/>
                <w:sz w:val="23"/>
                <w:szCs w:val="23"/>
              </w:rPr>
            </w:pPr>
            <w:r w:rsidRPr="004A029F">
              <w:rPr>
                <w:color w:val="000000"/>
                <w:sz w:val="23"/>
                <w:szCs w:val="23"/>
              </w:rPr>
              <w:t>297</w:t>
            </w:r>
          </w:p>
        </w:tc>
        <w:tc>
          <w:tcPr>
            <w:tcW w:w="998" w:type="dxa"/>
            <w:tcBorders>
              <w:top w:val="nil"/>
              <w:left w:val="nil"/>
              <w:bottom w:val="single" w:sz="4" w:space="0" w:color="auto"/>
              <w:right w:val="double" w:sz="4" w:space="0" w:color="auto"/>
            </w:tcBorders>
            <w:shd w:val="clear" w:color="000000" w:fill="FFFFFF"/>
            <w:noWrap/>
            <w:tcMar>
              <w:left w:w="58" w:type="dxa"/>
              <w:right w:w="58" w:type="dxa"/>
            </w:tcMar>
            <w:vAlign w:val="center"/>
            <w:hideMark/>
          </w:tcPr>
          <w:p w14:paraId="52AF8E1C" w14:textId="77777777" w:rsidR="00AD6464" w:rsidRPr="004A029F" w:rsidRDefault="00AD6464" w:rsidP="000A2446">
            <w:pPr>
              <w:jc w:val="center"/>
              <w:rPr>
                <w:color w:val="000000"/>
                <w:sz w:val="23"/>
                <w:szCs w:val="23"/>
              </w:rPr>
            </w:pPr>
            <w:r w:rsidRPr="004A029F">
              <w:rPr>
                <w:color w:val="000000"/>
                <w:sz w:val="23"/>
                <w:szCs w:val="23"/>
              </w:rPr>
              <w:t>100.0%</w:t>
            </w:r>
          </w:p>
        </w:tc>
      </w:tr>
      <w:tr w:rsidR="004A029F" w:rsidRPr="004A029F" w14:paraId="4D8F6627" w14:textId="77777777" w:rsidTr="004A029F">
        <w:trPr>
          <w:trHeight w:val="345"/>
        </w:trPr>
        <w:tc>
          <w:tcPr>
            <w:tcW w:w="2051" w:type="dxa"/>
            <w:tcBorders>
              <w:top w:val="single" w:sz="4" w:space="0" w:color="auto"/>
              <w:left w:val="double" w:sz="4" w:space="0" w:color="auto"/>
              <w:bottom w:val="double" w:sz="4" w:space="0" w:color="auto"/>
              <w:right w:val="single" w:sz="4" w:space="0" w:color="auto"/>
            </w:tcBorders>
            <w:shd w:val="clear" w:color="000000" w:fill="FFFFFF"/>
            <w:tcMar>
              <w:left w:w="58" w:type="dxa"/>
              <w:right w:w="58" w:type="dxa"/>
            </w:tcMar>
            <w:vAlign w:val="center"/>
            <w:hideMark/>
          </w:tcPr>
          <w:p w14:paraId="7256F763" w14:textId="73CA228E" w:rsidR="00AD6464" w:rsidRPr="004A029F" w:rsidRDefault="00AD6464" w:rsidP="000A2446">
            <w:pPr>
              <w:jc w:val="center"/>
              <w:rPr>
                <w:b/>
                <w:bCs/>
                <w:color w:val="000000"/>
                <w:sz w:val="23"/>
                <w:szCs w:val="23"/>
              </w:rPr>
            </w:pPr>
            <w:r w:rsidRPr="004A029F">
              <w:rPr>
                <w:b/>
                <w:bCs/>
                <w:color w:val="000000"/>
                <w:sz w:val="23"/>
                <w:szCs w:val="23"/>
              </w:rPr>
              <w:t xml:space="preserve">ITF </w:t>
            </w:r>
            <w:r w:rsidR="00975BF9" w:rsidRPr="004A029F">
              <w:rPr>
                <w:b/>
                <w:bCs/>
                <w:color w:val="000000"/>
                <w:sz w:val="23"/>
                <w:szCs w:val="23"/>
              </w:rPr>
              <w:t>M</w:t>
            </w:r>
            <w:r w:rsidRPr="004A029F">
              <w:rPr>
                <w:b/>
                <w:bCs/>
                <w:color w:val="000000"/>
                <w:sz w:val="23"/>
                <w:szCs w:val="23"/>
              </w:rPr>
              <w:t>arginal</w:t>
            </w:r>
          </w:p>
        </w:tc>
        <w:tc>
          <w:tcPr>
            <w:tcW w:w="720" w:type="dxa"/>
            <w:tcBorders>
              <w:top w:val="single" w:sz="4" w:space="0" w:color="auto"/>
              <w:left w:val="nil"/>
              <w:bottom w:val="double" w:sz="4" w:space="0" w:color="auto"/>
              <w:right w:val="nil"/>
            </w:tcBorders>
            <w:shd w:val="clear" w:color="000000" w:fill="FFFFFF"/>
            <w:tcMar>
              <w:left w:w="58" w:type="dxa"/>
              <w:right w:w="58" w:type="dxa"/>
            </w:tcMar>
            <w:vAlign w:val="center"/>
            <w:hideMark/>
          </w:tcPr>
          <w:p w14:paraId="0D5D8C00" w14:textId="77777777" w:rsidR="00AD6464" w:rsidRPr="004A029F" w:rsidRDefault="00AD6464" w:rsidP="000A2446">
            <w:pPr>
              <w:jc w:val="center"/>
              <w:rPr>
                <w:color w:val="000000"/>
                <w:sz w:val="23"/>
                <w:szCs w:val="23"/>
              </w:rPr>
            </w:pPr>
            <w:r w:rsidRPr="004A029F">
              <w:rPr>
                <w:color w:val="000000"/>
                <w:sz w:val="23"/>
                <w:szCs w:val="23"/>
              </w:rPr>
              <w:t>58</w:t>
            </w:r>
          </w:p>
        </w:tc>
        <w:tc>
          <w:tcPr>
            <w:tcW w:w="836" w:type="dxa"/>
            <w:tcBorders>
              <w:top w:val="single" w:sz="4" w:space="0" w:color="auto"/>
              <w:left w:val="nil"/>
              <w:bottom w:val="double" w:sz="4" w:space="0" w:color="auto"/>
              <w:right w:val="single" w:sz="4" w:space="0" w:color="auto"/>
            </w:tcBorders>
            <w:shd w:val="clear" w:color="000000" w:fill="FFFFFF"/>
            <w:tcMar>
              <w:left w:w="58" w:type="dxa"/>
              <w:right w:w="58" w:type="dxa"/>
            </w:tcMar>
            <w:vAlign w:val="center"/>
            <w:hideMark/>
          </w:tcPr>
          <w:p w14:paraId="58D0995D" w14:textId="77777777" w:rsidR="00AD6464" w:rsidRPr="004A029F" w:rsidRDefault="00AD6464" w:rsidP="000A2446">
            <w:pPr>
              <w:jc w:val="center"/>
              <w:rPr>
                <w:color w:val="000000"/>
                <w:sz w:val="23"/>
                <w:szCs w:val="23"/>
              </w:rPr>
            </w:pPr>
            <w:r w:rsidRPr="004A029F">
              <w:rPr>
                <w:color w:val="000000"/>
                <w:sz w:val="23"/>
                <w:szCs w:val="23"/>
              </w:rPr>
              <w:t>4.7%</w:t>
            </w:r>
          </w:p>
        </w:tc>
        <w:tc>
          <w:tcPr>
            <w:tcW w:w="694" w:type="dxa"/>
            <w:tcBorders>
              <w:top w:val="single" w:sz="4" w:space="0" w:color="auto"/>
              <w:left w:val="nil"/>
              <w:bottom w:val="double" w:sz="4" w:space="0" w:color="auto"/>
              <w:right w:val="nil"/>
            </w:tcBorders>
            <w:shd w:val="clear" w:color="000000" w:fill="FFFFFF"/>
            <w:tcMar>
              <w:left w:w="58" w:type="dxa"/>
              <w:right w:w="58" w:type="dxa"/>
            </w:tcMar>
            <w:vAlign w:val="center"/>
            <w:hideMark/>
          </w:tcPr>
          <w:p w14:paraId="55987BEC" w14:textId="77777777" w:rsidR="00AD6464" w:rsidRPr="004A029F" w:rsidRDefault="00AD6464" w:rsidP="000A2446">
            <w:pPr>
              <w:jc w:val="center"/>
              <w:rPr>
                <w:color w:val="000000"/>
                <w:sz w:val="23"/>
                <w:szCs w:val="23"/>
              </w:rPr>
            </w:pPr>
            <w:r w:rsidRPr="004A029F">
              <w:rPr>
                <w:color w:val="000000"/>
                <w:sz w:val="23"/>
                <w:szCs w:val="23"/>
              </w:rPr>
              <w:t>57</w:t>
            </w:r>
          </w:p>
        </w:tc>
        <w:tc>
          <w:tcPr>
            <w:tcW w:w="826" w:type="dxa"/>
            <w:tcBorders>
              <w:top w:val="single" w:sz="4" w:space="0" w:color="auto"/>
              <w:left w:val="nil"/>
              <w:bottom w:val="double" w:sz="4" w:space="0" w:color="auto"/>
              <w:right w:val="single" w:sz="4" w:space="0" w:color="auto"/>
            </w:tcBorders>
            <w:shd w:val="clear" w:color="000000" w:fill="FFFFFF"/>
            <w:tcMar>
              <w:left w:w="58" w:type="dxa"/>
              <w:right w:w="58" w:type="dxa"/>
            </w:tcMar>
            <w:vAlign w:val="center"/>
            <w:hideMark/>
          </w:tcPr>
          <w:p w14:paraId="55D6DF3B" w14:textId="77777777" w:rsidR="00AD6464" w:rsidRPr="004A029F" w:rsidRDefault="00AD6464" w:rsidP="000A2446">
            <w:pPr>
              <w:jc w:val="center"/>
              <w:rPr>
                <w:color w:val="000000"/>
                <w:sz w:val="23"/>
                <w:szCs w:val="23"/>
              </w:rPr>
            </w:pPr>
            <w:r w:rsidRPr="004A029F">
              <w:rPr>
                <w:color w:val="000000"/>
                <w:sz w:val="23"/>
                <w:szCs w:val="23"/>
              </w:rPr>
              <w:t>4.6%</w:t>
            </w:r>
          </w:p>
        </w:tc>
        <w:tc>
          <w:tcPr>
            <w:tcW w:w="704" w:type="dxa"/>
            <w:tcBorders>
              <w:top w:val="single" w:sz="4" w:space="0" w:color="auto"/>
              <w:left w:val="nil"/>
              <w:bottom w:val="double" w:sz="4" w:space="0" w:color="auto"/>
              <w:right w:val="nil"/>
            </w:tcBorders>
            <w:shd w:val="clear" w:color="000000" w:fill="FFFFFF"/>
            <w:tcMar>
              <w:left w:w="58" w:type="dxa"/>
              <w:right w:w="58" w:type="dxa"/>
            </w:tcMar>
            <w:vAlign w:val="center"/>
            <w:hideMark/>
          </w:tcPr>
          <w:p w14:paraId="2F3EB3C0" w14:textId="77777777" w:rsidR="00AD6464" w:rsidRPr="004A029F" w:rsidRDefault="00AD6464" w:rsidP="000A2446">
            <w:pPr>
              <w:jc w:val="center"/>
              <w:rPr>
                <w:color w:val="000000"/>
                <w:sz w:val="23"/>
                <w:szCs w:val="23"/>
              </w:rPr>
            </w:pPr>
            <w:r w:rsidRPr="004A029F">
              <w:rPr>
                <w:color w:val="000000"/>
                <w:sz w:val="23"/>
                <w:szCs w:val="23"/>
              </w:rPr>
              <w:t>117</w:t>
            </w:r>
          </w:p>
        </w:tc>
        <w:tc>
          <w:tcPr>
            <w:tcW w:w="828" w:type="dxa"/>
            <w:tcBorders>
              <w:top w:val="single" w:sz="4" w:space="0" w:color="auto"/>
              <w:left w:val="nil"/>
              <w:bottom w:val="double" w:sz="4" w:space="0" w:color="auto"/>
              <w:right w:val="single" w:sz="4" w:space="0" w:color="auto"/>
            </w:tcBorders>
            <w:shd w:val="clear" w:color="000000" w:fill="FFFFFF"/>
            <w:tcMar>
              <w:left w:w="58" w:type="dxa"/>
              <w:right w:w="58" w:type="dxa"/>
            </w:tcMar>
            <w:vAlign w:val="center"/>
            <w:hideMark/>
          </w:tcPr>
          <w:p w14:paraId="13829403" w14:textId="77777777" w:rsidR="00AD6464" w:rsidRPr="004A029F" w:rsidRDefault="00AD6464" w:rsidP="000A2446">
            <w:pPr>
              <w:jc w:val="center"/>
              <w:rPr>
                <w:color w:val="000000"/>
                <w:sz w:val="23"/>
                <w:szCs w:val="23"/>
              </w:rPr>
            </w:pPr>
            <w:r w:rsidRPr="004A029F">
              <w:rPr>
                <w:color w:val="000000"/>
                <w:sz w:val="23"/>
                <w:szCs w:val="23"/>
              </w:rPr>
              <w:t>9.4%</w:t>
            </w:r>
          </w:p>
        </w:tc>
        <w:tc>
          <w:tcPr>
            <w:tcW w:w="704" w:type="dxa"/>
            <w:tcBorders>
              <w:top w:val="single" w:sz="4" w:space="0" w:color="auto"/>
              <w:left w:val="nil"/>
              <w:bottom w:val="double" w:sz="4" w:space="0" w:color="auto"/>
              <w:right w:val="nil"/>
            </w:tcBorders>
            <w:shd w:val="clear" w:color="000000" w:fill="FFFFFF"/>
            <w:tcMar>
              <w:left w:w="58" w:type="dxa"/>
              <w:right w:w="58" w:type="dxa"/>
            </w:tcMar>
            <w:vAlign w:val="center"/>
            <w:hideMark/>
          </w:tcPr>
          <w:p w14:paraId="1374E09A" w14:textId="77777777" w:rsidR="00AD6464" w:rsidRPr="004A029F" w:rsidRDefault="00AD6464" w:rsidP="000A2446">
            <w:pPr>
              <w:jc w:val="center"/>
              <w:rPr>
                <w:color w:val="000000"/>
                <w:sz w:val="23"/>
                <w:szCs w:val="23"/>
              </w:rPr>
            </w:pPr>
            <w:r w:rsidRPr="004A029F">
              <w:rPr>
                <w:color w:val="000000"/>
                <w:sz w:val="23"/>
                <w:szCs w:val="23"/>
              </w:rPr>
              <w:t>87</w:t>
            </w:r>
          </w:p>
        </w:tc>
        <w:tc>
          <w:tcPr>
            <w:tcW w:w="826" w:type="dxa"/>
            <w:tcBorders>
              <w:top w:val="single" w:sz="4" w:space="0" w:color="auto"/>
              <w:left w:val="nil"/>
              <w:bottom w:val="double" w:sz="4" w:space="0" w:color="auto"/>
              <w:right w:val="single" w:sz="4" w:space="0" w:color="auto"/>
            </w:tcBorders>
            <w:shd w:val="clear" w:color="000000" w:fill="FFFFFF"/>
            <w:tcMar>
              <w:left w:w="58" w:type="dxa"/>
              <w:right w:w="58" w:type="dxa"/>
            </w:tcMar>
            <w:vAlign w:val="center"/>
            <w:hideMark/>
          </w:tcPr>
          <w:p w14:paraId="05D93F8D" w14:textId="77777777" w:rsidR="00AD6464" w:rsidRPr="004A029F" w:rsidRDefault="00AD6464" w:rsidP="000A2446">
            <w:pPr>
              <w:jc w:val="center"/>
              <w:rPr>
                <w:color w:val="000000"/>
                <w:sz w:val="23"/>
                <w:szCs w:val="23"/>
              </w:rPr>
            </w:pPr>
            <w:r w:rsidRPr="004A029F">
              <w:rPr>
                <w:color w:val="000000"/>
                <w:sz w:val="23"/>
                <w:szCs w:val="23"/>
              </w:rPr>
              <w:t>7.0%</w:t>
            </w:r>
          </w:p>
        </w:tc>
        <w:tc>
          <w:tcPr>
            <w:tcW w:w="704" w:type="dxa"/>
            <w:tcBorders>
              <w:top w:val="single" w:sz="4" w:space="0" w:color="auto"/>
              <w:left w:val="nil"/>
              <w:bottom w:val="double" w:sz="4" w:space="0" w:color="auto"/>
              <w:right w:val="nil"/>
            </w:tcBorders>
            <w:shd w:val="clear" w:color="000000" w:fill="FFFFFF"/>
            <w:tcMar>
              <w:left w:w="58" w:type="dxa"/>
              <w:right w:w="58" w:type="dxa"/>
            </w:tcMar>
            <w:vAlign w:val="center"/>
            <w:hideMark/>
          </w:tcPr>
          <w:p w14:paraId="7A67C243" w14:textId="77777777" w:rsidR="00AD6464" w:rsidRPr="004A029F" w:rsidRDefault="00AD6464" w:rsidP="000A2446">
            <w:pPr>
              <w:jc w:val="center"/>
              <w:rPr>
                <w:color w:val="000000"/>
                <w:sz w:val="23"/>
                <w:szCs w:val="23"/>
              </w:rPr>
            </w:pPr>
            <w:r w:rsidRPr="004A029F">
              <w:rPr>
                <w:color w:val="000000"/>
                <w:sz w:val="23"/>
                <w:szCs w:val="23"/>
              </w:rPr>
              <w:t>382</w:t>
            </w:r>
          </w:p>
        </w:tc>
        <w:tc>
          <w:tcPr>
            <w:tcW w:w="828" w:type="dxa"/>
            <w:tcBorders>
              <w:top w:val="single" w:sz="4" w:space="0" w:color="auto"/>
              <w:left w:val="nil"/>
              <w:bottom w:val="double" w:sz="4" w:space="0" w:color="auto"/>
              <w:right w:val="single" w:sz="4" w:space="0" w:color="auto"/>
            </w:tcBorders>
            <w:shd w:val="clear" w:color="000000" w:fill="FFFFFF"/>
            <w:tcMar>
              <w:left w:w="58" w:type="dxa"/>
              <w:right w:w="58" w:type="dxa"/>
            </w:tcMar>
            <w:vAlign w:val="center"/>
            <w:hideMark/>
          </w:tcPr>
          <w:p w14:paraId="79946D76" w14:textId="77777777" w:rsidR="00AD6464" w:rsidRPr="004A029F" w:rsidRDefault="00AD6464" w:rsidP="000A2446">
            <w:pPr>
              <w:jc w:val="center"/>
              <w:rPr>
                <w:color w:val="000000"/>
                <w:sz w:val="23"/>
                <w:szCs w:val="23"/>
              </w:rPr>
            </w:pPr>
            <w:r w:rsidRPr="004A029F">
              <w:rPr>
                <w:color w:val="000000"/>
                <w:sz w:val="23"/>
                <w:szCs w:val="23"/>
              </w:rPr>
              <w:t>30.8%</w:t>
            </w:r>
          </w:p>
        </w:tc>
        <w:tc>
          <w:tcPr>
            <w:tcW w:w="704" w:type="dxa"/>
            <w:tcBorders>
              <w:top w:val="single" w:sz="4" w:space="0" w:color="auto"/>
              <w:left w:val="nil"/>
              <w:bottom w:val="double" w:sz="4" w:space="0" w:color="auto"/>
              <w:right w:val="nil"/>
            </w:tcBorders>
            <w:shd w:val="clear" w:color="000000" w:fill="FFFFFF"/>
            <w:tcMar>
              <w:left w:w="58" w:type="dxa"/>
              <w:right w:w="58" w:type="dxa"/>
            </w:tcMar>
            <w:vAlign w:val="center"/>
            <w:hideMark/>
          </w:tcPr>
          <w:p w14:paraId="4E384213" w14:textId="77777777" w:rsidR="00AD6464" w:rsidRPr="004A029F" w:rsidRDefault="00AD6464" w:rsidP="000A2446">
            <w:pPr>
              <w:jc w:val="center"/>
              <w:rPr>
                <w:color w:val="000000"/>
                <w:sz w:val="23"/>
                <w:szCs w:val="23"/>
              </w:rPr>
            </w:pPr>
            <w:r w:rsidRPr="004A029F">
              <w:rPr>
                <w:color w:val="000000"/>
                <w:sz w:val="23"/>
                <w:szCs w:val="23"/>
              </w:rPr>
              <w:t>538</w:t>
            </w:r>
          </w:p>
        </w:tc>
        <w:tc>
          <w:tcPr>
            <w:tcW w:w="806" w:type="dxa"/>
            <w:tcBorders>
              <w:top w:val="single" w:sz="4" w:space="0" w:color="auto"/>
              <w:left w:val="nil"/>
              <w:bottom w:val="double" w:sz="4" w:space="0" w:color="auto"/>
              <w:right w:val="single" w:sz="4" w:space="0" w:color="auto"/>
            </w:tcBorders>
            <w:shd w:val="clear" w:color="000000" w:fill="FFFFFF"/>
            <w:tcMar>
              <w:left w:w="58" w:type="dxa"/>
              <w:right w:w="58" w:type="dxa"/>
            </w:tcMar>
            <w:vAlign w:val="center"/>
            <w:hideMark/>
          </w:tcPr>
          <w:p w14:paraId="5F4BB6A1" w14:textId="77777777" w:rsidR="00AD6464" w:rsidRPr="004A029F" w:rsidRDefault="00AD6464" w:rsidP="000A2446">
            <w:pPr>
              <w:jc w:val="center"/>
              <w:rPr>
                <w:color w:val="000000"/>
                <w:sz w:val="23"/>
                <w:szCs w:val="23"/>
              </w:rPr>
            </w:pPr>
            <w:r w:rsidRPr="004A029F">
              <w:rPr>
                <w:color w:val="000000"/>
                <w:sz w:val="23"/>
                <w:szCs w:val="23"/>
              </w:rPr>
              <w:t>43.4%</w:t>
            </w:r>
          </w:p>
        </w:tc>
        <w:tc>
          <w:tcPr>
            <w:tcW w:w="716" w:type="dxa"/>
            <w:tcBorders>
              <w:top w:val="single" w:sz="4" w:space="0" w:color="auto"/>
              <w:left w:val="nil"/>
              <w:bottom w:val="double" w:sz="4" w:space="0" w:color="auto"/>
              <w:right w:val="nil"/>
            </w:tcBorders>
            <w:shd w:val="clear" w:color="000000" w:fill="FFFFFF"/>
            <w:tcMar>
              <w:left w:w="58" w:type="dxa"/>
              <w:right w:w="58" w:type="dxa"/>
            </w:tcMar>
            <w:vAlign w:val="center"/>
            <w:hideMark/>
          </w:tcPr>
          <w:p w14:paraId="76AA359F" w14:textId="77777777" w:rsidR="00AD6464" w:rsidRPr="004A029F" w:rsidRDefault="00AD6464" w:rsidP="000A2446">
            <w:pPr>
              <w:jc w:val="center"/>
              <w:rPr>
                <w:color w:val="000000"/>
                <w:sz w:val="23"/>
                <w:szCs w:val="23"/>
              </w:rPr>
            </w:pPr>
            <w:r w:rsidRPr="004A029F">
              <w:rPr>
                <w:color w:val="000000"/>
                <w:sz w:val="23"/>
                <w:szCs w:val="23"/>
              </w:rPr>
              <w:t>1239</w:t>
            </w:r>
          </w:p>
        </w:tc>
        <w:tc>
          <w:tcPr>
            <w:tcW w:w="998" w:type="dxa"/>
            <w:tcBorders>
              <w:top w:val="single" w:sz="4" w:space="0" w:color="auto"/>
              <w:left w:val="nil"/>
              <w:bottom w:val="double" w:sz="4" w:space="0" w:color="auto"/>
              <w:right w:val="double" w:sz="4" w:space="0" w:color="auto"/>
            </w:tcBorders>
            <w:shd w:val="clear" w:color="000000" w:fill="FFFFFF"/>
            <w:noWrap/>
            <w:tcMar>
              <w:left w:w="58" w:type="dxa"/>
              <w:right w:w="58" w:type="dxa"/>
            </w:tcMar>
            <w:vAlign w:val="center"/>
            <w:hideMark/>
          </w:tcPr>
          <w:p w14:paraId="7AD80D9E" w14:textId="77777777" w:rsidR="00AD6464" w:rsidRPr="004A029F" w:rsidRDefault="00AD6464" w:rsidP="000A2446">
            <w:pPr>
              <w:jc w:val="center"/>
              <w:rPr>
                <w:color w:val="000000"/>
                <w:sz w:val="23"/>
                <w:szCs w:val="23"/>
              </w:rPr>
            </w:pPr>
            <w:r w:rsidRPr="004A029F">
              <w:rPr>
                <w:color w:val="000000"/>
                <w:sz w:val="23"/>
                <w:szCs w:val="23"/>
              </w:rPr>
              <w:t>100.0%</w:t>
            </w:r>
          </w:p>
        </w:tc>
      </w:tr>
    </w:tbl>
    <w:p w14:paraId="114EB479" w14:textId="77777777" w:rsidR="00AD6464" w:rsidRPr="00F01655" w:rsidRDefault="00AD6464" w:rsidP="00AD6464">
      <w:pPr>
        <w:rPr>
          <w:color w:val="FF0000"/>
        </w:rPr>
      </w:pPr>
    </w:p>
    <w:p w14:paraId="147A6438" w14:textId="77777777" w:rsidR="00AD6464" w:rsidRPr="00F01655" w:rsidRDefault="00AD6464">
      <w:r w:rsidRPr="00F01655">
        <w:br w:type="page"/>
      </w:r>
    </w:p>
    <w:p w14:paraId="3AB0F4B0" w14:textId="77777777" w:rsidR="00AD6464" w:rsidRPr="00F01655" w:rsidRDefault="00AD6464" w:rsidP="00AD6464">
      <w:pPr>
        <w:ind w:firstLine="720"/>
        <w:jc w:val="both"/>
        <w:sectPr w:rsidR="00AD6464" w:rsidRPr="00F01655" w:rsidSect="00AD6464">
          <w:pgSz w:w="15840" w:h="12240" w:orient="landscape"/>
          <w:pgMar w:top="1440" w:right="1440" w:bottom="1440" w:left="1440" w:header="720" w:footer="720" w:gutter="0"/>
          <w:cols w:space="720"/>
          <w:docGrid w:linePitch="360"/>
        </w:sectPr>
      </w:pPr>
    </w:p>
    <w:p w14:paraId="36619085" w14:textId="72DBF10B" w:rsidR="00DE243E" w:rsidRPr="00F01655" w:rsidRDefault="00DE243E" w:rsidP="00650861">
      <w:pPr>
        <w:jc w:val="both"/>
      </w:pPr>
      <w:r w:rsidRPr="00F01655">
        <w:lastRenderedPageBreak/>
        <w:t>For instance, the in-sample predictions, specifically those across the diagonal (i.e., the count of individuals who experience consonance), align very closely with the in-sample descriptive statistics shown in Table 2. If anything, the predictions are slightly over-estimated for “a few times/year”, “a few times/month”, “once/week”, “a few times/week”, and “every day” but not significantly so. The predictions for the marginals of the ETF align exactly for the “never” and “a few times/year” in-sample descriptive statistics. The “a few times/month” and “once/week” frequencies are slightly over-represented in the ETF predictions, while the “a few times/week” and “every day” frequencies are slightly under-represented. Meanwhile, the predictions for the marginals of ITF align exactly for the “a few times/year” in-sample descriptive statistic. The predictions are slightly over-</w:t>
      </w:r>
      <w:r w:rsidR="00DE22F9" w:rsidRPr="00F01655">
        <w:t>estimated</w:t>
      </w:r>
      <w:r w:rsidRPr="00F01655">
        <w:t xml:space="preserve"> for the “a few times/month”, “once/week”, and “a few times/week” frequencies in the ITF predictions, while the “never” and “every day” frequencies are under-</w:t>
      </w:r>
      <w:r w:rsidR="00DE22F9" w:rsidRPr="00F01655">
        <w:t>estimated</w:t>
      </w:r>
      <w:r w:rsidRPr="00F01655">
        <w:t xml:space="preserve">. </w:t>
      </w:r>
    </w:p>
    <w:p w14:paraId="57F2002D" w14:textId="77777777" w:rsidR="00DE243E" w:rsidRPr="00F01655" w:rsidRDefault="00DE243E" w:rsidP="00DE243E">
      <w:pPr>
        <w:jc w:val="both"/>
      </w:pPr>
    </w:p>
    <w:p w14:paraId="4DACFDC7" w14:textId="173A4202" w:rsidR="00DE243E" w:rsidRPr="00F01655" w:rsidRDefault="00DE22F9" w:rsidP="002966B2">
      <w:pPr>
        <w:ind w:left="360" w:hanging="360"/>
        <w:jc w:val="both"/>
        <w:rPr>
          <w:b/>
          <w:bCs/>
        </w:rPr>
      </w:pPr>
      <w:r w:rsidRPr="00F01655">
        <w:rPr>
          <w:b/>
          <w:bCs/>
        </w:rPr>
        <w:t xml:space="preserve">5. </w:t>
      </w:r>
      <w:r w:rsidR="00B562CE" w:rsidRPr="00F01655">
        <w:rPr>
          <w:b/>
          <w:bCs/>
        </w:rPr>
        <w:tab/>
      </w:r>
      <w:r w:rsidR="00DE243E" w:rsidRPr="00F01655">
        <w:rPr>
          <w:b/>
          <w:bCs/>
        </w:rPr>
        <w:t>IMPLICATIONS:</w:t>
      </w:r>
      <w:r w:rsidR="002966B2">
        <w:rPr>
          <w:b/>
          <w:bCs/>
        </w:rPr>
        <w:t xml:space="preserve"> </w:t>
      </w:r>
      <w:r w:rsidR="00DE243E" w:rsidRPr="00F01655">
        <w:rPr>
          <w:b/>
          <w:bCs/>
        </w:rPr>
        <w:t>CONSONANCE AND DISSONANCE IN TELEWORK FREQUENCY</w:t>
      </w:r>
    </w:p>
    <w:p w14:paraId="0090A685" w14:textId="77777777" w:rsidR="00DE243E" w:rsidRPr="00F01655" w:rsidRDefault="00DE243E" w:rsidP="00BC09CC">
      <w:pPr>
        <w:jc w:val="both"/>
      </w:pPr>
      <w:r w:rsidRPr="00F01655">
        <w:t xml:space="preserve">The estimation results in the previous section do not provide information on the actual effects of the variables on ETF and ITF. In fact, even the directionality of the effect of a variable on the underlying propensity does not provide a sense of how the variable may actually impact ETF and ITF. Besides, with the unobserved individual-specific correlation and ITF shifter effects based on the endogenous ETF levels, and because of the non-linear nature of the model, the consonance and dissonance effects will vary across individuals. But our model can provide the joint probability of any combination of the ETF and ITF outcomes, and therefore the consonance/dissonance intensities, given a specific combination of the many exogenous variables. But the number of combinations of exogenous variables is over 86,000. So, we provide the teleworking consonance/dissonance levels for each exogenous variable separately by holding all other exogenous variables fixed at those in the sample. Specifically, for each exogenous variable, we consider all sample individuals to be at each specific state of the exogenous variable. For example, we consider all individuals to be renting their homes, compute the teleworking consonance/dissonance levels for each individual, and take an average across all individuals. Next, we consider all individuals to be owning their homes, again compute the teleworking consonance/dissonance levels of reach individual, and take an average.  </w:t>
      </w:r>
    </w:p>
    <w:p w14:paraId="4850ED05" w14:textId="26857981" w:rsidR="00DE243E" w:rsidRPr="00F01655" w:rsidRDefault="00DE243E" w:rsidP="00DE243E">
      <w:pPr>
        <w:jc w:val="both"/>
      </w:pPr>
      <w:r w:rsidRPr="00F01655">
        <w:tab/>
        <w:t xml:space="preserve">The approach to estimate the individual-level teleworking consonance/dissonance levels itself still entails 36 ETF-ITF combinations. To simplify the presentation, cardinal values are assigned to each of the ETF and ITF ordinal levels. The cardinal value assignments on a per month basis are as follows: (1) Never = 0 instances per month, (2) A few times/year = 0.25 instances per month, (3) A few times/month = 2 instances per month, (4) once/week = 4 instances per month, (5) a few times/week = 10 instances per month, and (6) Everyday = 22 instances per month. Based on these assignments, let the cardinal value assignment corresponding to ETF level </w:t>
      </w:r>
      <w:r w:rsidRPr="00F01655">
        <w:rPr>
          <w:i/>
        </w:rPr>
        <w:t>k</w:t>
      </w:r>
      <w:r w:rsidRPr="00F01655">
        <w:t xml:space="preserve"> be and using the notation </w:t>
      </w:r>
      <w:r w:rsidR="002966B2" w:rsidRPr="00F648BD">
        <w:rPr>
          <w:noProof/>
          <w:position w:val="-12"/>
        </w:rPr>
        <w:object w:dxaOrig="320" w:dyaOrig="360" w14:anchorId="2D3BB5F0">
          <v:shape id="_x0000_i1129" type="#_x0000_t75" alt="" style="width:15.85pt;height:18pt;mso-width-percent:0;mso-height-percent:0;mso-width-percent:0;mso-height-percent:0" o:ole="" o:preferrelative="f">
            <v:imagedata r:id="rId207" o:title=""/>
            <o:lock v:ext="edit" aspectratio="f"/>
          </v:shape>
          <o:OLEObject Type="Embed" ProgID="Equation.DSMT4" ShapeID="_x0000_i1129" DrawAspect="Content" ObjectID="_1778681362" r:id="rId208"/>
        </w:object>
      </w:r>
      <w:r w:rsidRPr="00F01655">
        <w:rPr>
          <w:noProof/>
        </w:rPr>
        <w:t xml:space="preserve">, and let the </w:t>
      </w:r>
      <w:r w:rsidRPr="00F01655">
        <w:t xml:space="preserve">cardinal value assignment corresponding to ITF level </w:t>
      </w:r>
      <w:r w:rsidRPr="00F01655">
        <w:rPr>
          <w:i/>
          <w:iCs/>
        </w:rPr>
        <w:t>j</w:t>
      </w:r>
      <w:r w:rsidRPr="00F01655">
        <w:t xml:space="preserve"> be </w:t>
      </w:r>
      <w:r w:rsidR="0072798C" w:rsidRPr="00141BDB">
        <w:rPr>
          <w:noProof/>
          <w:position w:val="-14"/>
        </w:rPr>
        <w:object w:dxaOrig="260" w:dyaOrig="380" w14:anchorId="52CC5861">
          <v:shape id="_x0000_i1130" type="#_x0000_t75" alt="" style="width:13.3pt;height:18.85pt" o:ole="">
            <v:imagedata r:id="rId209" o:title=""/>
          </v:shape>
          <o:OLEObject Type="Embed" ProgID="Equation.DSMT4" ShapeID="_x0000_i1130" DrawAspect="Content" ObjectID="_1778681363" r:id="rId210"/>
        </w:object>
      </w:r>
      <w:r w:rsidRPr="00F01655">
        <w:rPr>
          <w:noProof/>
        </w:rPr>
        <w:t>.</w:t>
      </w:r>
      <w:r w:rsidRPr="00F01655">
        <w:t xml:space="preserve">  Then, using the same notations for ETF and ITF levels as in Section 3.2.2, we can compute the following attributes characterizing teleworking consonance/dissonance attributes for individual </w:t>
      </w:r>
      <w:r w:rsidRPr="00F01655">
        <w:rPr>
          <w:i/>
          <w:iCs/>
        </w:rPr>
        <w:t>q</w:t>
      </w:r>
      <w:r w:rsidRPr="00F01655">
        <w:t xml:space="preserve">: </w:t>
      </w:r>
    </w:p>
    <w:p w14:paraId="63A1B534" w14:textId="439D1F69" w:rsidR="00DE243E" w:rsidRPr="00AC02B7" w:rsidRDefault="00DE243E" w:rsidP="00DE243E">
      <w:pPr>
        <w:pStyle w:val="ListParagraph"/>
        <w:numPr>
          <w:ilvl w:val="0"/>
          <w:numId w:val="7"/>
        </w:numPr>
        <w:ind w:left="360"/>
        <w:jc w:val="both"/>
        <w:rPr>
          <w:rFonts w:ascii="Times New Roman" w:hAnsi="Times New Roman" w:cs="Times New Roman"/>
          <w:noProof/>
        </w:rPr>
      </w:pPr>
      <w:r w:rsidRPr="00AC02B7">
        <w:rPr>
          <w:rFonts w:ascii="Times New Roman" w:hAnsi="Times New Roman" w:cs="Times New Roman"/>
        </w:rPr>
        <w:t xml:space="preserve">Probability of being in consonance: </w:t>
      </w:r>
      <w:r w:rsidR="00AC02B7" w:rsidRPr="00AC02B7">
        <w:rPr>
          <w:rFonts w:ascii="Times New Roman" w:hAnsi="Times New Roman" w:cs="Times New Roman"/>
          <w:noProof/>
          <w:position w:val="-28"/>
        </w:rPr>
        <w:object w:dxaOrig="3519" w:dyaOrig="680" w14:anchorId="0D837974">
          <v:shape id="_x0000_i1131" type="#_x0000_t75" alt="" style="width:175.3pt;height:33.85pt" o:ole="" o:preferrelative="f">
            <v:imagedata r:id="rId211" o:title=""/>
            <o:lock v:ext="edit" aspectratio="f"/>
          </v:shape>
          <o:OLEObject Type="Embed" ProgID="Equation.DSMT4" ShapeID="_x0000_i1131" DrawAspect="Content" ObjectID="_1778681364" r:id="rId212"/>
        </w:object>
      </w:r>
      <w:r w:rsidRPr="00AC02B7">
        <w:rPr>
          <w:rFonts w:ascii="Times New Roman" w:hAnsi="Times New Roman" w:cs="Times New Roman"/>
          <w:noProof/>
        </w:rPr>
        <w:tab/>
      </w:r>
      <w:r w:rsidRPr="00AC02B7">
        <w:rPr>
          <w:rFonts w:ascii="Times New Roman" w:hAnsi="Times New Roman" w:cs="Times New Roman"/>
          <w:noProof/>
        </w:rPr>
        <w:tab/>
        <w:t xml:space="preserve">       (</w:t>
      </w:r>
      <w:r w:rsidR="00D560F0" w:rsidRPr="00AC02B7">
        <w:rPr>
          <w:rFonts w:ascii="Times New Roman" w:hAnsi="Times New Roman" w:cs="Times New Roman"/>
          <w:noProof/>
        </w:rPr>
        <w:t>7</w:t>
      </w:r>
      <w:r w:rsidRPr="00AC02B7">
        <w:rPr>
          <w:rFonts w:ascii="Times New Roman" w:hAnsi="Times New Roman" w:cs="Times New Roman"/>
          <w:noProof/>
        </w:rPr>
        <w:t>)</w:t>
      </w:r>
    </w:p>
    <w:p w14:paraId="4DB16FC5" w14:textId="40080959" w:rsidR="00DE243E" w:rsidRPr="00AC02B7" w:rsidRDefault="00DE243E" w:rsidP="00DE243E">
      <w:pPr>
        <w:pStyle w:val="ListParagraph"/>
        <w:numPr>
          <w:ilvl w:val="0"/>
          <w:numId w:val="7"/>
        </w:numPr>
        <w:ind w:left="360"/>
        <w:jc w:val="both"/>
        <w:rPr>
          <w:rFonts w:ascii="Times New Roman" w:hAnsi="Times New Roman" w:cs="Times New Roman"/>
        </w:rPr>
      </w:pPr>
      <w:r w:rsidRPr="00AC02B7">
        <w:rPr>
          <w:rFonts w:ascii="Times New Roman" w:hAnsi="Times New Roman" w:cs="Times New Roman"/>
        </w:rPr>
        <w:t xml:space="preserve">Preferred monthly teleworking consonance level: </w:t>
      </w:r>
      <w:r w:rsidR="009731D0" w:rsidRPr="00AC02B7">
        <w:rPr>
          <w:rFonts w:ascii="Times New Roman" w:hAnsi="Times New Roman" w:cs="Times New Roman"/>
          <w:noProof/>
          <w:position w:val="-28"/>
        </w:rPr>
        <w:object w:dxaOrig="2640" w:dyaOrig="680" w14:anchorId="719E3EB4">
          <v:shape id="_x0000_i1132" type="#_x0000_t75" alt="" style="width:131.55pt;height:33.85pt" o:ole="" o:preferrelative="f">
            <v:imagedata r:id="rId213" o:title=""/>
            <o:lock v:ext="edit" aspectratio="f"/>
          </v:shape>
          <o:OLEObject Type="Embed" ProgID="Equation.DSMT4" ShapeID="_x0000_i1132" DrawAspect="Content" ObjectID="_1778681365" r:id="rId214"/>
        </w:object>
      </w:r>
      <w:r w:rsidRPr="00AC02B7">
        <w:rPr>
          <w:rFonts w:ascii="Times New Roman" w:hAnsi="Times New Roman" w:cs="Times New Roman"/>
          <w:noProof/>
        </w:rPr>
        <w:tab/>
        <w:t xml:space="preserve">      </w:t>
      </w:r>
      <w:r w:rsidR="0072798C" w:rsidRPr="00AC02B7">
        <w:rPr>
          <w:rFonts w:ascii="Times New Roman" w:hAnsi="Times New Roman" w:cs="Times New Roman"/>
          <w:noProof/>
        </w:rPr>
        <w:tab/>
      </w:r>
      <w:r w:rsidRPr="00AC02B7">
        <w:rPr>
          <w:rFonts w:ascii="Times New Roman" w:hAnsi="Times New Roman" w:cs="Times New Roman"/>
          <w:noProof/>
        </w:rPr>
        <w:t xml:space="preserve"> </w:t>
      </w:r>
      <w:r w:rsidR="00B05404" w:rsidRPr="00AC02B7">
        <w:rPr>
          <w:rFonts w:ascii="Times New Roman" w:hAnsi="Times New Roman" w:cs="Times New Roman"/>
          <w:noProof/>
        </w:rPr>
        <w:t xml:space="preserve">      </w:t>
      </w:r>
      <w:r w:rsidRPr="00AC02B7">
        <w:rPr>
          <w:rFonts w:ascii="Times New Roman" w:hAnsi="Times New Roman" w:cs="Times New Roman"/>
          <w:noProof/>
        </w:rPr>
        <w:t>(</w:t>
      </w:r>
      <w:r w:rsidR="00D560F0" w:rsidRPr="00AC02B7">
        <w:rPr>
          <w:rFonts w:ascii="Times New Roman" w:hAnsi="Times New Roman" w:cs="Times New Roman"/>
          <w:noProof/>
        </w:rPr>
        <w:t>8</w:t>
      </w:r>
      <w:r w:rsidRPr="00AC02B7">
        <w:rPr>
          <w:rFonts w:ascii="Times New Roman" w:hAnsi="Times New Roman" w:cs="Times New Roman"/>
          <w:noProof/>
        </w:rPr>
        <w:t>)</w:t>
      </w:r>
    </w:p>
    <w:p w14:paraId="2B19B747" w14:textId="3658FD49" w:rsidR="00DE243E" w:rsidRPr="00AC02B7" w:rsidRDefault="00DE243E" w:rsidP="00DE243E">
      <w:pPr>
        <w:pStyle w:val="ListParagraph"/>
        <w:numPr>
          <w:ilvl w:val="0"/>
          <w:numId w:val="7"/>
        </w:numPr>
        <w:ind w:left="360"/>
        <w:jc w:val="both"/>
        <w:rPr>
          <w:rFonts w:ascii="Times New Roman" w:hAnsi="Times New Roman" w:cs="Times New Roman"/>
          <w:noProof/>
        </w:rPr>
      </w:pPr>
      <w:r w:rsidRPr="00AC02B7">
        <w:rPr>
          <w:rFonts w:ascii="Times New Roman" w:hAnsi="Times New Roman" w:cs="Times New Roman"/>
        </w:rPr>
        <w:lastRenderedPageBreak/>
        <w:t xml:space="preserve">Probability of being in dissonance:  </w:t>
      </w:r>
      <w:r w:rsidR="00251E00" w:rsidRPr="00AC02B7">
        <w:rPr>
          <w:rFonts w:ascii="Times New Roman" w:hAnsi="Times New Roman" w:cs="Times New Roman"/>
          <w:noProof/>
          <w:position w:val="-14"/>
        </w:rPr>
        <w:object w:dxaOrig="2799" w:dyaOrig="380" w14:anchorId="43E1B39F">
          <v:shape id="_x0000_i1133" type="#_x0000_t75" alt="" style="width:139.7pt;height:18.85pt" o:ole="" o:preferrelative="f">
            <v:imagedata r:id="rId215" o:title=""/>
            <o:lock v:ext="edit" aspectratio="f"/>
          </v:shape>
          <o:OLEObject Type="Embed" ProgID="Equation.DSMT4" ShapeID="_x0000_i1133" DrawAspect="Content" ObjectID="_1778681366" r:id="rId216"/>
        </w:object>
      </w:r>
      <w:r w:rsidRPr="00AC02B7">
        <w:rPr>
          <w:rFonts w:ascii="Times New Roman" w:hAnsi="Times New Roman" w:cs="Times New Roman"/>
          <w:noProof/>
        </w:rPr>
        <w:tab/>
      </w:r>
      <w:r w:rsidRPr="00AC02B7">
        <w:rPr>
          <w:rFonts w:ascii="Times New Roman" w:hAnsi="Times New Roman" w:cs="Times New Roman"/>
          <w:noProof/>
        </w:rPr>
        <w:tab/>
      </w:r>
      <w:r w:rsidRPr="00AC02B7">
        <w:rPr>
          <w:rFonts w:ascii="Times New Roman" w:hAnsi="Times New Roman" w:cs="Times New Roman"/>
          <w:noProof/>
        </w:rPr>
        <w:tab/>
        <w:t xml:space="preserve">       (</w:t>
      </w:r>
      <w:r w:rsidR="00D560F0" w:rsidRPr="00AC02B7">
        <w:rPr>
          <w:rFonts w:ascii="Times New Roman" w:hAnsi="Times New Roman" w:cs="Times New Roman"/>
          <w:noProof/>
        </w:rPr>
        <w:t>9</w:t>
      </w:r>
      <w:r w:rsidRPr="00AC02B7">
        <w:rPr>
          <w:rFonts w:ascii="Times New Roman" w:hAnsi="Times New Roman" w:cs="Times New Roman"/>
          <w:noProof/>
        </w:rPr>
        <w:t>)</w:t>
      </w:r>
    </w:p>
    <w:p w14:paraId="1498E90D" w14:textId="3246B1AD" w:rsidR="00DE243E" w:rsidRPr="00AC02B7" w:rsidRDefault="00DE243E" w:rsidP="00DE243E">
      <w:pPr>
        <w:pStyle w:val="ListParagraph"/>
        <w:numPr>
          <w:ilvl w:val="0"/>
          <w:numId w:val="7"/>
        </w:numPr>
        <w:ind w:left="360"/>
        <w:jc w:val="both"/>
        <w:rPr>
          <w:rFonts w:ascii="Times New Roman" w:hAnsi="Times New Roman" w:cs="Times New Roman"/>
        </w:rPr>
      </w:pPr>
      <w:r w:rsidRPr="00AC02B7">
        <w:rPr>
          <w:rFonts w:ascii="Times New Roman" w:hAnsi="Times New Roman" w:cs="Times New Roman"/>
          <w:noProof/>
        </w:rPr>
        <w:t xml:space="preserve">Dissonance intensity:  </w:t>
      </w:r>
      <w:r w:rsidR="00AC02B7" w:rsidRPr="00AC02B7">
        <w:rPr>
          <w:rFonts w:ascii="Times New Roman" w:hAnsi="Times New Roman" w:cs="Times New Roman"/>
          <w:noProof/>
          <w:position w:val="-30"/>
        </w:rPr>
        <w:object w:dxaOrig="3480" w:dyaOrig="700" w14:anchorId="1B83F22B">
          <v:shape id="_x0000_i1134" type="#_x0000_t75" alt="" style="width:174pt;height:35.15pt" o:ole="" o:preferrelative="f">
            <v:imagedata r:id="rId217" o:title=""/>
            <o:lock v:ext="edit" aspectratio="f"/>
          </v:shape>
          <o:OLEObject Type="Embed" ProgID="Equation.DSMT4" ShapeID="_x0000_i1134" DrawAspect="Content" ObjectID="_1778681367" r:id="rId218"/>
        </w:object>
      </w:r>
      <w:r w:rsidRPr="00AC02B7">
        <w:rPr>
          <w:rFonts w:ascii="Times New Roman" w:hAnsi="Times New Roman" w:cs="Times New Roman"/>
          <w:noProof/>
        </w:rPr>
        <w:tab/>
      </w:r>
      <w:r w:rsidRPr="00AC02B7">
        <w:rPr>
          <w:rFonts w:ascii="Times New Roman" w:hAnsi="Times New Roman" w:cs="Times New Roman"/>
          <w:noProof/>
        </w:rPr>
        <w:tab/>
      </w:r>
      <w:r w:rsidRPr="00AC02B7">
        <w:rPr>
          <w:rFonts w:ascii="Times New Roman" w:hAnsi="Times New Roman" w:cs="Times New Roman"/>
          <w:noProof/>
        </w:rPr>
        <w:tab/>
      </w:r>
      <w:r w:rsidRPr="00AC02B7">
        <w:rPr>
          <w:rFonts w:ascii="Times New Roman" w:hAnsi="Times New Roman" w:cs="Times New Roman"/>
          <w:noProof/>
        </w:rPr>
        <w:tab/>
        <w:t xml:space="preserve">     (</w:t>
      </w:r>
      <w:r w:rsidR="00D560F0" w:rsidRPr="00AC02B7">
        <w:rPr>
          <w:rFonts w:ascii="Times New Roman" w:hAnsi="Times New Roman" w:cs="Times New Roman"/>
          <w:noProof/>
        </w:rPr>
        <w:t>10</w:t>
      </w:r>
      <w:r w:rsidRPr="00AC02B7">
        <w:rPr>
          <w:rFonts w:ascii="Times New Roman" w:hAnsi="Times New Roman" w:cs="Times New Roman"/>
          <w:noProof/>
        </w:rPr>
        <w:t>)</w:t>
      </w:r>
    </w:p>
    <w:p w14:paraId="032754D1" w14:textId="0F513B1D" w:rsidR="00DE243E" w:rsidRPr="00F01655" w:rsidRDefault="00DE243E" w:rsidP="00DE243E">
      <w:pPr>
        <w:ind w:firstLine="720"/>
        <w:jc w:val="both"/>
      </w:pPr>
      <w:r w:rsidRPr="00AC02B7">
        <w:t>The results of the above analysis are presented in Table 6</w:t>
      </w:r>
      <w:r w:rsidR="001436DA" w:rsidRPr="00AC02B7">
        <w:t>,</w:t>
      </w:r>
      <w:r w:rsidRPr="00AC02B7">
        <w:t xml:space="preserve"> which generally follows the discussion in Section 4, though we are better able to discern the extent</w:t>
      </w:r>
      <w:r w:rsidRPr="00F01655">
        <w:t xml:space="preserve"> of consonance/dissonance for each group of individuals. Thus, for example, the table indicates that about 44% of m</w:t>
      </w:r>
      <w:r w:rsidR="009B3295" w:rsidRPr="00F01655">
        <w:t>en</w:t>
      </w:r>
      <w:r w:rsidRPr="00F01655">
        <w:t xml:space="preserve"> who have a partner and are employed full-time are content with their ETF (i.e., they experience consonance). Additionally, for these individuals who experience consonance, </w:t>
      </w:r>
      <w:r w:rsidR="009B3295" w:rsidRPr="00F01655">
        <w:t>their number of telework days per month</w:t>
      </w:r>
      <w:r w:rsidRPr="00F01655">
        <w:t xml:space="preserve">, on average, </w:t>
      </w:r>
      <w:r w:rsidR="009B3295" w:rsidRPr="00F01655">
        <w:t xml:space="preserve">is </w:t>
      </w:r>
      <w:r w:rsidRPr="00F01655">
        <w:t>5.8 days</w:t>
      </w:r>
      <w:r w:rsidR="00FC4016" w:rsidRPr="00F01655">
        <w:t xml:space="preserve"> (another way to interpret this is that, to keep such individuals happy, they should be allowed to telework, on average, 5.8 days per month)</w:t>
      </w:r>
      <w:r w:rsidRPr="00F01655">
        <w:t>. On the other hand, about 56% of m</w:t>
      </w:r>
      <w:r w:rsidR="009B3295" w:rsidRPr="00F01655">
        <w:t>en</w:t>
      </w:r>
      <w:r w:rsidRPr="00F01655">
        <w:t xml:space="preserve"> who have a partner and are employed full-time are not </w:t>
      </w:r>
      <w:r w:rsidR="009B3295" w:rsidRPr="00F01655">
        <w:t xml:space="preserve">happy </w:t>
      </w:r>
      <w:r w:rsidRPr="00F01655">
        <w:t xml:space="preserve">with their ETF (i.e., they experience dissonance). </w:t>
      </w:r>
      <w:r w:rsidR="00B207EA" w:rsidRPr="00F01655">
        <w:t>Further</w:t>
      </w:r>
      <w:r w:rsidRPr="00F01655">
        <w:t xml:space="preserve">, we see that their dissonance intensity </w:t>
      </w:r>
      <w:r w:rsidR="00B207EA" w:rsidRPr="00F01655">
        <w:t>(4.</w:t>
      </w:r>
      <w:r w:rsidR="00D476CD">
        <w:t>8</w:t>
      </w:r>
      <w:r w:rsidR="00B207EA" w:rsidRPr="00F01655">
        <w:t xml:space="preserve"> days) </w:t>
      </w:r>
      <w:r w:rsidRPr="00F01655">
        <w:t>is the highest among the gendered lifecycle and employment status variable categories</w:t>
      </w:r>
      <w:r w:rsidR="009B3295" w:rsidRPr="00F01655">
        <w:t xml:space="preserve">, </w:t>
      </w:r>
      <w:r w:rsidRPr="00F01655">
        <w:t>tied with full-time employe</w:t>
      </w:r>
      <w:r w:rsidR="009B3295" w:rsidRPr="00F01655">
        <w:t>d women</w:t>
      </w:r>
      <w:r w:rsidRPr="00F01655">
        <w:t xml:space="preserve"> who live with a partner. </w:t>
      </w:r>
      <w:r w:rsidR="009B3295" w:rsidRPr="00F01655">
        <w:t>Given that almost all individuals prefer more ITF than ETF, th</w:t>
      </w:r>
      <w:r w:rsidR="00B207EA" w:rsidRPr="00F01655">
        <w:t>is</w:t>
      </w:r>
      <w:r w:rsidR="009B3295" w:rsidRPr="00F01655">
        <w:t xml:space="preserve"> dissonance intensity of 4.</w:t>
      </w:r>
      <w:r w:rsidR="00D476CD">
        <w:t>8</w:t>
      </w:r>
      <w:r w:rsidR="009B3295" w:rsidRPr="00F01655">
        <w:t xml:space="preserve"> days implies that </w:t>
      </w:r>
      <w:r w:rsidR="00F04997">
        <w:t xml:space="preserve">56% of </w:t>
      </w:r>
      <w:r w:rsidR="009B3295" w:rsidRPr="00F01655">
        <w:t>men with a partner and employed full</w:t>
      </w:r>
      <w:r w:rsidR="00FC4016" w:rsidRPr="00F01655">
        <w:t xml:space="preserve"> time </w:t>
      </w:r>
      <w:r w:rsidR="00F04997">
        <w:t xml:space="preserve">would like to be teleworking 4.8 days per month more than their existing telework frequency. </w:t>
      </w:r>
      <w:r w:rsidR="001A6CC4" w:rsidRPr="00F01655">
        <w:t xml:space="preserve">Other entries in Table 6 may be similarly interpreted. </w:t>
      </w:r>
    </w:p>
    <w:p w14:paraId="2FD17C35" w14:textId="47EC561D" w:rsidR="00DE243E" w:rsidRPr="00F01655" w:rsidRDefault="00DE243E" w:rsidP="00D560F0">
      <w:pPr>
        <w:ind w:firstLine="720"/>
        <w:jc w:val="both"/>
      </w:pPr>
      <w:r w:rsidRPr="00F01655">
        <w:t xml:space="preserve"> </w:t>
      </w:r>
    </w:p>
    <w:p w14:paraId="1296D573" w14:textId="4F631FE5" w:rsidR="00DE243E" w:rsidRPr="00F01655" w:rsidRDefault="00DE243E" w:rsidP="004A029F">
      <w:pPr>
        <w:jc w:val="both"/>
        <w:rPr>
          <w:b/>
          <w:bCs/>
        </w:rPr>
      </w:pPr>
      <w:r w:rsidRPr="00F01655">
        <w:rPr>
          <w:b/>
          <w:bCs/>
        </w:rPr>
        <w:t xml:space="preserve">Table 6. </w:t>
      </w:r>
      <w:r w:rsidR="0046211D">
        <w:rPr>
          <w:b/>
          <w:bCs/>
        </w:rPr>
        <w:t xml:space="preserve">Intensity of </w:t>
      </w:r>
      <w:r w:rsidRPr="00F01655">
        <w:rPr>
          <w:b/>
          <w:bCs/>
        </w:rPr>
        <w:t>Telework Frequency Dissonance and Consonance</w:t>
      </w:r>
      <w:r w:rsidR="0046211D">
        <w:rPr>
          <w:b/>
          <w:bCs/>
        </w:rPr>
        <w:t xml:space="preserve"> by </w:t>
      </w:r>
      <w:r w:rsidR="00F26680">
        <w:rPr>
          <w:b/>
          <w:bCs/>
        </w:rPr>
        <w:t>I</w:t>
      </w:r>
      <w:r w:rsidR="0046211D">
        <w:rPr>
          <w:b/>
          <w:bCs/>
        </w:rPr>
        <w:t xml:space="preserve">ndividual </w:t>
      </w:r>
      <w:r w:rsidR="00F26680">
        <w:rPr>
          <w:b/>
          <w:bCs/>
        </w:rPr>
        <w:t>G</w:t>
      </w:r>
      <w:r w:rsidR="0046211D">
        <w:rPr>
          <w:b/>
          <w:bCs/>
        </w:rPr>
        <w:t>roupings</w:t>
      </w:r>
    </w:p>
    <w:tbl>
      <w:tblPr>
        <w:tblW w:w="93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135"/>
        <w:gridCol w:w="1296"/>
        <w:gridCol w:w="1296"/>
        <w:gridCol w:w="1296"/>
        <w:gridCol w:w="1296"/>
      </w:tblGrid>
      <w:tr w:rsidR="00BD4720" w:rsidRPr="001C447E" w14:paraId="2A164D13" w14:textId="77777777" w:rsidTr="001C447E">
        <w:trPr>
          <w:trHeight w:val="230"/>
          <w:tblHeader/>
        </w:trPr>
        <w:tc>
          <w:tcPr>
            <w:tcW w:w="4135" w:type="dxa"/>
            <w:vMerge w:val="restart"/>
            <w:tcBorders>
              <w:right w:val="double" w:sz="4" w:space="0" w:color="auto"/>
            </w:tcBorders>
            <w:shd w:val="clear" w:color="000000" w:fill="FFFFFF"/>
            <w:tcMar>
              <w:left w:w="58" w:type="dxa"/>
              <w:right w:w="58" w:type="dxa"/>
            </w:tcMar>
            <w:vAlign w:val="center"/>
          </w:tcPr>
          <w:p w14:paraId="0F3996C5" w14:textId="77777777" w:rsidR="00BD4720" w:rsidRPr="001C447E" w:rsidRDefault="00BD4720" w:rsidP="00251E00">
            <w:pPr>
              <w:jc w:val="both"/>
              <w:rPr>
                <w:color w:val="000000"/>
                <w:sz w:val="20"/>
                <w:szCs w:val="20"/>
              </w:rPr>
            </w:pPr>
          </w:p>
        </w:tc>
        <w:tc>
          <w:tcPr>
            <w:tcW w:w="2592" w:type="dxa"/>
            <w:gridSpan w:val="2"/>
            <w:tcBorders>
              <w:left w:val="double" w:sz="4" w:space="0" w:color="auto"/>
              <w:right w:val="double" w:sz="4" w:space="0" w:color="auto"/>
            </w:tcBorders>
            <w:shd w:val="clear" w:color="000000" w:fill="FFFFFF"/>
            <w:tcMar>
              <w:left w:w="58" w:type="dxa"/>
              <w:right w:w="58" w:type="dxa"/>
            </w:tcMar>
            <w:vAlign w:val="center"/>
          </w:tcPr>
          <w:p w14:paraId="22599571" w14:textId="6F74697F" w:rsidR="00BD4720" w:rsidRPr="001C447E" w:rsidRDefault="00BD4720" w:rsidP="00BD4720">
            <w:pPr>
              <w:jc w:val="center"/>
              <w:rPr>
                <w:b/>
                <w:bCs/>
                <w:color w:val="000000"/>
                <w:sz w:val="20"/>
                <w:szCs w:val="20"/>
              </w:rPr>
            </w:pPr>
            <w:r w:rsidRPr="001C447E">
              <w:rPr>
                <w:b/>
                <w:bCs/>
                <w:color w:val="000000"/>
                <w:sz w:val="20"/>
                <w:szCs w:val="20"/>
              </w:rPr>
              <w:t>Consonance State</w:t>
            </w:r>
          </w:p>
        </w:tc>
        <w:tc>
          <w:tcPr>
            <w:tcW w:w="2592" w:type="dxa"/>
            <w:gridSpan w:val="2"/>
            <w:tcBorders>
              <w:left w:val="double" w:sz="4" w:space="0" w:color="auto"/>
            </w:tcBorders>
            <w:shd w:val="clear" w:color="000000" w:fill="FFFFFF"/>
            <w:tcMar>
              <w:left w:w="58" w:type="dxa"/>
              <w:right w:w="58" w:type="dxa"/>
            </w:tcMar>
            <w:vAlign w:val="center"/>
          </w:tcPr>
          <w:p w14:paraId="255E34A4" w14:textId="63806038" w:rsidR="00BD4720" w:rsidRPr="001C447E" w:rsidRDefault="00BD4720" w:rsidP="00BD4720">
            <w:pPr>
              <w:jc w:val="center"/>
              <w:rPr>
                <w:b/>
                <w:bCs/>
                <w:color w:val="000000"/>
                <w:sz w:val="20"/>
                <w:szCs w:val="20"/>
              </w:rPr>
            </w:pPr>
            <w:r w:rsidRPr="001C447E">
              <w:rPr>
                <w:b/>
                <w:bCs/>
                <w:color w:val="000000"/>
                <w:sz w:val="20"/>
                <w:szCs w:val="20"/>
              </w:rPr>
              <w:t>Dissonance State</w:t>
            </w:r>
          </w:p>
        </w:tc>
      </w:tr>
      <w:tr w:rsidR="00BD4720" w:rsidRPr="001C447E" w14:paraId="269072CD" w14:textId="77777777" w:rsidTr="001C447E">
        <w:trPr>
          <w:trHeight w:val="230"/>
          <w:tblHeader/>
        </w:trPr>
        <w:tc>
          <w:tcPr>
            <w:tcW w:w="4135" w:type="dxa"/>
            <w:vMerge/>
            <w:tcBorders>
              <w:right w:val="double" w:sz="4" w:space="0" w:color="auto"/>
            </w:tcBorders>
            <w:shd w:val="clear" w:color="000000" w:fill="FFFFFF"/>
            <w:tcMar>
              <w:left w:w="58" w:type="dxa"/>
              <w:right w:w="58" w:type="dxa"/>
            </w:tcMar>
            <w:vAlign w:val="center"/>
            <w:hideMark/>
          </w:tcPr>
          <w:p w14:paraId="57010631" w14:textId="77777777" w:rsidR="00DE243E" w:rsidRPr="001C447E" w:rsidRDefault="00DE243E" w:rsidP="00251E00">
            <w:pPr>
              <w:jc w:val="both"/>
              <w:rPr>
                <w:color w:val="000000"/>
                <w:sz w:val="20"/>
                <w:szCs w:val="20"/>
              </w:rPr>
            </w:pPr>
          </w:p>
        </w:tc>
        <w:tc>
          <w:tcPr>
            <w:tcW w:w="1296" w:type="dxa"/>
            <w:tcBorders>
              <w:left w:val="double" w:sz="4" w:space="0" w:color="auto"/>
            </w:tcBorders>
            <w:shd w:val="clear" w:color="000000" w:fill="FFFFFF"/>
            <w:tcMar>
              <w:left w:w="58" w:type="dxa"/>
              <w:right w:w="58" w:type="dxa"/>
            </w:tcMar>
            <w:vAlign w:val="center"/>
            <w:hideMark/>
          </w:tcPr>
          <w:p w14:paraId="5D575E11" w14:textId="77777777" w:rsidR="00DE243E" w:rsidRPr="001C447E" w:rsidRDefault="00DE243E" w:rsidP="00BD4720">
            <w:pPr>
              <w:jc w:val="center"/>
              <w:rPr>
                <w:b/>
                <w:bCs/>
                <w:color w:val="000000"/>
                <w:sz w:val="20"/>
                <w:szCs w:val="20"/>
              </w:rPr>
            </w:pPr>
            <w:r w:rsidRPr="001C447E">
              <w:rPr>
                <w:b/>
                <w:bCs/>
                <w:color w:val="000000"/>
                <w:sz w:val="20"/>
                <w:szCs w:val="20"/>
              </w:rPr>
              <w:t>Share</w:t>
            </w:r>
          </w:p>
        </w:tc>
        <w:tc>
          <w:tcPr>
            <w:tcW w:w="1296" w:type="dxa"/>
            <w:tcBorders>
              <w:right w:val="double" w:sz="4" w:space="0" w:color="auto"/>
            </w:tcBorders>
            <w:shd w:val="clear" w:color="000000" w:fill="FFFFFF"/>
            <w:tcMar>
              <w:left w:w="29" w:type="dxa"/>
              <w:right w:w="29" w:type="dxa"/>
            </w:tcMar>
            <w:vAlign w:val="center"/>
            <w:hideMark/>
          </w:tcPr>
          <w:p w14:paraId="24A008F0" w14:textId="42CA86AF" w:rsidR="00DE243E" w:rsidRPr="001C447E" w:rsidRDefault="00DE243E" w:rsidP="00BD4720">
            <w:pPr>
              <w:jc w:val="center"/>
              <w:rPr>
                <w:b/>
                <w:bCs/>
                <w:color w:val="000000"/>
                <w:sz w:val="20"/>
                <w:szCs w:val="20"/>
              </w:rPr>
            </w:pPr>
            <w:r w:rsidRPr="001C447E">
              <w:rPr>
                <w:b/>
                <w:bCs/>
                <w:color w:val="000000"/>
                <w:sz w:val="20"/>
                <w:szCs w:val="20"/>
              </w:rPr>
              <w:t>Preferred</w:t>
            </w:r>
            <w:r w:rsidR="00BD4720" w:rsidRPr="001C447E">
              <w:rPr>
                <w:b/>
                <w:bCs/>
                <w:color w:val="000000"/>
                <w:sz w:val="20"/>
                <w:szCs w:val="20"/>
              </w:rPr>
              <w:t xml:space="preserve"> </w:t>
            </w:r>
            <w:r w:rsidR="009B3295" w:rsidRPr="001C447E">
              <w:rPr>
                <w:b/>
                <w:bCs/>
                <w:color w:val="000000"/>
                <w:sz w:val="20"/>
                <w:szCs w:val="20"/>
              </w:rPr>
              <w:t xml:space="preserve">Telework </w:t>
            </w:r>
            <w:r w:rsidRPr="001C447E">
              <w:rPr>
                <w:b/>
                <w:bCs/>
                <w:color w:val="000000"/>
                <w:sz w:val="20"/>
                <w:szCs w:val="20"/>
              </w:rPr>
              <w:t>Monthly Consonance Level</w:t>
            </w:r>
            <w:r w:rsidR="009B3295" w:rsidRPr="001C447E">
              <w:rPr>
                <w:b/>
                <w:bCs/>
                <w:color w:val="000000"/>
                <w:sz w:val="20"/>
                <w:szCs w:val="20"/>
              </w:rPr>
              <w:t xml:space="preserve"> (Days)</w:t>
            </w:r>
          </w:p>
        </w:tc>
        <w:tc>
          <w:tcPr>
            <w:tcW w:w="1296" w:type="dxa"/>
            <w:tcBorders>
              <w:left w:val="double" w:sz="4" w:space="0" w:color="auto"/>
            </w:tcBorders>
            <w:shd w:val="clear" w:color="000000" w:fill="FFFFFF"/>
            <w:tcMar>
              <w:left w:w="58" w:type="dxa"/>
              <w:right w:w="58" w:type="dxa"/>
            </w:tcMar>
            <w:vAlign w:val="center"/>
            <w:hideMark/>
          </w:tcPr>
          <w:p w14:paraId="2A83A58C" w14:textId="77777777" w:rsidR="00DE243E" w:rsidRPr="001C447E" w:rsidRDefault="00DE243E" w:rsidP="00BD4720">
            <w:pPr>
              <w:jc w:val="center"/>
              <w:rPr>
                <w:b/>
                <w:bCs/>
                <w:color w:val="000000"/>
                <w:sz w:val="20"/>
                <w:szCs w:val="20"/>
              </w:rPr>
            </w:pPr>
            <w:r w:rsidRPr="001C447E">
              <w:rPr>
                <w:b/>
                <w:bCs/>
                <w:color w:val="000000"/>
                <w:sz w:val="20"/>
                <w:szCs w:val="20"/>
              </w:rPr>
              <w:t>Share</w:t>
            </w:r>
          </w:p>
        </w:tc>
        <w:tc>
          <w:tcPr>
            <w:tcW w:w="1296" w:type="dxa"/>
            <w:shd w:val="clear" w:color="000000" w:fill="FFFFFF"/>
            <w:tcMar>
              <w:left w:w="58" w:type="dxa"/>
              <w:right w:w="58" w:type="dxa"/>
            </w:tcMar>
            <w:vAlign w:val="center"/>
            <w:hideMark/>
          </w:tcPr>
          <w:p w14:paraId="1772B4D8" w14:textId="5E395ABE" w:rsidR="00DE243E" w:rsidRPr="001C447E" w:rsidRDefault="00DE243E" w:rsidP="00BD4720">
            <w:pPr>
              <w:jc w:val="center"/>
              <w:rPr>
                <w:b/>
                <w:bCs/>
                <w:color w:val="000000"/>
                <w:sz w:val="20"/>
                <w:szCs w:val="20"/>
              </w:rPr>
            </w:pPr>
            <w:r w:rsidRPr="001C447E">
              <w:rPr>
                <w:b/>
                <w:bCs/>
                <w:color w:val="000000"/>
                <w:sz w:val="20"/>
                <w:szCs w:val="20"/>
              </w:rPr>
              <w:t>Dissonance Intensity</w:t>
            </w:r>
            <w:r w:rsidR="009B3295" w:rsidRPr="001C447E">
              <w:rPr>
                <w:b/>
                <w:bCs/>
                <w:color w:val="000000"/>
                <w:sz w:val="20"/>
                <w:szCs w:val="20"/>
              </w:rPr>
              <w:t xml:space="preserve"> (Days)</w:t>
            </w:r>
          </w:p>
        </w:tc>
      </w:tr>
      <w:tr w:rsidR="00DE243E" w:rsidRPr="001C447E" w14:paraId="66557279" w14:textId="77777777" w:rsidTr="001C447E">
        <w:trPr>
          <w:trHeight w:val="230"/>
        </w:trPr>
        <w:tc>
          <w:tcPr>
            <w:tcW w:w="9319" w:type="dxa"/>
            <w:gridSpan w:val="5"/>
            <w:tcBorders>
              <w:top w:val="double" w:sz="4" w:space="0" w:color="auto"/>
            </w:tcBorders>
            <w:shd w:val="clear" w:color="000000" w:fill="FFFFFF"/>
            <w:tcMar>
              <w:left w:w="58" w:type="dxa"/>
              <w:right w:w="58" w:type="dxa"/>
            </w:tcMar>
            <w:vAlign w:val="center"/>
            <w:hideMark/>
          </w:tcPr>
          <w:p w14:paraId="0E90DC05" w14:textId="77777777" w:rsidR="00DE243E" w:rsidRPr="001C447E" w:rsidRDefault="00DE243E" w:rsidP="00251E00">
            <w:pPr>
              <w:rPr>
                <w:b/>
                <w:bCs/>
                <w:i/>
                <w:iCs/>
                <w:color w:val="000000"/>
                <w:sz w:val="20"/>
                <w:szCs w:val="20"/>
              </w:rPr>
            </w:pPr>
            <w:r w:rsidRPr="001C447E">
              <w:rPr>
                <w:b/>
                <w:bCs/>
                <w:i/>
                <w:iCs/>
                <w:color w:val="000000"/>
                <w:sz w:val="20"/>
                <w:szCs w:val="20"/>
              </w:rPr>
              <w:t>Individual-Level Characteristics</w:t>
            </w:r>
          </w:p>
        </w:tc>
      </w:tr>
      <w:tr w:rsidR="00DE243E" w:rsidRPr="001C447E" w14:paraId="0C95A1C6" w14:textId="77777777" w:rsidTr="001C447E">
        <w:trPr>
          <w:trHeight w:val="230"/>
        </w:trPr>
        <w:tc>
          <w:tcPr>
            <w:tcW w:w="9319" w:type="dxa"/>
            <w:gridSpan w:val="5"/>
            <w:shd w:val="clear" w:color="000000" w:fill="FFFFFF"/>
            <w:tcMar>
              <w:left w:w="58" w:type="dxa"/>
              <w:right w:w="58" w:type="dxa"/>
            </w:tcMar>
            <w:vAlign w:val="center"/>
            <w:hideMark/>
          </w:tcPr>
          <w:p w14:paraId="771570CF" w14:textId="77777777" w:rsidR="00DE243E" w:rsidRPr="001C447E" w:rsidRDefault="00DE243E" w:rsidP="00251E00">
            <w:pPr>
              <w:rPr>
                <w:b/>
                <w:bCs/>
                <w:color w:val="000000"/>
                <w:sz w:val="20"/>
                <w:szCs w:val="20"/>
              </w:rPr>
            </w:pPr>
            <w:r w:rsidRPr="001C447E">
              <w:rPr>
                <w:b/>
                <w:bCs/>
                <w:color w:val="000000"/>
                <w:sz w:val="20"/>
                <w:szCs w:val="20"/>
              </w:rPr>
              <w:t>Gendered Lifecycle and Employment Status Variables</w:t>
            </w:r>
          </w:p>
        </w:tc>
      </w:tr>
      <w:tr w:rsidR="00BD4720" w:rsidRPr="001C447E" w14:paraId="4D4971F0"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3D188643" w14:textId="3E2EEF38" w:rsidR="00DE243E" w:rsidRPr="001C447E" w:rsidRDefault="00DE243E" w:rsidP="00BD4720">
            <w:pPr>
              <w:ind w:firstLineChars="100" w:firstLine="200"/>
              <w:rPr>
                <w:color w:val="000000"/>
                <w:sz w:val="20"/>
                <w:szCs w:val="20"/>
              </w:rPr>
            </w:pPr>
            <w:r w:rsidRPr="001C447E">
              <w:rPr>
                <w:color w:val="000000"/>
                <w:sz w:val="20"/>
                <w:szCs w:val="20"/>
              </w:rPr>
              <w:t>Full-time Employed Males with Partner</w:t>
            </w:r>
          </w:p>
        </w:tc>
        <w:tc>
          <w:tcPr>
            <w:tcW w:w="1296" w:type="dxa"/>
            <w:tcBorders>
              <w:left w:val="double" w:sz="4" w:space="0" w:color="auto"/>
            </w:tcBorders>
            <w:shd w:val="clear" w:color="000000" w:fill="FFFFFF"/>
            <w:noWrap/>
            <w:tcMar>
              <w:left w:w="58" w:type="dxa"/>
              <w:right w:w="58" w:type="dxa"/>
            </w:tcMar>
            <w:vAlign w:val="center"/>
            <w:hideMark/>
          </w:tcPr>
          <w:p w14:paraId="70E39360" w14:textId="77777777" w:rsidR="00DE243E" w:rsidRPr="001C447E" w:rsidRDefault="00DE243E" w:rsidP="00BD4720">
            <w:pPr>
              <w:jc w:val="right"/>
              <w:rPr>
                <w:color w:val="000000"/>
                <w:sz w:val="20"/>
                <w:szCs w:val="20"/>
              </w:rPr>
            </w:pPr>
            <w:r w:rsidRPr="001C447E">
              <w:rPr>
                <w:color w:val="000000"/>
                <w:sz w:val="20"/>
                <w:szCs w:val="20"/>
              </w:rPr>
              <w:t>43.9%</w:t>
            </w:r>
          </w:p>
        </w:tc>
        <w:tc>
          <w:tcPr>
            <w:tcW w:w="1296" w:type="dxa"/>
            <w:tcBorders>
              <w:right w:val="double" w:sz="4" w:space="0" w:color="auto"/>
            </w:tcBorders>
            <w:shd w:val="clear" w:color="000000" w:fill="FFFFFF"/>
            <w:noWrap/>
            <w:tcMar>
              <w:left w:w="58" w:type="dxa"/>
              <w:right w:w="58" w:type="dxa"/>
            </w:tcMar>
            <w:vAlign w:val="center"/>
            <w:hideMark/>
          </w:tcPr>
          <w:p w14:paraId="6599BE50" w14:textId="77777777" w:rsidR="00DE243E" w:rsidRPr="001C447E" w:rsidRDefault="00DE243E" w:rsidP="00BD4720">
            <w:pPr>
              <w:jc w:val="right"/>
              <w:rPr>
                <w:color w:val="000000"/>
                <w:sz w:val="20"/>
                <w:szCs w:val="20"/>
              </w:rPr>
            </w:pPr>
            <w:r w:rsidRPr="001C447E">
              <w:rPr>
                <w:color w:val="000000"/>
                <w:sz w:val="20"/>
                <w:szCs w:val="20"/>
              </w:rPr>
              <w:t>5.8</w:t>
            </w:r>
          </w:p>
        </w:tc>
        <w:tc>
          <w:tcPr>
            <w:tcW w:w="1296" w:type="dxa"/>
            <w:tcBorders>
              <w:left w:val="double" w:sz="4" w:space="0" w:color="auto"/>
            </w:tcBorders>
            <w:shd w:val="clear" w:color="000000" w:fill="FFFFFF"/>
            <w:noWrap/>
            <w:tcMar>
              <w:left w:w="58" w:type="dxa"/>
              <w:right w:w="58" w:type="dxa"/>
            </w:tcMar>
            <w:vAlign w:val="center"/>
            <w:hideMark/>
          </w:tcPr>
          <w:p w14:paraId="5626E764" w14:textId="77777777" w:rsidR="00DE243E" w:rsidRPr="001C447E" w:rsidRDefault="00DE243E" w:rsidP="00BD4720">
            <w:pPr>
              <w:jc w:val="right"/>
              <w:rPr>
                <w:color w:val="000000"/>
                <w:sz w:val="20"/>
                <w:szCs w:val="20"/>
              </w:rPr>
            </w:pPr>
            <w:r w:rsidRPr="001C447E">
              <w:rPr>
                <w:color w:val="000000"/>
                <w:sz w:val="20"/>
                <w:szCs w:val="20"/>
              </w:rPr>
              <w:t>56.1%</w:t>
            </w:r>
          </w:p>
        </w:tc>
        <w:tc>
          <w:tcPr>
            <w:tcW w:w="1296" w:type="dxa"/>
            <w:shd w:val="clear" w:color="000000" w:fill="FFFFFF"/>
            <w:noWrap/>
            <w:tcMar>
              <w:left w:w="58" w:type="dxa"/>
              <w:right w:w="58" w:type="dxa"/>
            </w:tcMar>
            <w:vAlign w:val="center"/>
            <w:hideMark/>
          </w:tcPr>
          <w:p w14:paraId="2D87C97C" w14:textId="77777777" w:rsidR="00DE243E" w:rsidRPr="001C447E" w:rsidRDefault="00DE243E" w:rsidP="00BD4720">
            <w:pPr>
              <w:jc w:val="right"/>
              <w:rPr>
                <w:color w:val="000000"/>
                <w:sz w:val="20"/>
                <w:szCs w:val="20"/>
              </w:rPr>
            </w:pPr>
            <w:r w:rsidRPr="001C447E">
              <w:rPr>
                <w:color w:val="000000"/>
                <w:sz w:val="20"/>
                <w:szCs w:val="20"/>
              </w:rPr>
              <w:t>4.8</w:t>
            </w:r>
          </w:p>
        </w:tc>
      </w:tr>
      <w:tr w:rsidR="00BD4720" w:rsidRPr="001C447E" w14:paraId="0F3ACC6F"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71455FF2" w14:textId="299C1B99" w:rsidR="00DE243E" w:rsidRPr="001C447E" w:rsidRDefault="00DE243E" w:rsidP="00BD4720">
            <w:pPr>
              <w:ind w:firstLineChars="100" w:firstLine="200"/>
              <w:rPr>
                <w:color w:val="000000"/>
                <w:sz w:val="20"/>
                <w:szCs w:val="20"/>
              </w:rPr>
            </w:pPr>
            <w:r w:rsidRPr="001C447E">
              <w:rPr>
                <w:color w:val="000000"/>
                <w:sz w:val="20"/>
                <w:szCs w:val="20"/>
              </w:rPr>
              <w:t>Full-time Employed Males without Partner</w:t>
            </w:r>
          </w:p>
        </w:tc>
        <w:tc>
          <w:tcPr>
            <w:tcW w:w="1296" w:type="dxa"/>
            <w:tcBorders>
              <w:left w:val="double" w:sz="4" w:space="0" w:color="auto"/>
            </w:tcBorders>
            <w:shd w:val="clear" w:color="000000" w:fill="FFFFFF"/>
            <w:noWrap/>
            <w:tcMar>
              <w:left w:w="58" w:type="dxa"/>
              <w:right w:w="58" w:type="dxa"/>
            </w:tcMar>
            <w:vAlign w:val="center"/>
            <w:hideMark/>
          </w:tcPr>
          <w:p w14:paraId="0D7EB1C4" w14:textId="77777777" w:rsidR="00DE243E" w:rsidRPr="001C447E" w:rsidRDefault="00DE243E" w:rsidP="00BD4720">
            <w:pPr>
              <w:jc w:val="right"/>
              <w:rPr>
                <w:color w:val="000000"/>
                <w:sz w:val="20"/>
                <w:szCs w:val="20"/>
              </w:rPr>
            </w:pPr>
            <w:r w:rsidRPr="001C447E">
              <w:rPr>
                <w:color w:val="000000"/>
                <w:sz w:val="20"/>
                <w:szCs w:val="20"/>
              </w:rPr>
              <w:t>54.3%</w:t>
            </w:r>
          </w:p>
        </w:tc>
        <w:tc>
          <w:tcPr>
            <w:tcW w:w="1296" w:type="dxa"/>
            <w:tcBorders>
              <w:right w:val="double" w:sz="4" w:space="0" w:color="auto"/>
            </w:tcBorders>
            <w:shd w:val="clear" w:color="000000" w:fill="FFFFFF"/>
            <w:noWrap/>
            <w:tcMar>
              <w:left w:w="58" w:type="dxa"/>
              <w:right w:w="58" w:type="dxa"/>
            </w:tcMar>
            <w:vAlign w:val="center"/>
            <w:hideMark/>
          </w:tcPr>
          <w:p w14:paraId="50766094" w14:textId="77777777" w:rsidR="00DE243E" w:rsidRPr="001C447E" w:rsidRDefault="00DE243E" w:rsidP="00BD4720">
            <w:pPr>
              <w:jc w:val="right"/>
              <w:rPr>
                <w:color w:val="000000"/>
                <w:sz w:val="20"/>
                <w:szCs w:val="20"/>
              </w:rPr>
            </w:pPr>
            <w:r w:rsidRPr="001C447E">
              <w:rPr>
                <w:color w:val="000000"/>
                <w:sz w:val="20"/>
                <w:szCs w:val="20"/>
              </w:rPr>
              <w:t>7.5</w:t>
            </w:r>
          </w:p>
        </w:tc>
        <w:tc>
          <w:tcPr>
            <w:tcW w:w="1296" w:type="dxa"/>
            <w:tcBorders>
              <w:left w:val="double" w:sz="4" w:space="0" w:color="auto"/>
            </w:tcBorders>
            <w:shd w:val="clear" w:color="000000" w:fill="FFFFFF"/>
            <w:noWrap/>
            <w:tcMar>
              <w:left w:w="58" w:type="dxa"/>
              <w:right w:w="58" w:type="dxa"/>
            </w:tcMar>
            <w:vAlign w:val="center"/>
            <w:hideMark/>
          </w:tcPr>
          <w:p w14:paraId="6863E654" w14:textId="77777777" w:rsidR="00DE243E" w:rsidRPr="001C447E" w:rsidRDefault="00DE243E" w:rsidP="00BD4720">
            <w:pPr>
              <w:jc w:val="right"/>
              <w:rPr>
                <w:color w:val="000000"/>
                <w:sz w:val="20"/>
                <w:szCs w:val="20"/>
              </w:rPr>
            </w:pPr>
            <w:r w:rsidRPr="001C447E">
              <w:rPr>
                <w:color w:val="000000"/>
                <w:sz w:val="20"/>
                <w:szCs w:val="20"/>
              </w:rPr>
              <w:t>45.7%</w:t>
            </w:r>
          </w:p>
        </w:tc>
        <w:tc>
          <w:tcPr>
            <w:tcW w:w="1296" w:type="dxa"/>
            <w:shd w:val="clear" w:color="000000" w:fill="FFFFFF"/>
            <w:noWrap/>
            <w:tcMar>
              <w:left w:w="58" w:type="dxa"/>
              <w:right w:w="58" w:type="dxa"/>
            </w:tcMar>
            <w:vAlign w:val="center"/>
            <w:hideMark/>
          </w:tcPr>
          <w:p w14:paraId="5B88192D" w14:textId="77777777" w:rsidR="00DE243E" w:rsidRPr="001C447E" w:rsidRDefault="00DE243E" w:rsidP="00BD4720">
            <w:pPr>
              <w:jc w:val="right"/>
              <w:rPr>
                <w:color w:val="000000"/>
                <w:sz w:val="20"/>
                <w:szCs w:val="20"/>
              </w:rPr>
            </w:pPr>
            <w:r w:rsidRPr="001C447E">
              <w:rPr>
                <w:color w:val="000000"/>
                <w:sz w:val="20"/>
                <w:szCs w:val="20"/>
              </w:rPr>
              <w:t>3.9</w:t>
            </w:r>
          </w:p>
        </w:tc>
      </w:tr>
      <w:tr w:rsidR="00BD4720" w:rsidRPr="001C447E" w14:paraId="3914814F"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577EC217" w14:textId="64DB97C5" w:rsidR="00DE243E" w:rsidRPr="001C447E" w:rsidRDefault="00DE243E" w:rsidP="00BD4720">
            <w:pPr>
              <w:ind w:firstLineChars="100" w:firstLine="200"/>
              <w:rPr>
                <w:color w:val="000000"/>
                <w:sz w:val="20"/>
                <w:szCs w:val="20"/>
              </w:rPr>
            </w:pPr>
            <w:r w:rsidRPr="001C447E">
              <w:rPr>
                <w:color w:val="000000"/>
                <w:sz w:val="20"/>
                <w:szCs w:val="20"/>
              </w:rPr>
              <w:t>Full-time Employed Females with Partner</w:t>
            </w:r>
          </w:p>
        </w:tc>
        <w:tc>
          <w:tcPr>
            <w:tcW w:w="1296" w:type="dxa"/>
            <w:tcBorders>
              <w:left w:val="double" w:sz="4" w:space="0" w:color="auto"/>
            </w:tcBorders>
            <w:shd w:val="clear" w:color="000000" w:fill="FFFFFF"/>
            <w:noWrap/>
            <w:tcMar>
              <w:left w:w="58" w:type="dxa"/>
              <w:right w:w="58" w:type="dxa"/>
            </w:tcMar>
            <w:vAlign w:val="center"/>
            <w:hideMark/>
          </w:tcPr>
          <w:p w14:paraId="34E8D3C2" w14:textId="77777777" w:rsidR="00DE243E" w:rsidRPr="001C447E" w:rsidRDefault="00DE243E" w:rsidP="00BD4720">
            <w:pPr>
              <w:jc w:val="right"/>
              <w:rPr>
                <w:color w:val="000000"/>
                <w:sz w:val="20"/>
                <w:szCs w:val="20"/>
              </w:rPr>
            </w:pPr>
            <w:r w:rsidRPr="001C447E">
              <w:rPr>
                <w:color w:val="000000"/>
                <w:sz w:val="20"/>
                <w:szCs w:val="20"/>
              </w:rPr>
              <w:t>43.9%</w:t>
            </w:r>
          </w:p>
        </w:tc>
        <w:tc>
          <w:tcPr>
            <w:tcW w:w="1296" w:type="dxa"/>
            <w:tcBorders>
              <w:right w:val="double" w:sz="4" w:space="0" w:color="auto"/>
            </w:tcBorders>
            <w:shd w:val="clear" w:color="000000" w:fill="FFFFFF"/>
            <w:noWrap/>
            <w:tcMar>
              <w:left w:w="58" w:type="dxa"/>
              <w:right w:w="58" w:type="dxa"/>
            </w:tcMar>
            <w:vAlign w:val="center"/>
            <w:hideMark/>
          </w:tcPr>
          <w:p w14:paraId="6310866D" w14:textId="77777777" w:rsidR="00DE243E" w:rsidRPr="001C447E" w:rsidRDefault="00DE243E" w:rsidP="00BD4720">
            <w:pPr>
              <w:jc w:val="right"/>
              <w:rPr>
                <w:color w:val="000000"/>
                <w:sz w:val="20"/>
                <w:szCs w:val="20"/>
              </w:rPr>
            </w:pPr>
            <w:r w:rsidRPr="001C447E">
              <w:rPr>
                <w:color w:val="000000"/>
                <w:sz w:val="20"/>
                <w:szCs w:val="20"/>
              </w:rPr>
              <w:t>5.8</w:t>
            </w:r>
          </w:p>
        </w:tc>
        <w:tc>
          <w:tcPr>
            <w:tcW w:w="1296" w:type="dxa"/>
            <w:tcBorders>
              <w:left w:val="double" w:sz="4" w:space="0" w:color="auto"/>
            </w:tcBorders>
            <w:shd w:val="clear" w:color="000000" w:fill="FFFFFF"/>
            <w:noWrap/>
            <w:tcMar>
              <w:left w:w="58" w:type="dxa"/>
              <w:right w:w="58" w:type="dxa"/>
            </w:tcMar>
            <w:vAlign w:val="center"/>
            <w:hideMark/>
          </w:tcPr>
          <w:p w14:paraId="0C01F258" w14:textId="77777777" w:rsidR="00DE243E" w:rsidRPr="001C447E" w:rsidRDefault="00DE243E" w:rsidP="00BD4720">
            <w:pPr>
              <w:jc w:val="right"/>
              <w:rPr>
                <w:color w:val="000000"/>
                <w:sz w:val="20"/>
                <w:szCs w:val="20"/>
              </w:rPr>
            </w:pPr>
            <w:r w:rsidRPr="001C447E">
              <w:rPr>
                <w:color w:val="000000"/>
                <w:sz w:val="20"/>
                <w:szCs w:val="20"/>
              </w:rPr>
              <w:t>56.1%</w:t>
            </w:r>
          </w:p>
        </w:tc>
        <w:tc>
          <w:tcPr>
            <w:tcW w:w="1296" w:type="dxa"/>
            <w:shd w:val="clear" w:color="000000" w:fill="FFFFFF"/>
            <w:noWrap/>
            <w:tcMar>
              <w:left w:w="58" w:type="dxa"/>
              <w:right w:w="58" w:type="dxa"/>
            </w:tcMar>
            <w:vAlign w:val="center"/>
            <w:hideMark/>
          </w:tcPr>
          <w:p w14:paraId="41BADF47" w14:textId="77777777" w:rsidR="00DE243E" w:rsidRPr="001C447E" w:rsidRDefault="00DE243E" w:rsidP="00BD4720">
            <w:pPr>
              <w:jc w:val="right"/>
              <w:rPr>
                <w:color w:val="000000"/>
                <w:sz w:val="20"/>
                <w:szCs w:val="20"/>
              </w:rPr>
            </w:pPr>
            <w:r w:rsidRPr="001C447E">
              <w:rPr>
                <w:color w:val="000000"/>
                <w:sz w:val="20"/>
                <w:szCs w:val="20"/>
              </w:rPr>
              <w:t>4.8</w:t>
            </w:r>
          </w:p>
        </w:tc>
      </w:tr>
      <w:tr w:rsidR="00BD4720" w:rsidRPr="001C447E" w14:paraId="0EB1840F"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4ABA1347" w14:textId="575A3C94" w:rsidR="00DE243E" w:rsidRPr="001C447E" w:rsidRDefault="00DE243E" w:rsidP="00BD4720">
            <w:pPr>
              <w:ind w:firstLineChars="100" w:firstLine="200"/>
              <w:rPr>
                <w:color w:val="000000"/>
                <w:sz w:val="20"/>
                <w:szCs w:val="20"/>
              </w:rPr>
            </w:pPr>
            <w:r w:rsidRPr="001C447E">
              <w:rPr>
                <w:color w:val="000000"/>
                <w:sz w:val="20"/>
                <w:szCs w:val="20"/>
              </w:rPr>
              <w:t xml:space="preserve">Full-time Employed Females without Partner </w:t>
            </w:r>
          </w:p>
        </w:tc>
        <w:tc>
          <w:tcPr>
            <w:tcW w:w="1296" w:type="dxa"/>
            <w:tcBorders>
              <w:left w:val="double" w:sz="4" w:space="0" w:color="auto"/>
            </w:tcBorders>
            <w:shd w:val="clear" w:color="000000" w:fill="FFFFFF"/>
            <w:noWrap/>
            <w:tcMar>
              <w:left w:w="58" w:type="dxa"/>
              <w:right w:w="58" w:type="dxa"/>
            </w:tcMar>
            <w:vAlign w:val="center"/>
            <w:hideMark/>
          </w:tcPr>
          <w:p w14:paraId="5F825D23" w14:textId="77777777" w:rsidR="00DE243E" w:rsidRPr="001C447E" w:rsidRDefault="00DE243E" w:rsidP="00BD4720">
            <w:pPr>
              <w:jc w:val="right"/>
              <w:rPr>
                <w:color w:val="000000"/>
                <w:sz w:val="20"/>
                <w:szCs w:val="20"/>
              </w:rPr>
            </w:pPr>
            <w:r w:rsidRPr="001C447E">
              <w:rPr>
                <w:color w:val="000000"/>
                <w:sz w:val="20"/>
                <w:szCs w:val="20"/>
              </w:rPr>
              <w:t>55.1%</w:t>
            </w:r>
          </w:p>
        </w:tc>
        <w:tc>
          <w:tcPr>
            <w:tcW w:w="1296" w:type="dxa"/>
            <w:tcBorders>
              <w:right w:val="double" w:sz="4" w:space="0" w:color="auto"/>
            </w:tcBorders>
            <w:shd w:val="clear" w:color="000000" w:fill="FFFFFF"/>
            <w:noWrap/>
            <w:tcMar>
              <w:left w:w="58" w:type="dxa"/>
              <w:right w:w="58" w:type="dxa"/>
            </w:tcMar>
            <w:vAlign w:val="center"/>
            <w:hideMark/>
          </w:tcPr>
          <w:p w14:paraId="273BF975" w14:textId="77777777" w:rsidR="00DE243E" w:rsidRPr="001C447E" w:rsidRDefault="00DE243E" w:rsidP="00BD4720">
            <w:pPr>
              <w:jc w:val="right"/>
              <w:rPr>
                <w:color w:val="000000"/>
                <w:sz w:val="20"/>
                <w:szCs w:val="20"/>
              </w:rPr>
            </w:pPr>
            <w:r w:rsidRPr="001C447E">
              <w:rPr>
                <w:color w:val="000000"/>
                <w:sz w:val="20"/>
                <w:szCs w:val="20"/>
              </w:rPr>
              <w:t>8.0</w:t>
            </w:r>
          </w:p>
        </w:tc>
        <w:tc>
          <w:tcPr>
            <w:tcW w:w="1296" w:type="dxa"/>
            <w:tcBorders>
              <w:left w:val="double" w:sz="4" w:space="0" w:color="auto"/>
            </w:tcBorders>
            <w:shd w:val="clear" w:color="000000" w:fill="FFFFFF"/>
            <w:noWrap/>
            <w:tcMar>
              <w:left w:w="58" w:type="dxa"/>
              <w:right w:w="58" w:type="dxa"/>
            </w:tcMar>
            <w:vAlign w:val="center"/>
            <w:hideMark/>
          </w:tcPr>
          <w:p w14:paraId="42DDCD01" w14:textId="77777777" w:rsidR="00DE243E" w:rsidRPr="001C447E" w:rsidRDefault="00DE243E" w:rsidP="00BD4720">
            <w:pPr>
              <w:jc w:val="right"/>
              <w:rPr>
                <w:color w:val="000000"/>
                <w:sz w:val="20"/>
                <w:szCs w:val="20"/>
              </w:rPr>
            </w:pPr>
            <w:r w:rsidRPr="001C447E">
              <w:rPr>
                <w:color w:val="000000"/>
                <w:sz w:val="20"/>
                <w:szCs w:val="20"/>
              </w:rPr>
              <w:t>44.9%</w:t>
            </w:r>
          </w:p>
        </w:tc>
        <w:tc>
          <w:tcPr>
            <w:tcW w:w="1296" w:type="dxa"/>
            <w:shd w:val="clear" w:color="000000" w:fill="FFFFFF"/>
            <w:noWrap/>
            <w:tcMar>
              <w:left w:w="58" w:type="dxa"/>
              <w:right w:w="58" w:type="dxa"/>
            </w:tcMar>
            <w:vAlign w:val="center"/>
            <w:hideMark/>
          </w:tcPr>
          <w:p w14:paraId="520E6E7D" w14:textId="77777777" w:rsidR="00DE243E" w:rsidRPr="001C447E" w:rsidRDefault="00DE243E" w:rsidP="00BD4720">
            <w:pPr>
              <w:jc w:val="right"/>
              <w:rPr>
                <w:color w:val="000000"/>
                <w:sz w:val="20"/>
                <w:szCs w:val="20"/>
              </w:rPr>
            </w:pPr>
            <w:r w:rsidRPr="001C447E">
              <w:rPr>
                <w:color w:val="000000"/>
                <w:sz w:val="20"/>
                <w:szCs w:val="20"/>
              </w:rPr>
              <w:t>4.0</w:t>
            </w:r>
          </w:p>
        </w:tc>
      </w:tr>
      <w:tr w:rsidR="00BD4720" w:rsidRPr="001C447E" w14:paraId="1298810A"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3D616C9F" w14:textId="3BD2D5B4" w:rsidR="00DE243E" w:rsidRPr="001C447E" w:rsidRDefault="00DE243E" w:rsidP="00BD4720">
            <w:pPr>
              <w:ind w:firstLineChars="100" w:firstLine="200"/>
              <w:rPr>
                <w:color w:val="000000"/>
                <w:sz w:val="20"/>
                <w:szCs w:val="20"/>
              </w:rPr>
            </w:pPr>
            <w:r w:rsidRPr="001C447E">
              <w:rPr>
                <w:color w:val="000000"/>
                <w:sz w:val="20"/>
                <w:szCs w:val="20"/>
              </w:rPr>
              <w:t xml:space="preserve">Part-time Employed Males with Partner </w:t>
            </w:r>
          </w:p>
        </w:tc>
        <w:tc>
          <w:tcPr>
            <w:tcW w:w="1296" w:type="dxa"/>
            <w:tcBorders>
              <w:left w:val="double" w:sz="4" w:space="0" w:color="auto"/>
            </w:tcBorders>
            <w:shd w:val="clear" w:color="000000" w:fill="FFFFFF"/>
            <w:noWrap/>
            <w:tcMar>
              <w:left w:w="58" w:type="dxa"/>
              <w:right w:w="58" w:type="dxa"/>
            </w:tcMar>
            <w:vAlign w:val="center"/>
            <w:hideMark/>
          </w:tcPr>
          <w:p w14:paraId="5D90E062" w14:textId="77777777" w:rsidR="00DE243E" w:rsidRPr="001C447E" w:rsidRDefault="00DE243E" w:rsidP="00BD4720">
            <w:pPr>
              <w:jc w:val="right"/>
              <w:rPr>
                <w:color w:val="000000"/>
                <w:sz w:val="20"/>
                <w:szCs w:val="20"/>
              </w:rPr>
            </w:pPr>
            <w:r w:rsidRPr="001C447E">
              <w:rPr>
                <w:color w:val="000000"/>
                <w:sz w:val="20"/>
                <w:szCs w:val="20"/>
              </w:rPr>
              <w:t>51.3%</w:t>
            </w:r>
          </w:p>
        </w:tc>
        <w:tc>
          <w:tcPr>
            <w:tcW w:w="1296" w:type="dxa"/>
            <w:tcBorders>
              <w:right w:val="double" w:sz="4" w:space="0" w:color="auto"/>
            </w:tcBorders>
            <w:shd w:val="clear" w:color="000000" w:fill="FFFFFF"/>
            <w:noWrap/>
            <w:tcMar>
              <w:left w:w="58" w:type="dxa"/>
              <w:right w:w="58" w:type="dxa"/>
            </w:tcMar>
            <w:vAlign w:val="center"/>
            <w:hideMark/>
          </w:tcPr>
          <w:p w14:paraId="19FCFA87" w14:textId="77777777" w:rsidR="00DE243E" w:rsidRPr="001C447E" w:rsidRDefault="00DE243E" w:rsidP="00BD4720">
            <w:pPr>
              <w:jc w:val="right"/>
              <w:rPr>
                <w:color w:val="000000"/>
                <w:sz w:val="20"/>
                <w:szCs w:val="20"/>
              </w:rPr>
            </w:pPr>
            <w:r w:rsidRPr="001C447E">
              <w:rPr>
                <w:color w:val="000000"/>
                <w:sz w:val="20"/>
                <w:szCs w:val="20"/>
              </w:rPr>
              <w:t>7.1</w:t>
            </w:r>
          </w:p>
        </w:tc>
        <w:tc>
          <w:tcPr>
            <w:tcW w:w="1296" w:type="dxa"/>
            <w:tcBorders>
              <w:left w:val="double" w:sz="4" w:space="0" w:color="auto"/>
            </w:tcBorders>
            <w:shd w:val="clear" w:color="000000" w:fill="FFFFFF"/>
            <w:noWrap/>
            <w:tcMar>
              <w:left w:w="58" w:type="dxa"/>
              <w:right w:w="58" w:type="dxa"/>
            </w:tcMar>
            <w:vAlign w:val="center"/>
            <w:hideMark/>
          </w:tcPr>
          <w:p w14:paraId="1923C83D" w14:textId="77777777" w:rsidR="00DE243E" w:rsidRPr="001C447E" w:rsidRDefault="00DE243E" w:rsidP="00BD4720">
            <w:pPr>
              <w:jc w:val="right"/>
              <w:rPr>
                <w:color w:val="000000"/>
                <w:sz w:val="20"/>
                <w:szCs w:val="20"/>
              </w:rPr>
            </w:pPr>
            <w:r w:rsidRPr="001C447E">
              <w:rPr>
                <w:color w:val="000000"/>
                <w:sz w:val="20"/>
                <w:szCs w:val="20"/>
              </w:rPr>
              <w:t>48.7%</w:t>
            </w:r>
          </w:p>
        </w:tc>
        <w:tc>
          <w:tcPr>
            <w:tcW w:w="1296" w:type="dxa"/>
            <w:shd w:val="clear" w:color="000000" w:fill="FFFFFF"/>
            <w:noWrap/>
            <w:tcMar>
              <w:left w:w="58" w:type="dxa"/>
              <w:right w:w="58" w:type="dxa"/>
            </w:tcMar>
            <w:vAlign w:val="center"/>
            <w:hideMark/>
          </w:tcPr>
          <w:p w14:paraId="0CC592AC" w14:textId="77777777" w:rsidR="00DE243E" w:rsidRPr="001C447E" w:rsidRDefault="00DE243E" w:rsidP="00BD4720">
            <w:pPr>
              <w:jc w:val="right"/>
              <w:rPr>
                <w:color w:val="000000"/>
                <w:sz w:val="20"/>
                <w:szCs w:val="20"/>
              </w:rPr>
            </w:pPr>
            <w:r w:rsidRPr="001C447E">
              <w:rPr>
                <w:color w:val="000000"/>
                <w:sz w:val="20"/>
                <w:szCs w:val="20"/>
              </w:rPr>
              <w:t>3.5</w:t>
            </w:r>
          </w:p>
        </w:tc>
      </w:tr>
      <w:tr w:rsidR="00BD4720" w:rsidRPr="001C447E" w14:paraId="73569186"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7ED0A548" w14:textId="225D2F5D" w:rsidR="00DE243E" w:rsidRPr="001C447E" w:rsidRDefault="00DE243E" w:rsidP="00BD4720">
            <w:pPr>
              <w:ind w:firstLineChars="100" w:firstLine="200"/>
              <w:rPr>
                <w:color w:val="000000"/>
                <w:sz w:val="20"/>
                <w:szCs w:val="20"/>
              </w:rPr>
            </w:pPr>
            <w:r w:rsidRPr="001C447E">
              <w:rPr>
                <w:color w:val="000000"/>
                <w:sz w:val="20"/>
                <w:szCs w:val="20"/>
              </w:rPr>
              <w:t xml:space="preserve">Part-time Employed Males without Partner </w:t>
            </w:r>
          </w:p>
        </w:tc>
        <w:tc>
          <w:tcPr>
            <w:tcW w:w="1296" w:type="dxa"/>
            <w:tcBorders>
              <w:left w:val="double" w:sz="4" w:space="0" w:color="auto"/>
            </w:tcBorders>
            <w:shd w:val="clear" w:color="000000" w:fill="FFFFFF"/>
            <w:noWrap/>
            <w:tcMar>
              <w:left w:w="58" w:type="dxa"/>
              <w:right w:w="58" w:type="dxa"/>
            </w:tcMar>
            <w:vAlign w:val="center"/>
            <w:hideMark/>
          </w:tcPr>
          <w:p w14:paraId="2561C7A6" w14:textId="77777777" w:rsidR="00DE243E" w:rsidRPr="001C447E" w:rsidRDefault="00DE243E" w:rsidP="00BD4720">
            <w:pPr>
              <w:jc w:val="right"/>
              <w:rPr>
                <w:color w:val="000000"/>
                <w:sz w:val="20"/>
                <w:szCs w:val="20"/>
              </w:rPr>
            </w:pPr>
            <w:r w:rsidRPr="001C447E">
              <w:rPr>
                <w:color w:val="000000"/>
                <w:sz w:val="20"/>
                <w:szCs w:val="20"/>
              </w:rPr>
              <w:t>62.7%</w:t>
            </w:r>
          </w:p>
        </w:tc>
        <w:tc>
          <w:tcPr>
            <w:tcW w:w="1296" w:type="dxa"/>
            <w:tcBorders>
              <w:right w:val="double" w:sz="4" w:space="0" w:color="auto"/>
            </w:tcBorders>
            <w:shd w:val="clear" w:color="000000" w:fill="FFFFFF"/>
            <w:noWrap/>
            <w:tcMar>
              <w:left w:w="58" w:type="dxa"/>
              <w:right w:w="58" w:type="dxa"/>
            </w:tcMar>
            <w:vAlign w:val="center"/>
            <w:hideMark/>
          </w:tcPr>
          <w:p w14:paraId="3334F4F6" w14:textId="77777777" w:rsidR="00DE243E" w:rsidRPr="001C447E" w:rsidRDefault="00DE243E" w:rsidP="00BD4720">
            <w:pPr>
              <w:jc w:val="right"/>
              <w:rPr>
                <w:color w:val="000000"/>
                <w:sz w:val="20"/>
                <w:szCs w:val="20"/>
              </w:rPr>
            </w:pPr>
            <w:r w:rsidRPr="001C447E">
              <w:rPr>
                <w:color w:val="000000"/>
                <w:sz w:val="20"/>
                <w:szCs w:val="20"/>
              </w:rPr>
              <w:t>9.1</w:t>
            </w:r>
          </w:p>
        </w:tc>
        <w:tc>
          <w:tcPr>
            <w:tcW w:w="1296" w:type="dxa"/>
            <w:tcBorders>
              <w:left w:val="double" w:sz="4" w:space="0" w:color="auto"/>
            </w:tcBorders>
            <w:shd w:val="clear" w:color="000000" w:fill="FFFFFF"/>
            <w:noWrap/>
            <w:tcMar>
              <w:left w:w="58" w:type="dxa"/>
              <w:right w:w="58" w:type="dxa"/>
            </w:tcMar>
            <w:vAlign w:val="center"/>
            <w:hideMark/>
          </w:tcPr>
          <w:p w14:paraId="11A64A0D" w14:textId="77777777" w:rsidR="00DE243E" w:rsidRPr="001C447E" w:rsidRDefault="00DE243E" w:rsidP="00BD4720">
            <w:pPr>
              <w:jc w:val="right"/>
              <w:rPr>
                <w:color w:val="000000"/>
                <w:sz w:val="20"/>
                <w:szCs w:val="20"/>
              </w:rPr>
            </w:pPr>
            <w:r w:rsidRPr="001C447E">
              <w:rPr>
                <w:color w:val="000000"/>
                <w:sz w:val="20"/>
                <w:szCs w:val="20"/>
              </w:rPr>
              <w:t>37.3%</w:t>
            </w:r>
          </w:p>
        </w:tc>
        <w:tc>
          <w:tcPr>
            <w:tcW w:w="1296" w:type="dxa"/>
            <w:shd w:val="clear" w:color="000000" w:fill="FFFFFF"/>
            <w:noWrap/>
            <w:tcMar>
              <w:left w:w="58" w:type="dxa"/>
              <w:right w:w="58" w:type="dxa"/>
            </w:tcMar>
            <w:vAlign w:val="center"/>
            <w:hideMark/>
          </w:tcPr>
          <w:p w14:paraId="33738F8B" w14:textId="77777777" w:rsidR="00DE243E" w:rsidRPr="001C447E" w:rsidRDefault="00DE243E" w:rsidP="00BD4720">
            <w:pPr>
              <w:jc w:val="right"/>
              <w:rPr>
                <w:color w:val="000000"/>
                <w:sz w:val="20"/>
                <w:szCs w:val="20"/>
              </w:rPr>
            </w:pPr>
            <w:r w:rsidRPr="001C447E">
              <w:rPr>
                <w:color w:val="000000"/>
                <w:sz w:val="20"/>
                <w:szCs w:val="20"/>
              </w:rPr>
              <w:t>2.7</w:t>
            </w:r>
          </w:p>
        </w:tc>
      </w:tr>
      <w:tr w:rsidR="00BD4720" w:rsidRPr="001C447E" w14:paraId="6F06CADE"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0EE8575F" w14:textId="6BEEB582" w:rsidR="00DE243E" w:rsidRPr="001C447E" w:rsidRDefault="00DE243E" w:rsidP="00BD4720">
            <w:pPr>
              <w:ind w:firstLineChars="100" w:firstLine="200"/>
              <w:rPr>
                <w:color w:val="000000"/>
                <w:sz w:val="20"/>
                <w:szCs w:val="20"/>
              </w:rPr>
            </w:pPr>
            <w:r w:rsidRPr="001C447E">
              <w:rPr>
                <w:color w:val="000000"/>
                <w:sz w:val="20"/>
                <w:szCs w:val="20"/>
              </w:rPr>
              <w:t>Part-time Employed Females with Partner</w:t>
            </w:r>
          </w:p>
        </w:tc>
        <w:tc>
          <w:tcPr>
            <w:tcW w:w="1296" w:type="dxa"/>
            <w:tcBorders>
              <w:left w:val="double" w:sz="4" w:space="0" w:color="auto"/>
            </w:tcBorders>
            <w:shd w:val="clear" w:color="000000" w:fill="FFFFFF"/>
            <w:noWrap/>
            <w:tcMar>
              <w:left w:w="58" w:type="dxa"/>
              <w:right w:w="58" w:type="dxa"/>
            </w:tcMar>
            <w:vAlign w:val="center"/>
            <w:hideMark/>
          </w:tcPr>
          <w:p w14:paraId="026C86F3" w14:textId="77777777" w:rsidR="00DE243E" w:rsidRPr="001C447E" w:rsidRDefault="00DE243E" w:rsidP="00BD4720">
            <w:pPr>
              <w:jc w:val="right"/>
              <w:rPr>
                <w:color w:val="000000"/>
                <w:sz w:val="20"/>
                <w:szCs w:val="20"/>
              </w:rPr>
            </w:pPr>
            <w:r w:rsidRPr="001C447E">
              <w:rPr>
                <w:color w:val="000000"/>
                <w:sz w:val="20"/>
                <w:szCs w:val="20"/>
              </w:rPr>
              <w:t>43.9%</w:t>
            </w:r>
          </w:p>
        </w:tc>
        <w:tc>
          <w:tcPr>
            <w:tcW w:w="1296" w:type="dxa"/>
            <w:tcBorders>
              <w:right w:val="double" w:sz="4" w:space="0" w:color="auto"/>
            </w:tcBorders>
            <w:shd w:val="clear" w:color="000000" w:fill="FFFFFF"/>
            <w:noWrap/>
            <w:tcMar>
              <w:left w:w="58" w:type="dxa"/>
              <w:right w:w="58" w:type="dxa"/>
            </w:tcMar>
            <w:vAlign w:val="center"/>
            <w:hideMark/>
          </w:tcPr>
          <w:p w14:paraId="1881BB92" w14:textId="77777777" w:rsidR="00DE243E" w:rsidRPr="001C447E" w:rsidRDefault="00DE243E" w:rsidP="00BD4720">
            <w:pPr>
              <w:jc w:val="right"/>
              <w:rPr>
                <w:color w:val="000000"/>
                <w:sz w:val="20"/>
                <w:szCs w:val="20"/>
              </w:rPr>
            </w:pPr>
            <w:r w:rsidRPr="001C447E">
              <w:rPr>
                <w:color w:val="000000"/>
                <w:sz w:val="20"/>
                <w:szCs w:val="20"/>
              </w:rPr>
              <w:t>5.8</w:t>
            </w:r>
          </w:p>
        </w:tc>
        <w:tc>
          <w:tcPr>
            <w:tcW w:w="1296" w:type="dxa"/>
            <w:tcBorders>
              <w:left w:val="double" w:sz="4" w:space="0" w:color="auto"/>
            </w:tcBorders>
            <w:shd w:val="clear" w:color="000000" w:fill="FFFFFF"/>
            <w:noWrap/>
            <w:tcMar>
              <w:left w:w="58" w:type="dxa"/>
              <w:right w:w="58" w:type="dxa"/>
            </w:tcMar>
            <w:vAlign w:val="center"/>
            <w:hideMark/>
          </w:tcPr>
          <w:p w14:paraId="440598B9" w14:textId="77777777" w:rsidR="00DE243E" w:rsidRPr="001C447E" w:rsidRDefault="00DE243E" w:rsidP="00BD4720">
            <w:pPr>
              <w:jc w:val="right"/>
              <w:rPr>
                <w:color w:val="000000"/>
                <w:sz w:val="20"/>
                <w:szCs w:val="20"/>
              </w:rPr>
            </w:pPr>
            <w:r w:rsidRPr="001C447E">
              <w:rPr>
                <w:color w:val="000000"/>
                <w:sz w:val="20"/>
                <w:szCs w:val="20"/>
              </w:rPr>
              <w:t>56.1%</w:t>
            </w:r>
          </w:p>
        </w:tc>
        <w:tc>
          <w:tcPr>
            <w:tcW w:w="1296" w:type="dxa"/>
            <w:shd w:val="clear" w:color="000000" w:fill="FFFFFF"/>
            <w:noWrap/>
            <w:tcMar>
              <w:left w:w="58" w:type="dxa"/>
              <w:right w:w="58" w:type="dxa"/>
            </w:tcMar>
            <w:vAlign w:val="center"/>
            <w:hideMark/>
          </w:tcPr>
          <w:p w14:paraId="25C0C308" w14:textId="77777777" w:rsidR="00DE243E" w:rsidRPr="001C447E" w:rsidRDefault="00DE243E" w:rsidP="00BD4720">
            <w:pPr>
              <w:jc w:val="right"/>
              <w:rPr>
                <w:color w:val="000000"/>
                <w:sz w:val="20"/>
                <w:szCs w:val="20"/>
              </w:rPr>
            </w:pPr>
            <w:r w:rsidRPr="001C447E">
              <w:rPr>
                <w:color w:val="000000"/>
                <w:sz w:val="20"/>
                <w:szCs w:val="20"/>
              </w:rPr>
              <w:t>4.8</w:t>
            </w:r>
          </w:p>
        </w:tc>
      </w:tr>
      <w:tr w:rsidR="00BD4720" w:rsidRPr="001C447E" w14:paraId="0605E5E3"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46B7A2D4" w14:textId="3FB63B4E" w:rsidR="00DE243E" w:rsidRPr="001C447E" w:rsidRDefault="00DE243E" w:rsidP="00BD4720">
            <w:pPr>
              <w:ind w:firstLineChars="100" w:firstLine="200"/>
              <w:rPr>
                <w:color w:val="000000"/>
                <w:sz w:val="20"/>
                <w:szCs w:val="20"/>
              </w:rPr>
            </w:pPr>
            <w:r w:rsidRPr="001C447E">
              <w:rPr>
                <w:color w:val="000000"/>
                <w:sz w:val="20"/>
                <w:szCs w:val="20"/>
              </w:rPr>
              <w:t xml:space="preserve">Part-time Employed Female without Partner </w:t>
            </w:r>
          </w:p>
        </w:tc>
        <w:tc>
          <w:tcPr>
            <w:tcW w:w="1296" w:type="dxa"/>
            <w:tcBorders>
              <w:left w:val="double" w:sz="4" w:space="0" w:color="auto"/>
            </w:tcBorders>
            <w:shd w:val="clear" w:color="000000" w:fill="FFFFFF"/>
            <w:noWrap/>
            <w:tcMar>
              <w:left w:w="58" w:type="dxa"/>
              <w:right w:w="58" w:type="dxa"/>
            </w:tcMar>
            <w:vAlign w:val="center"/>
            <w:hideMark/>
          </w:tcPr>
          <w:p w14:paraId="0DEE7BC8" w14:textId="77777777" w:rsidR="00DE243E" w:rsidRPr="001C447E" w:rsidRDefault="00DE243E" w:rsidP="00BD4720">
            <w:pPr>
              <w:jc w:val="right"/>
              <w:rPr>
                <w:color w:val="000000"/>
                <w:sz w:val="20"/>
                <w:szCs w:val="20"/>
              </w:rPr>
            </w:pPr>
            <w:r w:rsidRPr="001C447E">
              <w:rPr>
                <w:color w:val="000000"/>
                <w:sz w:val="20"/>
                <w:szCs w:val="20"/>
              </w:rPr>
              <w:t>55.1%</w:t>
            </w:r>
          </w:p>
        </w:tc>
        <w:tc>
          <w:tcPr>
            <w:tcW w:w="1296" w:type="dxa"/>
            <w:tcBorders>
              <w:right w:val="double" w:sz="4" w:space="0" w:color="auto"/>
            </w:tcBorders>
            <w:shd w:val="clear" w:color="000000" w:fill="FFFFFF"/>
            <w:noWrap/>
            <w:tcMar>
              <w:left w:w="58" w:type="dxa"/>
              <w:right w:w="58" w:type="dxa"/>
            </w:tcMar>
            <w:vAlign w:val="center"/>
            <w:hideMark/>
          </w:tcPr>
          <w:p w14:paraId="110F5631" w14:textId="77777777" w:rsidR="00DE243E" w:rsidRPr="001C447E" w:rsidRDefault="00DE243E" w:rsidP="00BD4720">
            <w:pPr>
              <w:jc w:val="right"/>
              <w:rPr>
                <w:color w:val="000000"/>
                <w:sz w:val="20"/>
                <w:szCs w:val="20"/>
              </w:rPr>
            </w:pPr>
            <w:r w:rsidRPr="001C447E">
              <w:rPr>
                <w:color w:val="000000"/>
                <w:sz w:val="20"/>
                <w:szCs w:val="20"/>
              </w:rPr>
              <w:t>8.0</w:t>
            </w:r>
          </w:p>
        </w:tc>
        <w:tc>
          <w:tcPr>
            <w:tcW w:w="1296" w:type="dxa"/>
            <w:tcBorders>
              <w:left w:val="double" w:sz="4" w:space="0" w:color="auto"/>
            </w:tcBorders>
            <w:shd w:val="clear" w:color="000000" w:fill="FFFFFF"/>
            <w:noWrap/>
            <w:tcMar>
              <w:left w:w="58" w:type="dxa"/>
              <w:right w:w="58" w:type="dxa"/>
            </w:tcMar>
            <w:vAlign w:val="center"/>
            <w:hideMark/>
          </w:tcPr>
          <w:p w14:paraId="146A4190" w14:textId="77777777" w:rsidR="00DE243E" w:rsidRPr="001C447E" w:rsidRDefault="00DE243E" w:rsidP="00BD4720">
            <w:pPr>
              <w:jc w:val="right"/>
              <w:rPr>
                <w:color w:val="000000"/>
                <w:sz w:val="20"/>
                <w:szCs w:val="20"/>
              </w:rPr>
            </w:pPr>
            <w:r w:rsidRPr="001C447E">
              <w:rPr>
                <w:color w:val="000000"/>
                <w:sz w:val="20"/>
                <w:szCs w:val="20"/>
              </w:rPr>
              <w:t>44.9%</w:t>
            </w:r>
          </w:p>
        </w:tc>
        <w:tc>
          <w:tcPr>
            <w:tcW w:w="1296" w:type="dxa"/>
            <w:shd w:val="clear" w:color="000000" w:fill="FFFFFF"/>
            <w:noWrap/>
            <w:tcMar>
              <w:left w:w="58" w:type="dxa"/>
              <w:right w:w="58" w:type="dxa"/>
            </w:tcMar>
            <w:vAlign w:val="center"/>
            <w:hideMark/>
          </w:tcPr>
          <w:p w14:paraId="4B61E7C9" w14:textId="77777777" w:rsidR="00DE243E" w:rsidRPr="001C447E" w:rsidRDefault="00DE243E" w:rsidP="00BD4720">
            <w:pPr>
              <w:jc w:val="right"/>
              <w:rPr>
                <w:color w:val="000000"/>
                <w:sz w:val="20"/>
                <w:szCs w:val="20"/>
              </w:rPr>
            </w:pPr>
            <w:r w:rsidRPr="001C447E">
              <w:rPr>
                <w:color w:val="000000"/>
                <w:sz w:val="20"/>
                <w:szCs w:val="20"/>
              </w:rPr>
              <w:t>4.0</w:t>
            </w:r>
          </w:p>
        </w:tc>
      </w:tr>
      <w:tr w:rsidR="00DE243E" w:rsidRPr="001C447E" w14:paraId="583F0BA8" w14:textId="77777777" w:rsidTr="001C447E">
        <w:trPr>
          <w:trHeight w:val="230"/>
        </w:trPr>
        <w:tc>
          <w:tcPr>
            <w:tcW w:w="9319" w:type="dxa"/>
            <w:gridSpan w:val="5"/>
            <w:shd w:val="clear" w:color="000000" w:fill="FFFFFF"/>
            <w:tcMar>
              <w:left w:w="58" w:type="dxa"/>
              <w:right w:w="58" w:type="dxa"/>
            </w:tcMar>
            <w:vAlign w:val="center"/>
            <w:hideMark/>
          </w:tcPr>
          <w:p w14:paraId="2B50DD1A" w14:textId="77777777" w:rsidR="00DE243E" w:rsidRPr="001C447E" w:rsidRDefault="00DE243E" w:rsidP="00BD4720">
            <w:pPr>
              <w:rPr>
                <w:b/>
                <w:bCs/>
                <w:color w:val="000000"/>
                <w:sz w:val="20"/>
                <w:szCs w:val="20"/>
              </w:rPr>
            </w:pPr>
            <w:r w:rsidRPr="001C447E">
              <w:rPr>
                <w:b/>
                <w:bCs/>
                <w:color w:val="000000"/>
                <w:sz w:val="20"/>
                <w:szCs w:val="20"/>
              </w:rPr>
              <w:t>Age</w:t>
            </w:r>
          </w:p>
        </w:tc>
      </w:tr>
      <w:tr w:rsidR="00BD4720" w:rsidRPr="001C447E" w14:paraId="1D48EE54"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05AF0460" w14:textId="77777777" w:rsidR="00DE243E" w:rsidRPr="001C447E" w:rsidRDefault="00DE243E" w:rsidP="00BD4720">
            <w:pPr>
              <w:ind w:firstLineChars="100" w:firstLine="200"/>
              <w:rPr>
                <w:color w:val="000000"/>
                <w:sz w:val="20"/>
                <w:szCs w:val="20"/>
              </w:rPr>
            </w:pPr>
            <w:r w:rsidRPr="001C447E">
              <w:rPr>
                <w:color w:val="000000"/>
                <w:sz w:val="20"/>
                <w:szCs w:val="20"/>
              </w:rPr>
              <w:t>18 to 24</w:t>
            </w:r>
          </w:p>
        </w:tc>
        <w:tc>
          <w:tcPr>
            <w:tcW w:w="1296" w:type="dxa"/>
            <w:tcBorders>
              <w:left w:val="double" w:sz="4" w:space="0" w:color="auto"/>
            </w:tcBorders>
            <w:shd w:val="clear" w:color="000000" w:fill="FFFFFF"/>
            <w:noWrap/>
            <w:tcMar>
              <w:left w:w="58" w:type="dxa"/>
              <w:right w:w="58" w:type="dxa"/>
            </w:tcMar>
            <w:vAlign w:val="center"/>
            <w:hideMark/>
          </w:tcPr>
          <w:p w14:paraId="26479046" w14:textId="77777777" w:rsidR="00DE243E" w:rsidRPr="001C447E" w:rsidRDefault="00DE243E" w:rsidP="00BD4720">
            <w:pPr>
              <w:jc w:val="right"/>
              <w:rPr>
                <w:color w:val="000000"/>
                <w:sz w:val="20"/>
                <w:szCs w:val="20"/>
              </w:rPr>
            </w:pPr>
            <w:r w:rsidRPr="001C447E">
              <w:rPr>
                <w:color w:val="000000"/>
                <w:sz w:val="20"/>
                <w:szCs w:val="20"/>
              </w:rPr>
              <w:t>46.5%</w:t>
            </w:r>
          </w:p>
        </w:tc>
        <w:tc>
          <w:tcPr>
            <w:tcW w:w="1296" w:type="dxa"/>
            <w:tcBorders>
              <w:right w:val="double" w:sz="4" w:space="0" w:color="auto"/>
            </w:tcBorders>
            <w:shd w:val="clear" w:color="000000" w:fill="FFFFFF"/>
            <w:noWrap/>
            <w:tcMar>
              <w:left w:w="58" w:type="dxa"/>
              <w:right w:w="58" w:type="dxa"/>
            </w:tcMar>
            <w:vAlign w:val="center"/>
            <w:hideMark/>
          </w:tcPr>
          <w:p w14:paraId="22768627" w14:textId="77777777" w:rsidR="00DE243E" w:rsidRPr="001C447E" w:rsidRDefault="00DE243E" w:rsidP="00BD4720">
            <w:pPr>
              <w:jc w:val="right"/>
              <w:rPr>
                <w:color w:val="000000"/>
                <w:sz w:val="20"/>
                <w:szCs w:val="20"/>
              </w:rPr>
            </w:pPr>
            <w:r w:rsidRPr="001C447E">
              <w:rPr>
                <w:color w:val="000000"/>
                <w:sz w:val="20"/>
                <w:szCs w:val="20"/>
              </w:rPr>
              <w:t>6.8</w:t>
            </w:r>
          </w:p>
        </w:tc>
        <w:tc>
          <w:tcPr>
            <w:tcW w:w="1296" w:type="dxa"/>
            <w:tcBorders>
              <w:left w:val="double" w:sz="4" w:space="0" w:color="auto"/>
            </w:tcBorders>
            <w:shd w:val="clear" w:color="000000" w:fill="FFFFFF"/>
            <w:noWrap/>
            <w:tcMar>
              <w:left w:w="58" w:type="dxa"/>
              <w:right w:w="58" w:type="dxa"/>
            </w:tcMar>
            <w:vAlign w:val="center"/>
            <w:hideMark/>
          </w:tcPr>
          <w:p w14:paraId="38054CE7" w14:textId="77777777" w:rsidR="00DE243E" w:rsidRPr="001C447E" w:rsidRDefault="00DE243E" w:rsidP="00BD4720">
            <w:pPr>
              <w:jc w:val="right"/>
              <w:rPr>
                <w:color w:val="000000"/>
                <w:sz w:val="20"/>
                <w:szCs w:val="20"/>
              </w:rPr>
            </w:pPr>
            <w:r w:rsidRPr="001C447E">
              <w:rPr>
                <w:color w:val="000000"/>
                <w:sz w:val="20"/>
                <w:szCs w:val="20"/>
              </w:rPr>
              <w:t>53.5%</w:t>
            </w:r>
          </w:p>
        </w:tc>
        <w:tc>
          <w:tcPr>
            <w:tcW w:w="1296" w:type="dxa"/>
            <w:shd w:val="clear" w:color="000000" w:fill="FFFFFF"/>
            <w:noWrap/>
            <w:tcMar>
              <w:left w:w="58" w:type="dxa"/>
              <w:right w:w="58" w:type="dxa"/>
            </w:tcMar>
            <w:vAlign w:val="center"/>
            <w:hideMark/>
          </w:tcPr>
          <w:p w14:paraId="3E63FF60" w14:textId="77777777" w:rsidR="00DE243E" w:rsidRPr="001C447E" w:rsidRDefault="00DE243E" w:rsidP="00BD4720">
            <w:pPr>
              <w:jc w:val="right"/>
              <w:rPr>
                <w:color w:val="000000"/>
                <w:sz w:val="20"/>
                <w:szCs w:val="20"/>
              </w:rPr>
            </w:pPr>
            <w:r w:rsidRPr="001C447E">
              <w:rPr>
                <w:color w:val="000000"/>
                <w:sz w:val="20"/>
                <w:szCs w:val="20"/>
              </w:rPr>
              <w:t>4.9</w:t>
            </w:r>
          </w:p>
        </w:tc>
      </w:tr>
      <w:tr w:rsidR="00BD4720" w:rsidRPr="001C447E" w14:paraId="0C96EF3D"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11EBC7F0" w14:textId="77777777" w:rsidR="00DE243E" w:rsidRPr="001C447E" w:rsidRDefault="00DE243E" w:rsidP="00BD4720">
            <w:pPr>
              <w:ind w:firstLineChars="100" w:firstLine="200"/>
              <w:rPr>
                <w:color w:val="000000"/>
                <w:sz w:val="20"/>
                <w:szCs w:val="20"/>
              </w:rPr>
            </w:pPr>
            <w:r w:rsidRPr="001C447E">
              <w:rPr>
                <w:color w:val="000000"/>
                <w:sz w:val="20"/>
                <w:szCs w:val="20"/>
              </w:rPr>
              <w:t>25 to 29</w:t>
            </w:r>
          </w:p>
        </w:tc>
        <w:tc>
          <w:tcPr>
            <w:tcW w:w="1296" w:type="dxa"/>
            <w:tcBorders>
              <w:left w:val="double" w:sz="4" w:space="0" w:color="auto"/>
            </w:tcBorders>
            <w:shd w:val="clear" w:color="000000" w:fill="FFFFFF"/>
            <w:noWrap/>
            <w:tcMar>
              <w:left w:w="58" w:type="dxa"/>
              <w:right w:w="58" w:type="dxa"/>
            </w:tcMar>
            <w:vAlign w:val="center"/>
            <w:hideMark/>
          </w:tcPr>
          <w:p w14:paraId="1D61F73D" w14:textId="77777777" w:rsidR="00DE243E" w:rsidRPr="001C447E" w:rsidRDefault="00DE243E" w:rsidP="00BD4720">
            <w:pPr>
              <w:jc w:val="right"/>
              <w:rPr>
                <w:color w:val="000000"/>
                <w:sz w:val="20"/>
                <w:szCs w:val="20"/>
              </w:rPr>
            </w:pPr>
            <w:r w:rsidRPr="001C447E">
              <w:rPr>
                <w:color w:val="000000"/>
                <w:sz w:val="20"/>
                <w:szCs w:val="20"/>
              </w:rPr>
              <w:t>51.2%</w:t>
            </w:r>
          </w:p>
        </w:tc>
        <w:tc>
          <w:tcPr>
            <w:tcW w:w="1296" w:type="dxa"/>
            <w:tcBorders>
              <w:right w:val="double" w:sz="4" w:space="0" w:color="auto"/>
            </w:tcBorders>
            <w:shd w:val="clear" w:color="000000" w:fill="FFFFFF"/>
            <w:noWrap/>
            <w:tcMar>
              <w:left w:w="58" w:type="dxa"/>
              <w:right w:w="58" w:type="dxa"/>
            </w:tcMar>
            <w:vAlign w:val="center"/>
            <w:hideMark/>
          </w:tcPr>
          <w:p w14:paraId="5256A9B7" w14:textId="77777777" w:rsidR="00DE243E" w:rsidRPr="001C447E" w:rsidRDefault="00DE243E" w:rsidP="00BD4720">
            <w:pPr>
              <w:jc w:val="right"/>
              <w:rPr>
                <w:color w:val="000000"/>
                <w:sz w:val="20"/>
                <w:szCs w:val="20"/>
              </w:rPr>
            </w:pPr>
            <w:r w:rsidRPr="001C447E">
              <w:rPr>
                <w:color w:val="000000"/>
                <w:sz w:val="20"/>
                <w:szCs w:val="20"/>
              </w:rPr>
              <w:t>6.9</w:t>
            </w:r>
          </w:p>
        </w:tc>
        <w:tc>
          <w:tcPr>
            <w:tcW w:w="1296" w:type="dxa"/>
            <w:tcBorders>
              <w:left w:val="double" w:sz="4" w:space="0" w:color="auto"/>
            </w:tcBorders>
            <w:shd w:val="clear" w:color="000000" w:fill="FFFFFF"/>
            <w:noWrap/>
            <w:tcMar>
              <w:left w:w="58" w:type="dxa"/>
              <w:right w:w="58" w:type="dxa"/>
            </w:tcMar>
            <w:vAlign w:val="center"/>
            <w:hideMark/>
          </w:tcPr>
          <w:p w14:paraId="61B9A10D" w14:textId="77777777" w:rsidR="00DE243E" w:rsidRPr="001C447E" w:rsidRDefault="00DE243E" w:rsidP="00BD4720">
            <w:pPr>
              <w:jc w:val="right"/>
              <w:rPr>
                <w:color w:val="000000"/>
                <w:sz w:val="20"/>
                <w:szCs w:val="20"/>
              </w:rPr>
            </w:pPr>
            <w:r w:rsidRPr="001C447E">
              <w:rPr>
                <w:color w:val="000000"/>
                <w:sz w:val="20"/>
                <w:szCs w:val="20"/>
              </w:rPr>
              <w:t>48.8%</w:t>
            </w:r>
          </w:p>
        </w:tc>
        <w:tc>
          <w:tcPr>
            <w:tcW w:w="1296" w:type="dxa"/>
            <w:shd w:val="clear" w:color="000000" w:fill="FFFFFF"/>
            <w:noWrap/>
            <w:tcMar>
              <w:left w:w="58" w:type="dxa"/>
              <w:right w:w="58" w:type="dxa"/>
            </w:tcMar>
            <w:vAlign w:val="center"/>
            <w:hideMark/>
          </w:tcPr>
          <w:p w14:paraId="29646C2E" w14:textId="77777777" w:rsidR="00DE243E" w:rsidRPr="001C447E" w:rsidRDefault="00DE243E" w:rsidP="00BD4720">
            <w:pPr>
              <w:jc w:val="right"/>
              <w:rPr>
                <w:color w:val="000000"/>
                <w:sz w:val="20"/>
                <w:szCs w:val="20"/>
              </w:rPr>
            </w:pPr>
            <w:r w:rsidRPr="001C447E">
              <w:rPr>
                <w:color w:val="000000"/>
                <w:sz w:val="20"/>
                <w:szCs w:val="20"/>
              </w:rPr>
              <w:t>3.5</w:t>
            </w:r>
          </w:p>
        </w:tc>
      </w:tr>
      <w:tr w:rsidR="00BD4720" w:rsidRPr="001C447E" w14:paraId="0027B8B2"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1564B86D" w14:textId="77777777" w:rsidR="00DE243E" w:rsidRPr="001C447E" w:rsidRDefault="00DE243E" w:rsidP="00BD4720">
            <w:pPr>
              <w:ind w:firstLineChars="100" w:firstLine="200"/>
              <w:rPr>
                <w:color w:val="000000"/>
                <w:sz w:val="20"/>
                <w:szCs w:val="20"/>
              </w:rPr>
            </w:pPr>
            <w:r w:rsidRPr="001C447E">
              <w:rPr>
                <w:color w:val="000000"/>
                <w:sz w:val="20"/>
                <w:szCs w:val="20"/>
              </w:rPr>
              <w:t>30 to 39</w:t>
            </w:r>
          </w:p>
        </w:tc>
        <w:tc>
          <w:tcPr>
            <w:tcW w:w="1296" w:type="dxa"/>
            <w:tcBorders>
              <w:left w:val="double" w:sz="4" w:space="0" w:color="auto"/>
            </w:tcBorders>
            <w:shd w:val="clear" w:color="000000" w:fill="FFFFFF"/>
            <w:noWrap/>
            <w:tcMar>
              <w:left w:w="58" w:type="dxa"/>
              <w:right w:w="58" w:type="dxa"/>
            </w:tcMar>
            <w:vAlign w:val="center"/>
            <w:hideMark/>
          </w:tcPr>
          <w:p w14:paraId="5403E917" w14:textId="77777777" w:rsidR="00DE243E" w:rsidRPr="001C447E" w:rsidRDefault="00DE243E" w:rsidP="00BD4720">
            <w:pPr>
              <w:jc w:val="right"/>
              <w:rPr>
                <w:color w:val="000000"/>
                <w:sz w:val="20"/>
                <w:szCs w:val="20"/>
              </w:rPr>
            </w:pPr>
            <w:r w:rsidRPr="001C447E">
              <w:rPr>
                <w:color w:val="000000"/>
                <w:sz w:val="20"/>
                <w:szCs w:val="20"/>
              </w:rPr>
              <w:t>46.5%</w:t>
            </w:r>
          </w:p>
        </w:tc>
        <w:tc>
          <w:tcPr>
            <w:tcW w:w="1296" w:type="dxa"/>
            <w:tcBorders>
              <w:right w:val="double" w:sz="4" w:space="0" w:color="auto"/>
            </w:tcBorders>
            <w:shd w:val="clear" w:color="000000" w:fill="FFFFFF"/>
            <w:noWrap/>
            <w:tcMar>
              <w:left w:w="58" w:type="dxa"/>
              <w:right w:w="58" w:type="dxa"/>
            </w:tcMar>
            <w:vAlign w:val="center"/>
            <w:hideMark/>
          </w:tcPr>
          <w:p w14:paraId="3511F9BD" w14:textId="77777777" w:rsidR="00DE243E" w:rsidRPr="001C447E" w:rsidRDefault="00DE243E" w:rsidP="00BD4720">
            <w:pPr>
              <w:jc w:val="right"/>
              <w:rPr>
                <w:color w:val="000000"/>
                <w:sz w:val="20"/>
                <w:szCs w:val="20"/>
              </w:rPr>
            </w:pPr>
            <w:r w:rsidRPr="001C447E">
              <w:rPr>
                <w:color w:val="000000"/>
                <w:sz w:val="20"/>
                <w:szCs w:val="20"/>
              </w:rPr>
              <w:t>6.8</w:t>
            </w:r>
          </w:p>
        </w:tc>
        <w:tc>
          <w:tcPr>
            <w:tcW w:w="1296" w:type="dxa"/>
            <w:tcBorders>
              <w:left w:val="double" w:sz="4" w:space="0" w:color="auto"/>
            </w:tcBorders>
            <w:shd w:val="clear" w:color="000000" w:fill="FFFFFF"/>
            <w:noWrap/>
            <w:tcMar>
              <w:left w:w="58" w:type="dxa"/>
              <w:right w:w="58" w:type="dxa"/>
            </w:tcMar>
            <w:vAlign w:val="center"/>
            <w:hideMark/>
          </w:tcPr>
          <w:p w14:paraId="0DA68E19" w14:textId="77777777" w:rsidR="00DE243E" w:rsidRPr="001C447E" w:rsidRDefault="00DE243E" w:rsidP="00BD4720">
            <w:pPr>
              <w:jc w:val="right"/>
              <w:rPr>
                <w:color w:val="000000"/>
                <w:sz w:val="20"/>
                <w:szCs w:val="20"/>
              </w:rPr>
            </w:pPr>
            <w:r w:rsidRPr="001C447E">
              <w:rPr>
                <w:color w:val="000000"/>
                <w:sz w:val="20"/>
                <w:szCs w:val="20"/>
              </w:rPr>
              <w:t>53.5%</w:t>
            </w:r>
          </w:p>
        </w:tc>
        <w:tc>
          <w:tcPr>
            <w:tcW w:w="1296" w:type="dxa"/>
            <w:shd w:val="clear" w:color="000000" w:fill="FFFFFF"/>
            <w:noWrap/>
            <w:tcMar>
              <w:left w:w="58" w:type="dxa"/>
              <w:right w:w="58" w:type="dxa"/>
            </w:tcMar>
            <w:vAlign w:val="center"/>
            <w:hideMark/>
          </w:tcPr>
          <w:p w14:paraId="49A5FEAB" w14:textId="77777777" w:rsidR="00DE243E" w:rsidRPr="001C447E" w:rsidRDefault="00DE243E" w:rsidP="00BD4720">
            <w:pPr>
              <w:jc w:val="right"/>
              <w:rPr>
                <w:color w:val="000000"/>
                <w:sz w:val="20"/>
                <w:szCs w:val="20"/>
              </w:rPr>
            </w:pPr>
            <w:r w:rsidRPr="001C447E">
              <w:rPr>
                <w:color w:val="000000"/>
                <w:sz w:val="20"/>
                <w:szCs w:val="20"/>
              </w:rPr>
              <w:t>4.9</w:t>
            </w:r>
          </w:p>
        </w:tc>
      </w:tr>
      <w:tr w:rsidR="00BD4720" w:rsidRPr="001C447E" w14:paraId="7407A322"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0EE53E96" w14:textId="77777777" w:rsidR="00DE243E" w:rsidRPr="001C447E" w:rsidRDefault="00DE243E" w:rsidP="00BD4720">
            <w:pPr>
              <w:ind w:firstLineChars="100" w:firstLine="200"/>
              <w:rPr>
                <w:color w:val="000000"/>
                <w:sz w:val="20"/>
                <w:szCs w:val="20"/>
              </w:rPr>
            </w:pPr>
            <w:r w:rsidRPr="001C447E">
              <w:rPr>
                <w:color w:val="000000"/>
                <w:sz w:val="20"/>
                <w:szCs w:val="20"/>
              </w:rPr>
              <w:t>40 to 64</w:t>
            </w:r>
          </w:p>
        </w:tc>
        <w:tc>
          <w:tcPr>
            <w:tcW w:w="1296" w:type="dxa"/>
            <w:tcBorders>
              <w:left w:val="double" w:sz="4" w:space="0" w:color="auto"/>
            </w:tcBorders>
            <w:shd w:val="clear" w:color="000000" w:fill="FFFFFF"/>
            <w:noWrap/>
            <w:tcMar>
              <w:left w:w="58" w:type="dxa"/>
              <w:right w:w="58" w:type="dxa"/>
            </w:tcMar>
            <w:vAlign w:val="center"/>
            <w:hideMark/>
          </w:tcPr>
          <w:p w14:paraId="0B9EC3A2" w14:textId="77777777" w:rsidR="00DE243E" w:rsidRPr="001C447E" w:rsidRDefault="00DE243E" w:rsidP="00BD4720">
            <w:pPr>
              <w:jc w:val="right"/>
              <w:rPr>
                <w:color w:val="000000"/>
                <w:sz w:val="20"/>
                <w:szCs w:val="20"/>
              </w:rPr>
            </w:pPr>
            <w:r w:rsidRPr="001C447E">
              <w:rPr>
                <w:color w:val="000000"/>
                <w:sz w:val="20"/>
                <w:szCs w:val="20"/>
              </w:rPr>
              <w:t>48.9%</w:t>
            </w:r>
          </w:p>
        </w:tc>
        <w:tc>
          <w:tcPr>
            <w:tcW w:w="1296" w:type="dxa"/>
            <w:tcBorders>
              <w:right w:val="double" w:sz="4" w:space="0" w:color="auto"/>
            </w:tcBorders>
            <w:shd w:val="clear" w:color="000000" w:fill="FFFFFF"/>
            <w:noWrap/>
            <w:tcMar>
              <w:left w:w="58" w:type="dxa"/>
              <w:right w:w="58" w:type="dxa"/>
            </w:tcMar>
            <w:vAlign w:val="center"/>
            <w:hideMark/>
          </w:tcPr>
          <w:p w14:paraId="64C3D61A" w14:textId="77777777" w:rsidR="00DE243E" w:rsidRPr="001C447E" w:rsidRDefault="00DE243E" w:rsidP="00BD4720">
            <w:pPr>
              <w:jc w:val="right"/>
              <w:rPr>
                <w:color w:val="000000"/>
                <w:sz w:val="20"/>
                <w:szCs w:val="20"/>
              </w:rPr>
            </w:pPr>
            <w:r w:rsidRPr="001C447E">
              <w:rPr>
                <w:color w:val="000000"/>
                <w:sz w:val="20"/>
                <w:szCs w:val="20"/>
              </w:rPr>
              <w:t>6.9</w:t>
            </w:r>
          </w:p>
        </w:tc>
        <w:tc>
          <w:tcPr>
            <w:tcW w:w="1296" w:type="dxa"/>
            <w:tcBorders>
              <w:left w:val="double" w:sz="4" w:space="0" w:color="auto"/>
            </w:tcBorders>
            <w:shd w:val="clear" w:color="000000" w:fill="FFFFFF"/>
            <w:noWrap/>
            <w:tcMar>
              <w:left w:w="58" w:type="dxa"/>
              <w:right w:w="58" w:type="dxa"/>
            </w:tcMar>
            <w:vAlign w:val="center"/>
            <w:hideMark/>
          </w:tcPr>
          <w:p w14:paraId="47F994F1" w14:textId="77777777" w:rsidR="00DE243E" w:rsidRPr="001C447E" w:rsidRDefault="00DE243E" w:rsidP="00BD4720">
            <w:pPr>
              <w:jc w:val="right"/>
              <w:rPr>
                <w:color w:val="000000"/>
                <w:sz w:val="20"/>
                <w:szCs w:val="20"/>
              </w:rPr>
            </w:pPr>
            <w:r w:rsidRPr="001C447E">
              <w:rPr>
                <w:color w:val="000000"/>
                <w:sz w:val="20"/>
                <w:szCs w:val="20"/>
              </w:rPr>
              <w:t>51.1%</w:t>
            </w:r>
          </w:p>
        </w:tc>
        <w:tc>
          <w:tcPr>
            <w:tcW w:w="1296" w:type="dxa"/>
            <w:shd w:val="clear" w:color="000000" w:fill="FFFFFF"/>
            <w:noWrap/>
            <w:tcMar>
              <w:left w:w="58" w:type="dxa"/>
              <w:right w:w="58" w:type="dxa"/>
            </w:tcMar>
            <w:vAlign w:val="center"/>
            <w:hideMark/>
          </w:tcPr>
          <w:p w14:paraId="4CD3CA60" w14:textId="77777777" w:rsidR="00DE243E" w:rsidRPr="001C447E" w:rsidRDefault="00DE243E" w:rsidP="00BD4720">
            <w:pPr>
              <w:jc w:val="right"/>
              <w:rPr>
                <w:color w:val="000000"/>
                <w:sz w:val="20"/>
                <w:szCs w:val="20"/>
              </w:rPr>
            </w:pPr>
            <w:r w:rsidRPr="001C447E">
              <w:rPr>
                <w:color w:val="000000"/>
                <w:sz w:val="20"/>
                <w:szCs w:val="20"/>
              </w:rPr>
              <w:t>4.2</w:t>
            </w:r>
          </w:p>
        </w:tc>
      </w:tr>
      <w:tr w:rsidR="00BD4720" w:rsidRPr="001C447E" w14:paraId="5F025899"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640A3C85" w14:textId="77777777" w:rsidR="00DE243E" w:rsidRPr="001C447E" w:rsidRDefault="00DE243E" w:rsidP="00BD4720">
            <w:pPr>
              <w:ind w:firstLineChars="100" w:firstLine="200"/>
              <w:rPr>
                <w:color w:val="000000"/>
                <w:sz w:val="20"/>
                <w:szCs w:val="20"/>
              </w:rPr>
            </w:pPr>
            <w:r w:rsidRPr="001C447E">
              <w:rPr>
                <w:color w:val="000000"/>
                <w:sz w:val="20"/>
                <w:szCs w:val="20"/>
              </w:rPr>
              <w:t>65 or Older</w:t>
            </w:r>
          </w:p>
        </w:tc>
        <w:tc>
          <w:tcPr>
            <w:tcW w:w="1296" w:type="dxa"/>
            <w:tcBorders>
              <w:left w:val="double" w:sz="4" w:space="0" w:color="auto"/>
            </w:tcBorders>
            <w:shd w:val="clear" w:color="000000" w:fill="FFFFFF"/>
            <w:noWrap/>
            <w:tcMar>
              <w:left w:w="58" w:type="dxa"/>
              <w:right w:w="58" w:type="dxa"/>
            </w:tcMar>
            <w:vAlign w:val="center"/>
            <w:hideMark/>
          </w:tcPr>
          <w:p w14:paraId="77C0AD2E" w14:textId="77777777" w:rsidR="00DE243E" w:rsidRPr="001C447E" w:rsidRDefault="00DE243E" w:rsidP="00BD4720">
            <w:pPr>
              <w:jc w:val="right"/>
              <w:rPr>
                <w:color w:val="000000"/>
                <w:sz w:val="20"/>
                <w:szCs w:val="20"/>
              </w:rPr>
            </w:pPr>
            <w:r w:rsidRPr="001C447E">
              <w:rPr>
                <w:color w:val="000000"/>
                <w:sz w:val="20"/>
                <w:szCs w:val="20"/>
              </w:rPr>
              <w:t>54.2%</w:t>
            </w:r>
          </w:p>
        </w:tc>
        <w:tc>
          <w:tcPr>
            <w:tcW w:w="1296" w:type="dxa"/>
            <w:tcBorders>
              <w:right w:val="double" w:sz="4" w:space="0" w:color="auto"/>
            </w:tcBorders>
            <w:shd w:val="clear" w:color="000000" w:fill="FFFFFF"/>
            <w:noWrap/>
            <w:tcMar>
              <w:left w:w="58" w:type="dxa"/>
              <w:right w:w="58" w:type="dxa"/>
            </w:tcMar>
            <w:vAlign w:val="center"/>
            <w:hideMark/>
          </w:tcPr>
          <w:p w14:paraId="35C0A902" w14:textId="77777777" w:rsidR="00DE243E" w:rsidRPr="001C447E" w:rsidRDefault="00DE243E" w:rsidP="00BD4720">
            <w:pPr>
              <w:jc w:val="right"/>
              <w:rPr>
                <w:color w:val="000000"/>
                <w:sz w:val="20"/>
                <w:szCs w:val="20"/>
              </w:rPr>
            </w:pPr>
            <w:r w:rsidRPr="001C447E">
              <w:rPr>
                <w:color w:val="000000"/>
                <w:sz w:val="20"/>
                <w:szCs w:val="20"/>
              </w:rPr>
              <w:t>7.2</w:t>
            </w:r>
          </w:p>
        </w:tc>
        <w:tc>
          <w:tcPr>
            <w:tcW w:w="1296" w:type="dxa"/>
            <w:tcBorders>
              <w:left w:val="double" w:sz="4" w:space="0" w:color="auto"/>
            </w:tcBorders>
            <w:shd w:val="clear" w:color="000000" w:fill="FFFFFF"/>
            <w:noWrap/>
            <w:tcMar>
              <w:left w:w="58" w:type="dxa"/>
              <w:right w:w="58" w:type="dxa"/>
            </w:tcMar>
            <w:vAlign w:val="center"/>
            <w:hideMark/>
          </w:tcPr>
          <w:p w14:paraId="3B208FC3" w14:textId="77777777" w:rsidR="00DE243E" w:rsidRPr="001C447E" w:rsidRDefault="00DE243E" w:rsidP="00BD4720">
            <w:pPr>
              <w:jc w:val="right"/>
              <w:rPr>
                <w:color w:val="000000"/>
                <w:sz w:val="20"/>
                <w:szCs w:val="20"/>
              </w:rPr>
            </w:pPr>
            <w:r w:rsidRPr="001C447E">
              <w:rPr>
                <w:color w:val="000000"/>
                <w:sz w:val="20"/>
                <w:szCs w:val="20"/>
              </w:rPr>
              <w:t>45.8%</w:t>
            </w:r>
          </w:p>
        </w:tc>
        <w:tc>
          <w:tcPr>
            <w:tcW w:w="1296" w:type="dxa"/>
            <w:shd w:val="clear" w:color="000000" w:fill="FFFFFF"/>
            <w:noWrap/>
            <w:tcMar>
              <w:left w:w="58" w:type="dxa"/>
              <w:right w:w="58" w:type="dxa"/>
            </w:tcMar>
            <w:vAlign w:val="center"/>
            <w:hideMark/>
          </w:tcPr>
          <w:p w14:paraId="6B38041A" w14:textId="77777777" w:rsidR="00DE243E" w:rsidRPr="001C447E" w:rsidRDefault="00DE243E" w:rsidP="00BD4720">
            <w:pPr>
              <w:jc w:val="right"/>
              <w:rPr>
                <w:color w:val="000000"/>
                <w:sz w:val="20"/>
                <w:szCs w:val="20"/>
              </w:rPr>
            </w:pPr>
            <w:r w:rsidRPr="001C447E">
              <w:rPr>
                <w:color w:val="000000"/>
                <w:sz w:val="20"/>
                <w:szCs w:val="20"/>
              </w:rPr>
              <w:t>3.7</w:t>
            </w:r>
          </w:p>
        </w:tc>
      </w:tr>
      <w:tr w:rsidR="00DE243E" w:rsidRPr="001C447E" w14:paraId="43DF939C" w14:textId="77777777" w:rsidTr="001C447E">
        <w:trPr>
          <w:trHeight w:val="230"/>
        </w:trPr>
        <w:tc>
          <w:tcPr>
            <w:tcW w:w="9319" w:type="dxa"/>
            <w:gridSpan w:val="5"/>
            <w:shd w:val="clear" w:color="000000" w:fill="FFFFFF"/>
            <w:tcMar>
              <w:left w:w="58" w:type="dxa"/>
              <w:right w:w="58" w:type="dxa"/>
            </w:tcMar>
            <w:vAlign w:val="center"/>
            <w:hideMark/>
          </w:tcPr>
          <w:p w14:paraId="780DC8DC" w14:textId="77777777" w:rsidR="00DE243E" w:rsidRPr="001C447E" w:rsidRDefault="00DE243E" w:rsidP="00BD4720">
            <w:pPr>
              <w:rPr>
                <w:b/>
                <w:bCs/>
                <w:color w:val="000000"/>
                <w:sz w:val="20"/>
                <w:szCs w:val="20"/>
              </w:rPr>
            </w:pPr>
            <w:r w:rsidRPr="001C447E">
              <w:rPr>
                <w:b/>
                <w:bCs/>
                <w:color w:val="000000"/>
                <w:sz w:val="20"/>
                <w:szCs w:val="20"/>
              </w:rPr>
              <w:t xml:space="preserve">Education </w:t>
            </w:r>
          </w:p>
        </w:tc>
      </w:tr>
      <w:tr w:rsidR="00BD4720" w:rsidRPr="001C447E" w14:paraId="33BA109D"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6191D242" w14:textId="79AF7342" w:rsidR="00DE243E" w:rsidRPr="001C447E" w:rsidRDefault="00DE243E" w:rsidP="00BD4720">
            <w:pPr>
              <w:ind w:firstLineChars="100" w:firstLine="200"/>
              <w:rPr>
                <w:color w:val="000000"/>
                <w:sz w:val="20"/>
                <w:szCs w:val="20"/>
              </w:rPr>
            </w:pPr>
            <w:r w:rsidRPr="001C447E">
              <w:rPr>
                <w:color w:val="000000"/>
                <w:sz w:val="20"/>
                <w:szCs w:val="20"/>
              </w:rPr>
              <w:t>High School or Some College</w:t>
            </w:r>
          </w:p>
        </w:tc>
        <w:tc>
          <w:tcPr>
            <w:tcW w:w="1296" w:type="dxa"/>
            <w:tcBorders>
              <w:left w:val="double" w:sz="4" w:space="0" w:color="auto"/>
            </w:tcBorders>
            <w:shd w:val="clear" w:color="000000" w:fill="FFFFFF"/>
            <w:noWrap/>
            <w:tcMar>
              <w:left w:w="58" w:type="dxa"/>
              <w:right w:w="58" w:type="dxa"/>
            </w:tcMar>
            <w:vAlign w:val="center"/>
            <w:hideMark/>
          </w:tcPr>
          <w:p w14:paraId="323C0A84" w14:textId="77777777" w:rsidR="00DE243E" w:rsidRPr="001C447E" w:rsidRDefault="00DE243E" w:rsidP="00BD4720">
            <w:pPr>
              <w:jc w:val="right"/>
              <w:rPr>
                <w:color w:val="000000"/>
                <w:sz w:val="20"/>
                <w:szCs w:val="20"/>
              </w:rPr>
            </w:pPr>
            <w:r w:rsidRPr="001C447E">
              <w:rPr>
                <w:color w:val="000000"/>
                <w:sz w:val="20"/>
                <w:szCs w:val="20"/>
              </w:rPr>
              <w:t>41.9%</w:t>
            </w:r>
          </w:p>
        </w:tc>
        <w:tc>
          <w:tcPr>
            <w:tcW w:w="1296" w:type="dxa"/>
            <w:tcBorders>
              <w:right w:val="double" w:sz="4" w:space="0" w:color="auto"/>
            </w:tcBorders>
            <w:shd w:val="clear" w:color="000000" w:fill="FFFFFF"/>
            <w:noWrap/>
            <w:tcMar>
              <w:left w:w="58" w:type="dxa"/>
              <w:right w:w="58" w:type="dxa"/>
            </w:tcMar>
            <w:vAlign w:val="center"/>
            <w:hideMark/>
          </w:tcPr>
          <w:p w14:paraId="446C29F1" w14:textId="77777777" w:rsidR="00DE243E" w:rsidRPr="001C447E" w:rsidRDefault="00DE243E" w:rsidP="00BD4720">
            <w:pPr>
              <w:jc w:val="right"/>
              <w:rPr>
                <w:color w:val="000000"/>
                <w:sz w:val="20"/>
                <w:szCs w:val="20"/>
              </w:rPr>
            </w:pPr>
            <w:r w:rsidRPr="001C447E">
              <w:rPr>
                <w:color w:val="000000"/>
                <w:sz w:val="20"/>
                <w:szCs w:val="20"/>
              </w:rPr>
              <w:t>5.3</w:t>
            </w:r>
          </w:p>
        </w:tc>
        <w:tc>
          <w:tcPr>
            <w:tcW w:w="1296" w:type="dxa"/>
            <w:tcBorders>
              <w:left w:val="double" w:sz="4" w:space="0" w:color="auto"/>
            </w:tcBorders>
            <w:shd w:val="clear" w:color="000000" w:fill="FFFFFF"/>
            <w:noWrap/>
            <w:tcMar>
              <w:left w:w="58" w:type="dxa"/>
              <w:right w:w="58" w:type="dxa"/>
            </w:tcMar>
            <w:vAlign w:val="center"/>
            <w:hideMark/>
          </w:tcPr>
          <w:p w14:paraId="0491E10A" w14:textId="77777777" w:rsidR="00DE243E" w:rsidRPr="001C447E" w:rsidRDefault="00DE243E" w:rsidP="00BD4720">
            <w:pPr>
              <w:jc w:val="right"/>
              <w:rPr>
                <w:color w:val="000000"/>
                <w:sz w:val="20"/>
                <w:szCs w:val="20"/>
              </w:rPr>
            </w:pPr>
            <w:r w:rsidRPr="001C447E">
              <w:rPr>
                <w:color w:val="000000"/>
                <w:sz w:val="20"/>
                <w:szCs w:val="20"/>
              </w:rPr>
              <w:t>58.1%</w:t>
            </w:r>
          </w:p>
        </w:tc>
        <w:tc>
          <w:tcPr>
            <w:tcW w:w="1296" w:type="dxa"/>
            <w:shd w:val="clear" w:color="000000" w:fill="FFFFFF"/>
            <w:noWrap/>
            <w:tcMar>
              <w:left w:w="58" w:type="dxa"/>
              <w:right w:w="58" w:type="dxa"/>
            </w:tcMar>
            <w:vAlign w:val="center"/>
            <w:hideMark/>
          </w:tcPr>
          <w:p w14:paraId="6B72F1FB" w14:textId="77777777" w:rsidR="00DE243E" w:rsidRPr="001C447E" w:rsidRDefault="00DE243E" w:rsidP="00BD4720">
            <w:pPr>
              <w:jc w:val="right"/>
              <w:rPr>
                <w:color w:val="000000"/>
                <w:sz w:val="20"/>
                <w:szCs w:val="20"/>
              </w:rPr>
            </w:pPr>
            <w:r w:rsidRPr="001C447E">
              <w:rPr>
                <w:color w:val="000000"/>
                <w:sz w:val="20"/>
                <w:szCs w:val="20"/>
              </w:rPr>
              <w:t>5.2</w:t>
            </w:r>
          </w:p>
        </w:tc>
      </w:tr>
      <w:tr w:rsidR="00BD4720" w:rsidRPr="001C447E" w14:paraId="35CE9723"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448C8116" w14:textId="5AE5AEED" w:rsidR="00DE243E" w:rsidRPr="001C447E" w:rsidRDefault="00DE243E" w:rsidP="00BD4720">
            <w:pPr>
              <w:ind w:firstLineChars="100" w:firstLine="200"/>
              <w:rPr>
                <w:color w:val="000000"/>
                <w:sz w:val="20"/>
                <w:szCs w:val="20"/>
              </w:rPr>
            </w:pPr>
            <w:r w:rsidRPr="001C447E">
              <w:rPr>
                <w:color w:val="000000"/>
                <w:sz w:val="20"/>
                <w:szCs w:val="20"/>
              </w:rPr>
              <w:t>Bachelor or Graduate Degree</w:t>
            </w:r>
          </w:p>
        </w:tc>
        <w:tc>
          <w:tcPr>
            <w:tcW w:w="1296" w:type="dxa"/>
            <w:tcBorders>
              <w:left w:val="double" w:sz="4" w:space="0" w:color="auto"/>
            </w:tcBorders>
            <w:shd w:val="clear" w:color="000000" w:fill="FFFFFF"/>
            <w:noWrap/>
            <w:tcMar>
              <w:left w:w="58" w:type="dxa"/>
              <w:right w:w="58" w:type="dxa"/>
            </w:tcMar>
            <w:vAlign w:val="center"/>
            <w:hideMark/>
          </w:tcPr>
          <w:p w14:paraId="5D410BAC" w14:textId="77777777" w:rsidR="00DE243E" w:rsidRPr="001C447E" w:rsidRDefault="00DE243E" w:rsidP="00BD4720">
            <w:pPr>
              <w:jc w:val="right"/>
              <w:rPr>
                <w:color w:val="000000"/>
                <w:sz w:val="20"/>
                <w:szCs w:val="20"/>
              </w:rPr>
            </w:pPr>
            <w:r w:rsidRPr="001C447E">
              <w:rPr>
                <w:color w:val="000000"/>
                <w:sz w:val="20"/>
                <w:szCs w:val="20"/>
              </w:rPr>
              <w:t>47.7%</w:t>
            </w:r>
          </w:p>
        </w:tc>
        <w:tc>
          <w:tcPr>
            <w:tcW w:w="1296" w:type="dxa"/>
            <w:tcBorders>
              <w:right w:val="double" w:sz="4" w:space="0" w:color="auto"/>
            </w:tcBorders>
            <w:shd w:val="clear" w:color="000000" w:fill="FFFFFF"/>
            <w:noWrap/>
            <w:tcMar>
              <w:left w:w="58" w:type="dxa"/>
              <w:right w:w="58" w:type="dxa"/>
            </w:tcMar>
            <w:vAlign w:val="center"/>
            <w:hideMark/>
          </w:tcPr>
          <w:p w14:paraId="2369A7CB" w14:textId="77777777" w:rsidR="00DE243E" w:rsidRPr="001C447E" w:rsidRDefault="00DE243E" w:rsidP="00BD4720">
            <w:pPr>
              <w:jc w:val="right"/>
              <w:rPr>
                <w:color w:val="000000"/>
                <w:sz w:val="20"/>
                <w:szCs w:val="20"/>
              </w:rPr>
            </w:pPr>
            <w:r w:rsidRPr="001C447E">
              <w:rPr>
                <w:color w:val="000000"/>
                <w:sz w:val="20"/>
                <w:szCs w:val="20"/>
              </w:rPr>
              <w:t>6.6</w:t>
            </w:r>
          </w:p>
        </w:tc>
        <w:tc>
          <w:tcPr>
            <w:tcW w:w="1296" w:type="dxa"/>
            <w:tcBorders>
              <w:left w:val="double" w:sz="4" w:space="0" w:color="auto"/>
            </w:tcBorders>
            <w:shd w:val="clear" w:color="000000" w:fill="FFFFFF"/>
            <w:noWrap/>
            <w:tcMar>
              <w:left w:w="58" w:type="dxa"/>
              <w:right w:w="58" w:type="dxa"/>
            </w:tcMar>
            <w:vAlign w:val="center"/>
            <w:hideMark/>
          </w:tcPr>
          <w:p w14:paraId="2756D636" w14:textId="77777777" w:rsidR="00DE243E" w:rsidRPr="001C447E" w:rsidRDefault="00DE243E" w:rsidP="00BD4720">
            <w:pPr>
              <w:jc w:val="right"/>
              <w:rPr>
                <w:color w:val="000000"/>
                <w:sz w:val="20"/>
                <w:szCs w:val="20"/>
              </w:rPr>
            </w:pPr>
            <w:r w:rsidRPr="001C447E">
              <w:rPr>
                <w:color w:val="000000"/>
                <w:sz w:val="20"/>
                <w:szCs w:val="20"/>
              </w:rPr>
              <w:t>52.3%</w:t>
            </w:r>
          </w:p>
        </w:tc>
        <w:tc>
          <w:tcPr>
            <w:tcW w:w="1296" w:type="dxa"/>
            <w:shd w:val="clear" w:color="000000" w:fill="FFFFFF"/>
            <w:noWrap/>
            <w:tcMar>
              <w:left w:w="58" w:type="dxa"/>
              <w:right w:w="58" w:type="dxa"/>
            </w:tcMar>
            <w:vAlign w:val="center"/>
            <w:hideMark/>
          </w:tcPr>
          <w:p w14:paraId="4964A9B0" w14:textId="77777777" w:rsidR="00DE243E" w:rsidRPr="001C447E" w:rsidRDefault="00DE243E" w:rsidP="00BD4720">
            <w:pPr>
              <w:jc w:val="right"/>
              <w:rPr>
                <w:color w:val="000000"/>
                <w:sz w:val="20"/>
                <w:szCs w:val="20"/>
              </w:rPr>
            </w:pPr>
            <w:r w:rsidRPr="001C447E">
              <w:rPr>
                <w:color w:val="000000"/>
                <w:sz w:val="20"/>
                <w:szCs w:val="20"/>
              </w:rPr>
              <w:t>4.4</w:t>
            </w:r>
          </w:p>
        </w:tc>
      </w:tr>
      <w:tr w:rsidR="00DE243E" w:rsidRPr="001C447E" w14:paraId="09B2F147" w14:textId="77777777" w:rsidTr="001C447E">
        <w:trPr>
          <w:trHeight w:val="230"/>
        </w:trPr>
        <w:tc>
          <w:tcPr>
            <w:tcW w:w="9319" w:type="dxa"/>
            <w:gridSpan w:val="5"/>
            <w:shd w:val="clear" w:color="000000" w:fill="FFFFFF"/>
            <w:tcMar>
              <w:left w:w="58" w:type="dxa"/>
              <w:right w:w="58" w:type="dxa"/>
            </w:tcMar>
            <w:vAlign w:val="center"/>
            <w:hideMark/>
          </w:tcPr>
          <w:p w14:paraId="5188D728" w14:textId="77777777" w:rsidR="00DE243E" w:rsidRPr="001C447E" w:rsidRDefault="00DE243E" w:rsidP="00BD4720">
            <w:pPr>
              <w:rPr>
                <w:b/>
                <w:bCs/>
                <w:i/>
                <w:iCs/>
                <w:color w:val="000000"/>
                <w:sz w:val="20"/>
                <w:szCs w:val="20"/>
              </w:rPr>
            </w:pPr>
            <w:r w:rsidRPr="001C447E">
              <w:rPr>
                <w:b/>
                <w:bCs/>
                <w:i/>
                <w:iCs/>
                <w:color w:val="000000"/>
                <w:sz w:val="20"/>
                <w:szCs w:val="20"/>
              </w:rPr>
              <w:t>Household Characteristics</w:t>
            </w:r>
          </w:p>
        </w:tc>
      </w:tr>
      <w:tr w:rsidR="00DE243E" w:rsidRPr="001C447E" w14:paraId="70303086" w14:textId="77777777" w:rsidTr="001C447E">
        <w:trPr>
          <w:trHeight w:val="230"/>
        </w:trPr>
        <w:tc>
          <w:tcPr>
            <w:tcW w:w="9319" w:type="dxa"/>
            <w:gridSpan w:val="5"/>
            <w:shd w:val="clear" w:color="000000" w:fill="FFFFFF"/>
            <w:tcMar>
              <w:left w:w="58" w:type="dxa"/>
              <w:right w:w="58" w:type="dxa"/>
            </w:tcMar>
            <w:vAlign w:val="center"/>
            <w:hideMark/>
          </w:tcPr>
          <w:p w14:paraId="30DED8CE" w14:textId="77777777" w:rsidR="00DE243E" w:rsidRPr="001C447E" w:rsidRDefault="00DE243E" w:rsidP="00BD4720">
            <w:pPr>
              <w:rPr>
                <w:b/>
                <w:bCs/>
                <w:color w:val="000000"/>
                <w:sz w:val="20"/>
                <w:szCs w:val="20"/>
              </w:rPr>
            </w:pPr>
            <w:r w:rsidRPr="001C447E">
              <w:rPr>
                <w:b/>
                <w:bCs/>
                <w:color w:val="000000"/>
                <w:sz w:val="20"/>
                <w:szCs w:val="20"/>
              </w:rPr>
              <w:t xml:space="preserve">Income </w:t>
            </w:r>
          </w:p>
        </w:tc>
      </w:tr>
      <w:tr w:rsidR="00BD4720" w:rsidRPr="001C447E" w14:paraId="77CBD8D4"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03C26EC8" w14:textId="77777777" w:rsidR="00DE243E" w:rsidRPr="001C447E" w:rsidRDefault="00DE243E" w:rsidP="00BD4720">
            <w:pPr>
              <w:ind w:firstLineChars="100" w:firstLine="200"/>
              <w:rPr>
                <w:color w:val="000000"/>
                <w:sz w:val="20"/>
                <w:szCs w:val="20"/>
              </w:rPr>
            </w:pPr>
            <w:r w:rsidRPr="001C447E">
              <w:rPr>
                <w:color w:val="000000"/>
                <w:sz w:val="20"/>
                <w:szCs w:val="20"/>
              </w:rPr>
              <w:t>&lt; $50,000</w:t>
            </w:r>
          </w:p>
        </w:tc>
        <w:tc>
          <w:tcPr>
            <w:tcW w:w="1296" w:type="dxa"/>
            <w:tcBorders>
              <w:left w:val="double" w:sz="4" w:space="0" w:color="auto"/>
            </w:tcBorders>
            <w:shd w:val="clear" w:color="000000" w:fill="FFFFFF"/>
            <w:noWrap/>
            <w:tcMar>
              <w:left w:w="58" w:type="dxa"/>
              <w:right w:w="58" w:type="dxa"/>
            </w:tcMar>
            <w:vAlign w:val="center"/>
            <w:hideMark/>
          </w:tcPr>
          <w:p w14:paraId="5520A9EC" w14:textId="77777777" w:rsidR="00DE243E" w:rsidRPr="001C447E" w:rsidRDefault="00DE243E" w:rsidP="00BD4720">
            <w:pPr>
              <w:jc w:val="right"/>
              <w:rPr>
                <w:color w:val="000000"/>
                <w:sz w:val="20"/>
                <w:szCs w:val="20"/>
              </w:rPr>
            </w:pPr>
            <w:r w:rsidRPr="001C447E">
              <w:rPr>
                <w:color w:val="000000"/>
                <w:sz w:val="20"/>
                <w:szCs w:val="20"/>
              </w:rPr>
              <w:t>29.0%</w:t>
            </w:r>
          </w:p>
        </w:tc>
        <w:tc>
          <w:tcPr>
            <w:tcW w:w="1296" w:type="dxa"/>
            <w:tcBorders>
              <w:right w:val="double" w:sz="4" w:space="0" w:color="auto"/>
            </w:tcBorders>
            <w:shd w:val="clear" w:color="000000" w:fill="FFFFFF"/>
            <w:noWrap/>
            <w:tcMar>
              <w:left w:w="58" w:type="dxa"/>
              <w:right w:w="58" w:type="dxa"/>
            </w:tcMar>
            <w:vAlign w:val="center"/>
            <w:hideMark/>
          </w:tcPr>
          <w:p w14:paraId="6123B692" w14:textId="77777777" w:rsidR="00DE243E" w:rsidRPr="001C447E" w:rsidRDefault="00DE243E" w:rsidP="00BD4720">
            <w:pPr>
              <w:jc w:val="right"/>
              <w:rPr>
                <w:color w:val="000000"/>
                <w:sz w:val="20"/>
                <w:szCs w:val="20"/>
              </w:rPr>
            </w:pPr>
            <w:r w:rsidRPr="001C447E">
              <w:rPr>
                <w:color w:val="000000"/>
                <w:sz w:val="20"/>
                <w:szCs w:val="20"/>
              </w:rPr>
              <w:t>3.7</w:t>
            </w:r>
          </w:p>
        </w:tc>
        <w:tc>
          <w:tcPr>
            <w:tcW w:w="1296" w:type="dxa"/>
            <w:tcBorders>
              <w:left w:val="double" w:sz="4" w:space="0" w:color="auto"/>
            </w:tcBorders>
            <w:shd w:val="clear" w:color="000000" w:fill="FFFFFF"/>
            <w:noWrap/>
            <w:tcMar>
              <w:left w:w="58" w:type="dxa"/>
              <w:right w:w="58" w:type="dxa"/>
            </w:tcMar>
            <w:vAlign w:val="center"/>
            <w:hideMark/>
          </w:tcPr>
          <w:p w14:paraId="321FF833" w14:textId="77777777" w:rsidR="00DE243E" w:rsidRPr="001C447E" w:rsidRDefault="00DE243E" w:rsidP="00BD4720">
            <w:pPr>
              <w:jc w:val="right"/>
              <w:rPr>
                <w:color w:val="000000"/>
                <w:sz w:val="20"/>
                <w:szCs w:val="20"/>
              </w:rPr>
            </w:pPr>
            <w:r w:rsidRPr="001C447E">
              <w:rPr>
                <w:color w:val="000000"/>
                <w:sz w:val="20"/>
                <w:szCs w:val="20"/>
              </w:rPr>
              <w:t>71.0%</w:t>
            </w:r>
          </w:p>
        </w:tc>
        <w:tc>
          <w:tcPr>
            <w:tcW w:w="1296" w:type="dxa"/>
            <w:shd w:val="clear" w:color="000000" w:fill="FFFFFF"/>
            <w:noWrap/>
            <w:tcMar>
              <w:left w:w="58" w:type="dxa"/>
              <w:right w:w="58" w:type="dxa"/>
            </w:tcMar>
            <w:vAlign w:val="center"/>
            <w:hideMark/>
          </w:tcPr>
          <w:p w14:paraId="0F818B5B" w14:textId="77777777" w:rsidR="00DE243E" w:rsidRPr="001C447E" w:rsidRDefault="00DE243E" w:rsidP="00BD4720">
            <w:pPr>
              <w:jc w:val="right"/>
              <w:rPr>
                <w:color w:val="000000"/>
                <w:sz w:val="20"/>
                <w:szCs w:val="20"/>
              </w:rPr>
            </w:pPr>
            <w:r w:rsidRPr="001C447E">
              <w:rPr>
                <w:color w:val="000000"/>
                <w:sz w:val="20"/>
                <w:szCs w:val="20"/>
              </w:rPr>
              <w:t>6.5</w:t>
            </w:r>
          </w:p>
        </w:tc>
      </w:tr>
      <w:tr w:rsidR="00BD4720" w:rsidRPr="001C447E" w14:paraId="4D39E828"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624A34C0" w14:textId="77777777" w:rsidR="00DE243E" w:rsidRPr="001C447E" w:rsidRDefault="00DE243E" w:rsidP="00BD4720">
            <w:pPr>
              <w:ind w:firstLineChars="100" w:firstLine="200"/>
              <w:rPr>
                <w:color w:val="000000"/>
                <w:sz w:val="20"/>
                <w:szCs w:val="20"/>
              </w:rPr>
            </w:pPr>
            <w:r w:rsidRPr="001C447E">
              <w:rPr>
                <w:color w:val="000000"/>
                <w:sz w:val="20"/>
                <w:szCs w:val="20"/>
              </w:rPr>
              <w:t>$50,000 to $99,999</w:t>
            </w:r>
          </w:p>
        </w:tc>
        <w:tc>
          <w:tcPr>
            <w:tcW w:w="1296" w:type="dxa"/>
            <w:tcBorders>
              <w:left w:val="double" w:sz="4" w:space="0" w:color="auto"/>
            </w:tcBorders>
            <w:shd w:val="clear" w:color="000000" w:fill="FFFFFF"/>
            <w:noWrap/>
            <w:tcMar>
              <w:left w:w="58" w:type="dxa"/>
              <w:right w:w="58" w:type="dxa"/>
            </w:tcMar>
            <w:vAlign w:val="center"/>
            <w:hideMark/>
          </w:tcPr>
          <w:p w14:paraId="53D68DC7" w14:textId="77777777" w:rsidR="00DE243E" w:rsidRPr="001C447E" w:rsidRDefault="00DE243E" w:rsidP="00BD4720">
            <w:pPr>
              <w:jc w:val="right"/>
              <w:rPr>
                <w:color w:val="000000"/>
                <w:sz w:val="20"/>
                <w:szCs w:val="20"/>
              </w:rPr>
            </w:pPr>
            <w:r w:rsidRPr="001C447E">
              <w:rPr>
                <w:color w:val="000000"/>
                <w:sz w:val="20"/>
                <w:szCs w:val="20"/>
              </w:rPr>
              <w:t>43.6%</w:t>
            </w:r>
          </w:p>
        </w:tc>
        <w:tc>
          <w:tcPr>
            <w:tcW w:w="1296" w:type="dxa"/>
            <w:tcBorders>
              <w:right w:val="double" w:sz="4" w:space="0" w:color="auto"/>
            </w:tcBorders>
            <w:shd w:val="clear" w:color="000000" w:fill="FFFFFF"/>
            <w:noWrap/>
            <w:tcMar>
              <w:left w:w="58" w:type="dxa"/>
              <w:right w:w="58" w:type="dxa"/>
            </w:tcMar>
            <w:vAlign w:val="center"/>
            <w:hideMark/>
          </w:tcPr>
          <w:p w14:paraId="6909F7F0" w14:textId="77777777" w:rsidR="00DE243E" w:rsidRPr="001C447E" w:rsidRDefault="00DE243E" w:rsidP="00BD4720">
            <w:pPr>
              <w:jc w:val="right"/>
              <w:rPr>
                <w:color w:val="000000"/>
                <w:sz w:val="20"/>
                <w:szCs w:val="20"/>
              </w:rPr>
            </w:pPr>
            <w:r w:rsidRPr="001C447E">
              <w:rPr>
                <w:color w:val="000000"/>
                <w:sz w:val="20"/>
                <w:szCs w:val="20"/>
              </w:rPr>
              <w:t>5.8</w:t>
            </w:r>
          </w:p>
        </w:tc>
        <w:tc>
          <w:tcPr>
            <w:tcW w:w="1296" w:type="dxa"/>
            <w:tcBorders>
              <w:left w:val="double" w:sz="4" w:space="0" w:color="auto"/>
            </w:tcBorders>
            <w:shd w:val="clear" w:color="000000" w:fill="FFFFFF"/>
            <w:noWrap/>
            <w:tcMar>
              <w:left w:w="58" w:type="dxa"/>
              <w:right w:w="58" w:type="dxa"/>
            </w:tcMar>
            <w:vAlign w:val="center"/>
            <w:hideMark/>
          </w:tcPr>
          <w:p w14:paraId="3E799A90" w14:textId="77777777" w:rsidR="00DE243E" w:rsidRPr="001C447E" w:rsidRDefault="00DE243E" w:rsidP="00BD4720">
            <w:pPr>
              <w:jc w:val="right"/>
              <w:rPr>
                <w:color w:val="000000"/>
                <w:sz w:val="20"/>
                <w:szCs w:val="20"/>
              </w:rPr>
            </w:pPr>
            <w:r w:rsidRPr="001C447E">
              <w:rPr>
                <w:color w:val="000000"/>
                <w:sz w:val="20"/>
                <w:szCs w:val="20"/>
              </w:rPr>
              <w:t>56.4%</w:t>
            </w:r>
          </w:p>
        </w:tc>
        <w:tc>
          <w:tcPr>
            <w:tcW w:w="1296" w:type="dxa"/>
            <w:shd w:val="clear" w:color="000000" w:fill="FFFFFF"/>
            <w:noWrap/>
            <w:tcMar>
              <w:left w:w="58" w:type="dxa"/>
              <w:right w:w="58" w:type="dxa"/>
            </w:tcMar>
            <w:vAlign w:val="center"/>
            <w:hideMark/>
          </w:tcPr>
          <w:p w14:paraId="5A2B6120" w14:textId="77777777" w:rsidR="00DE243E" w:rsidRPr="001C447E" w:rsidRDefault="00DE243E" w:rsidP="00BD4720">
            <w:pPr>
              <w:jc w:val="right"/>
              <w:rPr>
                <w:color w:val="000000"/>
                <w:sz w:val="20"/>
                <w:szCs w:val="20"/>
              </w:rPr>
            </w:pPr>
            <w:r w:rsidRPr="001C447E">
              <w:rPr>
                <w:color w:val="000000"/>
                <w:sz w:val="20"/>
                <w:szCs w:val="20"/>
              </w:rPr>
              <w:t>5.1</w:t>
            </w:r>
          </w:p>
        </w:tc>
      </w:tr>
      <w:tr w:rsidR="00BD4720" w:rsidRPr="001C447E" w14:paraId="4476E19B"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418C3713" w14:textId="77777777" w:rsidR="00DE243E" w:rsidRPr="001C447E" w:rsidRDefault="00DE243E" w:rsidP="00BD4720">
            <w:pPr>
              <w:ind w:firstLineChars="100" w:firstLine="200"/>
              <w:rPr>
                <w:color w:val="000000"/>
                <w:sz w:val="20"/>
                <w:szCs w:val="20"/>
              </w:rPr>
            </w:pPr>
            <w:r w:rsidRPr="001C447E">
              <w:rPr>
                <w:color w:val="000000"/>
                <w:sz w:val="20"/>
                <w:szCs w:val="20"/>
              </w:rPr>
              <w:lastRenderedPageBreak/>
              <w:t>$100,000 to $149,999</w:t>
            </w:r>
          </w:p>
        </w:tc>
        <w:tc>
          <w:tcPr>
            <w:tcW w:w="1296" w:type="dxa"/>
            <w:tcBorders>
              <w:left w:val="double" w:sz="4" w:space="0" w:color="auto"/>
            </w:tcBorders>
            <w:shd w:val="clear" w:color="000000" w:fill="FFFFFF"/>
            <w:noWrap/>
            <w:tcMar>
              <w:left w:w="58" w:type="dxa"/>
              <w:right w:w="58" w:type="dxa"/>
            </w:tcMar>
            <w:vAlign w:val="center"/>
            <w:hideMark/>
          </w:tcPr>
          <w:p w14:paraId="3B29A700" w14:textId="77777777" w:rsidR="00DE243E" w:rsidRPr="001C447E" w:rsidRDefault="00DE243E" w:rsidP="00BD4720">
            <w:pPr>
              <w:jc w:val="right"/>
              <w:rPr>
                <w:color w:val="000000"/>
                <w:sz w:val="20"/>
                <w:szCs w:val="20"/>
              </w:rPr>
            </w:pPr>
            <w:r w:rsidRPr="001C447E">
              <w:rPr>
                <w:color w:val="000000"/>
                <w:sz w:val="20"/>
                <w:szCs w:val="20"/>
              </w:rPr>
              <w:t>46.8%</w:t>
            </w:r>
          </w:p>
        </w:tc>
        <w:tc>
          <w:tcPr>
            <w:tcW w:w="1296" w:type="dxa"/>
            <w:tcBorders>
              <w:right w:val="double" w:sz="4" w:space="0" w:color="auto"/>
            </w:tcBorders>
            <w:shd w:val="clear" w:color="000000" w:fill="FFFFFF"/>
            <w:noWrap/>
            <w:tcMar>
              <w:left w:w="58" w:type="dxa"/>
              <w:right w:w="58" w:type="dxa"/>
            </w:tcMar>
            <w:vAlign w:val="center"/>
            <w:hideMark/>
          </w:tcPr>
          <w:p w14:paraId="47F86F56" w14:textId="77777777" w:rsidR="00DE243E" w:rsidRPr="001C447E" w:rsidRDefault="00DE243E" w:rsidP="00BD4720">
            <w:pPr>
              <w:jc w:val="right"/>
              <w:rPr>
                <w:color w:val="000000"/>
                <w:sz w:val="20"/>
                <w:szCs w:val="20"/>
              </w:rPr>
            </w:pPr>
            <w:r w:rsidRPr="001C447E">
              <w:rPr>
                <w:color w:val="000000"/>
                <w:sz w:val="20"/>
                <w:szCs w:val="20"/>
              </w:rPr>
              <w:t>6.3</w:t>
            </w:r>
          </w:p>
        </w:tc>
        <w:tc>
          <w:tcPr>
            <w:tcW w:w="1296" w:type="dxa"/>
            <w:tcBorders>
              <w:left w:val="double" w:sz="4" w:space="0" w:color="auto"/>
            </w:tcBorders>
            <w:shd w:val="clear" w:color="000000" w:fill="FFFFFF"/>
            <w:noWrap/>
            <w:tcMar>
              <w:left w:w="58" w:type="dxa"/>
              <w:right w:w="58" w:type="dxa"/>
            </w:tcMar>
            <w:vAlign w:val="center"/>
            <w:hideMark/>
          </w:tcPr>
          <w:p w14:paraId="20D402E5" w14:textId="77777777" w:rsidR="00DE243E" w:rsidRPr="001C447E" w:rsidRDefault="00DE243E" w:rsidP="00BD4720">
            <w:pPr>
              <w:jc w:val="right"/>
              <w:rPr>
                <w:color w:val="000000"/>
                <w:sz w:val="20"/>
                <w:szCs w:val="20"/>
              </w:rPr>
            </w:pPr>
            <w:r w:rsidRPr="001C447E">
              <w:rPr>
                <w:color w:val="000000"/>
                <w:sz w:val="20"/>
                <w:szCs w:val="20"/>
              </w:rPr>
              <w:t>53.2%</w:t>
            </w:r>
          </w:p>
        </w:tc>
        <w:tc>
          <w:tcPr>
            <w:tcW w:w="1296" w:type="dxa"/>
            <w:shd w:val="clear" w:color="000000" w:fill="FFFFFF"/>
            <w:noWrap/>
            <w:tcMar>
              <w:left w:w="58" w:type="dxa"/>
              <w:right w:w="58" w:type="dxa"/>
            </w:tcMar>
            <w:vAlign w:val="center"/>
            <w:hideMark/>
          </w:tcPr>
          <w:p w14:paraId="007FDE11" w14:textId="77777777" w:rsidR="00DE243E" w:rsidRPr="001C447E" w:rsidRDefault="00DE243E" w:rsidP="00BD4720">
            <w:pPr>
              <w:jc w:val="right"/>
              <w:rPr>
                <w:color w:val="000000"/>
                <w:sz w:val="20"/>
                <w:szCs w:val="20"/>
              </w:rPr>
            </w:pPr>
            <w:r w:rsidRPr="001C447E">
              <w:rPr>
                <w:color w:val="000000"/>
                <w:sz w:val="20"/>
                <w:szCs w:val="20"/>
              </w:rPr>
              <w:t>4.4</w:t>
            </w:r>
          </w:p>
        </w:tc>
      </w:tr>
      <w:tr w:rsidR="00BD4720" w:rsidRPr="001C447E" w14:paraId="59901469"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1FB9D054" w14:textId="77777777" w:rsidR="00DE243E" w:rsidRPr="001C447E" w:rsidRDefault="00DE243E" w:rsidP="00BD4720">
            <w:pPr>
              <w:ind w:firstLineChars="100" w:firstLine="200"/>
              <w:rPr>
                <w:color w:val="000000"/>
                <w:sz w:val="20"/>
                <w:szCs w:val="20"/>
              </w:rPr>
            </w:pPr>
            <w:r w:rsidRPr="001C447E">
              <w:rPr>
                <w:color w:val="000000"/>
                <w:sz w:val="20"/>
                <w:szCs w:val="20"/>
              </w:rPr>
              <w:t>≥ $150,000</w:t>
            </w:r>
          </w:p>
        </w:tc>
        <w:tc>
          <w:tcPr>
            <w:tcW w:w="1296" w:type="dxa"/>
            <w:tcBorders>
              <w:left w:val="double" w:sz="4" w:space="0" w:color="auto"/>
            </w:tcBorders>
            <w:shd w:val="clear" w:color="000000" w:fill="FFFFFF"/>
            <w:noWrap/>
            <w:tcMar>
              <w:left w:w="58" w:type="dxa"/>
              <w:right w:w="58" w:type="dxa"/>
            </w:tcMar>
            <w:vAlign w:val="center"/>
            <w:hideMark/>
          </w:tcPr>
          <w:p w14:paraId="3679DD5D" w14:textId="77777777" w:rsidR="00DE243E" w:rsidRPr="001C447E" w:rsidRDefault="00DE243E" w:rsidP="00BD4720">
            <w:pPr>
              <w:jc w:val="right"/>
              <w:rPr>
                <w:color w:val="000000"/>
                <w:sz w:val="20"/>
                <w:szCs w:val="20"/>
              </w:rPr>
            </w:pPr>
            <w:r w:rsidRPr="001C447E">
              <w:rPr>
                <w:color w:val="000000"/>
                <w:sz w:val="20"/>
                <w:szCs w:val="20"/>
              </w:rPr>
              <w:t>60.6%</w:t>
            </w:r>
          </w:p>
        </w:tc>
        <w:tc>
          <w:tcPr>
            <w:tcW w:w="1296" w:type="dxa"/>
            <w:tcBorders>
              <w:right w:val="double" w:sz="4" w:space="0" w:color="auto"/>
            </w:tcBorders>
            <w:shd w:val="clear" w:color="000000" w:fill="FFFFFF"/>
            <w:noWrap/>
            <w:tcMar>
              <w:left w:w="58" w:type="dxa"/>
              <w:right w:w="58" w:type="dxa"/>
            </w:tcMar>
            <w:vAlign w:val="center"/>
            <w:hideMark/>
          </w:tcPr>
          <w:p w14:paraId="7C2E111F" w14:textId="77777777" w:rsidR="00DE243E" w:rsidRPr="001C447E" w:rsidRDefault="00DE243E" w:rsidP="00BD4720">
            <w:pPr>
              <w:jc w:val="right"/>
              <w:rPr>
                <w:color w:val="000000"/>
                <w:sz w:val="20"/>
                <w:szCs w:val="20"/>
              </w:rPr>
            </w:pPr>
            <w:r w:rsidRPr="001C447E">
              <w:rPr>
                <w:color w:val="000000"/>
                <w:sz w:val="20"/>
                <w:szCs w:val="20"/>
              </w:rPr>
              <w:t>9.1</w:t>
            </w:r>
          </w:p>
        </w:tc>
        <w:tc>
          <w:tcPr>
            <w:tcW w:w="1296" w:type="dxa"/>
            <w:tcBorders>
              <w:left w:val="double" w:sz="4" w:space="0" w:color="auto"/>
            </w:tcBorders>
            <w:shd w:val="clear" w:color="000000" w:fill="FFFFFF"/>
            <w:noWrap/>
            <w:tcMar>
              <w:left w:w="58" w:type="dxa"/>
              <w:right w:w="58" w:type="dxa"/>
            </w:tcMar>
            <w:vAlign w:val="center"/>
            <w:hideMark/>
          </w:tcPr>
          <w:p w14:paraId="0E53D863" w14:textId="77777777" w:rsidR="00DE243E" w:rsidRPr="001C447E" w:rsidRDefault="00DE243E" w:rsidP="00BD4720">
            <w:pPr>
              <w:jc w:val="right"/>
              <w:rPr>
                <w:color w:val="000000"/>
                <w:sz w:val="20"/>
                <w:szCs w:val="20"/>
              </w:rPr>
            </w:pPr>
            <w:r w:rsidRPr="001C447E">
              <w:rPr>
                <w:color w:val="000000"/>
                <w:sz w:val="20"/>
                <w:szCs w:val="20"/>
              </w:rPr>
              <w:t>39.4%</w:t>
            </w:r>
          </w:p>
        </w:tc>
        <w:tc>
          <w:tcPr>
            <w:tcW w:w="1296" w:type="dxa"/>
            <w:shd w:val="clear" w:color="000000" w:fill="FFFFFF"/>
            <w:noWrap/>
            <w:tcMar>
              <w:left w:w="58" w:type="dxa"/>
              <w:right w:w="58" w:type="dxa"/>
            </w:tcMar>
            <w:vAlign w:val="center"/>
            <w:hideMark/>
          </w:tcPr>
          <w:p w14:paraId="41A106D6" w14:textId="77777777" w:rsidR="00DE243E" w:rsidRPr="001C447E" w:rsidRDefault="00DE243E" w:rsidP="00BD4720">
            <w:pPr>
              <w:jc w:val="right"/>
              <w:rPr>
                <w:color w:val="000000"/>
                <w:sz w:val="20"/>
                <w:szCs w:val="20"/>
              </w:rPr>
            </w:pPr>
            <w:r w:rsidRPr="001C447E">
              <w:rPr>
                <w:color w:val="000000"/>
                <w:sz w:val="20"/>
                <w:szCs w:val="20"/>
              </w:rPr>
              <w:t>3.4</w:t>
            </w:r>
          </w:p>
        </w:tc>
      </w:tr>
      <w:tr w:rsidR="00DE243E" w:rsidRPr="001C447E" w14:paraId="510C1968" w14:textId="77777777" w:rsidTr="001C447E">
        <w:trPr>
          <w:trHeight w:val="230"/>
        </w:trPr>
        <w:tc>
          <w:tcPr>
            <w:tcW w:w="9319" w:type="dxa"/>
            <w:gridSpan w:val="5"/>
            <w:shd w:val="clear" w:color="000000" w:fill="FFFFFF"/>
            <w:tcMar>
              <w:left w:w="58" w:type="dxa"/>
              <w:right w:w="58" w:type="dxa"/>
            </w:tcMar>
            <w:vAlign w:val="center"/>
            <w:hideMark/>
          </w:tcPr>
          <w:p w14:paraId="076BE3BA" w14:textId="77777777" w:rsidR="00DE243E" w:rsidRPr="001C447E" w:rsidRDefault="00DE243E" w:rsidP="00BD4720">
            <w:pPr>
              <w:rPr>
                <w:b/>
                <w:bCs/>
                <w:color w:val="000000"/>
                <w:sz w:val="20"/>
                <w:szCs w:val="20"/>
              </w:rPr>
            </w:pPr>
            <w:r w:rsidRPr="001C447E">
              <w:rPr>
                <w:b/>
                <w:bCs/>
                <w:color w:val="000000"/>
                <w:sz w:val="20"/>
                <w:szCs w:val="20"/>
              </w:rPr>
              <w:t>Vehicles / Person / Household</w:t>
            </w:r>
          </w:p>
        </w:tc>
      </w:tr>
      <w:tr w:rsidR="00BD4720" w:rsidRPr="001C447E" w14:paraId="03A73A88"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4F430767" w14:textId="592AF1E7" w:rsidR="00DE243E" w:rsidRPr="001C447E" w:rsidRDefault="00DE243E" w:rsidP="00BD4720">
            <w:pPr>
              <w:ind w:firstLineChars="100" w:firstLine="200"/>
              <w:rPr>
                <w:color w:val="000000"/>
                <w:sz w:val="20"/>
                <w:szCs w:val="20"/>
              </w:rPr>
            </w:pPr>
            <w:r w:rsidRPr="001C447E">
              <w:rPr>
                <w:color w:val="000000"/>
                <w:sz w:val="20"/>
                <w:szCs w:val="20"/>
              </w:rPr>
              <w:t>Scarcity or Equilibrium of</w:t>
            </w:r>
            <w:r w:rsidR="00251E00" w:rsidRPr="001C447E">
              <w:rPr>
                <w:color w:val="000000"/>
                <w:sz w:val="20"/>
                <w:szCs w:val="20"/>
              </w:rPr>
              <w:t xml:space="preserve"> </w:t>
            </w:r>
            <w:r w:rsidRPr="001C447E">
              <w:rPr>
                <w:color w:val="000000"/>
                <w:sz w:val="20"/>
                <w:szCs w:val="20"/>
              </w:rPr>
              <w:t>Vehicles</w:t>
            </w:r>
          </w:p>
        </w:tc>
        <w:tc>
          <w:tcPr>
            <w:tcW w:w="1296" w:type="dxa"/>
            <w:tcBorders>
              <w:left w:val="double" w:sz="4" w:space="0" w:color="auto"/>
            </w:tcBorders>
            <w:shd w:val="clear" w:color="000000" w:fill="FFFFFF"/>
            <w:noWrap/>
            <w:tcMar>
              <w:left w:w="58" w:type="dxa"/>
              <w:right w:w="58" w:type="dxa"/>
            </w:tcMar>
            <w:vAlign w:val="center"/>
            <w:hideMark/>
          </w:tcPr>
          <w:p w14:paraId="597FCD23" w14:textId="77777777" w:rsidR="00DE243E" w:rsidRPr="001C447E" w:rsidRDefault="00DE243E" w:rsidP="00BD4720">
            <w:pPr>
              <w:jc w:val="right"/>
              <w:rPr>
                <w:color w:val="000000"/>
                <w:sz w:val="20"/>
                <w:szCs w:val="20"/>
              </w:rPr>
            </w:pPr>
            <w:r w:rsidRPr="001C447E">
              <w:rPr>
                <w:color w:val="000000"/>
                <w:sz w:val="20"/>
                <w:szCs w:val="20"/>
              </w:rPr>
              <w:t>47.4%</w:t>
            </w:r>
          </w:p>
        </w:tc>
        <w:tc>
          <w:tcPr>
            <w:tcW w:w="1296" w:type="dxa"/>
            <w:tcBorders>
              <w:right w:val="double" w:sz="4" w:space="0" w:color="auto"/>
            </w:tcBorders>
            <w:shd w:val="clear" w:color="000000" w:fill="FFFFFF"/>
            <w:noWrap/>
            <w:tcMar>
              <w:left w:w="58" w:type="dxa"/>
              <w:right w:w="58" w:type="dxa"/>
            </w:tcMar>
            <w:vAlign w:val="center"/>
            <w:hideMark/>
          </w:tcPr>
          <w:p w14:paraId="16EDA5F0" w14:textId="77777777" w:rsidR="00DE243E" w:rsidRPr="001C447E" w:rsidRDefault="00DE243E" w:rsidP="00BD4720">
            <w:pPr>
              <w:jc w:val="right"/>
              <w:rPr>
                <w:color w:val="000000"/>
                <w:sz w:val="20"/>
                <w:szCs w:val="20"/>
              </w:rPr>
            </w:pPr>
            <w:r w:rsidRPr="001C447E">
              <w:rPr>
                <w:color w:val="000000"/>
                <w:sz w:val="20"/>
                <w:szCs w:val="20"/>
              </w:rPr>
              <w:t>6.5</w:t>
            </w:r>
          </w:p>
        </w:tc>
        <w:tc>
          <w:tcPr>
            <w:tcW w:w="1296" w:type="dxa"/>
            <w:tcBorders>
              <w:left w:val="double" w:sz="4" w:space="0" w:color="auto"/>
            </w:tcBorders>
            <w:shd w:val="clear" w:color="000000" w:fill="FFFFFF"/>
            <w:noWrap/>
            <w:tcMar>
              <w:left w:w="58" w:type="dxa"/>
              <w:right w:w="58" w:type="dxa"/>
            </w:tcMar>
            <w:vAlign w:val="center"/>
            <w:hideMark/>
          </w:tcPr>
          <w:p w14:paraId="3603A315" w14:textId="77777777" w:rsidR="00DE243E" w:rsidRPr="001C447E" w:rsidRDefault="00DE243E" w:rsidP="00BD4720">
            <w:pPr>
              <w:jc w:val="right"/>
              <w:rPr>
                <w:color w:val="000000"/>
                <w:sz w:val="20"/>
                <w:szCs w:val="20"/>
              </w:rPr>
            </w:pPr>
            <w:r w:rsidRPr="001C447E">
              <w:rPr>
                <w:color w:val="000000"/>
                <w:sz w:val="20"/>
                <w:szCs w:val="20"/>
              </w:rPr>
              <w:t>52.6%</w:t>
            </w:r>
          </w:p>
        </w:tc>
        <w:tc>
          <w:tcPr>
            <w:tcW w:w="1296" w:type="dxa"/>
            <w:shd w:val="clear" w:color="000000" w:fill="FFFFFF"/>
            <w:noWrap/>
            <w:tcMar>
              <w:left w:w="58" w:type="dxa"/>
              <w:right w:w="58" w:type="dxa"/>
            </w:tcMar>
            <w:vAlign w:val="center"/>
            <w:hideMark/>
          </w:tcPr>
          <w:p w14:paraId="44942DA0" w14:textId="77777777" w:rsidR="00DE243E" w:rsidRPr="001C447E" w:rsidRDefault="00DE243E" w:rsidP="00BD4720">
            <w:pPr>
              <w:jc w:val="right"/>
              <w:rPr>
                <w:color w:val="000000"/>
                <w:sz w:val="20"/>
                <w:szCs w:val="20"/>
              </w:rPr>
            </w:pPr>
            <w:r w:rsidRPr="001C447E">
              <w:rPr>
                <w:color w:val="000000"/>
                <w:sz w:val="20"/>
                <w:szCs w:val="20"/>
              </w:rPr>
              <w:t>4.5</w:t>
            </w:r>
          </w:p>
        </w:tc>
      </w:tr>
      <w:tr w:rsidR="00BD4720" w:rsidRPr="001C447E" w14:paraId="7FF74215"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417D19FF" w14:textId="77777777" w:rsidR="00DE243E" w:rsidRPr="001C447E" w:rsidRDefault="00DE243E" w:rsidP="00BD4720">
            <w:pPr>
              <w:ind w:firstLineChars="100" w:firstLine="200"/>
              <w:rPr>
                <w:color w:val="000000"/>
                <w:sz w:val="20"/>
                <w:szCs w:val="20"/>
              </w:rPr>
            </w:pPr>
            <w:r w:rsidRPr="001C447E">
              <w:rPr>
                <w:color w:val="000000"/>
                <w:sz w:val="20"/>
                <w:szCs w:val="20"/>
              </w:rPr>
              <w:t>Surplus of Vehicles</w:t>
            </w:r>
          </w:p>
        </w:tc>
        <w:tc>
          <w:tcPr>
            <w:tcW w:w="1296" w:type="dxa"/>
            <w:tcBorders>
              <w:left w:val="double" w:sz="4" w:space="0" w:color="auto"/>
            </w:tcBorders>
            <w:shd w:val="clear" w:color="000000" w:fill="FFFFFF"/>
            <w:noWrap/>
            <w:tcMar>
              <w:left w:w="58" w:type="dxa"/>
              <w:right w:w="58" w:type="dxa"/>
            </w:tcMar>
            <w:vAlign w:val="center"/>
            <w:hideMark/>
          </w:tcPr>
          <w:p w14:paraId="775B1404" w14:textId="77777777" w:rsidR="00DE243E" w:rsidRPr="001C447E" w:rsidRDefault="00DE243E" w:rsidP="00BD4720">
            <w:pPr>
              <w:jc w:val="right"/>
              <w:rPr>
                <w:color w:val="000000"/>
                <w:sz w:val="20"/>
                <w:szCs w:val="20"/>
              </w:rPr>
            </w:pPr>
            <w:r w:rsidRPr="001C447E">
              <w:rPr>
                <w:color w:val="000000"/>
                <w:sz w:val="20"/>
                <w:szCs w:val="20"/>
              </w:rPr>
              <w:t>42.4%</w:t>
            </w:r>
          </w:p>
        </w:tc>
        <w:tc>
          <w:tcPr>
            <w:tcW w:w="1296" w:type="dxa"/>
            <w:tcBorders>
              <w:right w:val="double" w:sz="4" w:space="0" w:color="auto"/>
            </w:tcBorders>
            <w:shd w:val="clear" w:color="000000" w:fill="FFFFFF"/>
            <w:noWrap/>
            <w:tcMar>
              <w:left w:w="58" w:type="dxa"/>
              <w:right w:w="58" w:type="dxa"/>
            </w:tcMar>
            <w:vAlign w:val="center"/>
            <w:hideMark/>
          </w:tcPr>
          <w:p w14:paraId="7C1BC91F" w14:textId="77777777" w:rsidR="00DE243E" w:rsidRPr="001C447E" w:rsidRDefault="00DE243E" w:rsidP="00BD4720">
            <w:pPr>
              <w:jc w:val="right"/>
              <w:rPr>
                <w:color w:val="000000"/>
                <w:sz w:val="20"/>
                <w:szCs w:val="20"/>
              </w:rPr>
            </w:pPr>
            <w:r w:rsidRPr="001C447E">
              <w:rPr>
                <w:color w:val="000000"/>
                <w:sz w:val="20"/>
                <w:szCs w:val="20"/>
              </w:rPr>
              <w:t>5.7</w:t>
            </w:r>
          </w:p>
        </w:tc>
        <w:tc>
          <w:tcPr>
            <w:tcW w:w="1296" w:type="dxa"/>
            <w:tcBorders>
              <w:left w:val="double" w:sz="4" w:space="0" w:color="auto"/>
            </w:tcBorders>
            <w:shd w:val="clear" w:color="000000" w:fill="FFFFFF"/>
            <w:noWrap/>
            <w:tcMar>
              <w:left w:w="58" w:type="dxa"/>
              <w:right w:w="58" w:type="dxa"/>
            </w:tcMar>
            <w:vAlign w:val="center"/>
            <w:hideMark/>
          </w:tcPr>
          <w:p w14:paraId="50FFAB36" w14:textId="77777777" w:rsidR="00DE243E" w:rsidRPr="001C447E" w:rsidRDefault="00DE243E" w:rsidP="00BD4720">
            <w:pPr>
              <w:jc w:val="right"/>
              <w:rPr>
                <w:color w:val="000000"/>
                <w:sz w:val="20"/>
                <w:szCs w:val="20"/>
              </w:rPr>
            </w:pPr>
            <w:r w:rsidRPr="001C447E">
              <w:rPr>
                <w:color w:val="000000"/>
                <w:sz w:val="20"/>
                <w:szCs w:val="20"/>
              </w:rPr>
              <w:t>57.6%</w:t>
            </w:r>
          </w:p>
        </w:tc>
        <w:tc>
          <w:tcPr>
            <w:tcW w:w="1296" w:type="dxa"/>
            <w:shd w:val="clear" w:color="000000" w:fill="FFFFFF"/>
            <w:noWrap/>
            <w:tcMar>
              <w:left w:w="58" w:type="dxa"/>
              <w:right w:w="58" w:type="dxa"/>
            </w:tcMar>
            <w:vAlign w:val="center"/>
            <w:hideMark/>
          </w:tcPr>
          <w:p w14:paraId="7B5827AE" w14:textId="77777777" w:rsidR="00DE243E" w:rsidRPr="001C447E" w:rsidRDefault="00DE243E" w:rsidP="00BD4720">
            <w:pPr>
              <w:jc w:val="right"/>
              <w:rPr>
                <w:color w:val="000000"/>
                <w:sz w:val="20"/>
                <w:szCs w:val="20"/>
              </w:rPr>
            </w:pPr>
            <w:r w:rsidRPr="001C447E">
              <w:rPr>
                <w:color w:val="000000"/>
                <w:sz w:val="20"/>
                <w:szCs w:val="20"/>
              </w:rPr>
              <w:t>5.3</w:t>
            </w:r>
          </w:p>
        </w:tc>
      </w:tr>
      <w:tr w:rsidR="00DE243E" w:rsidRPr="001C447E" w14:paraId="169914D2" w14:textId="77777777" w:rsidTr="001C447E">
        <w:trPr>
          <w:trHeight w:val="230"/>
        </w:trPr>
        <w:tc>
          <w:tcPr>
            <w:tcW w:w="9319" w:type="dxa"/>
            <w:gridSpan w:val="5"/>
            <w:shd w:val="clear" w:color="000000" w:fill="FFFFFF"/>
            <w:tcMar>
              <w:left w:w="58" w:type="dxa"/>
              <w:right w:w="58" w:type="dxa"/>
            </w:tcMar>
            <w:vAlign w:val="center"/>
            <w:hideMark/>
          </w:tcPr>
          <w:p w14:paraId="4BAF13D8" w14:textId="77777777" w:rsidR="00DE243E" w:rsidRPr="001C447E" w:rsidRDefault="00DE243E" w:rsidP="00BD4720">
            <w:pPr>
              <w:rPr>
                <w:b/>
                <w:bCs/>
                <w:i/>
                <w:iCs/>
                <w:color w:val="000000"/>
                <w:sz w:val="20"/>
                <w:szCs w:val="20"/>
              </w:rPr>
            </w:pPr>
            <w:r w:rsidRPr="001C447E">
              <w:rPr>
                <w:b/>
                <w:bCs/>
                <w:i/>
                <w:iCs/>
                <w:color w:val="000000"/>
                <w:sz w:val="20"/>
                <w:szCs w:val="20"/>
              </w:rPr>
              <w:t>Job-Related Characteristics</w:t>
            </w:r>
          </w:p>
        </w:tc>
      </w:tr>
      <w:tr w:rsidR="00DE243E" w:rsidRPr="001C447E" w14:paraId="389A8C36" w14:textId="77777777" w:rsidTr="001C447E">
        <w:trPr>
          <w:trHeight w:val="230"/>
        </w:trPr>
        <w:tc>
          <w:tcPr>
            <w:tcW w:w="9319" w:type="dxa"/>
            <w:gridSpan w:val="5"/>
            <w:shd w:val="clear" w:color="000000" w:fill="FFFFFF"/>
            <w:tcMar>
              <w:left w:w="58" w:type="dxa"/>
              <w:right w:w="58" w:type="dxa"/>
            </w:tcMar>
            <w:vAlign w:val="center"/>
            <w:hideMark/>
          </w:tcPr>
          <w:p w14:paraId="09C07D7B" w14:textId="77777777" w:rsidR="00DE243E" w:rsidRPr="001C447E" w:rsidRDefault="00DE243E" w:rsidP="00BD4720">
            <w:pPr>
              <w:rPr>
                <w:b/>
                <w:bCs/>
                <w:color w:val="000000"/>
                <w:sz w:val="20"/>
                <w:szCs w:val="20"/>
              </w:rPr>
            </w:pPr>
            <w:r w:rsidRPr="001C447E">
              <w:rPr>
                <w:b/>
                <w:bCs/>
                <w:color w:val="000000"/>
                <w:sz w:val="20"/>
                <w:szCs w:val="20"/>
              </w:rPr>
              <w:t>Occupation</w:t>
            </w:r>
          </w:p>
        </w:tc>
      </w:tr>
      <w:tr w:rsidR="00BD4720" w:rsidRPr="001C447E" w14:paraId="10F1D48A"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37168EBA" w14:textId="21C54CBE" w:rsidR="00DE243E" w:rsidRPr="001C447E" w:rsidRDefault="00DE243E" w:rsidP="00BD4720">
            <w:pPr>
              <w:ind w:left="195" w:firstLineChars="2" w:firstLine="4"/>
              <w:rPr>
                <w:color w:val="000000"/>
                <w:sz w:val="20"/>
                <w:szCs w:val="20"/>
              </w:rPr>
            </w:pPr>
            <w:bookmarkStart w:id="20" w:name="_Hlk138316013"/>
            <w:r w:rsidRPr="001C447E">
              <w:rPr>
                <w:color w:val="000000"/>
                <w:sz w:val="20"/>
                <w:szCs w:val="20"/>
              </w:rPr>
              <w:t>Public Administration,</w:t>
            </w:r>
            <w:r w:rsidR="00B005F6" w:rsidRPr="001C447E">
              <w:rPr>
                <w:color w:val="000000"/>
                <w:sz w:val="20"/>
                <w:szCs w:val="20"/>
              </w:rPr>
              <w:t xml:space="preserve"> </w:t>
            </w:r>
            <w:r w:rsidRPr="001C447E">
              <w:rPr>
                <w:color w:val="000000"/>
                <w:sz w:val="20"/>
                <w:szCs w:val="20"/>
              </w:rPr>
              <w:t>Services/Retail Service,</w:t>
            </w:r>
            <w:r w:rsidR="00251E00" w:rsidRPr="001C447E">
              <w:rPr>
                <w:color w:val="000000"/>
                <w:sz w:val="20"/>
                <w:szCs w:val="20"/>
              </w:rPr>
              <w:t xml:space="preserve"> </w:t>
            </w:r>
            <w:r w:rsidRPr="001C447E">
              <w:rPr>
                <w:color w:val="000000"/>
                <w:sz w:val="20"/>
                <w:szCs w:val="20"/>
              </w:rPr>
              <w:t>Transportation, and Business-Related</w:t>
            </w:r>
            <w:bookmarkEnd w:id="20"/>
          </w:p>
        </w:tc>
        <w:tc>
          <w:tcPr>
            <w:tcW w:w="1296" w:type="dxa"/>
            <w:tcBorders>
              <w:left w:val="double" w:sz="4" w:space="0" w:color="auto"/>
            </w:tcBorders>
            <w:shd w:val="clear" w:color="000000" w:fill="FFFFFF"/>
            <w:noWrap/>
            <w:tcMar>
              <w:left w:w="58" w:type="dxa"/>
              <w:right w:w="58" w:type="dxa"/>
            </w:tcMar>
            <w:vAlign w:val="center"/>
            <w:hideMark/>
          </w:tcPr>
          <w:p w14:paraId="776E5148" w14:textId="77777777" w:rsidR="00DE243E" w:rsidRPr="001C447E" w:rsidRDefault="00DE243E" w:rsidP="00BD4720">
            <w:pPr>
              <w:jc w:val="right"/>
              <w:rPr>
                <w:color w:val="000000"/>
                <w:sz w:val="20"/>
                <w:szCs w:val="20"/>
              </w:rPr>
            </w:pPr>
            <w:r w:rsidRPr="001C447E">
              <w:rPr>
                <w:color w:val="000000"/>
                <w:sz w:val="20"/>
                <w:szCs w:val="20"/>
              </w:rPr>
              <w:t>47.0%</w:t>
            </w:r>
          </w:p>
        </w:tc>
        <w:tc>
          <w:tcPr>
            <w:tcW w:w="1296" w:type="dxa"/>
            <w:tcBorders>
              <w:right w:val="double" w:sz="4" w:space="0" w:color="auto"/>
            </w:tcBorders>
            <w:shd w:val="clear" w:color="000000" w:fill="FFFFFF"/>
            <w:noWrap/>
            <w:tcMar>
              <w:left w:w="58" w:type="dxa"/>
              <w:right w:w="58" w:type="dxa"/>
            </w:tcMar>
            <w:vAlign w:val="center"/>
            <w:hideMark/>
          </w:tcPr>
          <w:p w14:paraId="5E311D95" w14:textId="77777777" w:rsidR="00DE243E" w:rsidRPr="001C447E" w:rsidRDefault="00DE243E" w:rsidP="00BD4720">
            <w:pPr>
              <w:jc w:val="right"/>
              <w:rPr>
                <w:color w:val="000000"/>
                <w:sz w:val="20"/>
                <w:szCs w:val="20"/>
              </w:rPr>
            </w:pPr>
            <w:r w:rsidRPr="001C447E">
              <w:rPr>
                <w:color w:val="000000"/>
                <w:sz w:val="20"/>
                <w:szCs w:val="20"/>
              </w:rPr>
              <w:t>6.5</w:t>
            </w:r>
          </w:p>
        </w:tc>
        <w:tc>
          <w:tcPr>
            <w:tcW w:w="1296" w:type="dxa"/>
            <w:tcBorders>
              <w:left w:val="double" w:sz="4" w:space="0" w:color="auto"/>
            </w:tcBorders>
            <w:shd w:val="clear" w:color="000000" w:fill="FFFFFF"/>
            <w:noWrap/>
            <w:tcMar>
              <w:left w:w="58" w:type="dxa"/>
              <w:right w:w="58" w:type="dxa"/>
            </w:tcMar>
            <w:vAlign w:val="center"/>
            <w:hideMark/>
          </w:tcPr>
          <w:p w14:paraId="1D48C2A9" w14:textId="77777777" w:rsidR="00DE243E" w:rsidRPr="001C447E" w:rsidRDefault="00DE243E" w:rsidP="00BD4720">
            <w:pPr>
              <w:jc w:val="right"/>
              <w:rPr>
                <w:color w:val="000000"/>
                <w:sz w:val="20"/>
                <w:szCs w:val="20"/>
              </w:rPr>
            </w:pPr>
            <w:r w:rsidRPr="001C447E">
              <w:rPr>
                <w:color w:val="000000"/>
                <w:sz w:val="20"/>
                <w:szCs w:val="20"/>
              </w:rPr>
              <w:t>53.0%</w:t>
            </w:r>
          </w:p>
        </w:tc>
        <w:tc>
          <w:tcPr>
            <w:tcW w:w="1296" w:type="dxa"/>
            <w:shd w:val="clear" w:color="000000" w:fill="FFFFFF"/>
            <w:noWrap/>
            <w:tcMar>
              <w:left w:w="58" w:type="dxa"/>
              <w:right w:w="58" w:type="dxa"/>
            </w:tcMar>
            <w:vAlign w:val="center"/>
            <w:hideMark/>
          </w:tcPr>
          <w:p w14:paraId="0B608598" w14:textId="77777777" w:rsidR="00DE243E" w:rsidRPr="001C447E" w:rsidRDefault="00DE243E" w:rsidP="00BD4720">
            <w:pPr>
              <w:jc w:val="right"/>
              <w:rPr>
                <w:color w:val="000000"/>
                <w:sz w:val="20"/>
                <w:szCs w:val="20"/>
              </w:rPr>
            </w:pPr>
            <w:r w:rsidRPr="001C447E">
              <w:rPr>
                <w:color w:val="000000"/>
                <w:sz w:val="20"/>
                <w:szCs w:val="20"/>
              </w:rPr>
              <w:t>4.6</w:t>
            </w:r>
          </w:p>
        </w:tc>
      </w:tr>
      <w:tr w:rsidR="00BD4720" w:rsidRPr="001C447E" w14:paraId="0C87F2A4"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28736E14" w14:textId="77777777" w:rsidR="00DE243E" w:rsidRPr="001C447E" w:rsidRDefault="00DE243E" w:rsidP="00BD4720">
            <w:pPr>
              <w:ind w:firstLineChars="100" w:firstLine="200"/>
              <w:rPr>
                <w:color w:val="000000"/>
                <w:sz w:val="20"/>
                <w:szCs w:val="20"/>
              </w:rPr>
            </w:pPr>
            <w:r w:rsidRPr="001C447E">
              <w:rPr>
                <w:color w:val="000000"/>
                <w:sz w:val="20"/>
                <w:szCs w:val="20"/>
              </w:rPr>
              <w:t xml:space="preserve">Education </w:t>
            </w:r>
          </w:p>
        </w:tc>
        <w:tc>
          <w:tcPr>
            <w:tcW w:w="1296" w:type="dxa"/>
            <w:tcBorders>
              <w:left w:val="double" w:sz="4" w:space="0" w:color="auto"/>
            </w:tcBorders>
            <w:shd w:val="clear" w:color="000000" w:fill="FFFFFF"/>
            <w:noWrap/>
            <w:tcMar>
              <w:left w:w="58" w:type="dxa"/>
              <w:right w:w="58" w:type="dxa"/>
            </w:tcMar>
            <w:vAlign w:val="center"/>
            <w:hideMark/>
          </w:tcPr>
          <w:p w14:paraId="6F52B4BA" w14:textId="77777777" w:rsidR="00DE243E" w:rsidRPr="001C447E" w:rsidRDefault="00DE243E" w:rsidP="00BD4720">
            <w:pPr>
              <w:jc w:val="right"/>
              <w:rPr>
                <w:color w:val="000000"/>
                <w:sz w:val="20"/>
                <w:szCs w:val="20"/>
              </w:rPr>
            </w:pPr>
            <w:r w:rsidRPr="001C447E">
              <w:rPr>
                <w:color w:val="000000"/>
                <w:sz w:val="20"/>
                <w:szCs w:val="20"/>
              </w:rPr>
              <w:t>45.1%</w:t>
            </w:r>
          </w:p>
        </w:tc>
        <w:tc>
          <w:tcPr>
            <w:tcW w:w="1296" w:type="dxa"/>
            <w:tcBorders>
              <w:right w:val="double" w:sz="4" w:space="0" w:color="auto"/>
            </w:tcBorders>
            <w:shd w:val="clear" w:color="000000" w:fill="FFFFFF"/>
            <w:noWrap/>
            <w:tcMar>
              <w:left w:w="58" w:type="dxa"/>
              <w:right w:w="58" w:type="dxa"/>
            </w:tcMar>
            <w:vAlign w:val="center"/>
            <w:hideMark/>
          </w:tcPr>
          <w:p w14:paraId="52EC3E01" w14:textId="77777777" w:rsidR="00DE243E" w:rsidRPr="001C447E" w:rsidRDefault="00DE243E" w:rsidP="00BD4720">
            <w:pPr>
              <w:jc w:val="right"/>
              <w:rPr>
                <w:color w:val="000000"/>
                <w:sz w:val="20"/>
                <w:szCs w:val="20"/>
              </w:rPr>
            </w:pPr>
            <w:r w:rsidRPr="001C447E">
              <w:rPr>
                <w:color w:val="000000"/>
                <w:sz w:val="20"/>
                <w:szCs w:val="20"/>
              </w:rPr>
              <w:t>4.6</w:t>
            </w:r>
          </w:p>
        </w:tc>
        <w:tc>
          <w:tcPr>
            <w:tcW w:w="1296" w:type="dxa"/>
            <w:tcBorders>
              <w:left w:val="double" w:sz="4" w:space="0" w:color="auto"/>
            </w:tcBorders>
            <w:shd w:val="clear" w:color="000000" w:fill="FFFFFF"/>
            <w:noWrap/>
            <w:tcMar>
              <w:left w:w="58" w:type="dxa"/>
              <w:right w:w="58" w:type="dxa"/>
            </w:tcMar>
            <w:vAlign w:val="center"/>
            <w:hideMark/>
          </w:tcPr>
          <w:p w14:paraId="4C137EB6" w14:textId="77777777" w:rsidR="00DE243E" w:rsidRPr="001C447E" w:rsidRDefault="00DE243E" w:rsidP="00BD4720">
            <w:pPr>
              <w:jc w:val="right"/>
              <w:rPr>
                <w:color w:val="000000"/>
                <w:sz w:val="20"/>
                <w:szCs w:val="20"/>
              </w:rPr>
            </w:pPr>
            <w:r w:rsidRPr="001C447E">
              <w:rPr>
                <w:color w:val="000000"/>
                <w:sz w:val="20"/>
                <w:szCs w:val="20"/>
              </w:rPr>
              <w:t>54.9%</w:t>
            </w:r>
          </w:p>
        </w:tc>
        <w:tc>
          <w:tcPr>
            <w:tcW w:w="1296" w:type="dxa"/>
            <w:shd w:val="clear" w:color="000000" w:fill="FFFFFF"/>
            <w:noWrap/>
            <w:tcMar>
              <w:left w:w="58" w:type="dxa"/>
              <w:right w:w="58" w:type="dxa"/>
            </w:tcMar>
            <w:vAlign w:val="center"/>
            <w:hideMark/>
          </w:tcPr>
          <w:p w14:paraId="22F0D77F" w14:textId="77777777" w:rsidR="00DE243E" w:rsidRPr="001C447E" w:rsidRDefault="00DE243E" w:rsidP="00BD4720">
            <w:pPr>
              <w:jc w:val="right"/>
              <w:rPr>
                <w:color w:val="000000"/>
                <w:sz w:val="20"/>
                <w:szCs w:val="20"/>
              </w:rPr>
            </w:pPr>
            <w:r w:rsidRPr="001C447E">
              <w:rPr>
                <w:color w:val="000000"/>
                <w:sz w:val="20"/>
                <w:szCs w:val="20"/>
              </w:rPr>
              <w:t>3.9</w:t>
            </w:r>
          </w:p>
        </w:tc>
      </w:tr>
      <w:tr w:rsidR="00BD4720" w:rsidRPr="001C447E" w14:paraId="68B5DC86"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40EFAA40" w14:textId="7FCF74B5" w:rsidR="00DE243E" w:rsidRPr="001C447E" w:rsidRDefault="00DE243E" w:rsidP="00BD4720">
            <w:pPr>
              <w:ind w:firstLineChars="100" w:firstLine="200"/>
              <w:rPr>
                <w:color w:val="000000"/>
                <w:sz w:val="20"/>
                <w:szCs w:val="20"/>
              </w:rPr>
            </w:pPr>
            <w:r w:rsidRPr="001C447E">
              <w:rPr>
                <w:color w:val="000000"/>
                <w:sz w:val="20"/>
                <w:szCs w:val="20"/>
              </w:rPr>
              <w:t>Manufacturing/ Construction</w:t>
            </w:r>
          </w:p>
        </w:tc>
        <w:tc>
          <w:tcPr>
            <w:tcW w:w="1296" w:type="dxa"/>
            <w:tcBorders>
              <w:left w:val="double" w:sz="4" w:space="0" w:color="auto"/>
            </w:tcBorders>
            <w:shd w:val="clear" w:color="000000" w:fill="FFFFFF"/>
            <w:noWrap/>
            <w:tcMar>
              <w:left w:w="58" w:type="dxa"/>
              <w:right w:w="58" w:type="dxa"/>
            </w:tcMar>
            <w:vAlign w:val="center"/>
            <w:hideMark/>
          </w:tcPr>
          <w:p w14:paraId="45634080" w14:textId="77777777" w:rsidR="00DE243E" w:rsidRPr="001C447E" w:rsidRDefault="00DE243E" w:rsidP="00BD4720">
            <w:pPr>
              <w:jc w:val="right"/>
              <w:rPr>
                <w:color w:val="000000"/>
                <w:sz w:val="20"/>
                <w:szCs w:val="20"/>
              </w:rPr>
            </w:pPr>
            <w:r w:rsidRPr="001C447E">
              <w:rPr>
                <w:color w:val="000000"/>
                <w:sz w:val="20"/>
                <w:szCs w:val="20"/>
              </w:rPr>
              <w:t>45.0%</w:t>
            </w:r>
          </w:p>
        </w:tc>
        <w:tc>
          <w:tcPr>
            <w:tcW w:w="1296" w:type="dxa"/>
            <w:tcBorders>
              <w:right w:val="double" w:sz="4" w:space="0" w:color="auto"/>
            </w:tcBorders>
            <w:shd w:val="clear" w:color="000000" w:fill="FFFFFF"/>
            <w:noWrap/>
            <w:tcMar>
              <w:left w:w="58" w:type="dxa"/>
              <w:right w:w="58" w:type="dxa"/>
            </w:tcMar>
            <w:vAlign w:val="center"/>
            <w:hideMark/>
          </w:tcPr>
          <w:p w14:paraId="0BAE53E2" w14:textId="77777777" w:rsidR="00DE243E" w:rsidRPr="001C447E" w:rsidRDefault="00DE243E" w:rsidP="00BD4720">
            <w:pPr>
              <w:jc w:val="right"/>
              <w:rPr>
                <w:color w:val="000000"/>
                <w:sz w:val="20"/>
                <w:szCs w:val="20"/>
              </w:rPr>
            </w:pPr>
            <w:r w:rsidRPr="001C447E">
              <w:rPr>
                <w:color w:val="000000"/>
                <w:sz w:val="20"/>
                <w:szCs w:val="20"/>
              </w:rPr>
              <w:t>4.3</w:t>
            </w:r>
          </w:p>
        </w:tc>
        <w:tc>
          <w:tcPr>
            <w:tcW w:w="1296" w:type="dxa"/>
            <w:tcBorders>
              <w:left w:val="double" w:sz="4" w:space="0" w:color="auto"/>
            </w:tcBorders>
            <w:shd w:val="clear" w:color="000000" w:fill="FFFFFF"/>
            <w:noWrap/>
            <w:tcMar>
              <w:left w:w="58" w:type="dxa"/>
              <w:right w:w="58" w:type="dxa"/>
            </w:tcMar>
            <w:vAlign w:val="center"/>
            <w:hideMark/>
          </w:tcPr>
          <w:p w14:paraId="39D4AF5D" w14:textId="77777777" w:rsidR="00DE243E" w:rsidRPr="001C447E" w:rsidRDefault="00DE243E" w:rsidP="00BD4720">
            <w:pPr>
              <w:jc w:val="right"/>
              <w:rPr>
                <w:color w:val="000000"/>
                <w:sz w:val="20"/>
                <w:szCs w:val="20"/>
              </w:rPr>
            </w:pPr>
            <w:r w:rsidRPr="001C447E">
              <w:rPr>
                <w:color w:val="000000"/>
                <w:sz w:val="20"/>
                <w:szCs w:val="20"/>
              </w:rPr>
              <w:t>55.0%</w:t>
            </w:r>
          </w:p>
        </w:tc>
        <w:tc>
          <w:tcPr>
            <w:tcW w:w="1296" w:type="dxa"/>
            <w:shd w:val="clear" w:color="000000" w:fill="FFFFFF"/>
            <w:noWrap/>
            <w:tcMar>
              <w:left w:w="58" w:type="dxa"/>
              <w:right w:w="58" w:type="dxa"/>
            </w:tcMar>
            <w:vAlign w:val="center"/>
            <w:hideMark/>
          </w:tcPr>
          <w:p w14:paraId="2F584759" w14:textId="77777777" w:rsidR="00DE243E" w:rsidRPr="001C447E" w:rsidRDefault="00DE243E" w:rsidP="00BD4720">
            <w:pPr>
              <w:jc w:val="right"/>
              <w:rPr>
                <w:color w:val="000000"/>
                <w:sz w:val="20"/>
                <w:szCs w:val="20"/>
              </w:rPr>
            </w:pPr>
            <w:r w:rsidRPr="001C447E">
              <w:rPr>
                <w:color w:val="000000"/>
                <w:sz w:val="20"/>
                <w:szCs w:val="20"/>
              </w:rPr>
              <w:t>3.8</w:t>
            </w:r>
          </w:p>
        </w:tc>
      </w:tr>
      <w:tr w:rsidR="00BD4720" w:rsidRPr="001C447E" w14:paraId="19A7BA43"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23D9ED8D" w14:textId="77777777" w:rsidR="00DE243E" w:rsidRPr="001C447E" w:rsidRDefault="00DE243E" w:rsidP="00BD4720">
            <w:pPr>
              <w:ind w:firstLineChars="100" w:firstLine="200"/>
              <w:rPr>
                <w:color w:val="000000"/>
                <w:sz w:val="20"/>
                <w:szCs w:val="20"/>
              </w:rPr>
            </w:pPr>
            <w:r w:rsidRPr="001C447E">
              <w:rPr>
                <w:color w:val="000000"/>
                <w:sz w:val="20"/>
                <w:szCs w:val="20"/>
              </w:rPr>
              <w:t>Medical</w:t>
            </w:r>
          </w:p>
        </w:tc>
        <w:tc>
          <w:tcPr>
            <w:tcW w:w="1296" w:type="dxa"/>
            <w:tcBorders>
              <w:left w:val="double" w:sz="4" w:space="0" w:color="auto"/>
            </w:tcBorders>
            <w:shd w:val="clear" w:color="000000" w:fill="FFFFFF"/>
            <w:noWrap/>
            <w:tcMar>
              <w:left w:w="58" w:type="dxa"/>
              <w:right w:w="58" w:type="dxa"/>
            </w:tcMar>
            <w:vAlign w:val="center"/>
            <w:hideMark/>
          </w:tcPr>
          <w:p w14:paraId="7A7B1123" w14:textId="77777777" w:rsidR="00DE243E" w:rsidRPr="001C447E" w:rsidRDefault="00DE243E" w:rsidP="00BD4720">
            <w:pPr>
              <w:jc w:val="right"/>
              <w:rPr>
                <w:color w:val="000000"/>
                <w:sz w:val="20"/>
                <w:szCs w:val="20"/>
              </w:rPr>
            </w:pPr>
            <w:r w:rsidRPr="001C447E">
              <w:rPr>
                <w:color w:val="000000"/>
                <w:sz w:val="20"/>
                <w:szCs w:val="20"/>
              </w:rPr>
              <w:t>39.0%</w:t>
            </w:r>
          </w:p>
        </w:tc>
        <w:tc>
          <w:tcPr>
            <w:tcW w:w="1296" w:type="dxa"/>
            <w:tcBorders>
              <w:right w:val="double" w:sz="4" w:space="0" w:color="auto"/>
            </w:tcBorders>
            <w:shd w:val="clear" w:color="000000" w:fill="FFFFFF"/>
            <w:noWrap/>
            <w:tcMar>
              <w:left w:w="58" w:type="dxa"/>
              <w:right w:w="58" w:type="dxa"/>
            </w:tcMar>
            <w:vAlign w:val="center"/>
            <w:hideMark/>
          </w:tcPr>
          <w:p w14:paraId="5E4D6087" w14:textId="77777777" w:rsidR="00DE243E" w:rsidRPr="001C447E" w:rsidRDefault="00DE243E" w:rsidP="00BD4720">
            <w:pPr>
              <w:jc w:val="right"/>
              <w:rPr>
                <w:color w:val="000000"/>
                <w:sz w:val="20"/>
                <w:szCs w:val="20"/>
              </w:rPr>
            </w:pPr>
            <w:r w:rsidRPr="001C447E">
              <w:rPr>
                <w:color w:val="000000"/>
                <w:sz w:val="20"/>
                <w:szCs w:val="20"/>
              </w:rPr>
              <w:t>4.2</w:t>
            </w:r>
          </w:p>
        </w:tc>
        <w:tc>
          <w:tcPr>
            <w:tcW w:w="1296" w:type="dxa"/>
            <w:tcBorders>
              <w:left w:val="double" w:sz="4" w:space="0" w:color="auto"/>
            </w:tcBorders>
            <w:shd w:val="clear" w:color="000000" w:fill="FFFFFF"/>
            <w:noWrap/>
            <w:tcMar>
              <w:left w:w="58" w:type="dxa"/>
              <w:right w:w="58" w:type="dxa"/>
            </w:tcMar>
            <w:vAlign w:val="center"/>
            <w:hideMark/>
          </w:tcPr>
          <w:p w14:paraId="597CFBC6" w14:textId="77777777" w:rsidR="00DE243E" w:rsidRPr="001C447E" w:rsidRDefault="00DE243E" w:rsidP="00BD4720">
            <w:pPr>
              <w:jc w:val="right"/>
              <w:rPr>
                <w:color w:val="000000"/>
                <w:sz w:val="20"/>
                <w:szCs w:val="20"/>
              </w:rPr>
            </w:pPr>
            <w:r w:rsidRPr="001C447E">
              <w:rPr>
                <w:color w:val="000000"/>
                <w:sz w:val="20"/>
                <w:szCs w:val="20"/>
              </w:rPr>
              <w:t>61.0%</w:t>
            </w:r>
          </w:p>
        </w:tc>
        <w:tc>
          <w:tcPr>
            <w:tcW w:w="1296" w:type="dxa"/>
            <w:shd w:val="clear" w:color="000000" w:fill="FFFFFF"/>
            <w:noWrap/>
            <w:tcMar>
              <w:left w:w="58" w:type="dxa"/>
              <w:right w:w="58" w:type="dxa"/>
            </w:tcMar>
            <w:vAlign w:val="center"/>
            <w:hideMark/>
          </w:tcPr>
          <w:p w14:paraId="2AD3C7E1" w14:textId="77777777" w:rsidR="00DE243E" w:rsidRPr="001C447E" w:rsidRDefault="00DE243E" w:rsidP="00BD4720">
            <w:pPr>
              <w:jc w:val="right"/>
              <w:rPr>
                <w:color w:val="000000"/>
                <w:sz w:val="20"/>
                <w:szCs w:val="20"/>
              </w:rPr>
            </w:pPr>
            <w:r w:rsidRPr="001C447E">
              <w:rPr>
                <w:color w:val="000000"/>
                <w:sz w:val="20"/>
                <w:szCs w:val="20"/>
              </w:rPr>
              <w:t>5.1</w:t>
            </w:r>
          </w:p>
        </w:tc>
      </w:tr>
      <w:tr w:rsidR="00BD4720" w:rsidRPr="001C447E" w14:paraId="37FA3E19"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523CAD9F" w14:textId="7BB0F4B3" w:rsidR="00DE243E" w:rsidRPr="001C447E" w:rsidRDefault="00DE243E" w:rsidP="00BD4720">
            <w:pPr>
              <w:ind w:left="195" w:firstLineChars="2" w:firstLine="4"/>
              <w:rPr>
                <w:color w:val="000000"/>
                <w:sz w:val="20"/>
                <w:szCs w:val="20"/>
              </w:rPr>
            </w:pPr>
            <w:r w:rsidRPr="001C447E">
              <w:rPr>
                <w:color w:val="000000"/>
                <w:sz w:val="20"/>
                <w:szCs w:val="20"/>
              </w:rPr>
              <w:t>Professional, Managerial,</w:t>
            </w:r>
            <w:r w:rsidR="00251E00" w:rsidRPr="001C447E">
              <w:rPr>
                <w:color w:val="000000"/>
                <w:sz w:val="20"/>
                <w:szCs w:val="20"/>
              </w:rPr>
              <w:t xml:space="preserve"> </w:t>
            </w:r>
            <w:r w:rsidRPr="001C447E">
              <w:rPr>
                <w:color w:val="000000"/>
                <w:sz w:val="20"/>
                <w:szCs w:val="20"/>
              </w:rPr>
              <w:t>or Technical</w:t>
            </w:r>
          </w:p>
        </w:tc>
        <w:tc>
          <w:tcPr>
            <w:tcW w:w="1296" w:type="dxa"/>
            <w:tcBorders>
              <w:left w:val="double" w:sz="4" w:space="0" w:color="auto"/>
            </w:tcBorders>
            <w:shd w:val="clear" w:color="000000" w:fill="FFFFFF"/>
            <w:noWrap/>
            <w:tcMar>
              <w:left w:w="58" w:type="dxa"/>
              <w:right w:w="58" w:type="dxa"/>
            </w:tcMar>
            <w:vAlign w:val="center"/>
            <w:hideMark/>
          </w:tcPr>
          <w:p w14:paraId="7CDDA086" w14:textId="77777777" w:rsidR="00DE243E" w:rsidRPr="001C447E" w:rsidRDefault="00DE243E" w:rsidP="00BD4720">
            <w:pPr>
              <w:jc w:val="right"/>
              <w:rPr>
                <w:color w:val="000000"/>
                <w:sz w:val="20"/>
                <w:szCs w:val="20"/>
              </w:rPr>
            </w:pPr>
            <w:r w:rsidRPr="001C447E">
              <w:rPr>
                <w:color w:val="000000"/>
                <w:sz w:val="20"/>
                <w:szCs w:val="20"/>
              </w:rPr>
              <w:t>55.1%</w:t>
            </w:r>
          </w:p>
        </w:tc>
        <w:tc>
          <w:tcPr>
            <w:tcW w:w="1296" w:type="dxa"/>
            <w:tcBorders>
              <w:right w:val="double" w:sz="4" w:space="0" w:color="auto"/>
            </w:tcBorders>
            <w:shd w:val="clear" w:color="000000" w:fill="FFFFFF"/>
            <w:noWrap/>
            <w:tcMar>
              <w:left w:w="58" w:type="dxa"/>
              <w:right w:w="58" w:type="dxa"/>
            </w:tcMar>
            <w:vAlign w:val="center"/>
            <w:hideMark/>
          </w:tcPr>
          <w:p w14:paraId="5D6426DE" w14:textId="77777777" w:rsidR="00DE243E" w:rsidRPr="001C447E" w:rsidRDefault="00DE243E" w:rsidP="00BD4720">
            <w:pPr>
              <w:jc w:val="right"/>
              <w:rPr>
                <w:color w:val="000000"/>
                <w:sz w:val="20"/>
                <w:szCs w:val="20"/>
              </w:rPr>
            </w:pPr>
            <w:r w:rsidRPr="001C447E">
              <w:rPr>
                <w:color w:val="000000"/>
                <w:sz w:val="20"/>
                <w:szCs w:val="20"/>
              </w:rPr>
              <w:t>10.2</w:t>
            </w:r>
          </w:p>
        </w:tc>
        <w:tc>
          <w:tcPr>
            <w:tcW w:w="1296" w:type="dxa"/>
            <w:tcBorders>
              <w:left w:val="double" w:sz="4" w:space="0" w:color="auto"/>
            </w:tcBorders>
            <w:shd w:val="clear" w:color="000000" w:fill="FFFFFF"/>
            <w:noWrap/>
            <w:tcMar>
              <w:left w:w="58" w:type="dxa"/>
              <w:right w:w="58" w:type="dxa"/>
            </w:tcMar>
            <w:vAlign w:val="center"/>
            <w:hideMark/>
          </w:tcPr>
          <w:p w14:paraId="66340BF5" w14:textId="77777777" w:rsidR="00DE243E" w:rsidRPr="001C447E" w:rsidRDefault="00DE243E" w:rsidP="00BD4720">
            <w:pPr>
              <w:jc w:val="right"/>
              <w:rPr>
                <w:color w:val="000000"/>
                <w:sz w:val="20"/>
                <w:szCs w:val="20"/>
              </w:rPr>
            </w:pPr>
            <w:r w:rsidRPr="001C447E">
              <w:rPr>
                <w:color w:val="000000"/>
                <w:sz w:val="20"/>
                <w:szCs w:val="20"/>
              </w:rPr>
              <w:t>44.9%</w:t>
            </w:r>
          </w:p>
        </w:tc>
        <w:tc>
          <w:tcPr>
            <w:tcW w:w="1296" w:type="dxa"/>
            <w:shd w:val="clear" w:color="000000" w:fill="FFFFFF"/>
            <w:noWrap/>
            <w:tcMar>
              <w:left w:w="58" w:type="dxa"/>
              <w:right w:w="58" w:type="dxa"/>
            </w:tcMar>
            <w:vAlign w:val="center"/>
            <w:hideMark/>
          </w:tcPr>
          <w:p w14:paraId="75BB92C3" w14:textId="77777777" w:rsidR="00DE243E" w:rsidRPr="001C447E" w:rsidRDefault="00DE243E" w:rsidP="00BD4720">
            <w:pPr>
              <w:jc w:val="right"/>
              <w:rPr>
                <w:color w:val="000000"/>
                <w:sz w:val="20"/>
                <w:szCs w:val="20"/>
              </w:rPr>
            </w:pPr>
            <w:r w:rsidRPr="001C447E">
              <w:rPr>
                <w:color w:val="000000"/>
                <w:sz w:val="20"/>
                <w:szCs w:val="20"/>
              </w:rPr>
              <w:t>4.8</w:t>
            </w:r>
          </w:p>
        </w:tc>
      </w:tr>
      <w:tr w:rsidR="00DE243E" w:rsidRPr="001C447E" w14:paraId="5AE2E299" w14:textId="77777777" w:rsidTr="001C447E">
        <w:trPr>
          <w:trHeight w:val="230"/>
        </w:trPr>
        <w:tc>
          <w:tcPr>
            <w:tcW w:w="9319" w:type="dxa"/>
            <w:gridSpan w:val="5"/>
            <w:tcBorders>
              <w:top w:val="double" w:sz="4" w:space="0" w:color="auto"/>
            </w:tcBorders>
            <w:shd w:val="clear" w:color="000000" w:fill="FFFFFF"/>
            <w:noWrap/>
            <w:tcMar>
              <w:left w:w="58" w:type="dxa"/>
              <w:right w:w="58" w:type="dxa"/>
            </w:tcMar>
            <w:vAlign w:val="center"/>
            <w:hideMark/>
          </w:tcPr>
          <w:p w14:paraId="162D1748" w14:textId="77777777" w:rsidR="00DE243E" w:rsidRPr="001C447E" w:rsidRDefault="00DE243E" w:rsidP="00BD4720">
            <w:pPr>
              <w:rPr>
                <w:b/>
                <w:bCs/>
                <w:color w:val="000000"/>
                <w:sz w:val="20"/>
                <w:szCs w:val="20"/>
              </w:rPr>
            </w:pPr>
            <w:r w:rsidRPr="001C447E">
              <w:rPr>
                <w:b/>
                <w:bCs/>
                <w:color w:val="000000"/>
                <w:sz w:val="20"/>
                <w:szCs w:val="20"/>
              </w:rPr>
              <w:t>Employer Size</w:t>
            </w:r>
          </w:p>
        </w:tc>
      </w:tr>
      <w:tr w:rsidR="00BD4720" w:rsidRPr="001C447E" w14:paraId="71EFA49B"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4D1BDF53" w14:textId="77777777" w:rsidR="00DE243E" w:rsidRPr="001C447E" w:rsidRDefault="00DE243E" w:rsidP="00BD4720">
            <w:pPr>
              <w:ind w:firstLineChars="100" w:firstLine="200"/>
              <w:rPr>
                <w:color w:val="000000"/>
                <w:sz w:val="20"/>
                <w:szCs w:val="20"/>
              </w:rPr>
            </w:pPr>
            <w:r w:rsidRPr="001C447E">
              <w:rPr>
                <w:color w:val="000000"/>
                <w:sz w:val="20"/>
                <w:szCs w:val="20"/>
              </w:rPr>
              <w:t>1 to 9 Workers</w:t>
            </w:r>
          </w:p>
        </w:tc>
        <w:tc>
          <w:tcPr>
            <w:tcW w:w="1296" w:type="dxa"/>
            <w:tcBorders>
              <w:left w:val="double" w:sz="4" w:space="0" w:color="auto"/>
            </w:tcBorders>
            <w:shd w:val="clear" w:color="000000" w:fill="FFFFFF"/>
            <w:noWrap/>
            <w:tcMar>
              <w:left w:w="58" w:type="dxa"/>
              <w:right w:w="58" w:type="dxa"/>
            </w:tcMar>
            <w:vAlign w:val="center"/>
            <w:hideMark/>
          </w:tcPr>
          <w:p w14:paraId="41534187" w14:textId="77777777" w:rsidR="00DE243E" w:rsidRPr="001C447E" w:rsidRDefault="00DE243E" w:rsidP="00BD4720">
            <w:pPr>
              <w:jc w:val="right"/>
              <w:rPr>
                <w:color w:val="000000"/>
                <w:sz w:val="20"/>
                <w:szCs w:val="20"/>
              </w:rPr>
            </w:pPr>
            <w:r w:rsidRPr="001C447E">
              <w:rPr>
                <w:color w:val="000000"/>
                <w:sz w:val="20"/>
                <w:szCs w:val="20"/>
              </w:rPr>
              <w:t>54.4%</w:t>
            </w:r>
          </w:p>
        </w:tc>
        <w:tc>
          <w:tcPr>
            <w:tcW w:w="1296" w:type="dxa"/>
            <w:tcBorders>
              <w:right w:val="double" w:sz="4" w:space="0" w:color="auto"/>
            </w:tcBorders>
            <w:shd w:val="clear" w:color="000000" w:fill="FFFFFF"/>
            <w:noWrap/>
            <w:tcMar>
              <w:left w:w="58" w:type="dxa"/>
              <w:right w:w="58" w:type="dxa"/>
            </w:tcMar>
            <w:vAlign w:val="center"/>
            <w:hideMark/>
          </w:tcPr>
          <w:p w14:paraId="3205B1BC" w14:textId="77777777" w:rsidR="00DE243E" w:rsidRPr="001C447E" w:rsidRDefault="00DE243E" w:rsidP="00BD4720">
            <w:pPr>
              <w:jc w:val="right"/>
              <w:rPr>
                <w:color w:val="000000"/>
                <w:sz w:val="20"/>
                <w:szCs w:val="20"/>
              </w:rPr>
            </w:pPr>
            <w:r w:rsidRPr="001C447E">
              <w:rPr>
                <w:color w:val="000000"/>
                <w:sz w:val="20"/>
                <w:szCs w:val="20"/>
              </w:rPr>
              <w:t>8.5</w:t>
            </w:r>
          </w:p>
        </w:tc>
        <w:tc>
          <w:tcPr>
            <w:tcW w:w="1296" w:type="dxa"/>
            <w:tcBorders>
              <w:left w:val="double" w:sz="4" w:space="0" w:color="auto"/>
            </w:tcBorders>
            <w:shd w:val="clear" w:color="000000" w:fill="FFFFFF"/>
            <w:noWrap/>
            <w:tcMar>
              <w:left w:w="58" w:type="dxa"/>
              <w:right w:w="58" w:type="dxa"/>
            </w:tcMar>
            <w:vAlign w:val="center"/>
            <w:hideMark/>
          </w:tcPr>
          <w:p w14:paraId="1F803D09" w14:textId="77777777" w:rsidR="00DE243E" w:rsidRPr="001C447E" w:rsidRDefault="00DE243E" w:rsidP="00BD4720">
            <w:pPr>
              <w:jc w:val="right"/>
              <w:rPr>
                <w:color w:val="000000"/>
                <w:sz w:val="20"/>
                <w:szCs w:val="20"/>
              </w:rPr>
            </w:pPr>
            <w:r w:rsidRPr="001C447E">
              <w:rPr>
                <w:color w:val="000000"/>
                <w:sz w:val="20"/>
                <w:szCs w:val="20"/>
              </w:rPr>
              <w:t>45.6%</w:t>
            </w:r>
          </w:p>
        </w:tc>
        <w:tc>
          <w:tcPr>
            <w:tcW w:w="1296" w:type="dxa"/>
            <w:shd w:val="clear" w:color="000000" w:fill="FFFFFF"/>
            <w:noWrap/>
            <w:tcMar>
              <w:left w:w="58" w:type="dxa"/>
              <w:right w:w="58" w:type="dxa"/>
            </w:tcMar>
            <w:vAlign w:val="center"/>
            <w:hideMark/>
          </w:tcPr>
          <w:p w14:paraId="15B23D8A" w14:textId="77777777" w:rsidR="00DE243E" w:rsidRPr="001C447E" w:rsidRDefault="00DE243E" w:rsidP="00BD4720">
            <w:pPr>
              <w:jc w:val="right"/>
              <w:rPr>
                <w:color w:val="000000"/>
                <w:sz w:val="20"/>
                <w:szCs w:val="20"/>
              </w:rPr>
            </w:pPr>
            <w:r w:rsidRPr="001C447E">
              <w:rPr>
                <w:color w:val="000000"/>
                <w:sz w:val="20"/>
                <w:szCs w:val="20"/>
              </w:rPr>
              <w:t>3.5</w:t>
            </w:r>
          </w:p>
        </w:tc>
      </w:tr>
      <w:tr w:rsidR="00BD4720" w:rsidRPr="001C447E" w14:paraId="1BA39E73"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118AC779" w14:textId="77777777" w:rsidR="00DE243E" w:rsidRPr="001C447E" w:rsidRDefault="00DE243E" w:rsidP="00BD4720">
            <w:pPr>
              <w:ind w:firstLineChars="100" w:firstLine="200"/>
              <w:rPr>
                <w:color w:val="000000"/>
                <w:sz w:val="20"/>
                <w:szCs w:val="20"/>
              </w:rPr>
            </w:pPr>
            <w:r w:rsidRPr="001C447E">
              <w:rPr>
                <w:color w:val="000000"/>
                <w:sz w:val="20"/>
                <w:szCs w:val="20"/>
              </w:rPr>
              <w:t>10 to 99 Workers</w:t>
            </w:r>
          </w:p>
        </w:tc>
        <w:tc>
          <w:tcPr>
            <w:tcW w:w="1296" w:type="dxa"/>
            <w:tcBorders>
              <w:left w:val="double" w:sz="4" w:space="0" w:color="auto"/>
            </w:tcBorders>
            <w:shd w:val="clear" w:color="000000" w:fill="FFFFFF"/>
            <w:noWrap/>
            <w:tcMar>
              <w:left w:w="58" w:type="dxa"/>
              <w:right w:w="58" w:type="dxa"/>
            </w:tcMar>
            <w:vAlign w:val="center"/>
            <w:hideMark/>
          </w:tcPr>
          <w:p w14:paraId="1413157F" w14:textId="77777777" w:rsidR="00DE243E" w:rsidRPr="001C447E" w:rsidRDefault="00DE243E" w:rsidP="00BD4720">
            <w:pPr>
              <w:jc w:val="right"/>
              <w:rPr>
                <w:color w:val="000000"/>
                <w:sz w:val="20"/>
                <w:szCs w:val="20"/>
              </w:rPr>
            </w:pPr>
            <w:r w:rsidRPr="001C447E">
              <w:rPr>
                <w:color w:val="000000"/>
                <w:sz w:val="20"/>
                <w:szCs w:val="20"/>
              </w:rPr>
              <w:t>40.9%</w:t>
            </w:r>
          </w:p>
        </w:tc>
        <w:tc>
          <w:tcPr>
            <w:tcW w:w="1296" w:type="dxa"/>
            <w:tcBorders>
              <w:right w:val="double" w:sz="4" w:space="0" w:color="auto"/>
            </w:tcBorders>
            <w:shd w:val="clear" w:color="000000" w:fill="FFFFFF"/>
            <w:noWrap/>
            <w:tcMar>
              <w:left w:w="58" w:type="dxa"/>
              <w:right w:w="58" w:type="dxa"/>
            </w:tcMar>
            <w:vAlign w:val="center"/>
            <w:hideMark/>
          </w:tcPr>
          <w:p w14:paraId="3B2C66E1" w14:textId="77777777" w:rsidR="00DE243E" w:rsidRPr="001C447E" w:rsidRDefault="00DE243E" w:rsidP="00BD4720">
            <w:pPr>
              <w:jc w:val="right"/>
              <w:rPr>
                <w:color w:val="000000"/>
                <w:sz w:val="20"/>
                <w:szCs w:val="20"/>
              </w:rPr>
            </w:pPr>
            <w:r w:rsidRPr="001C447E">
              <w:rPr>
                <w:color w:val="000000"/>
                <w:sz w:val="20"/>
                <w:szCs w:val="20"/>
              </w:rPr>
              <w:t>5.0</w:t>
            </w:r>
          </w:p>
        </w:tc>
        <w:tc>
          <w:tcPr>
            <w:tcW w:w="1296" w:type="dxa"/>
            <w:tcBorders>
              <w:left w:val="double" w:sz="4" w:space="0" w:color="auto"/>
            </w:tcBorders>
            <w:shd w:val="clear" w:color="000000" w:fill="FFFFFF"/>
            <w:noWrap/>
            <w:tcMar>
              <w:left w:w="58" w:type="dxa"/>
              <w:right w:w="58" w:type="dxa"/>
            </w:tcMar>
            <w:vAlign w:val="center"/>
            <w:hideMark/>
          </w:tcPr>
          <w:p w14:paraId="317392FE" w14:textId="77777777" w:rsidR="00DE243E" w:rsidRPr="001C447E" w:rsidRDefault="00DE243E" w:rsidP="00BD4720">
            <w:pPr>
              <w:jc w:val="right"/>
              <w:rPr>
                <w:color w:val="000000"/>
                <w:sz w:val="20"/>
                <w:szCs w:val="20"/>
              </w:rPr>
            </w:pPr>
            <w:r w:rsidRPr="001C447E">
              <w:rPr>
                <w:color w:val="000000"/>
                <w:sz w:val="20"/>
                <w:szCs w:val="20"/>
              </w:rPr>
              <w:t>59.1%</w:t>
            </w:r>
          </w:p>
        </w:tc>
        <w:tc>
          <w:tcPr>
            <w:tcW w:w="1296" w:type="dxa"/>
            <w:shd w:val="clear" w:color="000000" w:fill="FFFFFF"/>
            <w:noWrap/>
            <w:tcMar>
              <w:left w:w="58" w:type="dxa"/>
              <w:right w:w="58" w:type="dxa"/>
            </w:tcMar>
            <w:vAlign w:val="center"/>
            <w:hideMark/>
          </w:tcPr>
          <w:p w14:paraId="39DAD82A" w14:textId="77777777" w:rsidR="00DE243E" w:rsidRPr="001C447E" w:rsidRDefault="00DE243E" w:rsidP="00BD4720">
            <w:pPr>
              <w:jc w:val="right"/>
              <w:rPr>
                <w:color w:val="000000"/>
                <w:sz w:val="20"/>
                <w:szCs w:val="20"/>
              </w:rPr>
            </w:pPr>
            <w:r w:rsidRPr="001C447E">
              <w:rPr>
                <w:color w:val="000000"/>
                <w:sz w:val="20"/>
                <w:szCs w:val="20"/>
              </w:rPr>
              <w:t>5.1</w:t>
            </w:r>
          </w:p>
        </w:tc>
      </w:tr>
      <w:tr w:rsidR="00BD4720" w:rsidRPr="001C447E" w14:paraId="033082AD"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6F02576C" w14:textId="77777777" w:rsidR="00DE243E" w:rsidRPr="001C447E" w:rsidRDefault="00DE243E" w:rsidP="00BD4720">
            <w:pPr>
              <w:ind w:firstLineChars="100" w:firstLine="200"/>
              <w:rPr>
                <w:color w:val="000000"/>
                <w:sz w:val="20"/>
                <w:szCs w:val="20"/>
              </w:rPr>
            </w:pPr>
            <w:r w:rsidRPr="001C447E">
              <w:rPr>
                <w:color w:val="000000"/>
                <w:sz w:val="20"/>
                <w:szCs w:val="20"/>
              </w:rPr>
              <w:t>≥ 100 Workers</w:t>
            </w:r>
          </w:p>
        </w:tc>
        <w:tc>
          <w:tcPr>
            <w:tcW w:w="1296" w:type="dxa"/>
            <w:tcBorders>
              <w:left w:val="double" w:sz="4" w:space="0" w:color="auto"/>
            </w:tcBorders>
            <w:shd w:val="clear" w:color="000000" w:fill="FFFFFF"/>
            <w:noWrap/>
            <w:tcMar>
              <w:left w:w="58" w:type="dxa"/>
              <w:right w:w="58" w:type="dxa"/>
            </w:tcMar>
            <w:vAlign w:val="center"/>
            <w:hideMark/>
          </w:tcPr>
          <w:p w14:paraId="47E0CC89" w14:textId="77777777" w:rsidR="00DE243E" w:rsidRPr="001C447E" w:rsidRDefault="00DE243E" w:rsidP="00BD4720">
            <w:pPr>
              <w:jc w:val="right"/>
              <w:rPr>
                <w:color w:val="000000"/>
                <w:sz w:val="20"/>
                <w:szCs w:val="20"/>
              </w:rPr>
            </w:pPr>
            <w:r w:rsidRPr="001C447E">
              <w:rPr>
                <w:color w:val="000000"/>
                <w:sz w:val="20"/>
                <w:szCs w:val="20"/>
              </w:rPr>
              <w:t>46.1%</w:t>
            </w:r>
          </w:p>
        </w:tc>
        <w:tc>
          <w:tcPr>
            <w:tcW w:w="1296" w:type="dxa"/>
            <w:tcBorders>
              <w:right w:val="double" w:sz="4" w:space="0" w:color="auto"/>
            </w:tcBorders>
            <w:shd w:val="clear" w:color="000000" w:fill="FFFFFF"/>
            <w:noWrap/>
            <w:tcMar>
              <w:left w:w="58" w:type="dxa"/>
              <w:right w:w="58" w:type="dxa"/>
            </w:tcMar>
            <w:vAlign w:val="center"/>
            <w:hideMark/>
          </w:tcPr>
          <w:p w14:paraId="161378D1" w14:textId="77777777" w:rsidR="00DE243E" w:rsidRPr="001C447E" w:rsidRDefault="00DE243E" w:rsidP="00BD4720">
            <w:pPr>
              <w:jc w:val="right"/>
              <w:rPr>
                <w:color w:val="000000"/>
                <w:sz w:val="20"/>
                <w:szCs w:val="20"/>
              </w:rPr>
            </w:pPr>
            <w:r w:rsidRPr="001C447E">
              <w:rPr>
                <w:color w:val="000000"/>
                <w:sz w:val="20"/>
                <w:szCs w:val="20"/>
              </w:rPr>
              <w:t>6.2</w:t>
            </w:r>
          </w:p>
        </w:tc>
        <w:tc>
          <w:tcPr>
            <w:tcW w:w="1296" w:type="dxa"/>
            <w:tcBorders>
              <w:left w:val="double" w:sz="4" w:space="0" w:color="auto"/>
            </w:tcBorders>
            <w:shd w:val="clear" w:color="000000" w:fill="FFFFFF"/>
            <w:noWrap/>
            <w:tcMar>
              <w:left w:w="58" w:type="dxa"/>
              <w:right w:w="58" w:type="dxa"/>
            </w:tcMar>
            <w:vAlign w:val="center"/>
            <w:hideMark/>
          </w:tcPr>
          <w:p w14:paraId="040EA3A0" w14:textId="77777777" w:rsidR="00DE243E" w:rsidRPr="001C447E" w:rsidRDefault="00DE243E" w:rsidP="00BD4720">
            <w:pPr>
              <w:jc w:val="right"/>
              <w:rPr>
                <w:color w:val="000000"/>
                <w:sz w:val="20"/>
                <w:szCs w:val="20"/>
              </w:rPr>
            </w:pPr>
            <w:r w:rsidRPr="001C447E">
              <w:rPr>
                <w:color w:val="000000"/>
                <w:sz w:val="20"/>
                <w:szCs w:val="20"/>
              </w:rPr>
              <w:t>53.9%</w:t>
            </w:r>
          </w:p>
        </w:tc>
        <w:tc>
          <w:tcPr>
            <w:tcW w:w="1296" w:type="dxa"/>
            <w:shd w:val="clear" w:color="000000" w:fill="FFFFFF"/>
            <w:noWrap/>
            <w:tcMar>
              <w:left w:w="58" w:type="dxa"/>
              <w:right w:w="58" w:type="dxa"/>
            </w:tcMar>
            <w:vAlign w:val="center"/>
            <w:hideMark/>
          </w:tcPr>
          <w:p w14:paraId="40A7DF5B" w14:textId="77777777" w:rsidR="00DE243E" w:rsidRPr="001C447E" w:rsidRDefault="00DE243E" w:rsidP="00BD4720">
            <w:pPr>
              <w:jc w:val="right"/>
              <w:rPr>
                <w:color w:val="000000"/>
                <w:sz w:val="20"/>
                <w:szCs w:val="20"/>
              </w:rPr>
            </w:pPr>
            <w:r w:rsidRPr="001C447E">
              <w:rPr>
                <w:color w:val="000000"/>
                <w:sz w:val="20"/>
                <w:szCs w:val="20"/>
              </w:rPr>
              <w:t>4.8</w:t>
            </w:r>
          </w:p>
        </w:tc>
      </w:tr>
      <w:tr w:rsidR="00DE243E" w:rsidRPr="001C447E" w14:paraId="001D146C" w14:textId="77777777" w:rsidTr="001C447E">
        <w:trPr>
          <w:trHeight w:val="230"/>
        </w:trPr>
        <w:tc>
          <w:tcPr>
            <w:tcW w:w="9319" w:type="dxa"/>
            <w:gridSpan w:val="5"/>
            <w:shd w:val="clear" w:color="000000" w:fill="FFFFFF"/>
            <w:noWrap/>
            <w:tcMar>
              <w:left w:w="58" w:type="dxa"/>
              <w:right w:w="58" w:type="dxa"/>
            </w:tcMar>
            <w:vAlign w:val="center"/>
            <w:hideMark/>
          </w:tcPr>
          <w:p w14:paraId="7711C770" w14:textId="77777777" w:rsidR="00DE243E" w:rsidRPr="001C447E" w:rsidRDefault="00DE243E" w:rsidP="00BD4720">
            <w:pPr>
              <w:rPr>
                <w:b/>
                <w:bCs/>
                <w:i/>
                <w:iCs/>
                <w:color w:val="000000"/>
                <w:sz w:val="20"/>
                <w:szCs w:val="20"/>
              </w:rPr>
            </w:pPr>
            <w:r w:rsidRPr="001C447E">
              <w:rPr>
                <w:b/>
                <w:bCs/>
                <w:i/>
                <w:iCs/>
                <w:color w:val="000000"/>
                <w:sz w:val="20"/>
                <w:szCs w:val="20"/>
              </w:rPr>
              <w:t>Residential Characteristics</w:t>
            </w:r>
          </w:p>
        </w:tc>
      </w:tr>
      <w:tr w:rsidR="00DE243E" w:rsidRPr="001C447E" w14:paraId="36D6BC4B" w14:textId="77777777" w:rsidTr="001C447E">
        <w:trPr>
          <w:trHeight w:val="230"/>
        </w:trPr>
        <w:tc>
          <w:tcPr>
            <w:tcW w:w="9319" w:type="dxa"/>
            <w:gridSpan w:val="5"/>
            <w:shd w:val="clear" w:color="000000" w:fill="FFFFFF"/>
            <w:noWrap/>
            <w:tcMar>
              <w:left w:w="58" w:type="dxa"/>
              <w:right w:w="58" w:type="dxa"/>
            </w:tcMar>
            <w:vAlign w:val="center"/>
            <w:hideMark/>
          </w:tcPr>
          <w:p w14:paraId="76A519AB" w14:textId="77777777" w:rsidR="00DE243E" w:rsidRPr="001C447E" w:rsidRDefault="00DE243E" w:rsidP="00BD4720">
            <w:pPr>
              <w:rPr>
                <w:b/>
                <w:bCs/>
                <w:color w:val="000000"/>
                <w:sz w:val="20"/>
                <w:szCs w:val="20"/>
              </w:rPr>
            </w:pPr>
            <w:r w:rsidRPr="001C447E">
              <w:rPr>
                <w:b/>
                <w:bCs/>
                <w:color w:val="000000"/>
                <w:sz w:val="20"/>
                <w:szCs w:val="20"/>
              </w:rPr>
              <w:t>Distance to Work</w:t>
            </w:r>
          </w:p>
        </w:tc>
      </w:tr>
      <w:tr w:rsidR="00BD4720" w:rsidRPr="001C447E" w14:paraId="557929C0"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6702652E" w14:textId="77777777" w:rsidR="00DE243E" w:rsidRPr="001C447E" w:rsidRDefault="00DE243E" w:rsidP="00BD4720">
            <w:pPr>
              <w:ind w:firstLineChars="100" w:firstLine="200"/>
              <w:rPr>
                <w:color w:val="000000"/>
                <w:sz w:val="20"/>
                <w:szCs w:val="20"/>
              </w:rPr>
            </w:pPr>
            <w:r w:rsidRPr="001C447E">
              <w:rPr>
                <w:color w:val="000000"/>
                <w:sz w:val="20"/>
                <w:szCs w:val="20"/>
              </w:rPr>
              <w:t>0.00 to 5.99 miles</w:t>
            </w:r>
          </w:p>
        </w:tc>
        <w:tc>
          <w:tcPr>
            <w:tcW w:w="1296" w:type="dxa"/>
            <w:tcBorders>
              <w:left w:val="double" w:sz="4" w:space="0" w:color="auto"/>
            </w:tcBorders>
            <w:shd w:val="clear" w:color="000000" w:fill="FFFFFF"/>
            <w:noWrap/>
            <w:tcMar>
              <w:left w:w="58" w:type="dxa"/>
              <w:right w:w="58" w:type="dxa"/>
            </w:tcMar>
            <w:vAlign w:val="center"/>
            <w:hideMark/>
          </w:tcPr>
          <w:p w14:paraId="61F0910B" w14:textId="77777777" w:rsidR="00DE243E" w:rsidRPr="001C447E" w:rsidRDefault="00DE243E" w:rsidP="00BD4720">
            <w:pPr>
              <w:jc w:val="right"/>
              <w:rPr>
                <w:color w:val="000000"/>
                <w:sz w:val="20"/>
                <w:szCs w:val="20"/>
              </w:rPr>
            </w:pPr>
            <w:r w:rsidRPr="001C447E">
              <w:rPr>
                <w:color w:val="000000"/>
                <w:sz w:val="20"/>
                <w:szCs w:val="20"/>
              </w:rPr>
              <w:t>51.5%</w:t>
            </w:r>
          </w:p>
        </w:tc>
        <w:tc>
          <w:tcPr>
            <w:tcW w:w="1296" w:type="dxa"/>
            <w:tcBorders>
              <w:right w:val="double" w:sz="4" w:space="0" w:color="auto"/>
            </w:tcBorders>
            <w:shd w:val="clear" w:color="000000" w:fill="FFFFFF"/>
            <w:noWrap/>
            <w:tcMar>
              <w:left w:w="58" w:type="dxa"/>
              <w:right w:w="58" w:type="dxa"/>
            </w:tcMar>
            <w:vAlign w:val="center"/>
            <w:hideMark/>
          </w:tcPr>
          <w:p w14:paraId="64F92C15" w14:textId="77777777" w:rsidR="00DE243E" w:rsidRPr="001C447E" w:rsidRDefault="00DE243E" w:rsidP="00BD4720">
            <w:pPr>
              <w:jc w:val="right"/>
              <w:rPr>
                <w:color w:val="000000"/>
                <w:sz w:val="20"/>
                <w:szCs w:val="20"/>
              </w:rPr>
            </w:pPr>
            <w:r w:rsidRPr="001C447E">
              <w:rPr>
                <w:color w:val="000000"/>
                <w:sz w:val="20"/>
                <w:szCs w:val="20"/>
              </w:rPr>
              <w:t>7.4</w:t>
            </w:r>
          </w:p>
        </w:tc>
        <w:tc>
          <w:tcPr>
            <w:tcW w:w="1296" w:type="dxa"/>
            <w:tcBorders>
              <w:left w:val="double" w:sz="4" w:space="0" w:color="auto"/>
            </w:tcBorders>
            <w:shd w:val="clear" w:color="000000" w:fill="FFFFFF"/>
            <w:noWrap/>
            <w:tcMar>
              <w:left w:w="58" w:type="dxa"/>
              <w:right w:w="58" w:type="dxa"/>
            </w:tcMar>
            <w:vAlign w:val="center"/>
            <w:hideMark/>
          </w:tcPr>
          <w:p w14:paraId="461D20B5" w14:textId="77777777" w:rsidR="00DE243E" w:rsidRPr="001C447E" w:rsidRDefault="00DE243E" w:rsidP="00BD4720">
            <w:pPr>
              <w:jc w:val="right"/>
              <w:rPr>
                <w:color w:val="000000"/>
                <w:sz w:val="20"/>
                <w:szCs w:val="20"/>
              </w:rPr>
            </w:pPr>
            <w:r w:rsidRPr="001C447E">
              <w:rPr>
                <w:color w:val="000000"/>
                <w:sz w:val="20"/>
                <w:szCs w:val="20"/>
              </w:rPr>
              <w:t>48.5%</w:t>
            </w:r>
          </w:p>
        </w:tc>
        <w:tc>
          <w:tcPr>
            <w:tcW w:w="1296" w:type="dxa"/>
            <w:shd w:val="clear" w:color="000000" w:fill="FFFFFF"/>
            <w:noWrap/>
            <w:tcMar>
              <w:left w:w="58" w:type="dxa"/>
              <w:right w:w="58" w:type="dxa"/>
            </w:tcMar>
            <w:vAlign w:val="center"/>
            <w:hideMark/>
          </w:tcPr>
          <w:p w14:paraId="667C9BFD" w14:textId="77777777" w:rsidR="00DE243E" w:rsidRPr="001C447E" w:rsidRDefault="00DE243E" w:rsidP="00BD4720">
            <w:pPr>
              <w:jc w:val="right"/>
              <w:rPr>
                <w:color w:val="000000"/>
                <w:sz w:val="20"/>
                <w:szCs w:val="20"/>
              </w:rPr>
            </w:pPr>
            <w:r w:rsidRPr="001C447E">
              <w:rPr>
                <w:color w:val="000000"/>
                <w:sz w:val="20"/>
                <w:szCs w:val="20"/>
              </w:rPr>
              <w:t>3.9</w:t>
            </w:r>
          </w:p>
        </w:tc>
      </w:tr>
      <w:tr w:rsidR="00BD4720" w:rsidRPr="001C447E" w14:paraId="3B8457E1"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244399B9" w14:textId="77777777" w:rsidR="00DE243E" w:rsidRPr="001C447E" w:rsidRDefault="00DE243E" w:rsidP="00BD4720">
            <w:pPr>
              <w:ind w:firstLineChars="100" w:firstLine="200"/>
              <w:rPr>
                <w:color w:val="000000"/>
                <w:sz w:val="20"/>
                <w:szCs w:val="20"/>
              </w:rPr>
            </w:pPr>
            <w:r w:rsidRPr="001C447E">
              <w:rPr>
                <w:color w:val="000000"/>
                <w:sz w:val="20"/>
                <w:szCs w:val="20"/>
              </w:rPr>
              <w:t>6.00 to 10.99 miles</w:t>
            </w:r>
          </w:p>
        </w:tc>
        <w:tc>
          <w:tcPr>
            <w:tcW w:w="1296" w:type="dxa"/>
            <w:tcBorders>
              <w:left w:val="double" w:sz="4" w:space="0" w:color="auto"/>
            </w:tcBorders>
            <w:shd w:val="clear" w:color="000000" w:fill="FFFFFF"/>
            <w:noWrap/>
            <w:tcMar>
              <w:left w:w="58" w:type="dxa"/>
              <w:right w:w="58" w:type="dxa"/>
            </w:tcMar>
            <w:vAlign w:val="center"/>
            <w:hideMark/>
          </w:tcPr>
          <w:p w14:paraId="506D020F" w14:textId="77777777" w:rsidR="00DE243E" w:rsidRPr="001C447E" w:rsidRDefault="00DE243E" w:rsidP="00BD4720">
            <w:pPr>
              <w:jc w:val="right"/>
              <w:rPr>
                <w:color w:val="000000"/>
                <w:sz w:val="20"/>
                <w:szCs w:val="20"/>
              </w:rPr>
            </w:pPr>
            <w:r w:rsidRPr="001C447E">
              <w:rPr>
                <w:color w:val="000000"/>
                <w:sz w:val="20"/>
                <w:szCs w:val="20"/>
              </w:rPr>
              <w:t>42.3%</w:t>
            </w:r>
          </w:p>
        </w:tc>
        <w:tc>
          <w:tcPr>
            <w:tcW w:w="1296" w:type="dxa"/>
            <w:tcBorders>
              <w:right w:val="double" w:sz="4" w:space="0" w:color="auto"/>
            </w:tcBorders>
            <w:shd w:val="clear" w:color="000000" w:fill="FFFFFF"/>
            <w:noWrap/>
            <w:tcMar>
              <w:left w:w="58" w:type="dxa"/>
              <w:right w:w="58" w:type="dxa"/>
            </w:tcMar>
            <w:vAlign w:val="center"/>
            <w:hideMark/>
          </w:tcPr>
          <w:p w14:paraId="00F4C79B" w14:textId="77777777" w:rsidR="00DE243E" w:rsidRPr="001C447E" w:rsidRDefault="00DE243E" w:rsidP="00BD4720">
            <w:pPr>
              <w:jc w:val="right"/>
              <w:rPr>
                <w:color w:val="000000"/>
                <w:sz w:val="20"/>
                <w:szCs w:val="20"/>
              </w:rPr>
            </w:pPr>
            <w:r w:rsidRPr="001C447E">
              <w:rPr>
                <w:color w:val="000000"/>
                <w:sz w:val="20"/>
                <w:szCs w:val="20"/>
              </w:rPr>
              <w:t>5.4</w:t>
            </w:r>
          </w:p>
        </w:tc>
        <w:tc>
          <w:tcPr>
            <w:tcW w:w="1296" w:type="dxa"/>
            <w:tcBorders>
              <w:left w:val="double" w:sz="4" w:space="0" w:color="auto"/>
            </w:tcBorders>
            <w:shd w:val="clear" w:color="000000" w:fill="FFFFFF"/>
            <w:noWrap/>
            <w:tcMar>
              <w:left w:w="58" w:type="dxa"/>
              <w:right w:w="58" w:type="dxa"/>
            </w:tcMar>
            <w:vAlign w:val="center"/>
            <w:hideMark/>
          </w:tcPr>
          <w:p w14:paraId="499A23BB" w14:textId="77777777" w:rsidR="00DE243E" w:rsidRPr="001C447E" w:rsidRDefault="00DE243E" w:rsidP="00BD4720">
            <w:pPr>
              <w:jc w:val="right"/>
              <w:rPr>
                <w:color w:val="000000"/>
                <w:sz w:val="20"/>
                <w:szCs w:val="20"/>
              </w:rPr>
            </w:pPr>
            <w:r w:rsidRPr="001C447E">
              <w:rPr>
                <w:color w:val="000000"/>
                <w:sz w:val="20"/>
                <w:szCs w:val="20"/>
              </w:rPr>
              <w:t>57.7%</w:t>
            </w:r>
          </w:p>
        </w:tc>
        <w:tc>
          <w:tcPr>
            <w:tcW w:w="1296" w:type="dxa"/>
            <w:shd w:val="clear" w:color="000000" w:fill="FFFFFF"/>
            <w:noWrap/>
            <w:tcMar>
              <w:left w:w="58" w:type="dxa"/>
              <w:right w:w="58" w:type="dxa"/>
            </w:tcMar>
            <w:vAlign w:val="center"/>
            <w:hideMark/>
          </w:tcPr>
          <w:p w14:paraId="39598D09" w14:textId="77777777" w:rsidR="00DE243E" w:rsidRPr="001C447E" w:rsidRDefault="00DE243E" w:rsidP="00BD4720">
            <w:pPr>
              <w:jc w:val="right"/>
              <w:rPr>
                <w:color w:val="000000"/>
                <w:sz w:val="20"/>
                <w:szCs w:val="20"/>
              </w:rPr>
            </w:pPr>
            <w:r w:rsidRPr="001C447E">
              <w:rPr>
                <w:color w:val="000000"/>
                <w:sz w:val="20"/>
                <w:szCs w:val="20"/>
              </w:rPr>
              <w:t>5.1</w:t>
            </w:r>
          </w:p>
        </w:tc>
      </w:tr>
      <w:tr w:rsidR="00BD4720" w:rsidRPr="001C447E" w14:paraId="3E41AD47"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5F2C22C3" w14:textId="77777777" w:rsidR="00DE243E" w:rsidRPr="001C447E" w:rsidRDefault="00DE243E" w:rsidP="00BD4720">
            <w:pPr>
              <w:ind w:firstLineChars="100" w:firstLine="200"/>
              <w:rPr>
                <w:color w:val="000000"/>
                <w:sz w:val="20"/>
                <w:szCs w:val="20"/>
              </w:rPr>
            </w:pPr>
            <w:r w:rsidRPr="001C447E">
              <w:rPr>
                <w:color w:val="000000"/>
                <w:sz w:val="20"/>
                <w:szCs w:val="20"/>
              </w:rPr>
              <w:t>11.00 to 30.99 miles</w:t>
            </w:r>
          </w:p>
        </w:tc>
        <w:tc>
          <w:tcPr>
            <w:tcW w:w="1296" w:type="dxa"/>
            <w:tcBorders>
              <w:left w:val="double" w:sz="4" w:space="0" w:color="auto"/>
            </w:tcBorders>
            <w:shd w:val="clear" w:color="000000" w:fill="FFFFFF"/>
            <w:noWrap/>
            <w:tcMar>
              <w:left w:w="58" w:type="dxa"/>
              <w:right w:w="58" w:type="dxa"/>
            </w:tcMar>
            <w:vAlign w:val="center"/>
            <w:hideMark/>
          </w:tcPr>
          <w:p w14:paraId="3B3E6C61" w14:textId="77777777" w:rsidR="00DE243E" w:rsidRPr="001C447E" w:rsidRDefault="00DE243E" w:rsidP="00BD4720">
            <w:pPr>
              <w:jc w:val="right"/>
              <w:rPr>
                <w:color w:val="000000"/>
                <w:sz w:val="20"/>
                <w:szCs w:val="20"/>
              </w:rPr>
            </w:pPr>
            <w:r w:rsidRPr="001C447E">
              <w:rPr>
                <w:color w:val="000000"/>
                <w:sz w:val="20"/>
                <w:szCs w:val="20"/>
              </w:rPr>
              <w:t>42.5%</w:t>
            </w:r>
          </w:p>
        </w:tc>
        <w:tc>
          <w:tcPr>
            <w:tcW w:w="1296" w:type="dxa"/>
            <w:tcBorders>
              <w:right w:val="double" w:sz="4" w:space="0" w:color="auto"/>
            </w:tcBorders>
            <w:shd w:val="clear" w:color="000000" w:fill="FFFFFF"/>
            <w:noWrap/>
            <w:tcMar>
              <w:left w:w="58" w:type="dxa"/>
              <w:right w:w="58" w:type="dxa"/>
            </w:tcMar>
            <w:vAlign w:val="center"/>
            <w:hideMark/>
          </w:tcPr>
          <w:p w14:paraId="64D0A166" w14:textId="77777777" w:rsidR="00DE243E" w:rsidRPr="001C447E" w:rsidRDefault="00DE243E" w:rsidP="00BD4720">
            <w:pPr>
              <w:jc w:val="right"/>
              <w:rPr>
                <w:color w:val="000000"/>
                <w:sz w:val="20"/>
                <w:szCs w:val="20"/>
              </w:rPr>
            </w:pPr>
            <w:r w:rsidRPr="001C447E">
              <w:rPr>
                <w:color w:val="000000"/>
                <w:sz w:val="20"/>
                <w:szCs w:val="20"/>
              </w:rPr>
              <w:t>5.4</w:t>
            </w:r>
          </w:p>
        </w:tc>
        <w:tc>
          <w:tcPr>
            <w:tcW w:w="1296" w:type="dxa"/>
            <w:tcBorders>
              <w:left w:val="double" w:sz="4" w:space="0" w:color="auto"/>
            </w:tcBorders>
            <w:shd w:val="clear" w:color="000000" w:fill="FFFFFF"/>
            <w:noWrap/>
            <w:tcMar>
              <w:left w:w="58" w:type="dxa"/>
              <w:right w:w="58" w:type="dxa"/>
            </w:tcMar>
            <w:vAlign w:val="center"/>
            <w:hideMark/>
          </w:tcPr>
          <w:p w14:paraId="32CCAFEE" w14:textId="77777777" w:rsidR="00DE243E" w:rsidRPr="001C447E" w:rsidRDefault="00DE243E" w:rsidP="00BD4720">
            <w:pPr>
              <w:jc w:val="right"/>
              <w:rPr>
                <w:color w:val="000000"/>
                <w:sz w:val="20"/>
                <w:szCs w:val="20"/>
              </w:rPr>
            </w:pPr>
            <w:r w:rsidRPr="001C447E">
              <w:rPr>
                <w:color w:val="000000"/>
                <w:sz w:val="20"/>
                <w:szCs w:val="20"/>
              </w:rPr>
              <w:t>57.5%</w:t>
            </w:r>
          </w:p>
        </w:tc>
        <w:tc>
          <w:tcPr>
            <w:tcW w:w="1296" w:type="dxa"/>
            <w:shd w:val="clear" w:color="000000" w:fill="FFFFFF"/>
            <w:noWrap/>
            <w:tcMar>
              <w:left w:w="58" w:type="dxa"/>
              <w:right w:w="58" w:type="dxa"/>
            </w:tcMar>
            <w:vAlign w:val="center"/>
            <w:hideMark/>
          </w:tcPr>
          <w:p w14:paraId="71860A2F" w14:textId="77777777" w:rsidR="00DE243E" w:rsidRPr="001C447E" w:rsidRDefault="00DE243E" w:rsidP="00BD4720">
            <w:pPr>
              <w:jc w:val="right"/>
              <w:rPr>
                <w:color w:val="000000"/>
                <w:sz w:val="20"/>
                <w:szCs w:val="20"/>
              </w:rPr>
            </w:pPr>
            <w:r w:rsidRPr="001C447E">
              <w:rPr>
                <w:color w:val="000000"/>
                <w:sz w:val="20"/>
                <w:szCs w:val="20"/>
              </w:rPr>
              <w:t>5.1</w:t>
            </w:r>
          </w:p>
        </w:tc>
      </w:tr>
      <w:tr w:rsidR="00BD4720" w:rsidRPr="001C447E" w14:paraId="05EE473D"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78A14E89" w14:textId="77777777" w:rsidR="00DE243E" w:rsidRPr="001C447E" w:rsidRDefault="00DE243E" w:rsidP="00BD4720">
            <w:pPr>
              <w:ind w:firstLineChars="100" w:firstLine="200"/>
              <w:rPr>
                <w:color w:val="000000"/>
                <w:sz w:val="20"/>
                <w:szCs w:val="20"/>
              </w:rPr>
            </w:pPr>
            <w:r w:rsidRPr="001C447E">
              <w:rPr>
                <w:color w:val="000000"/>
                <w:sz w:val="20"/>
                <w:szCs w:val="20"/>
              </w:rPr>
              <w:t>≥ 31 miles</w:t>
            </w:r>
          </w:p>
        </w:tc>
        <w:tc>
          <w:tcPr>
            <w:tcW w:w="1296" w:type="dxa"/>
            <w:tcBorders>
              <w:left w:val="double" w:sz="4" w:space="0" w:color="auto"/>
            </w:tcBorders>
            <w:shd w:val="clear" w:color="000000" w:fill="FFFFFF"/>
            <w:noWrap/>
            <w:tcMar>
              <w:left w:w="58" w:type="dxa"/>
              <w:right w:w="58" w:type="dxa"/>
            </w:tcMar>
            <w:vAlign w:val="center"/>
            <w:hideMark/>
          </w:tcPr>
          <w:p w14:paraId="5F4EE47D" w14:textId="77777777" w:rsidR="00DE243E" w:rsidRPr="001C447E" w:rsidRDefault="00DE243E" w:rsidP="00BD4720">
            <w:pPr>
              <w:jc w:val="right"/>
              <w:rPr>
                <w:color w:val="000000"/>
                <w:sz w:val="20"/>
                <w:szCs w:val="20"/>
              </w:rPr>
            </w:pPr>
            <w:r w:rsidRPr="001C447E">
              <w:rPr>
                <w:color w:val="000000"/>
                <w:sz w:val="20"/>
                <w:szCs w:val="20"/>
              </w:rPr>
              <w:t>53.0%</w:t>
            </w:r>
          </w:p>
        </w:tc>
        <w:tc>
          <w:tcPr>
            <w:tcW w:w="1296" w:type="dxa"/>
            <w:tcBorders>
              <w:right w:val="double" w:sz="4" w:space="0" w:color="auto"/>
            </w:tcBorders>
            <w:shd w:val="clear" w:color="000000" w:fill="FFFFFF"/>
            <w:noWrap/>
            <w:tcMar>
              <w:left w:w="58" w:type="dxa"/>
              <w:right w:w="58" w:type="dxa"/>
            </w:tcMar>
            <w:vAlign w:val="center"/>
            <w:hideMark/>
          </w:tcPr>
          <w:p w14:paraId="70A08006" w14:textId="77777777" w:rsidR="00DE243E" w:rsidRPr="001C447E" w:rsidRDefault="00DE243E" w:rsidP="00BD4720">
            <w:pPr>
              <w:jc w:val="right"/>
              <w:rPr>
                <w:color w:val="000000"/>
                <w:sz w:val="20"/>
                <w:szCs w:val="20"/>
              </w:rPr>
            </w:pPr>
            <w:r w:rsidRPr="001C447E">
              <w:rPr>
                <w:color w:val="000000"/>
                <w:sz w:val="20"/>
                <w:szCs w:val="20"/>
              </w:rPr>
              <w:t>8.2</w:t>
            </w:r>
          </w:p>
        </w:tc>
        <w:tc>
          <w:tcPr>
            <w:tcW w:w="1296" w:type="dxa"/>
            <w:tcBorders>
              <w:left w:val="double" w:sz="4" w:space="0" w:color="auto"/>
            </w:tcBorders>
            <w:shd w:val="clear" w:color="000000" w:fill="FFFFFF"/>
            <w:noWrap/>
            <w:tcMar>
              <w:left w:w="58" w:type="dxa"/>
              <w:right w:w="58" w:type="dxa"/>
            </w:tcMar>
            <w:vAlign w:val="center"/>
            <w:hideMark/>
          </w:tcPr>
          <w:p w14:paraId="585C669B" w14:textId="77777777" w:rsidR="00DE243E" w:rsidRPr="001C447E" w:rsidRDefault="00DE243E" w:rsidP="00BD4720">
            <w:pPr>
              <w:jc w:val="right"/>
              <w:rPr>
                <w:color w:val="000000"/>
                <w:sz w:val="20"/>
                <w:szCs w:val="20"/>
              </w:rPr>
            </w:pPr>
            <w:r w:rsidRPr="001C447E">
              <w:rPr>
                <w:color w:val="000000"/>
                <w:sz w:val="20"/>
                <w:szCs w:val="20"/>
              </w:rPr>
              <w:t>47.0%</w:t>
            </w:r>
          </w:p>
        </w:tc>
        <w:tc>
          <w:tcPr>
            <w:tcW w:w="1296" w:type="dxa"/>
            <w:shd w:val="clear" w:color="000000" w:fill="FFFFFF"/>
            <w:noWrap/>
            <w:tcMar>
              <w:left w:w="58" w:type="dxa"/>
              <w:right w:w="58" w:type="dxa"/>
            </w:tcMar>
            <w:vAlign w:val="center"/>
            <w:hideMark/>
          </w:tcPr>
          <w:p w14:paraId="6BD92F08" w14:textId="77777777" w:rsidR="00DE243E" w:rsidRPr="001C447E" w:rsidRDefault="00DE243E" w:rsidP="00BD4720">
            <w:pPr>
              <w:jc w:val="right"/>
              <w:rPr>
                <w:color w:val="000000"/>
                <w:sz w:val="20"/>
                <w:szCs w:val="20"/>
              </w:rPr>
            </w:pPr>
            <w:r w:rsidRPr="001C447E">
              <w:rPr>
                <w:color w:val="000000"/>
                <w:sz w:val="20"/>
                <w:szCs w:val="20"/>
              </w:rPr>
              <w:t>4.0</w:t>
            </w:r>
          </w:p>
        </w:tc>
      </w:tr>
      <w:tr w:rsidR="00BD4720" w:rsidRPr="001C447E" w14:paraId="5C9E691C"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212F900E" w14:textId="77777777" w:rsidR="00DE243E" w:rsidRPr="001C447E" w:rsidRDefault="00DE243E" w:rsidP="00BD4720">
            <w:pPr>
              <w:rPr>
                <w:b/>
                <w:bCs/>
                <w:color w:val="000000"/>
                <w:sz w:val="20"/>
                <w:szCs w:val="20"/>
              </w:rPr>
            </w:pPr>
            <w:r w:rsidRPr="001C447E">
              <w:rPr>
                <w:b/>
                <w:bCs/>
                <w:color w:val="000000"/>
                <w:sz w:val="20"/>
                <w:szCs w:val="20"/>
              </w:rPr>
              <w:t>Neighborhood Density</w:t>
            </w:r>
          </w:p>
        </w:tc>
        <w:tc>
          <w:tcPr>
            <w:tcW w:w="1296" w:type="dxa"/>
            <w:tcBorders>
              <w:left w:val="double" w:sz="4" w:space="0" w:color="auto"/>
            </w:tcBorders>
            <w:shd w:val="clear" w:color="000000" w:fill="FFFFFF"/>
            <w:noWrap/>
            <w:tcMar>
              <w:left w:w="58" w:type="dxa"/>
              <w:right w:w="58" w:type="dxa"/>
            </w:tcMar>
            <w:vAlign w:val="center"/>
            <w:hideMark/>
          </w:tcPr>
          <w:p w14:paraId="38B638F6" w14:textId="77777777" w:rsidR="00DE243E" w:rsidRPr="001C447E" w:rsidRDefault="00DE243E" w:rsidP="00BD4720">
            <w:pPr>
              <w:jc w:val="right"/>
              <w:rPr>
                <w:color w:val="000000"/>
                <w:sz w:val="20"/>
                <w:szCs w:val="20"/>
              </w:rPr>
            </w:pPr>
            <w:r w:rsidRPr="001C447E">
              <w:rPr>
                <w:color w:val="000000"/>
                <w:sz w:val="20"/>
                <w:szCs w:val="20"/>
              </w:rPr>
              <w:t> </w:t>
            </w:r>
          </w:p>
        </w:tc>
        <w:tc>
          <w:tcPr>
            <w:tcW w:w="1296" w:type="dxa"/>
            <w:tcBorders>
              <w:right w:val="double" w:sz="4" w:space="0" w:color="auto"/>
            </w:tcBorders>
            <w:shd w:val="clear" w:color="000000" w:fill="FFFFFF"/>
            <w:noWrap/>
            <w:tcMar>
              <w:left w:w="58" w:type="dxa"/>
              <w:right w:w="58" w:type="dxa"/>
            </w:tcMar>
            <w:vAlign w:val="center"/>
            <w:hideMark/>
          </w:tcPr>
          <w:p w14:paraId="41B400F8" w14:textId="77777777" w:rsidR="00DE243E" w:rsidRPr="001C447E" w:rsidRDefault="00DE243E" w:rsidP="00BD4720">
            <w:pPr>
              <w:jc w:val="right"/>
              <w:rPr>
                <w:color w:val="000000"/>
                <w:sz w:val="20"/>
                <w:szCs w:val="20"/>
              </w:rPr>
            </w:pPr>
            <w:r w:rsidRPr="001C447E">
              <w:rPr>
                <w:color w:val="000000"/>
                <w:sz w:val="20"/>
                <w:szCs w:val="20"/>
              </w:rPr>
              <w:t> </w:t>
            </w:r>
          </w:p>
        </w:tc>
        <w:tc>
          <w:tcPr>
            <w:tcW w:w="1296" w:type="dxa"/>
            <w:tcBorders>
              <w:left w:val="double" w:sz="4" w:space="0" w:color="auto"/>
            </w:tcBorders>
            <w:shd w:val="clear" w:color="000000" w:fill="FFFFFF"/>
            <w:noWrap/>
            <w:tcMar>
              <w:left w:w="58" w:type="dxa"/>
              <w:right w:w="58" w:type="dxa"/>
            </w:tcMar>
            <w:vAlign w:val="center"/>
            <w:hideMark/>
          </w:tcPr>
          <w:p w14:paraId="31960E80" w14:textId="77777777" w:rsidR="00DE243E" w:rsidRPr="001C447E" w:rsidRDefault="00DE243E" w:rsidP="00BD4720">
            <w:pPr>
              <w:jc w:val="right"/>
              <w:rPr>
                <w:color w:val="000000"/>
                <w:sz w:val="20"/>
                <w:szCs w:val="20"/>
              </w:rPr>
            </w:pPr>
            <w:r w:rsidRPr="001C447E">
              <w:rPr>
                <w:color w:val="000000"/>
                <w:sz w:val="20"/>
                <w:szCs w:val="20"/>
              </w:rPr>
              <w:t> </w:t>
            </w:r>
          </w:p>
        </w:tc>
        <w:tc>
          <w:tcPr>
            <w:tcW w:w="1296" w:type="dxa"/>
            <w:shd w:val="clear" w:color="000000" w:fill="FFFFFF"/>
            <w:noWrap/>
            <w:tcMar>
              <w:left w:w="58" w:type="dxa"/>
              <w:right w:w="58" w:type="dxa"/>
            </w:tcMar>
            <w:vAlign w:val="center"/>
            <w:hideMark/>
          </w:tcPr>
          <w:p w14:paraId="64B70742" w14:textId="77777777" w:rsidR="00DE243E" w:rsidRPr="001C447E" w:rsidRDefault="00DE243E" w:rsidP="00BD4720">
            <w:pPr>
              <w:jc w:val="right"/>
              <w:rPr>
                <w:color w:val="000000"/>
                <w:sz w:val="20"/>
                <w:szCs w:val="20"/>
              </w:rPr>
            </w:pPr>
            <w:r w:rsidRPr="001C447E">
              <w:rPr>
                <w:color w:val="000000"/>
                <w:sz w:val="20"/>
                <w:szCs w:val="20"/>
              </w:rPr>
              <w:t> </w:t>
            </w:r>
          </w:p>
        </w:tc>
      </w:tr>
      <w:tr w:rsidR="00BD4720" w:rsidRPr="001C447E" w14:paraId="593CE11E"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443333DC" w14:textId="77777777" w:rsidR="00DE243E" w:rsidRPr="001C447E" w:rsidRDefault="00DE243E" w:rsidP="00BD4720">
            <w:pPr>
              <w:ind w:firstLineChars="100" w:firstLine="200"/>
              <w:rPr>
                <w:color w:val="000000"/>
                <w:sz w:val="20"/>
                <w:szCs w:val="20"/>
              </w:rPr>
            </w:pPr>
            <w:r w:rsidRPr="001C447E">
              <w:rPr>
                <w:color w:val="000000"/>
                <w:sz w:val="20"/>
                <w:szCs w:val="20"/>
              </w:rPr>
              <w:t>Suburban and Urban</w:t>
            </w:r>
          </w:p>
        </w:tc>
        <w:tc>
          <w:tcPr>
            <w:tcW w:w="1296" w:type="dxa"/>
            <w:tcBorders>
              <w:left w:val="double" w:sz="4" w:space="0" w:color="auto"/>
            </w:tcBorders>
            <w:shd w:val="clear" w:color="000000" w:fill="FFFFFF"/>
            <w:noWrap/>
            <w:tcMar>
              <w:left w:w="58" w:type="dxa"/>
              <w:right w:w="58" w:type="dxa"/>
            </w:tcMar>
            <w:vAlign w:val="center"/>
            <w:hideMark/>
          </w:tcPr>
          <w:p w14:paraId="7B594CD8" w14:textId="77777777" w:rsidR="00DE243E" w:rsidRPr="001C447E" w:rsidRDefault="00DE243E" w:rsidP="00BD4720">
            <w:pPr>
              <w:jc w:val="right"/>
              <w:rPr>
                <w:color w:val="000000"/>
                <w:sz w:val="20"/>
                <w:szCs w:val="20"/>
              </w:rPr>
            </w:pPr>
            <w:r w:rsidRPr="001C447E">
              <w:rPr>
                <w:color w:val="000000"/>
                <w:sz w:val="20"/>
                <w:szCs w:val="20"/>
              </w:rPr>
              <w:t>46.8%</w:t>
            </w:r>
          </w:p>
        </w:tc>
        <w:tc>
          <w:tcPr>
            <w:tcW w:w="1296" w:type="dxa"/>
            <w:tcBorders>
              <w:right w:val="double" w:sz="4" w:space="0" w:color="auto"/>
            </w:tcBorders>
            <w:shd w:val="clear" w:color="000000" w:fill="FFFFFF"/>
            <w:noWrap/>
            <w:tcMar>
              <w:left w:w="58" w:type="dxa"/>
              <w:right w:w="58" w:type="dxa"/>
            </w:tcMar>
            <w:vAlign w:val="center"/>
            <w:hideMark/>
          </w:tcPr>
          <w:p w14:paraId="2BE5F713" w14:textId="77777777" w:rsidR="00DE243E" w:rsidRPr="001C447E" w:rsidRDefault="00DE243E" w:rsidP="00BD4720">
            <w:pPr>
              <w:jc w:val="right"/>
              <w:rPr>
                <w:color w:val="000000"/>
                <w:sz w:val="20"/>
                <w:szCs w:val="20"/>
              </w:rPr>
            </w:pPr>
            <w:r w:rsidRPr="001C447E">
              <w:rPr>
                <w:color w:val="000000"/>
                <w:sz w:val="20"/>
                <w:szCs w:val="20"/>
              </w:rPr>
              <w:t>6.3</w:t>
            </w:r>
          </w:p>
        </w:tc>
        <w:tc>
          <w:tcPr>
            <w:tcW w:w="1296" w:type="dxa"/>
            <w:tcBorders>
              <w:left w:val="double" w:sz="4" w:space="0" w:color="auto"/>
            </w:tcBorders>
            <w:shd w:val="clear" w:color="000000" w:fill="FFFFFF"/>
            <w:noWrap/>
            <w:tcMar>
              <w:left w:w="58" w:type="dxa"/>
              <w:right w:w="58" w:type="dxa"/>
            </w:tcMar>
            <w:vAlign w:val="center"/>
            <w:hideMark/>
          </w:tcPr>
          <w:p w14:paraId="30447071" w14:textId="77777777" w:rsidR="00DE243E" w:rsidRPr="001C447E" w:rsidRDefault="00DE243E" w:rsidP="00BD4720">
            <w:pPr>
              <w:jc w:val="right"/>
              <w:rPr>
                <w:color w:val="000000"/>
                <w:sz w:val="20"/>
                <w:szCs w:val="20"/>
              </w:rPr>
            </w:pPr>
            <w:r w:rsidRPr="001C447E">
              <w:rPr>
                <w:color w:val="000000"/>
                <w:sz w:val="20"/>
                <w:szCs w:val="20"/>
              </w:rPr>
              <w:t>53.2%</w:t>
            </w:r>
          </w:p>
        </w:tc>
        <w:tc>
          <w:tcPr>
            <w:tcW w:w="1296" w:type="dxa"/>
            <w:shd w:val="clear" w:color="000000" w:fill="FFFFFF"/>
            <w:noWrap/>
            <w:tcMar>
              <w:left w:w="58" w:type="dxa"/>
              <w:right w:w="58" w:type="dxa"/>
            </w:tcMar>
            <w:vAlign w:val="center"/>
            <w:hideMark/>
          </w:tcPr>
          <w:p w14:paraId="4C9A5F0A" w14:textId="77777777" w:rsidR="00DE243E" w:rsidRPr="001C447E" w:rsidRDefault="00DE243E" w:rsidP="00BD4720">
            <w:pPr>
              <w:jc w:val="right"/>
              <w:rPr>
                <w:color w:val="000000"/>
                <w:sz w:val="20"/>
                <w:szCs w:val="20"/>
              </w:rPr>
            </w:pPr>
            <w:r w:rsidRPr="001C447E">
              <w:rPr>
                <w:color w:val="000000"/>
                <w:sz w:val="20"/>
                <w:szCs w:val="20"/>
              </w:rPr>
              <w:t>4.5</w:t>
            </w:r>
          </w:p>
        </w:tc>
      </w:tr>
      <w:tr w:rsidR="00BD4720" w:rsidRPr="001C447E" w14:paraId="1BCA69A4" w14:textId="77777777" w:rsidTr="001C447E">
        <w:trPr>
          <w:trHeight w:val="230"/>
        </w:trPr>
        <w:tc>
          <w:tcPr>
            <w:tcW w:w="4135" w:type="dxa"/>
            <w:tcBorders>
              <w:right w:val="double" w:sz="4" w:space="0" w:color="auto"/>
            </w:tcBorders>
            <w:shd w:val="clear" w:color="000000" w:fill="FFFFFF"/>
            <w:noWrap/>
            <w:tcMar>
              <w:left w:w="58" w:type="dxa"/>
              <w:right w:w="58" w:type="dxa"/>
            </w:tcMar>
            <w:vAlign w:val="center"/>
            <w:hideMark/>
          </w:tcPr>
          <w:p w14:paraId="0F95179D" w14:textId="77777777" w:rsidR="00DE243E" w:rsidRPr="001C447E" w:rsidRDefault="00DE243E" w:rsidP="00BD4720">
            <w:pPr>
              <w:ind w:firstLineChars="100" w:firstLine="200"/>
              <w:rPr>
                <w:color w:val="000000"/>
                <w:sz w:val="20"/>
                <w:szCs w:val="20"/>
              </w:rPr>
            </w:pPr>
            <w:r w:rsidRPr="001C447E">
              <w:rPr>
                <w:color w:val="000000"/>
                <w:sz w:val="20"/>
                <w:szCs w:val="20"/>
              </w:rPr>
              <w:t>Rural</w:t>
            </w:r>
          </w:p>
        </w:tc>
        <w:tc>
          <w:tcPr>
            <w:tcW w:w="1296" w:type="dxa"/>
            <w:tcBorders>
              <w:left w:val="double" w:sz="4" w:space="0" w:color="auto"/>
            </w:tcBorders>
            <w:shd w:val="clear" w:color="000000" w:fill="FFFFFF"/>
            <w:noWrap/>
            <w:tcMar>
              <w:left w:w="58" w:type="dxa"/>
              <w:right w:w="58" w:type="dxa"/>
            </w:tcMar>
            <w:vAlign w:val="center"/>
            <w:hideMark/>
          </w:tcPr>
          <w:p w14:paraId="65B7A219" w14:textId="77777777" w:rsidR="00DE243E" w:rsidRPr="001C447E" w:rsidRDefault="00DE243E" w:rsidP="00BD4720">
            <w:pPr>
              <w:jc w:val="right"/>
              <w:rPr>
                <w:color w:val="000000"/>
                <w:sz w:val="20"/>
                <w:szCs w:val="20"/>
              </w:rPr>
            </w:pPr>
            <w:r w:rsidRPr="001C447E">
              <w:rPr>
                <w:color w:val="000000"/>
                <w:sz w:val="20"/>
                <w:szCs w:val="20"/>
              </w:rPr>
              <w:t>42.8%</w:t>
            </w:r>
          </w:p>
        </w:tc>
        <w:tc>
          <w:tcPr>
            <w:tcW w:w="1296" w:type="dxa"/>
            <w:tcBorders>
              <w:right w:val="double" w:sz="4" w:space="0" w:color="auto"/>
            </w:tcBorders>
            <w:shd w:val="clear" w:color="000000" w:fill="FFFFFF"/>
            <w:noWrap/>
            <w:tcMar>
              <w:left w:w="58" w:type="dxa"/>
              <w:right w:w="58" w:type="dxa"/>
            </w:tcMar>
            <w:vAlign w:val="center"/>
            <w:hideMark/>
          </w:tcPr>
          <w:p w14:paraId="50D27E89" w14:textId="77777777" w:rsidR="00DE243E" w:rsidRPr="001C447E" w:rsidRDefault="00DE243E" w:rsidP="00BD4720">
            <w:pPr>
              <w:jc w:val="right"/>
              <w:rPr>
                <w:color w:val="000000"/>
                <w:sz w:val="20"/>
                <w:szCs w:val="20"/>
              </w:rPr>
            </w:pPr>
            <w:r w:rsidRPr="001C447E">
              <w:rPr>
                <w:color w:val="000000"/>
                <w:sz w:val="20"/>
                <w:szCs w:val="20"/>
              </w:rPr>
              <w:t>6.2</w:t>
            </w:r>
          </w:p>
        </w:tc>
        <w:tc>
          <w:tcPr>
            <w:tcW w:w="1296" w:type="dxa"/>
            <w:tcBorders>
              <w:left w:val="double" w:sz="4" w:space="0" w:color="auto"/>
            </w:tcBorders>
            <w:shd w:val="clear" w:color="000000" w:fill="FFFFFF"/>
            <w:noWrap/>
            <w:tcMar>
              <w:left w:w="58" w:type="dxa"/>
              <w:right w:w="58" w:type="dxa"/>
            </w:tcMar>
            <w:vAlign w:val="center"/>
            <w:hideMark/>
          </w:tcPr>
          <w:p w14:paraId="364D255D" w14:textId="77777777" w:rsidR="00DE243E" w:rsidRPr="001C447E" w:rsidRDefault="00DE243E" w:rsidP="00BD4720">
            <w:pPr>
              <w:jc w:val="right"/>
              <w:rPr>
                <w:color w:val="000000"/>
                <w:sz w:val="20"/>
                <w:szCs w:val="20"/>
              </w:rPr>
            </w:pPr>
            <w:r w:rsidRPr="001C447E">
              <w:rPr>
                <w:color w:val="000000"/>
                <w:sz w:val="20"/>
                <w:szCs w:val="20"/>
              </w:rPr>
              <w:t>57.2%</w:t>
            </w:r>
          </w:p>
        </w:tc>
        <w:tc>
          <w:tcPr>
            <w:tcW w:w="1296" w:type="dxa"/>
            <w:shd w:val="clear" w:color="000000" w:fill="FFFFFF"/>
            <w:noWrap/>
            <w:tcMar>
              <w:left w:w="58" w:type="dxa"/>
              <w:right w:w="58" w:type="dxa"/>
            </w:tcMar>
            <w:vAlign w:val="center"/>
            <w:hideMark/>
          </w:tcPr>
          <w:p w14:paraId="489F2139" w14:textId="77777777" w:rsidR="00DE243E" w:rsidRPr="001C447E" w:rsidRDefault="00DE243E" w:rsidP="00BD4720">
            <w:pPr>
              <w:jc w:val="right"/>
              <w:rPr>
                <w:color w:val="000000"/>
                <w:sz w:val="20"/>
                <w:szCs w:val="20"/>
              </w:rPr>
            </w:pPr>
            <w:r w:rsidRPr="001C447E">
              <w:rPr>
                <w:color w:val="000000"/>
                <w:sz w:val="20"/>
                <w:szCs w:val="20"/>
              </w:rPr>
              <w:t>5.5</w:t>
            </w:r>
          </w:p>
        </w:tc>
      </w:tr>
      <w:tr w:rsidR="00DE243E" w:rsidRPr="001C447E" w14:paraId="1AE82BFD" w14:textId="77777777" w:rsidTr="001C447E">
        <w:trPr>
          <w:trHeight w:val="230"/>
        </w:trPr>
        <w:tc>
          <w:tcPr>
            <w:tcW w:w="9319" w:type="dxa"/>
            <w:gridSpan w:val="5"/>
            <w:shd w:val="clear" w:color="000000" w:fill="FFFFFF"/>
            <w:noWrap/>
            <w:tcMar>
              <w:left w:w="58" w:type="dxa"/>
              <w:right w:w="58" w:type="dxa"/>
            </w:tcMar>
            <w:vAlign w:val="center"/>
            <w:hideMark/>
          </w:tcPr>
          <w:p w14:paraId="3F437B90" w14:textId="77777777" w:rsidR="00DE243E" w:rsidRPr="001C447E" w:rsidRDefault="00DE243E" w:rsidP="00BD4720">
            <w:pPr>
              <w:rPr>
                <w:b/>
                <w:bCs/>
                <w:color w:val="000000"/>
                <w:sz w:val="20"/>
                <w:szCs w:val="20"/>
              </w:rPr>
            </w:pPr>
            <w:r w:rsidRPr="001C447E">
              <w:rPr>
                <w:b/>
                <w:bCs/>
                <w:color w:val="000000"/>
                <w:sz w:val="20"/>
                <w:szCs w:val="20"/>
              </w:rPr>
              <w:t>States by Census Bureau-Designated Regions (Northeast, Midwest, South)</w:t>
            </w:r>
          </w:p>
        </w:tc>
      </w:tr>
      <w:tr w:rsidR="00BD4720" w:rsidRPr="001C447E" w14:paraId="66099DCA"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1BA74D83" w14:textId="6BCCF6D5" w:rsidR="00DE243E" w:rsidRPr="001C447E" w:rsidRDefault="00DE243E" w:rsidP="00BD4720">
            <w:pPr>
              <w:ind w:left="195" w:firstLineChars="2" w:firstLine="4"/>
              <w:rPr>
                <w:color w:val="000000"/>
                <w:sz w:val="20"/>
                <w:szCs w:val="20"/>
              </w:rPr>
            </w:pPr>
            <w:r w:rsidRPr="001C447E">
              <w:rPr>
                <w:color w:val="000000"/>
                <w:sz w:val="20"/>
                <w:szCs w:val="20"/>
              </w:rPr>
              <w:t>States in the Northeast, Midwest, South and Arizona and California</w:t>
            </w:r>
          </w:p>
        </w:tc>
        <w:tc>
          <w:tcPr>
            <w:tcW w:w="1296" w:type="dxa"/>
            <w:tcBorders>
              <w:left w:val="double" w:sz="4" w:space="0" w:color="auto"/>
            </w:tcBorders>
            <w:shd w:val="clear" w:color="000000" w:fill="FFFFFF"/>
            <w:noWrap/>
            <w:tcMar>
              <w:left w:w="58" w:type="dxa"/>
              <w:right w:w="58" w:type="dxa"/>
            </w:tcMar>
            <w:vAlign w:val="center"/>
            <w:hideMark/>
          </w:tcPr>
          <w:p w14:paraId="7C555F98" w14:textId="77777777" w:rsidR="00DE243E" w:rsidRPr="001C447E" w:rsidRDefault="00DE243E" w:rsidP="00BD4720">
            <w:pPr>
              <w:jc w:val="right"/>
              <w:rPr>
                <w:color w:val="000000"/>
                <w:sz w:val="20"/>
                <w:szCs w:val="20"/>
              </w:rPr>
            </w:pPr>
            <w:r w:rsidRPr="001C447E">
              <w:rPr>
                <w:color w:val="000000"/>
                <w:sz w:val="20"/>
                <w:szCs w:val="20"/>
              </w:rPr>
              <w:t>46.2%</w:t>
            </w:r>
          </w:p>
        </w:tc>
        <w:tc>
          <w:tcPr>
            <w:tcW w:w="1296" w:type="dxa"/>
            <w:tcBorders>
              <w:right w:val="double" w:sz="4" w:space="0" w:color="auto"/>
            </w:tcBorders>
            <w:shd w:val="clear" w:color="000000" w:fill="FFFFFF"/>
            <w:noWrap/>
            <w:tcMar>
              <w:left w:w="58" w:type="dxa"/>
              <w:right w:w="58" w:type="dxa"/>
            </w:tcMar>
            <w:vAlign w:val="center"/>
            <w:hideMark/>
          </w:tcPr>
          <w:p w14:paraId="72415595" w14:textId="77777777" w:rsidR="00DE243E" w:rsidRPr="001C447E" w:rsidRDefault="00DE243E" w:rsidP="00BD4720">
            <w:pPr>
              <w:jc w:val="right"/>
              <w:rPr>
                <w:color w:val="000000"/>
                <w:sz w:val="20"/>
                <w:szCs w:val="20"/>
              </w:rPr>
            </w:pPr>
            <w:r w:rsidRPr="001C447E">
              <w:rPr>
                <w:color w:val="000000"/>
                <w:sz w:val="20"/>
                <w:szCs w:val="20"/>
              </w:rPr>
              <w:t>6.2</w:t>
            </w:r>
          </w:p>
        </w:tc>
        <w:tc>
          <w:tcPr>
            <w:tcW w:w="1296" w:type="dxa"/>
            <w:tcBorders>
              <w:left w:val="double" w:sz="4" w:space="0" w:color="auto"/>
            </w:tcBorders>
            <w:shd w:val="clear" w:color="000000" w:fill="FFFFFF"/>
            <w:noWrap/>
            <w:tcMar>
              <w:left w:w="58" w:type="dxa"/>
              <w:right w:w="58" w:type="dxa"/>
            </w:tcMar>
            <w:vAlign w:val="center"/>
            <w:hideMark/>
          </w:tcPr>
          <w:p w14:paraId="4F7D2FA3" w14:textId="77777777" w:rsidR="00DE243E" w:rsidRPr="001C447E" w:rsidRDefault="00DE243E" w:rsidP="00BD4720">
            <w:pPr>
              <w:jc w:val="right"/>
              <w:rPr>
                <w:color w:val="000000"/>
                <w:sz w:val="20"/>
                <w:szCs w:val="20"/>
              </w:rPr>
            </w:pPr>
            <w:r w:rsidRPr="001C447E">
              <w:rPr>
                <w:color w:val="000000"/>
                <w:sz w:val="20"/>
                <w:szCs w:val="20"/>
              </w:rPr>
              <w:t>53.8%</w:t>
            </w:r>
          </w:p>
        </w:tc>
        <w:tc>
          <w:tcPr>
            <w:tcW w:w="1296" w:type="dxa"/>
            <w:shd w:val="clear" w:color="000000" w:fill="FFFFFF"/>
            <w:noWrap/>
            <w:tcMar>
              <w:left w:w="58" w:type="dxa"/>
              <w:right w:w="58" w:type="dxa"/>
            </w:tcMar>
            <w:vAlign w:val="center"/>
            <w:hideMark/>
          </w:tcPr>
          <w:p w14:paraId="10995975" w14:textId="77777777" w:rsidR="00DE243E" w:rsidRPr="001C447E" w:rsidRDefault="00DE243E" w:rsidP="00BD4720">
            <w:pPr>
              <w:jc w:val="right"/>
              <w:rPr>
                <w:color w:val="000000"/>
                <w:sz w:val="20"/>
                <w:szCs w:val="20"/>
              </w:rPr>
            </w:pPr>
            <w:r w:rsidRPr="001C447E">
              <w:rPr>
                <w:color w:val="000000"/>
                <w:sz w:val="20"/>
                <w:szCs w:val="20"/>
              </w:rPr>
              <w:t>4.6</w:t>
            </w:r>
          </w:p>
        </w:tc>
      </w:tr>
      <w:tr w:rsidR="00BD4720" w:rsidRPr="001C447E" w14:paraId="3EB339C9" w14:textId="77777777" w:rsidTr="001C447E">
        <w:trPr>
          <w:trHeight w:val="230"/>
        </w:trPr>
        <w:tc>
          <w:tcPr>
            <w:tcW w:w="4135" w:type="dxa"/>
            <w:tcBorders>
              <w:right w:val="double" w:sz="4" w:space="0" w:color="auto"/>
            </w:tcBorders>
            <w:shd w:val="clear" w:color="000000" w:fill="FFFFFF"/>
            <w:tcMar>
              <w:left w:w="58" w:type="dxa"/>
              <w:right w:w="58" w:type="dxa"/>
            </w:tcMar>
            <w:vAlign w:val="center"/>
            <w:hideMark/>
          </w:tcPr>
          <w:p w14:paraId="447BBB2D" w14:textId="663E89DF" w:rsidR="00DE243E" w:rsidRPr="001C447E" w:rsidRDefault="00DE243E" w:rsidP="00BD4720">
            <w:pPr>
              <w:ind w:left="195" w:firstLineChars="2" w:firstLine="4"/>
              <w:rPr>
                <w:color w:val="000000"/>
                <w:sz w:val="20"/>
                <w:szCs w:val="20"/>
              </w:rPr>
            </w:pPr>
            <w:r w:rsidRPr="001C447E">
              <w:rPr>
                <w:color w:val="000000"/>
                <w:sz w:val="20"/>
                <w:szCs w:val="20"/>
              </w:rPr>
              <w:t xml:space="preserve">All states in the west besides Arizona and California </w:t>
            </w:r>
          </w:p>
        </w:tc>
        <w:tc>
          <w:tcPr>
            <w:tcW w:w="1296" w:type="dxa"/>
            <w:tcBorders>
              <w:left w:val="double" w:sz="4" w:space="0" w:color="auto"/>
            </w:tcBorders>
            <w:shd w:val="clear" w:color="000000" w:fill="FFFFFF"/>
            <w:noWrap/>
            <w:tcMar>
              <w:left w:w="58" w:type="dxa"/>
              <w:right w:w="58" w:type="dxa"/>
            </w:tcMar>
            <w:vAlign w:val="center"/>
            <w:hideMark/>
          </w:tcPr>
          <w:p w14:paraId="59C884B6" w14:textId="77777777" w:rsidR="00DE243E" w:rsidRPr="001C447E" w:rsidRDefault="00DE243E" w:rsidP="00BD4720">
            <w:pPr>
              <w:jc w:val="right"/>
              <w:rPr>
                <w:color w:val="000000"/>
                <w:sz w:val="20"/>
                <w:szCs w:val="20"/>
              </w:rPr>
            </w:pPr>
            <w:r w:rsidRPr="001C447E">
              <w:rPr>
                <w:color w:val="000000"/>
                <w:sz w:val="20"/>
                <w:szCs w:val="20"/>
              </w:rPr>
              <w:t>47.6%</w:t>
            </w:r>
          </w:p>
        </w:tc>
        <w:tc>
          <w:tcPr>
            <w:tcW w:w="1296" w:type="dxa"/>
            <w:tcBorders>
              <w:right w:val="double" w:sz="4" w:space="0" w:color="auto"/>
            </w:tcBorders>
            <w:shd w:val="clear" w:color="000000" w:fill="FFFFFF"/>
            <w:noWrap/>
            <w:tcMar>
              <w:left w:w="58" w:type="dxa"/>
              <w:right w:w="58" w:type="dxa"/>
            </w:tcMar>
            <w:vAlign w:val="center"/>
            <w:hideMark/>
          </w:tcPr>
          <w:p w14:paraId="7C983260" w14:textId="77777777" w:rsidR="00DE243E" w:rsidRPr="001C447E" w:rsidRDefault="00DE243E" w:rsidP="00BD4720">
            <w:pPr>
              <w:jc w:val="right"/>
              <w:rPr>
                <w:color w:val="000000"/>
                <w:sz w:val="20"/>
                <w:szCs w:val="20"/>
              </w:rPr>
            </w:pPr>
            <w:r w:rsidRPr="001C447E">
              <w:rPr>
                <w:color w:val="000000"/>
                <w:sz w:val="20"/>
                <w:szCs w:val="20"/>
              </w:rPr>
              <w:t>7.1</w:t>
            </w:r>
          </w:p>
        </w:tc>
        <w:tc>
          <w:tcPr>
            <w:tcW w:w="1296" w:type="dxa"/>
            <w:tcBorders>
              <w:left w:val="double" w:sz="4" w:space="0" w:color="auto"/>
            </w:tcBorders>
            <w:shd w:val="clear" w:color="000000" w:fill="FFFFFF"/>
            <w:noWrap/>
            <w:tcMar>
              <w:left w:w="58" w:type="dxa"/>
              <w:right w:w="58" w:type="dxa"/>
            </w:tcMar>
            <w:vAlign w:val="center"/>
            <w:hideMark/>
          </w:tcPr>
          <w:p w14:paraId="75D17B2B" w14:textId="77777777" w:rsidR="00DE243E" w:rsidRPr="001C447E" w:rsidRDefault="00DE243E" w:rsidP="00BD4720">
            <w:pPr>
              <w:jc w:val="right"/>
              <w:rPr>
                <w:color w:val="000000"/>
                <w:sz w:val="20"/>
                <w:szCs w:val="20"/>
              </w:rPr>
            </w:pPr>
            <w:r w:rsidRPr="001C447E">
              <w:rPr>
                <w:color w:val="000000"/>
                <w:sz w:val="20"/>
                <w:szCs w:val="20"/>
              </w:rPr>
              <w:t>52.4%</w:t>
            </w:r>
          </w:p>
        </w:tc>
        <w:tc>
          <w:tcPr>
            <w:tcW w:w="1296" w:type="dxa"/>
            <w:shd w:val="clear" w:color="000000" w:fill="FFFFFF"/>
            <w:noWrap/>
            <w:tcMar>
              <w:left w:w="58" w:type="dxa"/>
              <w:right w:w="58" w:type="dxa"/>
            </w:tcMar>
            <w:vAlign w:val="center"/>
            <w:hideMark/>
          </w:tcPr>
          <w:p w14:paraId="006F08DA" w14:textId="77777777" w:rsidR="00DE243E" w:rsidRPr="001C447E" w:rsidRDefault="00DE243E" w:rsidP="00BD4720">
            <w:pPr>
              <w:jc w:val="right"/>
              <w:rPr>
                <w:color w:val="000000"/>
                <w:sz w:val="20"/>
                <w:szCs w:val="20"/>
              </w:rPr>
            </w:pPr>
            <w:r w:rsidRPr="001C447E">
              <w:rPr>
                <w:color w:val="000000"/>
                <w:sz w:val="20"/>
                <w:szCs w:val="20"/>
              </w:rPr>
              <w:t>4.8</w:t>
            </w:r>
          </w:p>
        </w:tc>
      </w:tr>
      <w:tr w:rsidR="00DE243E" w:rsidRPr="001C447E" w14:paraId="6AC8EC30" w14:textId="77777777" w:rsidTr="001C447E">
        <w:trPr>
          <w:trHeight w:val="230"/>
        </w:trPr>
        <w:tc>
          <w:tcPr>
            <w:tcW w:w="9319" w:type="dxa"/>
            <w:gridSpan w:val="5"/>
            <w:shd w:val="clear" w:color="000000" w:fill="FFFFFF"/>
            <w:noWrap/>
            <w:tcMar>
              <w:left w:w="58" w:type="dxa"/>
              <w:right w:w="58" w:type="dxa"/>
            </w:tcMar>
            <w:vAlign w:val="center"/>
            <w:hideMark/>
          </w:tcPr>
          <w:p w14:paraId="7CBC9C66" w14:textId="77777777" w:rsidR="00DE243E" w:rsidRPr="001C447E" w:rsidRDefault="00DE243E" w:rsidP="00BD4720">
            <w:pPr>
              <w:rPr>
                <w:b/>
                <w:bCs/>
                <w:color w:val="000000"/>
                <w:sz w:val="20"/>
                <w:szCs w:val="20"/>
              </w:rPr>
            </w:pPr>
            <w:r w:rsidRPr="001C447E">
              <w:rPr>
                <w:b/>
                <w:bCs/>
                <w:color w:val="000000"/>
                <w:sz w:val="20"/>
                <w:szCs w:val="20"/>
              </w:rPr>
              <w:t>Housing Tenure</w:t>
            </w:r>
          </w:p>
        </w:tc>
      </w:tr>
      <w:tr w:rsidR="00BD4720" w:rsidRPr="001C447E" w14:paraId="4EA40621" w14:textId="77777777" w:rsidTr="001C447E">
        <w:trPr>
          <w:trHeight w:val="230"/>
        </w:trPr>
        <w:tc>
          <w:tcPr>
            <w:tcW w:w="4135" w:type="dxa"/>
            <w:tcBorders>
              <w:bottom w:val="single" w:sz="4" w:space="0" w:color="auto"/>
              <w:right w:val="double" w:sz="4" w:space="0" w:color="auto"/>
            </w:tcBorders>
            <w:shd w:val="clear" w:color="000000" w:fill="FFFFFF"/>
            <w:noWrap/>
            <w:tcMar>
              <w:left w:w="58" w:type="dxa"/>
              <w:right w:w="58" w:type="dxa"/>
            </w:tcMar>
            <w:vAlign w:val="center"/>
            <w:hideMark/>
          </w:tcPr>
          <w:p w14:paraId="3919E673" w14:textId="77777777" w:rsidR="00DE243E" w:rsidRPr="001C447E" w:rsidRDefault="00DE243E" w:rsidP="00BD4720">
            <w:pPr>
              <w:ind w:firstLineChars="100" w:firstLine="200"/>
              <w:rPr>
                <w:color w:val="000000"/>
                <w:sz w:val="20"/>
                <w:szCs w:val="20"/>
              </w:rPr>
            </w:pPr>
            <w:r w:rsidRPr="001C447E">
              <w:rPr>
                <w:color w:val="000000"/>
                <w:sz w:val="20"/>
                <w:szCs w:val="20"/>
              </w:rPr>
              <w:t>Own</w:t>
            </w:r>
          </w:p>
        </w:tc>
        <w:tc>
          <w:tcPr>
            <w:tcW w:w="1296" w:type="dxa"/>
            <w:tcBorders>
              <w:left w:val="double" w:sz="4" w:space="0" w:color="auto"/>
              <w:bottom w:val="single" w:sz="4" w:space="0" w:color="auto"/>
            </w:tcBorders>
            <w:shd w:val="clear" w:color="000000" w:fill="FFFFFF"/>
            <w:noWrap/>
            <w:tcMar>
              <w:left w:w="58" w:type="dxa"/>
              <w:right w:w="58" w:type="dxa"/>
            </w:tcMar>
            <w:vAlign w:val="center"/>
            <w:hideMark/>
          </w:tcPr>
          <w:p w14:paraId="31AA8ABE" w14:textId="77777777" w:rsidR="00DE243E" w:rsidRPr="001C447E" w:rsidRDefault="00DE243E" w:rsidP="00BD4720">
            <w:pPr>
              <w:jc w:val="right"/>
              <w:rPr>
                <w:color w:val="000000"/>
                <w:sz w:val="20"/>
                <w:szCs w:val="20"/>
              </w:rPr>
            </w:pPr>
            <w:r w:rsidRPr="001C447E">
              <w:rPr>
                <w:color w:val="000000"/>
                <w:sz w:val="20"/>
                <w:szCs w:val="20"/>
              </w:rPr>
              <w:t>46.5%</w:t>
            </w:r>
          </w:p>
        </w:tc>
        <w:tc>
          <w:tcPr>
            <w:tcW w:w="1296" w:type="dxa"/>
            <w:tcBorders>
              <w:bottom w:val="single" w:sz="4" w:space="0" w:color="auto"/>
              <w:right w:val="double" w:sz="4" w:space="0" w:color="auto"/>
            </w:tcBorders>
            <w:shd w:val="clear" w:color="000000" w:fill="FFFFFF"/>
            <w:noWrap/>
            <w:tcMar>
              <w:left w:w="58" w:type="dxa"/>
              <w:right w:w="58" w:type="dxa"/>
            </w:tcMar>
            <w:vAlign w:val="center"/>
            <w:hideMark/>
          </w:tcPr>
          <w:p w14:paraId="76996101" w14:textId="77777777" w:rsidR="00DE243E" w:rsidRPr="001C447E" w:rsidRDefault="00DE243E" w:rsidP="00BD4720">
            <w:pPr>
              <w:jc w:val="right"/>
              <w:rPr>
                <w:color w:val="000000"/>
                <w:sz w:val="20"/>
                <w:szCs w:val="20"/>
              </w:rPr>
            </w:pPr>
            <w:r w:rsidRPr="001C447E">
              <w:rPr>
                <w:color w:val="000000"/>
                <w:sz w:val="20"/>
                <w:szCs w:val="20"/>
              </w:rPr>
              <w:t>6.4</w:t>
            </w:r>
          </w:p>
        </w:tc>
        <w:tc>
          <w:tcPr>
            <w:tcW w:w="1296" w:type="dxa"/>
            <w:tcBorders>
              <w:left w:val="double" w:sz="4" w:space="0" w:color="auto"/>
              <w:bottom w:val="single" w:sz="4" w:space="0" w:color="auto"/>
            </w:tcBorders>
            <w:shd w:val="clear" w:color="000000" w:fill="FFFFFF"/>
            <w:noWrap/>
            <w:tcMar>
              <w:left w:w="58" w:type="dxa"/>
              <w:right w:w="58" w:type="dxa"/>
            </w:tcMar>
            <w:vAlign w:val="center"/>
            <w:hideMark/>
          </w:tcPr>
          <w:p w14:paraId="752B563A" w14:textId="77777777" w:rsidR="00DE243E" w:rsidRPr="001C447E" w:rsidRDefault="00DE243E" w:rsidP="00BD4720">
            <w:pPr>
              <w:jc w:val="right"/>
              <w:rPr>
                <w:color w:val="000000"/>
                <w:sz w:val="20"/>
                <w:szCs w:val="20"/>
              </w:rPr>
            </w:pPr>
            <w:r w:rsidRPr="001C447E">
              <w:rPr>
                <w:color w:val="000000"/>
                <w:sz w:val="20"/>
                <w:szCs w:val="20"/>
              </w:rPr>
              <w:t>53.5%</w:t>
            </w:r>
          </w:p>
        </w:tc>
        <w:tc>
          <w:tcPr>
            <w:tcW w:w="1296" w:type="dxa"/>
            <w:tcBorders>
              <w:bottom w:val="single" w:sz="4" w:space="0" w:color="auto"/>
            </w:tcBorders>
            <w:shd w:val="clear" w:color="000000" w:fill="FFFFFF"/>
            <w:noWrap/>
            <w:tcMar>
              <w:left w:w="58" w:type="dxa"/>
              <w:right w:w="58" w:type="dxa"/>
            </w:tcMar>
            <w:vAlign w:val="center"/>
            <w:hideMark/>
          </w:tcPr>
          <w:p w14:paraId="1A97DA72" w14:textId="77777777" w:rsidR="00DE243E" w:rsidRPr="001C447E" w:rsidRDefault="00DE243E" w:rsidP="00BD4720">
            <w:pPr>
              <w:jc w:val="right"/>
              <w:rPr>
                <w:color w:val="000000"/>
                <w:sz w:val="20"/>
                <w:szCs w:val="20"/>
              </w:rPr>
            </w:pPr>
            <w:r w:rsidRPr="001C447E">
              <w:rPr>
                <w:color w:val="000000"/>
                <w:sz w:val="20"/>
                <w:szCs w:val="20"/>
              </w:rPr>
              <w:t>4.7</w:t>
            </w:r>
          </w:p>
        </w:tc>
      </w:tr>
      <w:tr w:rsidR="00BD4720" w:rsidRPr="001C447E" w14:paraId="3C4C5FAE" w14:textId="77777777" w:rsidTr="001C447E">
        <w:trPr>
          <w:trHeight w:val="230"/>
        </w:trPr>
        <w:tc>
          <w:tcPr>
            <w:tcW w:w="4135" w:type="dxa"/>
            <w:tcBorders>
              <w:top w:val="single" w:sz="4" w:space="0" w:color="auto"/>
              <w:bottom w:val="double" w:sz="4" w:space="0" w:color="auto"/>
              <w:right w:val="double" w:sz="4" w:space="0" w:color="auto"/>
            </w:tcBorders>
            <w:shd w:val="clear" w:color="000000" w:fill="FFFFFF"/>
            <w:noWrap/>
            <w:tcMar>
              <w:left w:w="58" w:type="dxa"/>
              <w:right w:w="58" w:type="dxa"/>
            </w:tcMar>
            <w:vAlign w:val="center"/>
            <w:hideMark/>
          </w:tcPr>
          <w:p w14:paraId="058BFB1B" w14:textId="77777777" w:rsidR="00DE243E" w:rsidRPr="001C447E" w:rsidRDefault="00DE243E" w:rsidP="00BD4720">
            <w:pPr>
              <w:ind w:firstLineChars="100" w:firstLine="200"/>
              <w:rPr>
                <w:color w:val="000000"/>
                <w:sz w:val="20"/>
                <w:szCs w:val="20"/>
              </w:rPr>
            </w:pPr>
            <w:r w:rsidRPr="001C447E">
              <w:rPr>
                <w:color w:val="000000"/>
                <w:sz w:val="20"/>
                <w:szCs w:val="20"/>
              </w:rPr>
              <w:t>Rent</w:t>
            </w:r>
          </w:p>
        </w:tc>
        <w:tc>
          <w:tcPr>
            <w:tcW w:w="1296" w:type="dxa"/>
            <w:tcBorders>
              <w:top w:val="single" w:sz="4" w:space="0" w:color="auto"/>
              <w:left w:val="double" w:sz="4" w:space="0" w:color="auto"/>
              <w:bottom w:val="double" w:sz="4" w:space="0" w:color="auto"/>
            </w:tcBorders>
            <w:shd w:val="clear" w:color="000000" w:fill="FFFFFF"/>
            <w:noWrap/>
            <w:tcMar>
              <w:left w:w="58" w:type="dxa"/>
              <w:right w:w="58" w:type="dxa"/>
            </w:tcMar>
            <w:vAlign w:val="center"/>
            <w:hideMark/>
          </w:tcPr>
          <w:p w14:paraId="662CE97D" w14:textId="77777777" w:rsidR="00DE243E" w:rsidRPr="001C447E" w:rsidRDefault="00DE243E" w:rsidP="00BD4720">
            <w:pPr>
              <w:jc w:val="right"/>
              <w:rPr>
                <w:color w:val="000000"/>
                <w:sz w:val="20"/>
                <w:szCs w:val="20"/>
              </w:rPr>
            </w:pPr>
            <w:r w:rsidRPr="001C447E">
              <w:rPr>
                <w:color w:val="000000"/>
                <w:sz w:val="20"/>
                <w:szCs w:val="20"/>
              </w:rPr>
              <w:t>46.0%</w:t>
            </w:r>
          </w:p>
        </w:tc>
        <w:tc>
          <w:tcPr>
            <w:tcW w:w="1296" w:type="dxa"/>
            <w:tcBorders>
              <w:top w:val="single" w:sz="4" w:space="0" w:color="auto"/>
              <w:bottom w:val="double" w:sz="4" w:space="0" w:color="auto"/>
              <w:right w:val="double" w:sz="4" w:space="0" w:color="auto"/>
            </w:tcBorders>
            <w:shd w:val="clear" w:color="000000" w:fill="FFFFFF"/>
            <w:noWrap/>
            <w:tcMar>
              <w:left w:w="58" w:type="dxa"/>
              <w:right w:w="58" w:type="dxa"/>
            </w:tcMar>
            <w:vAlign w:val="center"/>
            <w:hideMark/>
          </w:tcPr>
          <w:p w14:paraId="64064077" w14:textId="77777777" w:rsidR="00DE243E" w:rsidRPr="001C447E" w:rsidRDefault="00DE243E" w:rsidP="00BD4720">
            <w:pPr>
              <w:jc w:val="right"/>
              <w:rPr>
                <w:color w:val="000000"/>
                <w:sz w:val="20"/>
                <w:szCs w:val="20"/>
              </w:rPr>
            </w:pPr>
            <w:r w:rsidRPr="001C447E">
              <w:rPr>
                <w:color w:val="000000"/>
                <w:sz w:val="20"/>
                <w:szCs w:val="20"/>
              </w:rPr>
              <w:t>6.0</w:t>
            </w:r>
          </w:p>
        </w:tc>
        <w:tc>
          <w:tcPr>
            <w:tcW w:w="1296" w:type="dxa"/>
            <w:tcBorders>
              <w:top w:val="single" w:sz="4" w:space="0" w:color="auto"/>
              <w:left w:val="double" w:sz="4" w:space="0" w:color="auto"/>
              <w:bottom w:val="double" w:sz="4" w:space="0" w:color="auto"/>
            </w:tcBorders>
            <w:shd w:val="clear" w:color="000000" w:fill="FFFFFF"/>
            <w:noWrap/>
            <w:tcMar>
              <w:left w:w="58" w:type="dxa"/>
              <w:right w:w="58" w:type="dxa"/>
            </w:tcMar>
            <w:vAlign w:val="center"/>
            <w:hideMark/>
          </w:tcPr>
          <w:p w14:paraId="5EE41030" w14:textId="77777777" w:rsidR="00DE243E" w:rsidRPr="001C447E" w:rsidRDefault="00DE243E" w:rsidP="00BD4720">
            <w:pPr>
              <w:jc w:val="right"/>
              <w:rPr>
                <w:color w:val="000000"/>
                <w:sz w:val="20"/>
                <w:szCs w:val="20"/>
              </w:rPr>
            </w:pPr>
            <w:r w:rsidRPr="001C447E">
              <w:rPr>
                <w:color w:val="000000"/>
                <w:sz w:val="20"/>
                <w:szCs w:val="20"/>
              </w:rPr>
              <w:t>54.0%</w:t>
            </w:r>
          </w:p>
        </w:tc>
        <w:tc>
          <w:tcPr>
            <w:tcW w:w="1296" w:type="dxa"/>
            <w:tcBorders>
              <w:top w:val="single" w:sz="4" w:space="0" w:color="auto"/>
              <w:bottom w:val="double" w:sz="4" w:space="0" w:color="auto"/>
            </w:tcBorders>
            <w:shd w:val="clear" w:color="000000" w:fill="FFFFFF"/>
            <w:noWrap/>
            <w:tcMar>
              <w:left w:w="58" w:type="dxa"/>
              <w:right w:w="58" w:type="dxa"/>
            </w:tcMar>
            <w:vAlign w:val="center"/>
            <w:hideMark/>
          </w:tcPr>
          <w:p w14:paraId="6E4DDE0C" w14:textId="77777777" w:rsidR="00DE243E" w:rsidRPr="001C447E" w:rsidRDefault="00DE243E" w:rsidP="00BD4720">
            <w:pPr>
              <w:jc w:val="right"/>
              <w:rPr>
                <w:color w:val="000000"/>
                <w:sz w:val="20"/>
                <w:szCs w:val="20"/>
              </w:rPr>
            </w:pPr>
            <w:r w:rsidRPr="001C447E">
              <w:rPr>
                <w:color w:val="000000"/>
                <w:sz w:val="20"/>
                <w:szCs w:val="20"/>
              </w:rPr>
              <w:t>4.6</w:t>
            </w:r>
          </w:p>
        </w:tc>
      </w:tr>
    </w:tbl>
    <w:p w14:paraId="23A9A12A" w14:textId="0584A3B4" w:rsidR="00DF7087" w:rsidRPr="006655D2" w:rsidRDefault="001436DA" w:rsidP="00AC02B7">
      <w:pPr>
        <w:spacing w:before="120"/>
        <w:ind w:firstLine="720"/>
        <w:jc w:val="both"/>
        <w:rPr>
          <w:color w:val="FF0000"/>
        </w:rPr>
      </w:pPr>
      <w:bookmarkStart w:id="21" w:name="_Hlk158456283"/>
      <w:r w:rsidRPr="00D63C31">
        <w:t xml:space="preserve">The </w:t>
      </w:r>
      <w:r w:rsidR="00DE243E" w:rsidRPr="00D63C31">
        <w:t xml:space="preserve">results </w:t>
      </w:r>
      <w:r w:rsidRPr="00D63C31">
        <w:t xml:space="preserve">from Table 6 </w:t>
      </w:r>
      <w:r w:rsidR="00DE243E" w:rsidRPr="00D63C31">
        <w:t xml:space="preserve">provide </w:t>
      </w:r>
      <w:r w:rsidRPr="00381459">
        <w:t xml:space="preserve">several important </w:t>
      </w:r>
      <w:r w:rsidR="00DE243E" w:rsidRPr="00381459">
        <w:t>insights</w:t>
      </w:r>
      <w:r w:rsidR="00E125D8" w:rsidRPr="009E2A4F">
        <w:t>, a few of which are briefly discussed here</w:t>
      </w:r>
      <w:r w:rsidRPr="006655D2">
        <w:t>.</w:t>
      </w:r>
      <w:r w:rsidR="00DE243E" w:rsidRPr="006655D2">
        <w:t xml:space="preserve"> </w:t>
      </w:r>
      <w:r w:rsidR="0046211D" w:rsidRPr="00814854">
        <w:t xml:space="preserve">Of course, </w:t>
      </w:r>
      <w:r w:rsidR="0046211D" w:rsidRPr="00CF0E6D">
        <w:t>i</w:t>
      </w:r>
      <w:r w:rsidR="00DF7087" w:rsidRPr="00CF0E6D">
        <w:t>t should be noted</w:t>
      </w:r>
      <w:r w:rsidR="0046211D" w:rsidRPr="00CF0E6D">
        <w:t xml:space="preserve"> that, </w:t>
      </w:r>
      <w:r w:rsidR="00DF7087" w:rsidRPr="00CF0E6D">
        <w:t xml:space="preserve">while dissonance </w:t>
      </w:r>
      <w:r w:rsidR="0046211D" w:rsidRPr="00CF0E6D">
        <w:t xml:space="preserve">(consonance) </w:t>
      </w:r>
      <w:r w:rsidR="00DF7087" w:rsidRPr="00CF0E6D">
        <w:t xml:space="preserve">is measured </w:t>
      </w:r>
      <w:r w:rsidR="0046211D" w:rsidRPr="00CF0E6D">
        <w:t xml:space="preserve">purely </w:t>
      </w:r>
      <w:r w:rsidR="00DF7087" w:rsidRPr="00CF0E6D">
        <w:t xml:space="preserve">as a function of the disconnect </w:t>
      </w:r>
      <w:r w:rsidR="0046211D" w:rsidRPr="00CF0E6D">
        <w:t xml:space="preserve">(connect) </w:t>
      </w:r>
      <w:r w:rsidR="00DF7087" w:rsidRPr="00CF0E6D">
        <w:t>between employees’ ETF and ITF</w:t>
      </w:r>
      <w:r w:rsidR="0046211D" w:rsidRPr="00CF0E6D">
        <w:t xml:space="preserve"> in Table 6</w:t>
      </w:r>
      <w:r w:rsidR="00DF7087" w:rsidRPr="00CF0E6D">
        <w:t xml:space="preserve">, </w:t>
      </w:r>
      <w:r w:rsidR="0046211D" w:rsidRPr="00CF0E6D">
        <w:t xml:space="preserve">the repercussions of such dissonance will also depend on how much an individual is affected by such a disconnect. Examining </w:t>
      </w:r>
      <w:r w:rsidR="00087F25" w:rsidRPr="00CF0E6D">
        <w:t xml:space="preserve">this latter issue </w:t>
      </w:r>
      <w:r w:rsidR="0046211D" w:rsidRPr="00CF0E6D">
        <w:t>is beyond the scope of the current research</w:t>
      </w:r>
      <w:r w:rsidR="006655D2" w:rsidRPr="00CF0E6D">
        <w:t xml:space="preserve">. The </w:t>
      </w:r>
      <w:r w:rsidR="006655D2" w:rsidRPr="00CF0E6D">
        <w:rPr>
          <w:shd w:val="clear" w:color="auto" w:fill="FFFFFF"/>
        </w:rPr>
        <w:t xml:space="preserve">policy </w:t>
      </w:r>
      <w:r w:rsidR="0046211D" w:rsidRPr="00CF0E6D">
        <w:t xml:space="preserve">implications </w:t>
      </w:r>
      <w:r w:rsidR="006655D2" w:rsidRPr="00CF0E6D">
        <w:t xml:space="preserve">of TFD discussed below needs to be viewed and qualified in light of this limitation. </w:t>
      </w:r>
    </w:p>
    <w:bookmarkEnd w:id="21"/>
    <w:p w14:paraId="7D16D98D" w14:textId="2B70B394" w:rsidR="00CE44BC" w:rsidRPr="00251E00" w:rsidRDefault="001436DA" w:rsidP="00E125D8">
      <w:pPr>
        <w:ind w:firstLine="720"/>
        <w:jc w:val="both"/>
        <w:rPr>
          <w:color w:val="000000"/>
        </w:rPr>
      </w:pPr>
      <w:r w:rsidRPr="00F01655">
        <w:rPr>
          <w:u w:val="single"/>
        </w:rPr>
        <w:t>First</w:t>
      </w:r>
      <w:r w:rsidRPr="00F01655">
        <w:t xml:space="preserve">, individuals experiencing the highest levels of dissonance include </w:t>
      </w:r>
      <w:r w:rsidR="009844A5" w:rsidRPr="00F01655">
        <w:t xml:space="preserve">full-time employed </w:t>
      </w:r>
      <w:r w:rsidR="00DE243E" w:rsidRPr="00F01655">
        <w:t>m</w:t>
      </w:r>
      <w:r w:rsidR="009844A5" w:rsidRPr="00F01655">
        <w:t>en</w:t>
      </w:r>
      <w:r w:rsidR="00DE243E" w:rsidRPr="00F01655">
        <w:t xml:space="preserve"> </w:t>
      </w:r>
      <w:r w:rsidR="009844A5" w:rsidRPr="00F01655">
        <w:t xml:space="preserve">with </w:t>
      </w:r>
      <w:r w:rsidR="00DE243E" w:rsidRPr="00F01655">
        <w:t>a partner</w:t>
      </w:r>
      <w:r w:rsidR="009844A5" w:rsidRPr="00F01655">
        <w:t>,</w:t>
      </w:r>
      <w:r w:rsidR="00DE243E" w:rsidRPr="00F01655">
        <w:t xml:space="preserve"> </w:t>
      </w:r>
      <w:r w:rsidR="009844A5" w:rsidRPr="00F01655">
        <w:t xml:space="preserve">full-time/part-time employed women with </w:t>
      </w:r>
      <w:r w:rsidR="00DE243E" w:rsidRPr="00F01655">
        <w:t>a partner</w:t>
      </w:r>
      <w:r w:rsidR="009844A5" w:rsidRPr="00F01655">
        <w:t>,</w:t>
      </w:r>
      <w:r w:rsidR="00DE243E" w:rsidRPr="00F01655">
        <w:t xml:space="preserve"> </w:t>
      </w:r>
      <w:r w:rsidRPr="00F01655">
        <w:t xml:space="preserve">young adults, and those with the lowest formal education level and in the lowest household income bracket. These findings represent challenges faced by the segments of employees who </w:t>
      </w:r>
      <w:r w:rsidR="00F54A83" w:rsidRPr="00F01655">
        <w:t xml:space="preserve">already </w:t>
      </w:r>
      <w:r w:rsidRPr="00F01655">
        <w:t xml:space="preserve">struggle with work-life balance issues and/or are poorly resourced. Employers can help </w:t>
      </w:r>
      <w:r w:rsidR="00F54A83" w:rsidRPr="00F01655">
        <w:t>address</w:t>
      </w:r>
      <w:r w:rsidRPr="00F01655">
        <w:t xml:space="preserve"> this </w:t>
      </w:r>
      <w:r w:rsidR="00F54A83" w:rsidRPr="00F01655">
        <w:t xml:space="preserve">equity </w:t>
      </w:r>
      <w:r w:rsidRPr="00F01655">
        <w:t xml:space="preserve">divide by </w:t>
      </w:r>
      <w:r w:rsidRPr="00F01655">
        <w:lastRenderedPageBreak/>
        <w:t xml:space="preserve">fostering programs </w:t>
      </w:r>
      <w:r w:rsidR="00F54A83" w:rsidRPr="00F01655">
        <w:t xml:space="preserve">to </w:t>
      </w:r>
      <w:r w:rsidRPr="00F01655">
        <w:t>enhance telework capabilities, work-life balance, and overall quality of life and mental health. Also, t</w:t>
      </w:r>
      <w:r w:rsidR="00C52D9E" w:rsidRPr="00F01655">
        <w:t>argeted social events</w:t>
      </w:r>
      <w:r w:rsidR="0055340B" w:rsidRPr="00F01655">
        <w:t>,</w:t>
      </w:r>
      <w:r w:rsidR="00C52D9E" w:rsidRPr="00F01655">
        <w:t xml:space="preserve"> and </w:t>
      </w:r>
      <w:r w:rsidR="0055340B" w:rsidRPr="00F01655">
        <w:t xml:space="preserve">entrusting young employees with work that they find meaningful, may help young individuals feel less </w:t>
      </w:r>
      <w:r w:rsidR="00CC051C" w:rsidRPr="00F01655">
        <w:t>dissonance</w:t>
      </w:r>
      <w:r w:rsidR="007677ED" w:rsidRPr="00F01655">
        <w:t>.</w:t>
      </w:r>
      <w:r w:rsidRPr="00F01655">
        <w:t xml:space="preserve"> </w:t>
      </w:r>
      <w:r w:rsidR="00B219FD" w:rsidRPr="00F01655">
        <w:t>It is also</w:t>
      </w:r>
      <w:r w:rsidRPr="00F01655">
        <w:t xml:space="preserve"> </w:t>
      </w:r>
      <w:r w:rsidR="00B219FD" w:rsidRPr="00F01655">
        <w:t xml:space="preserve">likely that lower-income </w:t>
      </w:r>
      <w:r w:rsidR="0055340B" w:rsidRPr="00F01655">
        <w:t xml:space="preserve">and </w:t>
      </w:r>
      <w:r w:rsidR="00B219FD" w:rsidRPr="00F01655">
        <w:t>lower-education employees reside in homes that may not be large enough to afford a dedicated workspace</w:t>
      </w:r>
      <w:r w:rsidR="0055340B" w:rsidRPr="00F01655">
        <w:t xml:space="preserve"> or high speed connectivity</w:t>
      </w:r>
      <w:r w:rsidR="00B219FD" w:rsidRPr="00F01655">
        <w:t xml:space="preserve">. </w:t>
      </w:r>
      <w:r w:rsidRPr="00F01655">
        <w:t>Thus, i</w:t>
      </w:r>
      <w:r w:rsidR="00B219FD" w:rsidRPr="00F01655">
        <w:t xml:space="preserve">n cases where the occupation does allow some level of teleworking, employers </w:t>
      </w:r>
      <w:r w:rsidR="0055340B" w:rsidRPr="00F01655">
        <w:t>may want to</w:t>
      </w:r>
      <w:r w:rsidR="00B219FD" w:rsidRPr="00F01655">
        <w:t xml:space="preserve"> </w:t>
      </w:r>
      <w:r w:rsidR="00B219FD" w:rsidRPr="00251E00">
        <w:t xml:space="preserve">provide </w:t>
      </w:r>
      <w:r w:rsidR="00F54A83" w:rsidRPr="00251E00">
        <w:t xml:space="preserve">a third workplace option (close to employee residences) and </w:t>
      </w:r>
      <w:r w:rsidRPr="00251E00">
        <w:t xml:space="preserve">support </w:t>
      </w:r>
      <w:r w:rsidR="00B219FD" w:rsidRPr="00251E00">
        <w:t xml:space="preserve">(financial, technical, and material) for </w:t>
      </w:r>
      <w:r w:rsidR="00F54A83" w:rsidRPr="00251E00">
        <w:t xml:space="preserve">in-home </w:t>
      </w:r>
      <w:r w:rsidR="00B219FD" w:rsidRPr="00251E00">
        <w:t>high speed internet connectivity and equipment (devices and accessories)</w:t>
      </w:r>
      <w:r w:rsidR="00C67989" w:rsidRPr="00251E00">
        <w:t>.</w:t>
      </w:r>
      <w:r w:rsidR="00C67989" w:rsidRPr="00251E00">
        <w:rPr>
          <w:color w:val="000000" w:themeColor="text1"/>
        </w:rPr>
        <w:t xml:space="preserve"> </w:t>
      </w:r>
      <w:r w:rsidR="00DF7087" w:rsidRPr="00886CF5">
        <w:rPr>
          <w:color w:val="000000" w:themeColor="text1"/>
          <w:u w:val="single"/>
        </w:rPr>
        <w:t>Second</w:t>
      </w:r>
      <w:r w:rsidR="00C67989" w:rsidRPr="00251E00">
        <w:rPr>
          <w:color w:val="000000" w:themeColor="text1"/>
        </w:rPr>
        <w:t>,</w:t>
      </w:r>
      <w:r w:rsidR="00C67989" w:rsidRPr="00251E00">
        <w:rPr>
          <w:b/>
          <w:bCs/>
          <w:color w:val="000000" w:themeColor="text1"/>
        </w:rPr>
        <w:t xml:space="preserve"> </w:t>
      </w:r>
      <w:r w:rsidR="00C67989" w:rsidRPr="00251E00">
        <w:t>o</w:t>
      </w:r>
      <w:r w:rsidR="00DE243E" w:rsidRPr="00251E00">
        <w:t xml:space="preserve">ur results </w:t>
      </w:r>
      <w:r w:rsidR="001A6CC4" w:rsidRPr="00251E00">
        <w:t xml:space="preserve">also </w:t>
      </w:r>
      <w:r w:rsidR="00DE243E" w:rsidRPr="00251E00">
        <w:t xml:space="preserve">provide important insights regarding the characteristics of employees </w:t>
      </w:r>
      <w:r w:rsidR="00B219FD" w:rsidRPr="00251E00">
        <w:t>who</w:t>
      </w:r>
      <w:r w:rsidR="00972B17" w:rsidRPr="00251E00">
        <w:t xml:space="preserve"> </w:t>
      </w:r>
      <w:r w:rsidR="00DE243E" w:rsidRPr="00251E00">
        <w:t>experience telework consonance</w:t>
      </w:r>
      <w:r w:rsidR="00C67989" w:rsidRPr="00251E00">
        <w:t>, which e</w:t>
      </w:r>
      <w:r w:rsidR="00DE243E" w:rsidRPr="00251E00">
        <w:t xml:space="preserve">mployers should find useful </w:t>
      </w:r>
      <w:r w:rsidR="001A6CC4" w:rsidRPr="00251E00">
        <w:t xml:space="preserve">in their </w:t>
      </w:r>
      <w:r w:rsidR="00D63C31">
        <w:t xml:space="preserve">recruitment and work arrangement </w:t>
      </w:r>
      <w:r w:rsidR="001A6CC4" w:rsidRPr="00251E00">
        <w:t>practices</w:t>
      </w:r>
      <w:r w:rsidR="00C67989" w:rsidRPr="00251E00">
        <w:t xml:space="preserve">. </w:t>
      </w:r>
      <w:r w:rsidR="00BB330A">
        <w:t xml:space="preserve">This is particularly so since it is in the best interests of employers not only on recruiting the best talent, but also retaining that talent. </w:t>
      </w:r>
      <w:r w:rsidR="00D63C31">
        <w:t>For example, medium-sized employers may want to recognize that there appears to be quite substantial telework dissonance among their employees, and may offer more opportunities for telework through a “rotating office” policy. Similarly, young adults (18-24 years) and those in the middle ages (30-39) appear to have the most disconnect between their preferred and existing telework arrangements. While age-related recruitment would run afoul of legal recruitment practices (that is, would constitute a form of discrimination that is</w:t>
      </w:r>
      <w:r w:rsidR="00F04997">
        <w:t xml:space="preserve">, appropriately so, </w:t>
      </w:r>
      <w:r w:rsidR="00D63C31">
        <w:t xml:space="preserve">disallowed), once recruited, employers may be able to bring all employees together as a group to develop overall work arrangements that may </w:t>
      </w:r>
      <w:r w:rsidR="00F04997">
        <w:t xml:space="preserve">keep </w:t>
      </w:r>
      <w:r w:rsidR="00D63C31">
        <w:t xml:space="preserve">each employee </w:t>
      </w:r>
      <w:r w:rsidR="00F04997">
        <w:t xml:space="preserve">relatively happy </w:t>
      </w:r>
      <w:r w:rsidR="00D63C31">
        <w:t xml:space="preserve">as well as collectively serve the purpose of the employment. In particular, the oldest group of employees </w:t>
      </w:r>
      <w:r w:rsidR="009D6178">
        <w:t>can</w:t>
      </w:r>
      <w:r w:rsidR="00F04997">
        <w:t xml:space="preserve"> be motivated to come into the office more often</w:t>
      </w:r>
      <w:r w:rsidR="009D6178">
        <w:t xml:space="preserve"> by</w:t>
      </w:r>
      <w:r w:rsidR="00F04997">
        <w:t xml:space="preserve"> appealing to the importance of their mentoring ability, while the middle-aged employees may be afforded more telework flexibility. </w:t>
      </w:r>
      <w:r w:rsidR="00DF7087" w:rsidRPr="00CF0E6D">
        <w:rPr>
          <w:u w:val="single"/>
        </w:rPr>
        <w:t>Third</w:t>
      </w:r>
      <w:r w:rsidR="00DF7087" w:rsidRPr="00360236">
        <w:t>,</w:t>
      </w:r>
      <w:r w:rsidR="00C67989" w:rsidRPr="00251E00">
        <w:t xml:space="preserve"> </w:t>
      </w:r>
      <w:r w:rsidR="00F54A83" w:rsidRPr="00251E00">
        <w:t>employees</w:t>
      </w:r>
      <w:r w:rsidR="00C67989" w:rsidRPr="00251E00">
        <w:t xml:space="preserve"> in the medical profession have the highest dissonance intensity of all occupations. </w:t>
      </w:r>
      <w:r w:rsidR="00C67989" w:rsidRPr="00251E00">
        <w:rPr>
          <w:color w:val="000000" w:themeColor="text1"/>
        </w:rPr>
        <w:t xml:space="preserve">Employers should be aware that these are the individuals who </w:t>
      </w:r>
      <w:r w:rsidR="00F54A83" w:rsidRPr="00251E00">
        <w:rPr>
          <w:color w:val="000000" w:themeColor="text1"/>
        </w:rPr>
        <w:t>will</w:t>
      </w:r>
      <w:r w:rsidR="00C67989" w:rsidRPr="00251E00">
        <w:rPr>
          <w:color w:val="000000" w:themeColor="text1"/>
        </w:rPr>
        <w:t xml:space="preserve"> experience stress and job dissatisfaction as a result of their work situation. The extreme pandemic-induced workload, coupled with the realization that telemedicine constitutes an effective alternative for delivering medical care (at least in some instances), </w:t>
      </w:r>
      <w:r w:rsidR="00C67989" w:rsidRPr="00251E00">
        <w:rPr>
          <w:bCs/>
        </w:rPr>
        <w:t>may be fueling a desire for more telework among medical workers (</w:t>
      </w:r>
      <w:proofErr w:type="spellStart"/>
      <w:r w:rsidR="00C67989" w:rsidRPr="00251E00">
        <w:t>Wosik</w:t>
      </w:r>
      <w:proofErr w:type="spellEnd"/>
      <w:r w:rsidR="00C67989" w:rsidRPr="00251E00">
        <w:t xml:space="preserve"> et al., 2020</w:t>
      </w:r>
      <w:r w:rsidR="00C67989" w:rsidRPr="00251E00">
        <w:rPr>
          <w:bCs/>
        </w:rPr>
        <w:t xml:space="preserve">). Employers in the medical profession, and more broadly across all occupation sectors, can enhance support for workers in these frontline occupations by increasing the use of remote communication systems to accomplish tasks. </w:t>
      </w:r>
      <w:r w:rsidR="00DF7087">
        <w:rPr>
          <w:bCs/>
          <w:u w:val="single"/>
        </w:rPr>
        <w:t>Fourth</w:t>
      </w:r>
      <w:r w:rsidR="00D437AE" w:rsidRPr="00251E00">
        <w:rPr>
          <w:bCs/>
        </w:rPr>
        <w:t xml:space="preserve">, from a travel demand standpoint, the impacts of telework on commute vehicle miles of travel (VMT) and non-work VMT has been of substantial interest for decades (see Asmussen et al., 2023 for a recent and detailed review of this literature). Teleworkers are associated with longer commute distances, live in more remote residential locations, and also </w:t>
      </w:r>
      <w:r w:rsidR="00DE243E" w:rsidRPr="00251E00">
        <w:t xml:space="preserve">have more VMT for non-work trips compared to non-teleworkers (Zhu and Mason, 2014). </w:t>
      </w:r>
      <w:r w:rsidR="00D437AE" w:rsidRPr="00251E00">
        <w:t>On the last point, s</w:t>
      </w:r>
      <w:r w:rsidR="00DE243E" w:rsidRPr="00251E00">
        <w:t>tudies</w:t>
      </w:r>
      <w:r w:rsidR="00D437AE" w:rsidRPr="00251E00">
        <w:t xml:space="preserve"> investigating travel demand in the aftermath of the </w:t>
      </w:r>
      <w:r w:rsidR="00DE243E" w:rsidRPr="00251E00">
        <w:t xml:space="preserve">pandemic </w:t>
      </w:r>
      <w:r w:rsidR="00F54A83" w:rsidRPr="00251E00">
        <w:t xml:space="preserve">have </w:t>
      </w:r>
      <w:r w:rsidR="00DE243E" w:rsidRPr="00251E00">
        <w:t xml:space="preserve">found that the </w:t>
      </w:r>
      <w:r w:rsidR="00DE243E" w:rsidRPr="00251E00">
        <w:rPr>
          <w:color w:val="000000"/>
        </w:rPr>
        <w:t>number of non-work trips gradually increased as the pandemic evolved</w:t>
      </w:r>
      <w:r w:rsidR="00D437AE" w:rsidRPr="00251E00">
        <w:rPr>
          <w:color w:val="000000"/>
        </w:rPr>
        <w:t xml:space="preserve"> (</w:t>
      </w:r>
      <w:r w:rsidR="00F01655" w:rsidRPr="00251E00">
        <w:rPr>
          <w:color w:val="000000"/>
        </w:rPr>
        <w:t>McNally et al., 2023 and Yang and Lewis, 2023</w:t>
      </w:r>
      <w:r w:rsidR="00D437AE" w:rsidRPr="00251E00">
        <w:rPr>
          <w:color w:val="000000"/>
        </w:rPr>
        <w:t>)</w:t>
      </w:r>
      <w:r w:rsidR="00DE243E" w:rsidRPr="00251E00">
        <w:rPr>
          <w:color w:val="000000"/>
        </w:rPr>
        <w:t xml:space="preserve">. Meanwhile, the number of non-work trips linked to work trips </w:t>
      </w:r>
      <w:r w:rsidR="00DA2F2D" w:rsidRPr="00251E00">
        <w:rPr>
          <w:color w:val="000000"/>
        </w:rPr>
        <w:t>decreased</w:t>
      </w:r>
      <w:r w:rsidR="00DE243E" w:rsidRPr="00251E00">
        <w:rPr>
          <w:color w:val="000000"/>
        </w:rPr>
        <w:t xml:space="preserve">. </w:t>
      </w:r>
      <w:r w:rsidR="00E125D8" w:rsidRPr="00251E00">
        <w:rPr>
          <w:color w:val="000000"/>
        </w:rPr>
        <w:t>Also, t</w:t>
      </w:r>
      <w:r w:rsidR="00D437AE" w:rsidRPr="00251E00">
        <w:rPr>
          <w:color w:val="000000"/>
        </w:rPr>
        <w:t xml:space="preserve">he </w:t>
      </w:r>
      <w:r w:rsidR="00DE243E" w:rsidRPr="00251E00">
        <w:rPr>
          <w:color w:val="000000"/>
        </w:rPr>
        <w:t xml:space="preserve">fewer work trips during the pandemic </w:t>
      </w:r>
      <w:r w:rsidR="00D437AE" w:rsidRPr="00251E00">
        <w:rPr>
          <w:color w:val="000000"/>
        </w:rPr>
        <w:t xml:space="preserve">resulted in </w:t>
      </w:r>
      <w:r w:rsidR="00DE243E" w:rsidRPr="00251E00">
        <w:rPr>
          <w:color w:val="000000"/>
        </w:rPr>
        <w:t xml:space="preserve">a reduction in peak </w:t>
      </w:r>
      <w:r w:rsidR="00D437AE" w:rsidRPr="00251E00">
        <w:rPr>
          <w:color w:val="000000"/>
        </w:rPr>
        <w:t xml:space="preserve">period </w:t>
      </w:r>
      <w:r w:rsidR="00DE243E" w:rsidRPr="00251E00">
        <w:rPr>
          <w:color w:val="000000"/>
        </w:rPr>
        <w:t>traffic, especially in the morning peak hours (Rafiq et al., 2022). In general, we know that the pandemic altered individuals</w:t>
      </w:r>
      <w:r w:rsidR="007C1B88">
        <w:rPr>
          <w:color w:val="000000"/>
        </w:rPr>
        <w:t>’</w:t>
      </w:r>
      <w:r w:rsidR="00DE243E" w:rsidRPr="00251E00">
        <w:rPr>
          <w:color w:val="000000"/>
        </w:rPr>
        <w:t xml:space="preserve"> travel behavior</w:t>
      </w:r>
      <w:r w:rsidR="007C1B88">
        <w:rPr>
          <w:color w:val="000000"/>
        </w:rPr>
        <w:t>s</w:t>
      </w:r>
      <w:r w:rsidR="00DE243E" w:rsidRPr="00251E00">
        <w:rPr>
          <w:color w:val="000000"/>
        </w:rPr>
        <w:t xml:space="preserve"> and patterns. </w:t>
      </w:r>
      <w:bookmarkStart w:id="22" w:name="_Hlk143263566"/>
      <w:r w:rsidR="007C1B88">
        <w:rPr>
          <w:color w:val="000000"/>
        </w:rPr>
        <w:t>Thus, u</w:t>
      </w:r>
      <w:r w:rsidR="00AE181A" w:rsidRPr="00AE181A">
        <w:rPr>
          <w:color w:val="000000"/>
        </w:rPr>
        <w:t>nderstanding telework dissonance and addressing that dissonance can not only be beneficial to work productivity, but also can enhance our ability to plan transportation policies and strategies for efficient and sustainable mobility management</w:t>
      </w:r>
      <w:r w:rsidR="00AE181A">
        <w:rPr>
          <w:color w:val="000000"/>
        </w:rPr>
        <w:t>.</w:t>
      </w:r>
      <w:r w:rsidR="007C1B88">
        <w:rPr>
          <w:color w:val="000000"/>
        </w:rPr>
        <w:t xml:space="preserve"> </w:t>
      </w:r>
      <w:bookmarkEnd w:id="22"/>
      <w:r w:rsidR="007C1B88">
        <w:rPr>
          <w:color w:val="000000"/>
        </w:rPr>
        <w:t>In particular</w:t>
      </w:r>
      <w:r w:rsidR="00DE243E" w:rsidRPr="00251E00">
        <w:rPr>
          <w:color w:val="000000"/>
        </w:rPr>
        <w:t xml:space="preserve">, </w:t>
      </w:r>
      <w:r w:rsidR="00F54A83" w:rsidRPr="00251E00">
        <w:rPr>
          <w:color w:val="000000"/>
        </w:rPr>
        <w:t xml:space="preserve">it is of interest to </w:t>
      </w:r>
      <w:r w:rsidR="00DE243E" w:rsidRPr="00251E00">
        <w:rPr>
          <w:color w:val="000000"/>
        </w:rPr>
        <w:t>investigat</w:t>
      </w:r>
      <w:r w:rsidR="00F54A83" w:rsidRPr="00251E00">
        <w:rPr>
          <w:color w:val="000000"/>
        </w:rPr>
        <w:t>e</w:t>
      </w:r>
      <w:r w:rsidR="00DE243E" w:rsidRPr="00251E00">
        <w:rPr>
          <w:color w:val="000000"/>
        </w:rPr>
        <w:t xml:space="preserve"> the </w:t>
      </w:r>
      <w:r w:rsidR="00E125D8" w:rsidRPr="00251E00">
        <w:rPr>
          <w:color w:val="000000"/>
        </w:rPr>
        <w:t xml:space="preserve">intensity of </w:t>
      </w:r>
      <w:r w:rsidR="00DE243E" w:rsidRPr="00251E00">
        <w:t xml:space="preserve">VMT </w:t>
      </w:r>
      <w:r w:rsidR="00E125D8" w:rsidRPr="00251E00">
        <w:t xml:space="preserve">changes for work and non-work, as well as peak period traffic flow changes, </w:t>
      </w:r>
      <w:r w:rsidR="00DE243E" w:rsidRPr="00251E00">
        <w:t xml:space="preserve">that </w:t>
      </w:r>
      <w:r w:rsidR="00E125D8" w:rsidRPr="00251E00">
        <w:t>w</w:t>
      </w:r>
      <w:r w:rsidR="00DE243E" w:rsidRPr="00251E00">
        <w:t xml:space="preserve">ould accrue if employment policies </w:t>
      </w:r>
      <w:r w:rsidR="00DA2F2D" w:rsidRPr="00251E00">
        <w:t>enabled</w:t>
      </w:r>
      <w:r w:rsidR="00DE243E" w:rsidRPr="00251E00">
        <w:t xml:space="preserve"> employees to pursue their ITF state</w:t>
      </w:r>
      <w:r w:rsidR="00F54A83" w:rsidRPr="00251E00">
        <w:t>.</w:t>
      </w:r>
      <w:r w:rsidR="00DE243E" w:rsidRPr="00251E00">
        <w:rPr>
          <w:color w:val="000000"/>
        </w:rPr>
        <w:t xml:space="preserve"> </w:t>
      </w:r>
      <w:r w:rsidR="00F54A83" w:rsidRPr="00251E00">
        <w:rPr>
          <w:color w:val="000000"/>
        </w:rPr>
        <w:t xml:space="preserve">Such an effort, which we leave for future studies, should provide useful insights </w:t>
      </w:r>
      <w:r w:rsidR="00E125D8" w:rsidRPr="00251E00">
        <w:rPr>
          <w:color w:val="000000"/>
        </w:rPr>
        <w:t xml:space="preserve">at the </w:t>
      </w:r>
      <w:r w:rsidR="00E125D8" w:rsidRPr="00251E00">
        <w:rPr>
          <w:color w:val="000000"/>
        </w:rPr>
        <w:lastRenderedPageBreak/>
        <w:t xml:space="preserve">interface of societal quality of life, mental wellness, and </w:t>
      </w:r>
      <w:r w:rsidR="00DA2F2D" w:rsidRPr="00251E00">
        <w:rPr>
          <w:color w:val="000000"/>
        </w:rPr>
        <w:t xml:space="preserve">travel demand management </w:t>
      </w:r>
      <w:r w:rsidR="00DE243E" w:rsidRPr="00251E00">
        <w:rPr>
          <w:color w:val="000000"/>
        </w:rPr>
        <w:t>and land</w:t>
      </w:r>
      <w:r w:rsidR="00DA2F2D" w:rsidRPr="00251E00">
        <w:rPr>
          <w:color w:val="000000"/>
        </w:rPr>
        <w:t xml:space="preserve"> </w:t>
      </w:r>
      <w:r w:rsidR="00DE243E" w:rsidRPr="00251E00">
        <w:rPr>
          <w:color w:val="000000"/>
        </w:rPr>
        <w:t>use policies.</w:t>
      </w:r>
      <w:r w:rsidR="00E125D8" w:rsidRPr="00251E00">
        <w:rPr>
          <w:color w:val="000000"/>
        </w:rPr>
        <w:t xml:space="preserve"> </w:t>
      </w:r>
    </w:p>
    <w:p w14:paraId="50E17BE1" w14:textId="0A202F92" w:rsidR="00CE44BC" w:rsidRPr="00251E00" w:rsidRDefault="00CE44BC" w:rsidP="00B562CE">
      <w:pPr>
        <w:jc w:val="both"/>
      </w:pPr>
    </w:p>
    <w:p w14:paraId="48198A24" w14:textId="751FA8F1" w:rsidR="00DE243E" w:rsidRPr="00251E00" w:rsidRDefault="00DE243E" w:rsidP="00DE243E">
      <w:pPr>
        <w:pStyle w:val="Heading1"/>
        <w:spacing w:before="0"/>
        <w:rPr>
          <w:rFonts w:ascii="Times New Roman" w:hAnsi="Times New Roman" w:cs="Times New Roman"/>
          <w:b/>
          <w:bCs/>
          <w:color w:val="000000" w:themeColor="text1"/>
          <w:sz w:val="24"/>
          <w:szCs w:val="24"/>
        </w:rPr>
      </w:pPr>
      <w:r w:rsidRPr="00251E00">
        <w:rPr>
          <w:rFonts w:ascii="Times New Roman" w:hAnsi="Times New Roman" w:cs="Times New Roman"/>
          <w:b/>
          <w:bCs/>
          <w:color w:val="000000" w:themeColor="text1"/>
          <w:sz w:val="24"/>
          <w:szCs w:val="24"/>
        </w:rPr>
        <w:t>6.</w:t>
      </w:r>
      <w:r w:rsidR="00B562CE" w:rsidRPr="00251E00">
        <w:rPr>
          <w:rFonts w:ascii="Times New Roman" w:hAnsi="Times New Roman" w:cs="Times New Roman"/>
          <w:b/>
          <w:bCs/>
          <w:color w:val="000000" w:themeColor="text1"/>
          <w:sz w:val="24"/>
          <w:szCs w:val="24"/>
        </w:rPr>
        <w:t xml:space="preserve">  </w:t>
      </w:r>
      <w:r w:rsidRPr="00251E00">
        <w:rPr>
          <w:rFonts w:ascii="Times New Roman" w:hAnsi="Times New Roman" w:cs="Times New Roman"/>
          <w:b/>
          <w:bCs/>
          <w:color w:val="000000" w:themeColor="text1"/>
          <w:sz w:val="24"/>
          <w:szCs w:val="24"/>
        </w:rPr>
        <w:t>CONCLUSIONS</w:t>
      </w:r>
    </w:p>
    <w:p w14:paraId="500DE8A3" w14:textId="52A48A1F" w:rsidR="00DE243E" w:rsidRPr="00251E00" w:rsidRDefault="00DE243E" w:rsidP="00FA35FC">
      <w:pPr>
        <w:jc w:val="both"/>
        <w:rPr>
          <w:shd w:val="clear" w:color="auto" w:fill="FFFFFF"/>
        </w:rPr>
      </w:pPr>
      <w:r w:rsidRPr="00251E00">
        <w:rPr>
          <w:color w:val="000000" w:themeColor="text1"/>
        </w:rPr>
        <w:t xml:space="preserve">In this paper, we have examined the COVID-19 induced </w:t>
      </w:r>
      <w:r w:rsidR="0054714B" w:rsidRPr="00251E00">
        <w:rPr>
          <w:color w:val="000000" w:themeColor="text1"/>
        </w:rPr>
        <w:t>telework frequency dissonance (TFD)</w:t>
      </w:r>
      <w:r w:rsidRPr="00251E00">
        <w:rPr>
          <w:color w:val="000000" w:themeColor="text1"/>
        </w:rPr>
        <w:t xml:space="preserve"> of workers by investigating workers' </w:t>
      </w:r>
      <w:r w:rsidR="0054714B" w:rsidRPr="00251E00">
        <w:rPr>
          <w:color w:val="000000" w:themeColor="text1"/>
        </w:rPr>
        <w:t>existing telework frequency (ETF) versus their ideal telework frequency (</w:t>
      </w:r>
      <w:r w:rsidRPr="00251E00">
        <w:rPr>
          <w:color w:val="000000" w:themeColor="text1"/>
        </w:rPr>
        <w:t>ITF</w:t>
      </w:r>
      <w:r w:rsidR="0054714B" w:rsidRPr="00251E00">
        <w:rPr>
          <w:color w:val="000000" w:themeColor="text1"/>
        </w:rPr>
        <w:t>)</w:t>
      </w:r>
      <w:r w:rsidRPr="00251E00">
        <w:rPr>
          <w:color w:val="000000" w:themeColor="text1"/>
        </w:rPr>
        <w:t>.</w:t>
      </w:r>
      <w:r w:rsidR="0054714B" w:rsidRPr="00251E00">
        <w:rPr>
          <w:color w:val="000000" w:themeColor="text1"/>
        </w:rPr>
        <w:t xml:space="preserve"> Our approach is grounded within </w:t>
      </w:r>
      <w:r w:rsidRPr="00251E00">
        <w:rPr>
          <w:color w:val="000000" w:themeColor="text1"/>
        </w:rPr>
        <w:t xml:space="preserve">Festinger’s influential social psychology theory on cognitive dissonance. This theory is used to explain </w:t>
      </w:r>
      <w:r w:rsidRPr="00251E00">
        <w:t xml:space="preserve">the potential disconnect between the existing telework arrangements of employees (as influenced, in large part, by employer preferences/requirements) and what employees would prefer if the choice were totally up to them. </w:t>
      </w:r>
      <w:r w:rsidRPr="00251E00">
        <w:rPr>
          <w:color w:val="000000" w:themeColor="text1"/>
        </w:rPr>
        <w:t xml:space="preserve">The study employed a </w:t>
      </w:r>
      <w:r w:rsidR="00AD7AAB" w:rsidRPr="00251E00">
        <w:rPr>
          <w:color w:val="000000" w:themeColor="text1"/>
        </w:rPr>
        <w:t xml:space="preserve">bivariate ordered response </w:t>
      </w:r>
      <w:proofErr w:type="spellStart"/>
      <w:r w:rsidR="00AD7AAB" w:rsidRPr="00251E00">
        <w:rPr>
          <w:color w:val="000000" w:themeColor="text1"/>
        </w:rPr>
        <w:t>probit</w:t>
      </w:r>
      <w:proofErr w:type="spellEnd"/>
      <w:r w:rsidR="00AD7AAB" w:rsidRPr="00251E00">
        <w:rPr>
          <w:color w:val="000000" w:themeColor="text1"/>
        </w:rPr>
        <w:t xml:space="preserve"> (</w:t>
      </w:r>
      <w:r w:rsidRPr="00251E00">
        <w:rPr>
          <w:color w:val="000000" w:themeColor="text1"/>
        </w:rPr>
        <w:t>BORP</w:t>
      </w:r>
      <w:r w:rsidR="00AD7AAB" w:rsidRPr="00251E00">
        <w:rPr>
          <w:color w:val="000000" w:themeColor="text1"/>
        </w:rPr>
        <w:t>)</w:t>
      </w:r>
      <w:r w:rsidRPr="00251E00">
        <w:rPr>
          <w:color w:val="000000" w:themeColor="text1"/>
        </w:rPr>
        <w:t xml:space="preserve"> system to jointly model an individual’s ETF and ITF</w:t>
      </w:r>
      <w:r w:rsidR="00E125D8" w:rsidRPr="00251E00">
        <w:rPr>
          <w:color w:val="000000" w:themeColor="text1"/>
        </w:rPr>
        <w:t>,</w:t>
      </w:r>
      <w:r w:rsidRPr="00251E00">
        <w:rPr>
          <w:color w:val="000000" w:themeColor="text1"/>
        </w:rPr>
        <w:t xml:space="preserve"> while </w:t>
      </w:r>
      <w:r w:rsidR="00E125D8" w:rsidRPr="00251E00">
        <w:rPr>
          <w:color w:val="000000" w:themeColor="text1"/>
        </w:rPr>
        <w:t xml:space="preserve">also </w:t>
      </w:r>
      <w:r w:rsidRPr="00251E00">
        <w:rPr>
          <w:color w:val="000000" w:themeColor="text1"/>
        </w:rPr>
        <w:t xml:space="preserve">recognizing that unobserved individual factors that elevate </w:t>
      </w:r>
      <w:r w:rsidRPr="00251E00">
        <w:t>ETF may also lead to the individual planning to telework more in their ideal choice situation.</w:t>
      </w:r>
      <w:r w:rsidRPr="00251E00">
        <w:rPr>
          <w:color w:val="000000" w:themeColor="text1"/>
        </w:rPr>
        <w:t xml:space="preserve"> </w:t>
      </w:r>
      <w:r w:rsidRPr="00251E00">
        <w:rPr>
          <w:color w:val="000000"/>
        </w:rPr>
        <w:t>A novel and elegant heterogeneous thresholding mechanism, which we have not seen proposed in the econometric literature, is employed within the context of the BORP system to (a) recognize that many individuals may in fact be in consonance (ITF=ETF), (b) identify individual</w:t>
      </w:r>
      <w:r w:rsidR="00FA6CCC" w:rsidRPr="00251E00">
        <w:rPr>
          <w:color w:val="000000"/>
        </w:rPr>
        <w:t xml:space="preserve"> groups that</w:t>
      </w:r>
      <w:r w:rsidRPr="00251E00">
        <w:rPr>
          <w:color w:val="000000"/>
        </w:rPr>
        <w:t xml:space="preserve"> are likely to be </w:t>
      </w:r>
      <w:r w:rsidR="00FA6CCC" w:rsidRPr="00251E00">
        <w:rPr>
          <w:color w:val="000000"/>
        </w:rPr>
        <w:t xml:space="preserve">more in consonance than other groups, </w:t>
      </w:r>
      <w:r w:rsidRPr="00251E00">
        <w:rPr>
          <w:color w:val="000000"/>
        </w:rPr>
        <w:t>and the teleworking frequency level at which their consonance exists</w:t>
      </w:r>
      <w:r w:rsidR="00FA6CCC" w:rsidRPr="00251E00">
        <w:rPr>
          <w:color w:val="000000"/>
        </w:rPr>
        <w:t>, and (c) identify groups particularly likely to be in state of dissonance and the intensity of the dissonance</w:t>
      </w:r>
      <w:r w:rsidRPr="00251E00">
        <w:rPr>
          <w:color w:val="000000"/>
        </w:rPr>
        <w:t xml:space="preserve">. </w:t>
      </w:r>
      <w:r w:rsidRPr="00251E00">
        <w:rPr>
          <w:color w:val="000000" w:themeColor="text1"/>
        </w:rPr>
        <w:t xml:space="preserve">The data used for the analysis is </w:t>
      </w:r>
      <w:r w:rsidR="00AD7AAB" w:rsidRPr="00251E00">
        <w:rPr>
          <w:color w:val="000000" w:themeColor="text1"/>
        </w:rPr>
        <w:t>derived from</w:t>
      </w:r>
      <w:r w:rsidRPr="00251E00">
        <w:rPr>
          <w:color w:val="000000" w:themeColor="text1"/>
        </w:rPr>
        <w:t xml:space="preserve"> the COVID Future Panel Survey Wave </w:t>
      </w:r>
      <w:r w:rsidR="00E125D8" w:rsidRPr="00251E00">
        <w:rPr>
          <w:color w:val="000000" w:themeColor="text1"/>
        </w:rPr>
        <w:t xml:space="preserve">3, </w:t>
      </w:r>
      <w:r w:rsidRPr="00251E00">
        <w:rPr>
          <w:color w:val="000000" w:themeColor="text1"/>
        </w:rPr>
        <w:t xml:space="preserve">deployed across the United States </w:t>
      </w:r>
      <w:r w:rsidR="00E125D8" w:rsidRPr="00251E00">
        <w:rPr>
          <w:color w:val="000000" w:themeColor="text1"/>
        </w:rPr>
        <w:t>in</w:t>
      </w:r>
      <w:r w:rsidRPr="00251E00">
        <w:rPr>
          <w:color w:val="000000" w:themeColor="text1"/>
        </w:rPr>
        <w:t xml:space="preserve"> October </w:t>
      </w:r>
      <w:r w:rsidR="00E125D8" w:rsidRPr="00251E00">
        <w:rPr>
          <w:color w:val="000000" w:themeColor="text1"/>
        </w:rPr>
        <w:t>and</w:t>
      </w:r>
      <w:r w:rsidRPr="00251E00">
        <w:rPr>
          <w:color w:val="000000" w:themeColor="text1"/>
        </w:rPr>
        <w:t xml:space="preserve"> November of 2021.</w:t>
      </w:r>
      <w:r w:rsidR="00FA35FC" w:rsidRPr="00251E00">
        <w:rPr>
          <w:color w:val="000000" w:themeColor="text1"/>
        </w:rPr>
        <w:t xml:space="preserve"> </w:t>
      </w:r>
      <w:r w:rsidR="00FA35FC" w:rsidRPr="00251E00">
        <w:rPr>
          <w:rStyle w:val="normaltextrun"/>
          <w:rFonts w:eastAsiaTheme="majorEastAsia"/>
          <w:color w:val="000000"/>
          <w:shd w:val="clear" w:color="auto" w:fill="FFFFFF"/>
        </w:rPr>
        <w:t xml:space="preserve">The findings from the study </w:t>
      </w:r>
      <w:r w:rsidR="00DF7087" w:rsidRPr="00CF0E6D">
        <w:rPr>
          <w:rStyle w:val="normaltextrun"/>
          <w:rFonts w:eastAsiaTheme="majorEastAsia"/>
          <w:shd w:val="clear" w:color="auto" w:fill="FFFFFF"/>
        </w:rPr>
        <w:t xml:space="preserve">identify the characteristics of employees experiencing </w:t>
      </w:r>
      <w:r w:rsidR="009D6178" w:rsidRPr="00CF0E6D">
        <w:rPr>
          <w:rStyle w:val="normaltextrun"/>
          <w:rFonts w:eastAsiaTheme="majorEastAsia"/>
          <w:shd w:val="clear" w:color="auto" w:fill="FFFFFF"/>
        </w:rPr>
        <w:t>high</w:t>
      </w:r>
      <w:r w:rsidR="00DF7087" w:rsidRPr="00CF0E6D">
        <w:rPr>
          <w:rStyle w:val="normaltextrun"/>
          <w:rFonts w:eastAsiaTheme="majorEastAsia"/>
          <w:shd w:val="clear" w:color="auto" w:fill="FFFFFF"/>
        </w:rPr>
        <w:t xml:space="preserve"> TFD as well as identifying the segment of employees experiencing consonance </w:t>
      </w:r>
      <w:r w:rsidR="009D6178" w:rsidRPr="00CF0E6D">
        <w:rPr>
          <w:rStyle w:val="normaltextrun"/>
          <w:rFonts w:eastAsiaTheme="majorEastAsia"/>
          <w:shd w:val="clear" w:color="auto" w:fill="FFFFFF"/>
        </w:rPr>
        <w:t>(</w:t>
      </w:r>
      <w:r w:rsidR="00DF7087" w:rsidRPr="00CF0E6D">
        <w:rPr>
          <w:rStyle w:val="normaltextrun"/>
          <w:rFonts w:eastAsiaTheme="majorEastAsia"/>
          <w:shd w:val="clear" w:color="auto" w:fill="FFFFFF"/>
        </w:rPr>
        <w:t>and the telework frequency level at which the consonance exists</w:t>
      </w:r>
      <w:r w:rsidR="009D6178" w:rsidRPr="00CF0E6D">
        <w:rPr>
          <w:rStyle w:val="normaltextrun"/>
          <w:rFonts w:eastAsiaTheme="majorEastAsia"/>
          <w:shd w:val="clear" w:color="auto" w:fill="FFFFFF"/>
        </w:rPr>
        <w:t>)</w:t>
      </w:r>
      <w:r w:rsidR="00DF7087" w:rsidRPr="00CF0E6D">
        <w:rPr>
          <w:rStyle w:val="normaltextrun"/>
          <w:rFonts w:eastAsiaTheme="majorEastAsia"/>
          <w:shd w:val="clear" w:color="auto" w:fill="FFFFFF"/>
        </w:rPr>
        <w:t xml:space="preserve">. These findings should be helpful to employers </w:t>
      </w:r>
      <w:r w:rsidR="002543E9" w:rsidRPr="00CF0E6D">
        <w:rPr>
          <w:rStyle w:val="normaltextrun"/>
          <w:rFonts w:eastAsiaTheme="majorEastAsia"/>
          <w:shd w:val="clear" w:color="auto" w:fill="FFFFFF"/>
        </w:rPr>
        <w:t xml:space="preserve">as they design collective (across all employees) work arrangement practices that serve the purpose of the employment (and even enhance productivity), while affording </w:t>
      </w:r>
      <w:r w:rsidR="009216B2" w:rsidRPr="00CF0E6D">
        <w:rPr>
          <w:rStyle w:val="normaltextrun"/>
          <w:rFonts w:eastAsiaTheme="majorEastAsia"/>
          <w:shd w:val="clear" w:color="auto" w:fill="FFFFFF"/>
        </w:rPr>
        <w:t xml:space="preserve">as good </w:t>
      </w:r>
      <w:r w:rsidR="002543E9" w:rsidRPr="00CF0E6D">
        <w:rPr>
          <w:rStyle w:val="normaltextrun"/>
          <w:rFonts w:eastAsiaTheme="majorEastAsia"/>
          <w:shd w:val="clear" w:color="auto" w:fill="FFFFFF"/>
        </w:rPr>
        <w:t xml:space="preserve">a quality of life </w:t>
      </w:r>
      <w:r w:rsidR="009216B2" w:rsidRPr="00CF0E6D">
        <w:rPr>
          <w:rStyle w:val="normaltextrun"/>
          <w:rFonts w:eastAsiaTheme="majorEastAsia"/>
          <w:shd w:val="clear" w:color="auto" w:fill="FFFFFF"/>
        </w:rPr>
        <w:t xml:space="preserve">as possible </w:t>
      </w:r>
      <w:r w:rsidR="002543E9" w:rsidRPr="00CF0E6D">
        <w:rPr>
          <w:rStyle w:val="normaltextrun"/>
          <w:rFonts w:eastAsiaTheme="majorEastAsia"/>
          <w:shd w:val="clear" w:color="auto" w:fill="FFFFFF"/>
        </w:rPr>
        <w:t xml:space="preserve">for each employee. The important point from our analysis, also supported by some other </w:t>
      </w:r>
      <w:r w:rsidR="002543E9" w:rsidRPr="00BB08CC">
        <w:rPr>
          <w:rStyle w:val="normaltextrun"/>
          <w:rFonts w:eastAsiaTheme="majorEastAsia"/>
          <w:shd w:val="clear" w:color="auto" w:fill="FFFFFF"/>
        </w:rPr>
        <w:t xml:space="preserve">studies (see, for example, Beck and </w:t>
      </w:r>
      <w:proofErr w:type="spellStart"/>
      <w:r w:rsidR="002543E9" w:rsidRPr="00BB08CC">
        <w:rPr>
          <w:rStyle w:val="normaltextrun"/>
          <w:rFonts w:eastAsiaTheme="majorEastAsia"/>
          <w:shd w:val="clear" w:color="auto" w:fill="FFFFFF"/>
        </w:rPr>
        <w:t>Hensher</w:t>
      </w:r>
      <w:proofErr w:type="spellEnd"/>
      <w:r w:rsidR="002543E9" w:rsidRPr="00BB08CC">
        <w:rPr>
          <w:rStyle w:val="normaltextrun"/>
          <w:rFonts w:eastAsiaTheme="majorEastAsia"/>
          <w:shd w:val="clear" w:color="auto" w:fill="FFFFFF"/>
        </w:rPr>
        <w:t>, 2022; Hackne</w:t>
      </w:r>
      <w:r w:rsidR="000D77D9" w:rsidRPr="00BB08CC">
        <w:rPr>
          <w:rStyle w:val="normaltextrun"/>
          <w:rFonts w:eastAsiaTheme="majorEastAsia"/>
          <w:shd w:val="clear" w:color="auto" w:fill="FFFFFF"/>
        </w:rPr>
        <w:t>y</w:t>
      </w:r>
      <w:r w:rsidR="002543E9" w:rsidRPr="00BB08CC">
        <w:rPr>
          <w:rStyle w:val="normaltextrun"/>
          <w:rFonts w:eastAsiaTheme="majorEastAsia"/>
          <w:shd w:val="clear" w:color="auto" w:fill="FFFFFF"/>
        </w:rPr>
        <w:t xml:space="preserve"> et al., 2022; and Vyas and </w:t>
      </w:r>
      <w:proofErr w:type="spellStart"/>
      <w:r w:rsidR="002543E9" w:rsidRPr="00BB08CC">
        <w:rPr>
          <w:rStyle w:val="normaltextrun"/>
          <w:rFonts w:eastAsiaTheme="majorEastAsia"/>
          <w:shd w:val="clear" w:color="auto" w:fill="FFFFFF"/>
        </w:rPr>
        <w:t>Butakhhieo</w:t>
      </w:r>
      <w:proofErr w:type="spellEnd"/>
      <w:r w:rsidR="002543E9" w:rsidRPr="00BB08CC">
        <w:rPr>
          <w:rStyle w:val="normaltextrun"/>
          <w:rFonts w:eastAsiaTheme="majorEastAsia"/>
          <w:shd w:val="clear" w:color="auto" w:fill="FFFFFF"/>
        </w:rPr>
        <w:t>, 2021), is that employers should strive to provide some level of flexibility in work-from-home practices, without strictly mandating specific (and one-shoe-fits-all</w:t>
      </w:r>
      <w:r w:rsidR="002543E9" w:rsidRPr="00CF0E6D">
        <w:rPr>
          <w:rStyle w:val="normaltextrun"/>
          <w:rFonts w:eastAsiaTheme="majorEastAsia"/>
          <w:shd w:val="clear" w:color="auto" w:fill="FFFFFF"/>
        </w:rPr>
        <w:t>) rules. At the same time, the “trick” is to ensure that there is no perception among employees of discriminatory practices</w:t>
      </w:r>
      <w:r w:rsidR="009216B2" w:rsidRPr="00CF0E6D">
        <w:rPr>
          <w:rStyle w:val="normaltextrun"/>
          <w:rFonts w:eastAsiaTheme="majorEastAsia"/>
          <w:shd w:val="clear" w:color="auto" w:fill="FFFFFF"/>
        </w:rPr>
        <w:t>, which underscores the need to make decisions as a collective and with the buy-in of the entire workforce</w:t>
      </w:r>
      <w:r w:rsidR="002543E9" w:rsidRPr="00CF0E6D">
        <w:rPr>
          <w:rStyle w:val="normaltextrun"/>
          <w:rFonts w:eastAsiaTheme="majorEastAsia"/>
          <w:shd w:val="clear" w:color="auto" w:fill="FFFFFF"/>
        </w:rPr>
        <w:t xml:space="preserve">. </w:t>
      </w:r>
      <w:r w:rsidR="00DF7087" w:rsidRPr="00CF0E6D">
        <w:rPr>
          <w:rStyle w:val="normaltextrun"/>
          <w:rFonts w:eastAsiaTheme="majorEastAsia"/>
          <w:shd w:val="clear" w:color="auto" w:fill="FFFFFF"/>
        </w:rPr>
        <w:t>Overall, the findings from this study</w:t>
      </w:r>
      <w:r w:rsidR="00DF7087">
        <w:rPr>
          <w:rStyle w:val="normaltextrun"/>
          <w:rFonts w:eastAsiaTheme="majorEastAsia"/>
          <w:color w:val="FF0000"/>
          <w:shd w:val="clear" w:color="auto" w:fill="FFFFFF"/>
        </w:rPr>
        <w:t xml:space="preserve"> </w:t>
      </w:r>
      <w:r w:rsidR="00FA35FC" w:rsidRPr="00251E00">
        <w:rPr>
          <w:rStyle w:val="normaltextrun"/>
          <w:rFonts w:eastAsiaTheme="majorEastAsia"/>
          <w:color w:val="000000"/>
          <w:shd w:val="clear" w:color="auto" w:fill="FFFFFF"/>
        </w:rPr>
        <w:t>provide important insights regarding how best to balance employee and employer preferences regarding work arrangements. Given the important effects of work arrangements on commute and non-commute travel, the findings from our study should help inform</w:t>
      </w:r>
      <w:r w:rsidR="00FA35FC" w:rsidRPr="00251E00">
        <w:rPr>
          <w:rStyle w:val="normaltextrun"/>
          <w:rFonts w:eastAsiaTheme="majorEastAsia"/>
          <w:shd w:val="clear" w:color="auto" w:fill="FFFFFF"/>
        </w:rPr>
        <w:t xml:space="preserve"> land use and travel models regarding predicting our transportation future.</w:t>
      </w:r>
      <w:r w:rsidR="00FA35FC" w:rsidRPr="00251E00">
        <w:rPr>
          <w:rStyle w:val="eop"/>
          <w:shd w:val="clear" w:color="auto" w:fill="FFFFFF"/>
        </w:rPr>
        <w:t> </w:t>
      </w:r>
    </w:p>
    <w:p w14:paraId="40A2A036" w14:textId="0E5976F8" w:rsidR="00DE243E" w:rsidRPr="00251E00" w:rsidRDefault="00DE243E" w:rsidP="00251E00">
      <w:pPr>
        <w:jc w:val="both"/>
      </w:pPr>
      <w:r w:rsidRPr="00251E00">
        <w:tab/>
      </w:r>
      <w:r w:rsidR="00C6398A" w:rsidRPr="00251E00">
        <w:t>Of course, there are many directions for further research</w:t>
      </w:r>
      <w:r w:rsidRPr="00251E00">
        <w:t xml:space="preserve">. First, </w:t>
      </w:r>
      <w:r w:rsidR="00C6398A" w:rsidRPr="00251E00">
        <w:t xml:space="preserve">our study </w:t>
      </w:r>
      <w:r w:rsidRPr="00251E00">
        <w:t xml:space="preserve">only considered </w:t>
      </w:r>
      <w:r w:rsidR="00C6398A" w:rsidRPr="00251E00">
        <w:t>a single tele</w:t>
      </w:r>
      <w:r w:rsidRPr="00251E00">
        <w:t xml:space="preserve">work </w:t>
      </w:r>
      <w:r w:rsidR="00C6398A" w:rsidRPr="00251E00">
        <w:t xml:space="preserve">location possibility – from home. </w:t>
      </w:r>
      <w:r w:rsidRPr="00251E00">
        <w:t>However, Asmussen et al. (</w:t>
      </w:r>
      <w:r w:rsidR="00620BD0">
        <w:t>2024a</w:t>
      </w:r>
      <w:r w:rsidRPr="00251E00">
        <w:t xml:space="preserve"> and 2023) note the importance </w:t>
      </w:r>
      <w:r w:rsidR="00C6398A" w:rsidRPr="00251E00">
        <w:t xml:space="preserve">today </w:t>
      </w:r>
      <w:r w:rsidRPr="00251E00">
        <w:t xml:space="preserve">of considering a third workplace location </w:t>
      </w:r>
      <w:r w:rsidR="00C6398A" w:rsidRPr="00251E00">
        <w:t xml:space="preserve">for telework </w:t>
      </w:r>
      <w:r w:rsidRPr="00251E00">
        <w:t xml:space="preserve">to </w:t>
      </w:r>
      <w:r w:rsidR="00C6398A" w:rsidRPr="00251E00">
        <w:t xml:space="preserve">obtain a better understanding of telework effects on commute VMT. </w:t>
      </w:r>
      <w:r w:rsidRPr="00251E00">
        <w:t xml:space="preserve">Second, </w:t>
      </w:r>
      <w:r w:rsidR="00C6398A" w:rsidRPr="00251E00">
        <w:t xml:space="preserve">our sample was dominated by individuals who </w:t>
      </w:r>
      <w:r w:rsidRPr="00251E00">
        <w:t xml:space="preserve">experience dissonance </w:t>
      </w:r>
      <w:r w:rsidR="002E18CC" w:rsidRPr="00251E00">
        <w:t>in the direction of</w:t>
      </w:r>
      <w:r w:rsidRPr="00251E00">
        <w:t xml:space="preserve"> </w:t>
      </w:r>
      <w:r w:rsidR="002E18CC" w:rsidRPr="00251E00">
        <w:t xml:space="preserve">preferring </w:t>
      </w:r>
      <w:r w:rsidRPr="00251E00">
        <w:t xml:space="preserve">to telework </w:t>
      </w:r>
      <w:r w:rsidR="00C6398A" w:rsidRPr="00251E00">
        <w:t>more</w:t>
      </w:r>
      <w:r w:rsidRPr="00251E00">
        <w:t xml:space="preserve"> than their ETF</w:t>
      </w:r>
      <w:r w:rsidR="00C6398A" w:rsidRPr="00251E00">
        <w:t>, with only about 3% experiencing dissonance in the opposite direction of preferring to telework less than their ETF</w:t>
      </w:r>
      <w:r w:rsidRPr="00251E00">
        <w:t xml:space="preserve">. Previous surveys suggest that there is a </w:t>
      </w:r>
      <w:r w:rsidR="002E18CC" w:rsidRPr="00251E00">
        <w:t>sizeable</w:t>
      </w:r>
      <w:r w:rsidRPr="00251E00">
        <w:t xml:space="preserve"> segment of employees </w:t>
      </w:r>
      <w:r w:rsidR="00FA3ED5" w:rsidRPr="00251E00">
        <w:t>that is</w:t>
      </w:r>
      <w:r w:rsidRPr="00251E00">
        <w:t xml:space="preserve"> unhappy with certain aspects of telework (</w:t>
      </w:r>
      <w:r w:rsidR="00FA3ED5" w:rsidRPr="00251E00">
        <w:t>e.g.</w:t>
      </w:r>
      <w:r w:rsidRPr="00251E00">
        <w:t xml:space="preserve">, social isolation, greater distractions at home, limited access to resources, blurring of </w:t>
      </w:r>
      <w:r w:rsidR="00FA3ED5" w:rsidRPr="00251E00">
        <w:t xml:space="preserve">the boundary between </w:t>
      </w:r>
      <w:r w:rsidRPr="00251E00">
        <w:t xml:space="preserve">work and personal life, </w:t>
      </w:r>
      <w:r w:rsidR="00F042EA" w:rsidRPr="00251E00">
        <w:t xml:space="preserve">and </w:t>
      </w:r>
      <w:r w:rsidRPr="00251E00">
        <w:t>reduced opportunities for career progression)</w:t>
      </w:r>
      <w:r w:rsidR="00FA3ED5" w:rsidRPr="00251E00">
        <w:t xml:space="preserve">. </w:t>
      </w:r>
      <w:r w:rsidR="00C6398A" w:rsidRPr="00251E00">
        <w:t xml:space="preserve">Future studies with richer data </w:t>
      </w:r>
      <w:r w:rsidR="00C6398A" w:rsidRPr="00251E00">
        <w:lastRenderedPageBreak/>
        <w:t xml:space="preserve">should provide more insights on dissonance going both ways. </w:t>
      </w:r>
      <w:r w:rsidR="00FA3ED5" w:rsidRPr="00251E00">
        <w:t xml:space="preserve"> </w:t>
      </w:r>
      <w:r w:rsidRPr="00251E00">
        <w:t xml:space="preserve">Finally, </w:t>
      </w:r>
      <w:r w:rsidR="00C6398A" w:rsidRPr="00251E00">
        <w:t>i</w:t>
      </w:r>
      <w:r w:rsidRPr="00251E00">
        <w:t xml:space="preserve">t would be beneficial and useful to include </w:t>
      </w:r>
      <w:r w:rsidR="00C6398A" w:rsidRPr="00251E00">
        <w:t xml:space="preserve">psycho-social personality traits and attitudinal factors (such as </w:t>
      </w:r>
      <w:r w:rsidRPr="00251E00">
        <w:t xml:space="preserve">an individual’s green-lifestyle propensity, introverted/extroverted behaviors, productivity levels, </w:t>
      </w:r>
      <w:r w:rsidR="00C6398A" w:rsidRPr="00251E00">
        <w:t xml:space="preserve">and </w:t>
      </w:r>
      <w:r w:rsidRPr="00251E00">
        <w:t xml:space="preserve">technological savviness) that may </w:t>
      </w:r>
      <w:r w:rsidR="00F042EA" w:rsidRPr="00251E00">
        <w:t xml:space="preserve">affect </w:t>
      </w:r>
      <w:r w:rsidRPr="00251E00">
        <w:t>teleworking desire</w:t>
      </w:r>
      <w:r w:rsidR="00F042EA" w:rsidRPr="00251E00">
        <w:t>s</w:t>
      </w:r>
      <w:r w:rsidRPr="00251E00">
        <w:t xml:space="preserve">. </w:t>
      </w:r>
    </w:p>
    <w:p w14:paraId="39E92025" w14:textId="77777777" w:rsidR="00DE243E" w:rsidRPr="00251E00" w:rsidRDefault="00DE243E" w:rsidP="00251E00">
      <w:pPr>
        <w:jc w:val="both"/>
        <w:rPr>
          <w:b/>
          <w:bCs/>
          <w:color w:val="000000" w:themeColor="text1"/>
        </w:rPr>
      </w:pPr>
    </w:p>
    <w:p w14:paraId="06989C35" w14:textId="36D2E0AB" w:rsidR="00876D0A" w:rsidRPr="00251E00" w:rsidRDefault="00876D0A" w:rsidP="00251E00">
      <w:pPr>
        <w:rPr>
          <w:b/>
          <w:bCs/>
          <w:color w:val="000000" w:themeColor="text1"/>
        </w:rPr>
      </w:pPr>
      <w:bookmarkStart w:id="23" w:name="_Hlk168055811"/>
      <w:r w:rsidRPr="00251E00">
        <w:rPr>
          <w:b/>
          <w:bCs/>
          <w:color w:val="000000" w:themeColor="text1"/>
        </w:rPr>
        <w:t>ACKNOWLEDGEMENT</w:t>
      </w:r>
    </w:p>
    <w:p w14:paraId="34BE0B22" w14:textId="0A7B4B68" w:rsidR="00C3742A" w:rsidRPr="00424275" w:rsidRDefault="003E6B73" w:rsidP="00251E00">
      <w:pPr>
        <w:jc w:val="both"/>
      </w:pPr>
      <w:r w:rsidRPr="00407E53">
        <w:t>This research was partially supported by the Center for Understanding the Future of Travel Behavior and Demand (TBD), a National University Transportation Center sponsored by the U</w:t>
      </w:r>
      <w:r>
        <w:t>.</w:t>
      </w:r>
      <w:r w:rsidRPr="00407E53">
        <w:t>S</w:t>
      </w:r>
      <w:r>
        <w:t>.</w:t>
      </w:r>
      <w:r w:rsidRPr="00407E53">
        <w:t xml:space="preserve"> Department of Transportation under grant 69A3552344815 and 69A3552348320</w:t>
      </w:r>
      <w:r>
        <w:t xml:space="preserve">, </w:t>
      </w:r>
      <w:r w:rsidRPr="00407E53">
        <w:t>as well as by the</w:t>
      </w:r>
      <w:r w:rsidR="00424275">
        <w:t xml:space="preserve"> </w:t>
      </w:r>
      <w:r w:rsidR="00424275" w:rsidRPr="00407E53">
        <w:t>Center for Teaching Old Models New Tricks (TOMNET), a Tier 1 University Transportation Center sponsored by the U</w:t>
      </w:r>
      <w:r w:rsidR="00424275">
        <w:t>.</w:t>
      </w:r>
      <w:r w:rsidR="00424275" w:rsidRPr="00407E53">
        <w:t>S</w:t>
      </w:r>
      <w:r w:rsidR="00424275">
        <w:t>.</w:t>
      </w:r>
      <w:r w:rsidR="00424275" w:rsidRPr="00407E53">
        <w:t xml:space="preserve"> Department of Transportation under grant 69A3551747116</w:t>
      </w:r>
      <w:r w:rsidR="00424275">
        <w:t xml:space="preserve">. </w:t>
      </w:r>
      <w:r w:rsidR="003B730B">
        <w:t>The authors are grateful to Lisa Macias for her help in formatting this document.</w:t>
      </w:r>
      <w:r w:rsidR="00C3742A" w:rsidRPr="00F01655">
        <w:t xml:space="preserve"> </w:t>
      </w:r>
      <w:r w:rsidR="00814854">
        <w:t xml:space="preserve">Two anonymous referees provided valuable comments on an earlier version of this paper. </w:t>
      </w:r>
      <w:r w:rsidR="00FC6F1E">
        <w:t xml:space="preserve">Finally, the authors thank </w:t>
      </w:r>
      <w:proofErr w:type="spellStart"/>
      <w:r w:rsidR="00FC6F1E">
        <w:t>Michiel</w:t>
      </w:r>
      <w:proofErr w:type="spellEnd"/>
      <w:r w:rsidR="00FC6F1E">
        <w:t xml:space="preserve"> </w:t>
      </w:r>
      <w:proofErr w:type="spellStart"/>
      <w:r w:rsidR="00FC6F1E">
        <w:t>Bliemer</w:t>
      </w:r>
      <w:proofErr w:type="spellEnd"/>
      <w:r w:rsidR="00424275" w:rsidRPr="00407E53">
        <w:rPr>
          <w:bCs/>
        </w:rPr>
        <w:t xml:space="preserve"> for </w:t>
      </w:r>
      <w:r w:rsidR="00424275">
        <w:rPr>
          <w:bCs/>
        </w:rPr>
        <w:t>his</w:t>
      </w:r>
      <w:r w:rsidR="00424275" w:rsidRPr="00407E53">
        <w:rPr>
          <w:bCs/>
        </w:rPr>
        <w:t xml:space="preserve"> guidance in improving the paper.</w:t>
      </w:r>
      <w:bookmarkEnd w:id="23"/>
    </w:p>
    <w:p w14:paraId="23ABDB98" w14:textId="77777777" w:rsidR="003A6887" w:rsidRPr="003A6887" w:rsidRDefault="003A6887" w:rsidP="003A6887"/>
    <w:p w14:paraId="3F2A05AA" w14:textId="79BDF695" w:rsidR="00876D0A" w:rsidRPr="00251E00" w:rsidRDefault="00876D0A" w:rsidP="00251E00">
      <w:pPr>
        <w:pStyle w:val="Heading2"/>
        <w:spacing w:before="0"/>
        <w:jc w:val="both"/>
        <w:rPr>
          <w:rFonts w:ascii="Times New Roman" w:hAnsi="Times New Roman"/>
          <w:b/>
        </w:rPr>
      </w:pPr>
      <w:r w:rsidRPr="00251E00">
        <w:rPr>
          <w:rFonts w:ascii="Times New Roman" w:hAnsi="Times New Roman" w:cs="Times New Roman"/>
          <w:b/>
          <w:bCs/>
          <w:color w:val="000000" w:themeColor="text1"/>
          <w:sz w:val="24"/>
          <w:szCs w:val="24"/>
        </w:rPr>
        <w:t>REFERENCES</w:t>
      </w:r>
    </w:p>
    <w:p w14:paraId="08B633D5" w14:textId="6AAFDBB8" w:rsidR="00876D0A" w:rsidRPr="009568A7" w:rsidRDefault="00876D0A" w:rsidP="005A1783">
      <w:pPr>
        <w:pStyle w:val="NormalWeb"/>
        <w:spacing w:before="0" w:beforeAutospacing="0" w:after="0" w:afterAutospacing="0"/>
        <w:ind w:left="540" w:hanging="540"/>
        <w:jc w:val="both"/>
      </w:pPr>
      <w:r w:rsidRPr="009568A7">
        <w:t xml:space="preserve">Allen, T. D., Golden, T. D., Shockley, K. M. (2015). How </w:t>
      </w:r>
      <w:r w:rsidR="00AC02B7">
        <w:t>e</w:t>
      </w:r>
      <w:r w:rsidRPr="009568A7">
        <w:t xml:space="preserve">ffective is </w:t>
      </w:r>
      <w:r w:rsidR="00AC02B7">
        <w:t>t</w:t>
      </w:r>
      <w:r w:rsidRPr="009568A7">
        <w:t xml:space="preserve">elecommuting? Assessing the </w:t>
      </w:r>
      <w:r w:rsidR="00AC02B7">
        <w:t>s</w:t>
      </w:r>
      <w:r w:rsidRPr="009568A7">
        <w:t xml:space="preserve">tatus of </w:t>
      </w:r>
      <w:r w:rsidR="00AC02B7">
        <w:t>o</w:t>
      </w:r>
      <w:r w:rsidRPr="009568A7">
        <w:t xml:space="preserve">ur </w:t>
      </w:r>
      <w:r w:rsidR="00AC02B7">
        <w:t>s</w:t>
      </w:r>
      <w:r w:rsidRPr="009568A7">
        <w:t xml:space="preserve">cientific </w:t>
      </w:r>
      <w:r w:rsidR="00AC02B7">
        <w:t>f</w:t>
      </w:r>
      <w:r w:rsidRPr="009568A7">
        <w:t xml:space="preserve">indings. </w:t>
      </w:r>
      <w:r w:rsidRPr="009568A7">
        <w:rPr>
          <w:i/>
          <w:iCs/>
        </w:rPr>
        <w:t>SAGE Journals Psychological Science in the Public Interest</w:t>
      </w:r>
      <w:r w:rsidRPr="009568A7">
        <w:t>,</w:t>
      </w:r>
      <w:r w:rsidRPr="009568A7">
        <w:rPr>
          <w:i/>
          <w:iCs/>
        </w:rPr>
        <w:t xml:space="preserve"> </w:t>
      </w:r>
      <w:r w:rsidRPr="009568A7">
        <w:t>16, 40-68.</w:t>
      </w:r>
    </w:p>
    <w:p w14:paraId="19A25B42" w14:textId="778D086B" w:rsidR="00876D0A" w:rsidRDefault="00876D0A" w:rsidP="005A1783">
      <w:pPr>
        <w:pStyle w:val="NormalWeb"/>
        <w:spacing w:before="0" w:beforeAutospacing="0" w:after="0" w:afterAutospacing="0"/>
        <w:ind w:left="540" w:hanging="540"/>
        <w:jc w:val="both"/>
      </w:pPr>
      <w:proofErr w:type="spellStart"/>
      <w:r w:rsidRPr="009568A7">
        <w:t>Alrawadieh</w:t>
      </w:r>
      <w:proofErr w:type="spellEnd"/>
      <w:r w:rsidRPr="009568A7">
        <w:t xml:space="preserve">, D. D., </w:t>
      </w:r>
      <w:proofErr w:type="spellStart"/>
      <w:r w:rsidRPr="009568A7">
        <w:t>Dincer</w:t>
      </w:r>
      <w:proofErr w:type="spellEnd"/>
      <w:r w:rsidRPr="009568A7">
        <w:t xml:space="preserve">, M. Z. (2021). Emotional </w:t>
      </w:r>
      <w:r w:rsidR="006F205D">
        <w:t>l</w:t>
      </w:r>
      <w:r w:rsidRPr="009568A7">
        <w:t xml:space="preserve">abor, </w:t>
      </w:r>
      <w:r w:rsidR="006F205D">
        <w:t>q</w:t>
      </w:r>
      <w:r w:rsidRPr="009568A7">
        <w:t xml:space="preserve">uality of </w:t>
      </w:r>
      <w:r w:rsidR="006F205D">
        <w:t>w</w:t>
      </w:r>
      <w:r w:rsidRPr="009568A7">
        <w:t xml:space="preserve">ork </w:t>
      </w:r>
      <w:r w:rsidR="006F205D">
        <w:t>l</w:t>
      </w:r>
      <w:r w:rsidRPr="009568A7">
        <w:t xml:space="preserve">ife, and </w:t>
      </w:r>
      <w:r w:rsidR="006F205D">
        <w:t>l</w:t>
      </w:r>
      <w:r w:rsidRPr="009568A7">
        <w:t xml:space="preserve">ife </w:t>
      </w:r>
      <w:r w:rsidR="006F205D">
        <w:t>s</w:t>
      </w:r>
      <w:r w:rsidRPr="009568A7">
        <w:t xml:space="preserve">atisfaction of </w:t>
      </w:r>
      <w:r w:rsidR="006F205D">
        <w:t>t</w:t>
      </w:r>
      <w:r w:rsidRPr="009568A7">
        <w:t xml:space="preserve">our </w:t>
      </w:r>
      <w:r w:rsidR="006F205D">
        <w:t>g</w:t>
      </w:r>
      <w:r w:rsidRPr="009568A7">
        <w:t xml:space="preserve">uides: The </w:t>
      </w:r>
      <w:r w:rsidR="006F205D">
        <w:t>m</w:t>
      </w:r>
      <w:r w:rsidRPr="009568A7">
        <w:t xml:space="preserve">ediating </w:t>
      </w:r>
      <w:r w:rsidR="006F205D">
        <w:t>r</w:t>
      </w:r>
      <w:r w:rsidRPr="009568A7">
        <w:t xml:space="preserve">ole of </w:t>
      </w:r>
      <w:r w:rsidR="006F205D">
        <w:t>b</w:t>
      </w:r>
      <w:r w:rsidRPr="009568A7">
        <w:t xml:space="preserve">urnout. </w:t>
      </w:r>
      <w:r w:rsidRPr="009568A7">
        <w:rPr>
          <w:i/>
          <w:iCs/>
        </w:rPr>
        <w:t>TOLEHO Journal of Tourism, Leisure, and Hospitality</w:t>
      </w:r>
      <w:r w:rsidRPr="009568A7">
        <w:t xml:space="preserve">, 2, 118-128. </w:t>
      </w:r>
    </w:p>
    <w:p w14:paraId="2DE3A858" w14:textId="7888E442" w:rsidR="00D714C2" w:rsidRPr="007C1B88" w:rsidRDefault="00D714C2" w:rsidP="005A1783">
      <w:pPr>
        <w:pStyle w:val="NormalWeb"/>
        <w:spacing w:before="0" w:beforeAutospacing="0" w:after="0" w:afterAutospacing="0"/>
        <w:ind w:left="540" w:hanging="540"/>
        <w:jc w:val="both"/>
        <w:rPr>
          <w:sz w:val="32"/>
          <w:szCs w:val="32"/>
        </w:rPr>
      </w:pPr>
      <w:r w:rsidRPr="007C1B88">
        <w:rPr>
          <w:color w:val="222222"/>
          <w:shd w:val="clear" w:color="auto" w:fill="FFFFFF"/>
        </w:rPr>
        <w:t xml:space="preserve">Andreev, P., Salomon, I., </w:t>
      </w:r>
      <w:proofErr w:type="spellStart"/>
      <w:r w:rsidRPr="007C1B88">
        <w:rPr>
          <w:color w:val="222222"/>
          <w:shd w:val="clear" w:color="auto" w:fill="FFFFFF"/>
        </w:rPr>
        <w:t>Pliskin</w:t>
      </w:r>
      <w:proofErr w:type="spellEnd"/>
      <w:r w:rsidRPr="007C1B88">
        <w:rPr>
          <w:color w:val="222222"/>
          <w:shd w:val="clear" w:color="auto" w:fill="FFFFFF"/>
        </w:rPr>
        <w:t xml:space="preserve">, N. (2010). State of </w:t>
      </w:r>
      <w:proofErr w:type="spellStart"/>
      <w:r w:rsidRPr="007C1B88">
        <w:rPr>
          <w:color w:val="222222"/>
          <w:shd w:val="clear" w:color="auto" w:fill="FFFFFF"/>
        </w:rPr>
        <w:t>teleactivities</w:t>
      </w:r>
      <w:proofErr w:type="spellEnd"/>
      <w:r w:rsidRPr="007C1B88">
        <w:rPr>
          <w:color w:val="222222"/>
          <w:shd w:val="clear" w:color="auto" w:fill="FFFFFF"/>
        </w:rPr>
        <w:t>. </w:t>
      </w:r>
      <w:r w:rsidRPr="007C1B88">
        <w:rPr>
          <w:i/>
          <w:iCs/>
          <w:color w:val="222222"/>
          <w:shd w:val="clear" w:color="auto" w:fill="FFFFFF"/>
        </w:rPr>
        <w:t>Transportation Research Part C</w:t>
      </w:r>
      <w:r w:rsidRPr="007C1B88">
        <w:rPr>
          <w:color w:val="222222"/>
          <w:shd w:val="clear" w:color="auto" w:fill="FFFFFF"/>
        </w:rPr>
        <w:t>, </w:t>
      </w:r>
      <w:r w:rsidRPr="00636FB7">
        <w:rPr>
          <w:color w:val="222222"/>
          <w:shd w:val="clear" w:color="auto" w:fill="FFFFFF"/>
        </w:rPr>
        <w:t>18</w:t>
      </w:r>
      <w:r w:rsidRPr="007C1B88">
        <w:rPr>
          <w:color w:val="222222"/>
          <w:shd w:val="clear" w:color="auto" w:fill="FFFFFF"/>
        </w:rPr>
        <w:t>(1), 3-20.</w:t>
      </w:r>
    </w:p>
    <w:p w14:paraId="1BA478CD" w14:textId="11D7113C" w:rsidR="00876D0A" w:rsidRPr="009568A7" w:rsidRDefault="00876D0A" w:rsidP="006F205D">
      <w:pPr>
        <w:pStyle w:val="NormalWeb"/>
        <w:spacing w:before="0" w:beforeAutospacing="0" w:after="0" w:afterAutospacing="0"/>
        <w:ind w:left="540" w:hanging="540"/>
        <w:jc w:val="both"/>
      </w:pPr>
      <w:r w:rsidRPr="009568A7">
        <w:t>Appel-</w:t>
      </w:r>
      <w:proofErr w:type="spellStart"/>
      <w:r w:rsidRPr="009568A7">
        <w:t>Meulenbroek</w:t>
      </w:r>
      <w:proofErr w:type="spellEnd"/>
      <w:r w:rsidRPr="009568A7">
        <w:t xml:space="preserve">, R., </w:t>
      </w:r>
      <w:proofErr w:type="spellStart"/>
      <w:r w:rsidRPr="009568A7">
        <w:t>Kemperman</w:t>
      </w:r>
      <w:proofErr w:type="spellEnd"/>
      <w:r w:rsidRPr="009568A7">
        <w:t xml:space="preserve">, A., van de Water, A., </w:t>
      </w:r>
      <w:proofErr w:type="spellStart"/>
      <w:r w:rsidRPr="009568A7">
        <w:t>Weijs-Perrée</w:t>
      </w:r>
      <w:proofErr w:type="spellEnd"/>
      <w:r w:rsidRPr="009568A7">
        <w:t xml:space="preserve">, M., </w:t>
      </w:r>
      <w:proofErr w:type="spellStart"/>
      <w:r w:rsidRPr="009568A7">
        <w:t>Verhaegh</w:t>
      </w:r>
      <w:proofErr w:type="spellEnd"/>
      <w:r w:rsidRPr="009568A7">
        <w:t xml:space="preserve">, J. (2022). How to attract employees back to the office? A stated choice study on hybrid working preferences. </w:t>
      </w:r>
      <w:r w:rsidRPr="009568A7">
        <w:rPr>
          <w:i/>
          <w:iCs/>
        </w:rPr>
        <w:t>Journal of Environmental Psychology</w:t>
      </w:r>
      <w:r w:rsidRPr="009568A7">
        <w:t>, 81</w:t>
      </w:r>
      <w:r w:rsidR="006F205D">
        <w:t>, 101784</w:t>
      </w:r>
      <w:r w:rsidRPr="009568A7">
        <w:t>.</w:t>
      </w:r>
      <w:r w:rsidR="00B54E51">
        <w:t xml:space="preserve"> </w:t>
      </w:r>
    </w:p>
    <w:p w14:paraId="7F082FDB" w14:textId="663E0137" w:rsidR="009568A7" w:rsidRDefault="00E751AD" w:rsidP="005A1783">
      <w:pPr>
        <w:pStyle w:val="NormalWeb"/>
        <w:spacing w:before="0" w:beforeAutospacing="0" w:after="0" w:afterAutospacing="0"/>
        <w:ind w:left="540" w:hanging="540"/>
        <w:jc w:val="both"/>
      </w:pPr>
      <w:r w:rsidRPr="009568A7">
        <w:t xml:space="preserve">Aptech (2022). Gauss (21) [Computer Software]. Aptech Systems. </w:t>
      </w:r>
    </w:p>
    <w:p w14:paraId="73C19782" w14:textId="02BCE4B8" w:rsidR="00E840B9" w:rsidRDefault="00E840B9" w:rsidP="005A1783">
      <w:pPr>
        <w:pStyle w:val="NormalWeb"/>
        <w:spacing w:before="0" w:beforeAutospacing="0" w:after="0" w:afterAutospacing="0"/>
        <w:ind w:left="540" w:hanging="540"/>
        <w:jc w:val="both"/>
      </w:pPr>
      <w:proofErr w:type="spellStart"/>
      <w:r w:rsidRPr="00E840B9">
        <w:t>Arntz</w:t>
      </w:r>
      <w:proofErr w:type="spellEnd"/>
      <w:r w:rsidRPr="00E840B9">
        <w:t xml:space="preserve">, M., Ben </w:t>
      </w:r>
      <w:proofErr w:type="spellStart"/>
      <w:r w:rsidRPr="00E840B9">
        <w:t>Yahmed</w:t>
      </w:r>
      <w:proofErr w:type="spellEnd"/>
      <w:r w:rsidRPr="00E840B9">
        <w:t xml:space="preserve">, S., </w:t>
      </w:r>
      <w:proofErr w:type="spellStart"/>
      <w:r w:rsidRPr="00E840B9">
        <w:t>Berlingieri</w:t>
      </w:r>
      <w:proofErr w:type="spellEnd"/>
      <w:r w:rsidRPr="00E840B9">
        <w:t xml:space="preserve">, F. (2020). Working from home and COVID-19: The chances and risks for gender gaps. </w:t>
      </w:r>
      <w:proofErr w:type="spellStart"/>
      <w:r w:rsidRPr="00E840B9">
        <w:rPr>
          <w:i/>
          <w:iCs/>
        </w:rPr>
        <w:t>Intereconomics</w:t>
      </w:r>
      <w:proofErr w:type="spellEnd"/>
      <w:r w:rsidRPr="006F205D">
        <w:t>, 55</w:t>
      </w:r>
      <w:r w:rsidRPr="00E840B9">
        <w:t>, 381-386.</w:t>
      </w:r>
    </w:p>
    <w:p w14:paraId="47478ADF" w14:textId="402BC7BE" w:rsidR="00B36993" w:rsidRPr="009568A7" w:rsidRDefault="00876D0A" w:rsidP="005A1783">
      <w:pPr>
        <w:pStyle w:val="NormalWeb"/>
        <w:spacing w:before="0" w:beforeAutospacing="0" w:after="0" w:afterAutospacing="0"/>
        <w:ind w:left="540" w:hanging="540"/>
        <w:jc w:val="both"/>
      </w:pPr>
      <w:r w:rsidRPr="009568A7">
        <w:t xml:space="preserve">Arriagada, R., Lagos, F., Jaime, M., Salazar, C. (2022). Exploring </w:t>
      </w:r>
      <w:r w:rsidR="006F205D">
        <w:t>c</w:t>
      </w:r>
      <w:r w:rsidRPr="009568A7">
        <w:t xml:space="preserve">onsistency </w:t>
      </w:r>
      <w:r w:rsidR="006F205D">
        <w:t>b</w:t>
      </w:r>
      <w:r w:rsidRPr="009568A7">
        <w:t xml:space="preserve">etween </w:t>
      </w:r>
      <w:r w:rsidR="006F205D">
        <w:t>s</w:t>
      </w:r>
      <w:r w:rsidRPr="009568A7">
        <w:t xml:space="preserve">tated and </w:t>
      </w:r>
      <w:r w:rsidR="006F205D">
        <w:t>r</w:t>
      </w:r>
      <w:r w:rsidRPr="009568A7">
        <w:t xml:space="preserve">evealed </w:t>
      </w:r>
      <w:r w:rsidR="006F205D">
        <w:t>p</w:t>
      </w:r>
      <w:r w:rsidRPr="009568A7">
        <w:t xml:space="preserve">references </w:t>
      </w:r>
      <w:r w:rsidR="006F205D">
        <w:t>f</w:t>
      </w:r>
      <w:r w:rsidRPr="009568A7">
        <w:t xml:space="preserve">or </w:t>
      </w:r>
      <w:r w:rsidR="006F205D">
        <w:t>t</w:t>
      </w:r>
      <w:r w:rsidRPr="009568A7">
        <w:t xml:space="preserve">he </w:t>
      </w:r>
      <w:r w:rsidR="006F205D">
        <w:t>p</w:t>
      </w:r>
      <w:r w:rsidRPr="009568A7">
        <w:t xml:space="preserve">lastic </w:t>
      </w:r>
      <w:r w:rsidR="006F205D">
        <w:t>b</w:t>
      </w:r>
      <w:r w:rsidRPr="009568A7">
        <w:t xml:space="preserve">ag </w:t>
      </w:r>
      <w:r w:rsidR="006F205D">
        <w:t>b</w:t>
      </w:r>
      <w:r w:rsidRPr="009568A7">
        <w:t xml:space="preserve">an </w:t>
      </w:r>
      <w:r w:rsidR="006F205D">
        <w:t>p</w:t>
      </w:r>
      <w:r w:rsidRPr="009568A7">
        <w:t xml:space="preserve">olicy </w:t>
      </w:r>
      <w:r w:rsidR="006F205D">
        <w:t>i</w:t>
      </w:r>
      <w:r w:rsidRPr="009568A7">
        <w:t xml:space="preserve">n Chile. </w:t>
      </w:r>
      <w:r w:rsidRPr="009568A7">
        <w:rPr>
          <w:i/>
          <w:iCs/>
        </w:rPr>
        <w:t>Waste Management</w:t>
      </w:r>
      <w:r w:rsidRPr="009568A7">
        <w:t>, 139, 381-392.</w:t>
      </w:r>
    </w:p>
    <w:p w14:paraId="741F2D81" w14:textId="3E19963F" w:rsidR="004F1E97" w:rsidRPr="009568A7" w:rsidRDefault="004F1E97" w:rsidP="005A1783">
      <w:pPr>
        <w:pStyle w:val="NormalWeb"/>
        <w:spacing w:before="0" w:beforeAutospacing="0" w:after="0" w:afterAutospacing="0"/>
        <w:ind w:left="540" w:hanging="540"/>
        <w:jc w:val="both"/>
      </w:pPr>
      <w:proofErr w:type="spellStart"/>
      <w:r w:rsidRPr="009568A7">
        <w:rPr>
          <w:color w:val="000000" w:themeColor="text1"/>
        </w:rPr>
        <w:t>Asdecker</w:t>
      </w:r>
      <w:proofErr w:type="spellEnd"/>
      <w:r w:rsidRPr="009568A7">
        <w:rPr>
          <w:color w:val="000000" w:themeColor="text1"/>
        </w:rPr>
        <w:t>, B. (2022). Travel-</w:t>
      </w:r>
      <w:r w:rsidR="006F205D">
        <w:rPr>
          <w:color w:val="000000" w:themeColor="text1"/>
        </w:rPr>
        <w:t>r</w:t>
      </w:r>
      <w:r w:rsidRPr="009568A7">
        <w:rPr>
          <w:color w:val="000000" w:themeColor="text1"/>
        </w:rPr>
        <w:t xml:space="preserve">elated </w:t>
      </w:r>
      <w:r w:rsidR="006F205D">
        <w:rPr>
          <w:color w:val="000000" w:themeColor="text1"/>
        </w:rPr>
        <w:t>i</w:t>
      </w:r>
      <w:r w:rsidRPr="009568A7">
        <w:rPr>
          <w:color w:val="000000" w:themeColor="text1"/>
        </w:rPr>
        <w:t xml:space="preserve">nfluencer </w:t>
      </w:r>
      <w:r w:rsidR="006F205D">
        <w:rPr>
          <w:color w:val="000000" w:themeColor="text1"/>
        </w:rPr>
        <w:t>c</w:t>
      </w:r>
      <w:r w:rsidRPr="009568A7">
        <w:rPr>
          <w:color w:val="000000" w:themeColor="text1"/>
        </w:rPr>
        <w:t xml:space="preserve">ontent on Instagram: How </w:t>
      </w:r>
      <w:r w:rsidR="006F205D">
        <w:rPr>
          <w:color w:val="000000" w:themeColor="text1"/>
        </w:rPr>
        <w:t>s</w:t>
      </w:r>
      <w:r w:rsidRPr="009568A7">
        <w:rPr>
          <w:color w:val="000000" w:themeColor="text1"/>
        </w:rPr>
        <w:t xml:space="preserve">ocial </w:t>
      </w:r>
      <w:r w:rsidR="006F205D">
        <w:rPr>
          <w:color w:val="000000" w:themeColor="text1"/>
        </w:rPr>
        <w:t>m</w:t>
      </w:r>
      <w:r w:rsidRPr="009568A7">
        <w:rPr>
          <w:color w:val="000000" w:themeColor="text1"/>
        </w:rPr>
        <w:t xml:space="preserve">edia </w:t>
      </w:r>
      <w:r w:rsidR="006F205D">
        <w:rPr>
          <w:color w:val="000000" w:themeColor="text1"/>
        </w:rPr>
        <w:t>f</w:t>
      </w:r>
      <w:r w:rsidRPr="009568A7">
        <w:rPr>
          <w:color w:val="000000" w:themeColor="text1"/>
        </w:rPr>
        <w:t>uels</w:t>
      </w:r>
      <w:r w:rsidR="00B36993" w:rsidRPr="009568A7">
        <w:t xml:space="preserve"> </w:t>
      </w:r>
      <w:r w:rsidR="006F205D">
        <w:rPr>
          <w:color w:val="000000" w:themeColor="text1"/>
        </w:rPr>
        <w:t>w</w:t>
      </w:r>
      <w:r w:rsidRPr="009568A7">
        <w:rPr>
          <w:color w:val="000000" w:themeColor="text1"/>
        </w:rPr>
        <w:t xml:space="preserve">anderlust and </w:t>
      </w:r>
      <w:r w:rsidR="006F205D">
        <w:rPr>
          <w:color w:val="000000" w:themeColor="text1"/>
        </w:rPr>
        <w:t>h</w:t>
      </w:r>
      <w:r w:rsidRPr="009568A7">
        <w:rPr>
          <w:color w:val="000000" w:themeColor="text1"/>
        </w:rPr>
        <w:t xml:space="preserve">ow to </w:t>
      </w:r>
      <w:r w:rsidR="006F205D">
        <w:rPr>
          <w:color w:val="000000" w:themeColor="text1"/>
        </w:rPr>
        <w:t>m</w:t>
      </w:r>
      <w:r w:rsidRPr="009568A7">
        <w:rPr>
          <w:color w:val="000000" w:themeColor="text1"/>
        </w:rPr>
        <w:t xml:space="preserve">itigate the </w:t>
      </w:r>
      <w:r w:rsidR="006F205D">
        <w:rPr>
          <w:color w:val="000000" w:themeColor="text1"/>
        </w:rPr>
        <w:t>e</w:t>
      </w:r>
      <w:r w:rsidRPr="009568A7">
        <w:rPr>
          <w:color w:val="000000" w:themeColor="text1"/>
        </w:rPr>
        <w:t xml:space="preserve">ffect. </w:t>
      </w:r>
      <w:r w:rsidRPr="009568A7">
        <w:rPr>
          <w:i/>
          <w:iCs/>
          <w:color w:val="000000" w:themeColor="text1"/>
        </w:rPr>
        <w:t>Sustainability</w:t>
      </w:r>
      <w:r w:rsidRPr="009568A7">
        <w:rPr>
          <w:color w:val="000000" w:themeColor="text1"/>
        </w:rPr>
        <w:t>, 14</w:t>
      </w:r>
      <w:r w:rsidR="006F205D">
        <w:rPr>
          <w:color w:val="000000" w:themeColor="text1"/>
        </w:rPr>
        <w:t>(2)</w:t>
      </w:r>
      <w:r w:rsidRPr="009568A7">
        <w:rPr>
          <w:color w:val="000000" w:themeColor="text1"/>
        </w:rPr>
        <w:t>,</w:t>
      </w:r>
      <w:r w:rsidR="00B36993" w:rsidRPr="009568A7">
        <w:rPr>
          <w:color w:val="000000" w:themeColor="text1"/>
        </w:rPr>
        <w:t xml:space="preserve"> </w:t>
      </w:r>
      <w:r w:rsidR="009568A7" w:rsidRPr="009568A7">
        <w:rPr>
          <w:color w:val="000000" w:themeColor="text1"/>
        </w:rPr>
        <w:t>855</w:t>
      </w:r>
      <w:r w:rsidR="00B54E51">
        <w:rPr>
          <w:color w:val="000000" w:themeColor="text1"/>
          <w:shd w:val="clear" w:color="auto" w:fill="FFFFFF"/>
        </w:rPr>
        <w:t xml:space="preserve">. </w:t>
      </w:r>
    </w:p>
    <w:p w14:paraId="35F41101" w14:textId="5F5B1B20" w:rsidR="00876D0A" w:rsidRPr="00620BD0" w:rsidRDefault="00876D0A" w:rsidP="005A1783">
      <w:pPr>
        <w:pStyle w:val="NormalWeb"/>
        <w:spacing w:before="0" w:beforeAutospacing="0" w:after="0" w:afterAutospacing="0"/>
        <w:ind w:left="540" w:hanging="540"/>
        <w:jc w:val="both"/>
      </w:pPr>
      <w:proofErr w:type="spellStart"/>
      <w:r w:rsidRPr="00620BD0">
        <w:t>Asgari</w:t>
      </w:r>
      <w:proofErr w:type="spellEnd"/>
      <w:r w:rsidRPr="00620BD0">
        <w:t xml:space="preserve">, H., Gupta, R., </w:t>
      </w:r>
      <w:proofErr w:type="spellStart"/>
      <w:r w:rsidRPr="00620BD0">
        <w:t>Jin</w:t>
      </w:r>
      <w:proofErr w:type="spellEnd"/>
      <w:r w:rsidR="006F205D" w:rsidRPr="00620BD0">
        <w:t>,</w:t>
      </w:r>
      <w:r w:rsidRPr="00620BD0">
        <w:t xml:space="preserve"> X. (2023). Impacts of COVID-19 on </w:t>
      </w:r>
      <w:r w:rsidR="006F205D" w:rsidRPr="00620BD0">
        <w:t>f</w:t>
      </w:r>
      <w:r w:rsidRPr="00620BD0">
        <w:t xml:space="preserve">uture </w:t>
      </w:r>
      <w:r w:rsidR="006F205D" w:rsidRPr="00620BD0">
        <w:t>p</w:t>
      </w:r>
      <w:r w:rsidRPr="00620BD0">
        <w:t xml:space="preserve">references </w:t>
      </w:r>
      <w:r w:rsidR="006F205D" w:rsidRPr="00620BD0">
        <w:t>t</w:t>
      </w:r>
      <w:r w:rsidRPr="00620BD0">
        <w:t xml:space="preserve">oward </w:t>
      </w:r>
      <w:r w:rsidR="006F205D" w:rsidRPr="00620BD0">
        <w:t>t</w:t>
      </w:r>
      <w:r w:rsidRPr="00620BD0">
        <w:t xml:space="preserve">elework. </w:t>
      </w:r>
      <w:r w:rsidRPr="00620BD0">
        <w:rPr>
          <w:i/>
          <w:iCs/>
        </w:rPr>
        <w:t xml:space="preserve">Transportation Research </w:t>
      </w:r>
      <w:r w:rsidR="006F205D" w:rsidRPr="00620BD0">
        <w:rPr>
          <w:i/>
          <w:iCs/>
        </w:rPr>
        <w:t>Record</w:t>
      </w:r>
      <w:r w:rsidRPr="00620BD0">
        <w:t xml:space="preserve">, </w:t>
      </w:r>
      <w:r w:rsidR="006F205D" w:rsidRPr="00620BD0">
        <w:t>2677(</w:t>
      </w:r>
      <w:r w:rsidRPr="00620BD0">
        <w:t>4</w:t>
      </w:r>
      <w:r w:rsidR="006F205D" w:rsidRPr="00620BD0">
        <w:t>)</w:t>
      </w:r>
      <w:r w:rsidRPr="00620BD0">
        <w:t>, 611-628.</w:t>
      </w:r>
    </w:p>
    <w:p w14:paraId="64331212" w14:textId="72D2A316" w:rsidR="00876D0A" w:rsidRPr="00620BD0" w:rsidRDefault="00876D0A" w:rsidP="005A1783">
      <w:pPr>
        <w:pStyle w:val="NormalWeb"/>
        <w:spacing w:before="0" w:beforeAutospacing="0" w:after="0" w:afterAutospacing="0"/>
        <w:ind w:left="540" w:hanging="540"/>
        <w:jc w:val="both"/>
        <w:rPr>
          <w:color w:val="000000" w:themeColor="text1"/>
          <w:shd w:val="clear" w:color="auto" w:fill="FFFFFF"/>
        </w:rPr>
      </w:pPr>
      <w:r w:rsidRPr="00620BD0">
        <w:t xml:space="preserve">Asmussen, K. E., Mondal, A., Bhat, C. R., Pendyala, R. M. (2023). On </w:t>
      </w:r>
      <w:r w:rsidR="006F205D" w:rsidRPr="00620BD0">
        <w:t>m</w:t>
      </w:r>
      <w:r w:rsidRPr="00620BD0">
        <w:t xml:space="preserve">odeling </w:t>
      </w:r>
      <w:r w:rsidR="006F205D" w:rsidRPr="00620BD0">
        <w:t>f</w:t>
      </w:r>
      <w:r w:rsidRPr="00620BD0">
        <w:t xml:space="preserve">uture </w:t>
      </w:r>
      <w:r w:rsidR="006F205D" w:rsidRPr="00620BD0">
        <w:t>w</w:t>
      </w:r>
      <w:r w:rsidRPr="00620BD0">
        <w:t xml:space="preserve">orkplace </w:t>
      </w:r>
      <w:r w:rsidR="006F205D" w:rsidRPr="00620BD0">
        <w:t>l</w:t>
      </w:r>
      <w:r w:rsidRPr="00620BD0">
        <w:t xml:space="preserve">ocation </w:t>
      </w:r>
      <w:r w:rsidR="006F205D" w:rsidRPr="00620BD0">
        <w:t>d</w:t>
      </w:r>
      <w:r w:rsidRPr="00620BD0">
        <w:t xml:space="preserve">ecisions: Analysis of </w:t>
      </w:r>
      <w:r w:rsidR="006F205D" w:rsidRPr="00620BD0">
        <w:t>T</w:t>
      </w:r>
      <w:r w:rsidRPr="00620BD0">
        <w:t xml:space="preserve">exas </w:t>
      </w:r>
      <w:r w:rsidR="006F205D" w:rsidRPr="00620BD0">
        <w:rPr>
          <w:color w:val="000000" w:themeColor="text1"/>
        </w:rPr>
        <w:t>e</w:t>
      </w:r>
      <w:r w:rsidRPr="00620BD0">
        <w:rPr>
          <w:color w:val="000000" w:themeColor="text1"/>
        </w:rPr>
        <w:t xml:space="preserve">mployees. </w:t>
      </w:r>
      <w:r w:rsidR="00B36993" w:rsidRPr="00620BD0">
        <w:rPr>
          <w:rFonts w:eastAsiaTheme="majorEastAsia"/>
          <w:i/>
          <w:iCs/>
          <w:shd w:val="clear" w:color="auto" w:fill="FFFFFF"/>
        </w:rPr>
        <w:t>Transportation Research</w:t>
      </w:r>
      <w:r w:rsidR="009568A7" w:rsidRPr="00620BD0">
        <w:rPr>
          <w:rFonts w:eastAsiaTheme="majorEastAsia"/>
          <w:i/>
          <w:iCs/>
          <w:shd w:val="clear" w:color="auto" w:fill="FFFFFF"/>
        </w:rPr>
        <w:t xml:space="preserve"> </w:t>
      </w:r>
      <w:r w:rsidR="00B36993" w:rsidRPr="00620BD0">
        <w:rPr>
          <w:rFonts w:eastAsiaTheme="majorEastAsia"/>
          <w:i/>
          <w:iCs/>
          <w:shd w:val="clear" w:color="auto" w:fill="FFFFFF"/>
        </w:rPr>
        <w:t>Part A</w:t>
      </w:r>
      <w:r w:rsidRPr="00620BD0">
        <w:rPr>
          <w:color w:val="000000" w:themeColor="text1"/>
        </w:rPr>
        <w:t>, 172</w:t>
      </w:r>
      <w:r w:rsidRPr="00620BD0">
        <w:rPr>
          <w:color w:val="000000" w:themeColor="text1"/>
          <w:shd w:val="clear" w:color="auto" w:fill="FFFFFF"/>
        </w:rPr>
        <w:t>, 103671</w:t>
      </w:r>
      <w:r w:rsidR="00B54E51" w:rsidRPr="00620BD0">
        <w:rPr>
          <w:color w:val="000000" w:themeColor="text1"/>
          <w:shd w:val="clear" w:color="auto" w:fill="FFFFFF"/>
        </w:rPr>
        <w:t xml:space="preserve">. </w:t>
      </w:r>
    </w:p>
    <w:p w14:paraId="1C1D4D11" w14:textId="77777777" w:rsidR="005F273E" w:rsidRDefault="00CE5218" w:rsidP="00CE5218">
      <w:pPr>
        <w:pStyle w:val="NormalWeb"/>
        <w:spacing w:before="0" w:beforeAutospacing="0" w:after="0" w:afterAutospacing="0"/>
        <w:ind w:left="540" w:hanging="540"/>
        <w:jc w:val="both"/>
      </w:pPr>
      <w:r w:rsidRPr="00620BD0">
        <w:t>Asmussen, K. E., Mondal, A., Batur, I., Dirks, A., Pendyala, R. M., Bhat, C. R. (2024</w:t>
      </w:r>
      <w:r w:rsidR="00620BD0" w:rsidRPr="00620BD0">
        <w:t>a</w:t>
      </w:r>
      <w:r w:rsidRPr="00620BD0">
        <w:t xml:space="preserve">). An investigation of individual-level </w:t>
      </w:r>
      <w:proofErr w:type="gramStart"/>
      <w:r w:rsidRPr="00620BD0">
        <w:t>telework</w:t>
      </w:r>
      <w:proofErr w:type="gramEnd"/>
      <w:r w:rsidRPr="00620BD0">
        <w:t xml:space="preserve"> arrangements in the COVID-era. </w:t>
      </w:r>
      <w:r w:rsidRPr="00620BD0">
        <w:rPr>
          <w:i/>
          <w:iCs/>
        </w:rPr>
        <w:t>Transportation</w:t>
      </w:r>
      <w:r w:rsidRPr="006F205D">
        <w:rPr>
          <w:i/>
          <w:iCs/>
        </w:rPr>
        <w:t xml:space="preserve"> Research Part A</w:t>
      </w:r>
      <w:r w:rsidRPr="006F205D">
        <w:t>, 179, 103888</w:t>
      </w:r>
      <w:r w:rsidRPr="009568A7">
        <w:t>.</w:t>
      </w:r>
    </w:p>
    <w:p w14:paraId="139B39A8" w14:textId="66E68A05" w:rsidR="00CE5218" w:rsidRPr="001C447E" w:rsidRDefault="005F273E" w:rsidP="005F273E">
      <w:pPr>
        <w:pStyle w:val="NormalWeb"/>
        <w:spacing w:before="0" w:beforeAutospacing="0" w:after="0" w:afterAutospacing="0"/>
        <w:ind w:left="540" w:hanging="540"/>
        <w:jc w:val="both"/>
      </w:pPr>
      <w:r w:rsidRPr="00620BD0">
        <w:rPr>
          <w:shd w:val="clear" w:color="auto" w:fill="FFFFFF"/>
        </w:rPr>
        <w:t>Asmussen, K. E., Mondal, A., Bhat, C. R. (2024b). The interplay between teleworking choice and commute distance. </w:t>
      </w:r>
      <w:r w:rsidR="001C447E" w:rsidRPr="001C447E">
        <w:rPr>
          <w:i/>
          <w:iCs/>
        </w:rPr>
        <w:t>Transportation Research Part C</w:t>
      </w:r>
      <w:r w:rsidR="001C447E" w:rsidRPr="001C447E">
        <w:t>, forthcoming</w:t>
      </w:r>
      <w:r w:rsidRPr="001C447E">
        <w:t>.</w:t>
      </w:r>
      <w:r w:rsidR="00CE5218" w:rsidRPr="001C447E">
        <w:t xml:space="preserve"> </w:t>
      </w:r>
    </w:p>
    <w:p w14:paraId="141D99DE" w14:textId="74E56394" w:rsidR="007C31CA" w:rsidRPr="009568A7" w:rsidRDefault="007C31CA" w:rsidP="005A1783">
      <w:pPr>
        <w:pStyle w:val="NormalWeb"/>
        <w:keepNext/>
        <w:keepLines/>
        <w:spacing w:before="0" w:beforeAutospacing="0" w:after="0" w:afterAutospacing="0"/>
        <w:ind w:left="540" w:hanging="540"/>
        <w:jc w:val="both"/>
        <w:rPr>
          <w:color w:val="000000" w:themeColor="text1"/>
        </w:rPr>
      </w:pPr>
      <w:r w:rsidRPr="009568A7">
        <w:rPr>
          <w:color w:val="000000" w:themeColor="text1"/>
        </w:rPr>
        <w:lastRenderedPageBreak/>
        <w:t xml:space="preserve">Astroza, S., </w:t>
      </w:r>
      <w:proofErr w:type="spellStart"/>
      <w:r w:rsidRPr="009568A7">
        <w:rPr>
          <w:color w:val="000000" w:themeColor="text1"/>
        </w:rPr>
        <w:t>Tirachini</w:t>
      </w:r>
      <w:proofErr w:type="spellEnd"/>
      <w:r w:rsidRPr="009568A7">
        <w:rPr>
          <w:color w:val="000000" w:themeColor="text1"/>
        </w:rPr>
        <w:t xml:space="preserve">, A., </w:t>
      </w:r>
      <w:proofErr w:type="spellStart"/>
      <w:r w:rsidRPr="009568A7">
        <w:rPr>
          <w:color w:val="000000" w:themeColor="text1"/>
        </w:rPr>
        <w:t>Hurtubia</w:t>
      </w:r>
      <w:proofErr w:type="spellEnd"/>
      <w:r w:rsidRPr="009568A7">
        <w:rPr>
          <w:color w:val="000000" w:themeColor="text1"/>
        </w:rPr>
        <w:t xml:space="preserve">, R., Carrasco, J. A., Guevara, A., </w:t>
      </w:r>
      <w:proofErr w:type="spellStart"/>
      <w:r w:rsidRPr="009568A7">
        <w:rPr>
          <w:color w:val="000000" w:themeColor="text1"/>
        </w:rPr>
        <w:t>Munizaga</w:t>
      </w:r>
      <w:proofErr w:type="spellEnd"/>
      <w:r w:rsidRPr="009568A7">
        <w:rPr>
          <w:color w:val="000000" w:themeColor="text1"/>
        </w:rPr>
        <w:t xml:space="preserve">, M., Figueroa, M., Torres, V. (2020). </w:t>
      </w:r>
      <w:r w:rsidR="00781CA8" w:rsidRPr="009568A7">
        <w:rPr>
          <w:color w:val="000000" w:themeColor="text1"/>
        </w:rPr>
        <w:t xml:space="preserve">Mobility </w:t>
      </w:r>
      <w:r w:rsidR="001513C1">
        <w:rPr>
          <w:color w:val="000000" w:themeColor="text1"/>
        </w:rPr>
        <w:t>c</w:t>
      </w:r>
      <w:r w:rsidR="00781CA8" w:rsidRPr="009568A7">
        <w:rPr>
          <w:color w:val="000000" w:themeColor="text1"/>
        </w:rPr>
        <w:t xml:space="preserve">hanges, </w:t>
      </w:r>
      <w:r w:rsidR="001513C1">
        <w:rPr>
          <w:color w:val="000000" w:themeColor="text1"/>
        </w:rPr>
        <w:t>t</w:t>
      </w:r>
      <w:r w:rsidR="00781CA8" w:rsidRPr="009568A7">
        <w:rPr>
          <w:color w:val="000000" w:themeColor="text1"/>
        </w:rPr>
        <w:t xml:space="preserve">eleworking, and </w:t>
      </w:r>
      <w:r w:rsidR="001513C1">
        <w:rPr>
          <w:color w:val="000000" w:themeColor="text1"/>
        </w:rPr>
        <w:t>r</w:t>
      </w:r>
      <w:r w:rsidR="00781CA8" w:rsidRPr="009568A7">
        <w:rPr>
          <w:color w:val="000000" w:themeColor="text1"/>
        </w:rPr>
        <w:t xml:space="preserve">emote </w:t>
      </w:r>
      <w:r w:rsidR="001513C1">
        <w:rPr>
          <w:color w:val="000000" w:themeColor="text1"/>
        </w:rPr>
        <w:t>c</w:t>
      </w:r>
      <w:r w:rsidR="00781CA8" w:rsidRPr="009568A7">
        <w:rPr>
          <w:color w:val="000000" w:themeColor="text1"/>
        </w:rPr>
        <w:t>ommunication</w:t>
      </w:r>
      <w:r w:rsidR="005A1783">
        <w:rPr>
          <w:color w:val="000000" w:themeColor="text1"/>
        </w:rPr>
        <w:t xml:space="preserve"> d</w:t>
      </w:r>
      <w:r w:rsidR="00781CA8" w:rsidRPr="009568A7">
        <w:rPr>
          <w:color w:val="000000" w:themeColor="text1"/>
        </w:rPr>
        <w:t xml:space="preserve">uring the COVID-19 </w:t>
      </w:r>
      <w:r w:rsidR="001513C1">
        <w:rPr>
          <w:color w:val="000000" w:themeColor="text1"/>
        </w:rPr>
        <w:t>p</w:t>
      </w:r>
      <w:r w:rsidR="00781CA8" w:rsidRPr="009568A7">
        <w:rPr>
          <w:color w:val="000000" w:themeColor="text1"/>
        </w:rPr>
        <w:t xml:space="preserve">andemic in Chile. </w:t>
      </w:r>
      <w:r w:rsidR="00781CA8" w:rsidRPr="009568A7">
        <w:rPr>
          <w:i/>
          <w:iCs/>
          <w:color w:val="000000" w:themeColor="text1"/>
        </w:rPr>
        <w:t>Transport Findings</w:t>
      </w:r>
      <w:r w:rsidR="005A1783">
        <w:rPr>
          <w:color w:val="000000" w:themeColor="text1"/>
        </w:rPr>
        <w:t xml:space="preserve">, July. </w:t>
      </w:r>
      <w:hyperlink r:id="rId219" w:history="1">
        <w:r w:rsidR="00D2447C" w:rsidRPr="001D7C38">
          <w:rPr>
            <w:rStyle w:val="Hyperlink"/>
          </w:rPr>
          <w:t>https://doi.org/10.32866/001c.13489</w:t>
        </w:r>
      </w:hyperlink>
      <w:r w:rsidR="00781CA8" w:rsidRPr="009568A7">
        <w:rPr>
          <w:color w:val="000000" w:themeColor="text1"/>
        </w:rPr>
        <w:t>.</w:t>
      </w:r>
      <w:r w:rsidR="00B54E51">
        <w:rPr>
          <w:color w:val="000000" w:themeColor="text1"/>
        </w:rPr>
        <w:t xml:space="preserve"> </w:t>
      </w:r>
    </w:p>
    <w:p w14:paraId="35C31B11" w14:textId="0C515690" w:rsidR="00A550BD" w:rsidRPr="009568A7" w:rsidRDefault="00845284" w:rsidP="005A1783">
      <w:pPr>
        <w:pStyle w:val="NormalWeb"/>
        <w:spacing w:before="0" w:beforeAutospacing="0" w:after="0" w:afterAutospacing="0"/>
        <w:ind w:left="540" w:hanging="540"/>
        <w:jc w:val="both"/>
      </w:pPr>
      <w:proofErr w:type="spellStart"/>
      <w:r w:rsidRPr="009568A7">
        <w:t>Balusu</w:t>
      </w:r>
      <w:proofErr w:type="spellEnd"/>
      <w:r w:rsidRPr="009568A7">
        <w:t xml:space="preserve">, S. K., Pinjari, A. R., Mannering, F. L., Eluru, N. </w:t>
      </w:r>
      <w:r w:rsidR="00A550BD" w:rsidRPr="009568A7">
        <w:t xml:space="preserve">(2018). </w:t>
      </w:r>
      <w:r w:rsidRPr="009568A7">
        <w:t xml:space="preserve">Non-decreasing </w:t>
      </w:r>
      <w:r w:rsidR="001513C1">
        <w:t>t</w:t>
      </w:r>
      <w:r w:rsidRPr="009568A7">
        <w:t xml:space="preserve">hreshold </w:t>
      </w:r>
      <w:r w:rsidR="001513C1">
        <w:t>v</w:t>
      </w:r>
      <w:r w:rsidRPr="009568A7">
        <w:t xml:space="preserve">ariances in </w:t>
      </w:r>
      <w:r w:rsidR="001513C1">
        <w:t>m</w:t>
      </w:r>
      <w:r w:rsidRPr="009568A7">
        <w:t xml:space="preserve">ixed </w:t>
      </w:r>
      <w:r w:rsidR="001513C1">
        <w:t>g</w:t>
      </w:r>
      <w:r w:rsidRPr="009568A7">
        <w:t xml:space="preserve">eneralized </w:t>
      </w:r>
      <w:r w:rsidR="001513C1">
        <w:t>o</w:t>
      </w:r>
      <w:r w:rsidRPr="009568A7">
        <w:t xml:space="preserve">rdered </w:t>
      </w:r>
      <w:r w:rsidR="001513C1">
        <w:t>r</w:t>
      </w:r>
      <w:r w:rsidRPr="009568A7">
        <w:t xml:space="preserve">esponse </w:t>
      </w:r>
      <w:r w:rsidR="001513C1">
        <w:t>m</w:t>
      </w:r>
      <w:r w:rsidRPr="009568A7">
        <w:t xml:space="preserve">odels: A </w:t>
      </w:r>
      <w:r w:rsidR="001513C1">
        <w:t>n</w:t>
      </w:r>
      <w:r w:rsidRPr="009568A7">
        <w:t xml:space="preserve">egative </w:t>
      </w:r>
      <w:r w:rsidR="001513C1">
        <w:t>c</w:t>
      </w:r>
      <w:r w:rsidRPr="009568A7">
        <w:t xml:space="preserve">orrelations </w:t>
      </w:r>
      <w:r w:rsidR="001513C1">
        <w:t>a</w:t>
      </w:r>
      <w:r w:rsidRPr="009568A7">
        <w:t xml:space="preserve">pproach to </w:t>
      </w:r>
      <w:r w:rsidR="001513C1">
        <w:t>v</w:t>
      </w:r>
      <w:r w:rsidRPr="009568A7">
        <w:t xml:space="preserve">ariance </w:t>
      </w:r>
      <w:r w:rsidR="001513C1">
        <w:t>r</w:t>
      </w:r>
      <w:r w:rsidRPr="009568A7">
        <w:t xml:space="preserve">eduction. </w:t>
      </w:r>
      <w:r w:rsidRPr="009568A7">
        <w:rPr>
          <w:i/>
          <w:iCs/>
        </w:rPr>
        <w:t>Analytic Methods in Accident Research</w:t>
      </w:r>
      <w:r w:rsidR="00A550BD" w:rsidRPr="009568A7">
        <w:t xml:space="preserve">, 20, 46-67. </w:t>
      </w:r>
      <w:hyperlink r:id="rId220" w:history="1">
        <w:r w:rsidR="00B54E51" w:rsidRPr="001D7C38">
          <w:rPr>
            <w:rStyle w:val="Hyperlink"/>
          </w:rPr>
          <w:t>https://doi.org/10.1016/j.amar.2018.09.003</w:t>
        </w:r>
      </w:hyperlink>
      <w:r w:rsidR="00A550BD" w:rsidRPr="009568A7">
        <w:t>.</w:t>
      </w:r>
      <w:r w:rsidR="00B54E51">
        <w:t xml:space="preserve"> </w:t>
      </w:r>
    </w:p>
    <w:p w14:paraId="0D81D230" w14:textId="762FF518" w:rsidR="00876D0A" w:rsidRDefault="00876D0A" w:rsidP="005A1783">
      <w:pPr>
        <w:pStyle w:val="NormalWeb"/>
        <w:spacing w:before="0" w:beforeAutospacing="0" w:after="0" w:afterAutospacing="0"/>
        <w:ind w:left="540" w:hanging="540"/>
        <w:jc w:val="both"/>
      </w:pPr>
      <w:proofErr w:type="spellStart"/>
      <w:r w:rsidRPr="009568A7">
        <w:t>Barrero</w:t>
      </w:r>
      <w:proofErr w:type="spellEnd"/>
      <w:r w:rsidRPr="009568A7">
        <w:t xml:space="preserve">, J. M., Bloom, N., Davis, S. J. (2021). Let </w:t>
      </w:r>
      <w:r w:rsidR="001513C1">
        <w:t>m</w:t>
      </w:r>
      <w:r w:rsidRPr="009568A7">
        <w:t xml:space="preserve">e </w:t>
      </w:r>
      <w:r w:rsidR="001513C1">
        <w:t>w</w:t>
      </w:r>
      <w:r w:rsidRPr="009568A7">
        <w:t xml:space="preserve">ork </w:t>
      </w:r>
      <w:r w:rsidR="001513C1">
        <w:t>f</w:t>
      </w:r>
      <w:r w:rsidRPr="009568A7">
        <w:t xml:space="preserve">rom </w:t>
      </w:r>
      <w:r w:rsidR="001513C1">
        <w:t>h</w:t>
      </w:r>
      <w:r w:rsidRPr="009568A7">
        <w:t xml:space="preserve">ome, </w:t>
      </w:r>
      <w:r w:rsidR="001513C1">
        <w:t>o</w:t>
      </w:r>
      <w:r w:rsidRPr="009568A7">
        <w:t xml:space="preserve">r I </w:t>
      </w:r>
      <w:r w:rsidR="001513C1">
        <w:t>w</w:t>
      </w:r>
      <w:r w:rsidRPr="009568A7">
        <w:t xml:space="preserve">ill </w:t>
      </w:r>
      <w:r w:rsidR="001513C1">
        <w:t>f</w:t>
      </w:r>
      <w:r w:rsidRPr="009568A7">
        <w:t xml:space="preserve">ind </w:t>
      </w:r>
      <w:r w:rsidR="001513C1">
        <w:t>a</w:t>
      </w:r>
      <w:r w:rsidRPr="009568A7">
        <w:t xml:space="preserve">nother </w:t>
      </w:r>
      <w:r w:rsidR="001513C1">
        <w:t>j</w:t>
      </w:r>
      <w:r w:rsidRPr="009568A7">
        <w:t xml:space="preserve">ob. University of Chicago, Becker Friedman Institute for Economics. </w:t>
      </w:r>
    </w:p>
    <w:p w14:paraId="4C53AC22" w14:textId="0A7A7CFE" w:rsidR="00521C6F" w:rsidRDefault="00DF7087" w:rsidP="005A1783">
      <w:pPr>
        <w:pStyle w:val="NormalWeb"/>
        <w:spacing w:before="0" w:beforeAutospacing="0" w:after="0" w:afterAutospacing="0"/>
        <w:ind w:left="540" w:hanging="540"/>
        <w:jc w:val="both"/>
      </w:pPr>
      <w:r w:rsidRPr="00CF0E6D">
        <w:t xml:space="preserve">Beck, M. J., </w:t>
      </w:r>
      <w:proofErr w:type="spellStart"/>
      <w:r w:rsidRPr="00CF0E6D">
        <w:t>Hensher</w:t>
      </w:r>
      <w:proofErr w:type="spellEnd"/>
      <w:r w:rsidRPr="00CF0E6D">
        <w:t xml:space="preserve">, D. A. (2022). Working from home in Australia in 2020: Positives, negatives and the potential for future benefits to transport and society. </w:t>
      </w:r>
      <w:r w:rsidRPr="00CF0E6D">
        <w:rPr>
          <w:i/>
          <w:iCs/>
        </w:rPr>
        <w:t xml:space="preserve">Transportation Research Part </w:t>
      </w:r>
      <w:r w:rsidRPr="001513C1">
        <w:rPr>
          <w:i/>
          <w:iCs/>
        </w:rPr>
        <w:t>A</w:t>
      </w:r>
      <w:r w:rsidR="001513C1">
        <w:t xml:space="preserve">, </w:t>
      </w:r>
      <w:r w:rsidRPr="001513C1">
        <w:t>158</w:t>
      </w:r>
      <w:r w:rsidRPr="00CF0E6D">
        <w:t xml:space="preserve">, 271-284. </w:t>
      </w:r>
    </w:p>
    <w:p w14:paraId="1819DCB7" w14:textId="44CF2A44" w:rsidR="003C511E" w:rsidRPr="003C511E" w:rsidRDefault="003C511E" w:rsidP="005A1783">
      <w:pPr>
        <w:pStyle w:val="NormalWeb"/>
        <w:spacing w:before="0" w:beforeAutospacing="0" w:after="0" w:afterAutospacing="0"/>
        <w:ind w:left="540" w:hanging="540"/>
        <w:jc w:val="both"/>
        <w:rPr>
          <w:rStyle w:val="anchor-text"/>
          <w:sz w:val="32"/>
          <w:szCs w:val="32"/>
          <w:u w:val="single"/>
        </w:rPr>
      </w:pPr>
      <w:r w:rsidRPr="003C511E">
        <w:rPr>
          <w:color w:val="222222"/>
          <w:shd w:val="clear" w:color="auto" w:fill="FFFFFF"/>
        </w:rPr>
        <w:t xml:space="preserve">Beck, M. J., </w:t>
      </w:r>
      <w:proofErr w:type="spellStart"/>
      <w:r w:rsidRPr="003C511E">
        <w:rPr>
          <w:color w:val="222222"/>
          <w:shd w:val="clear" w:color="auto" w:fill="FFFFFF"/>
        </w:rPr>
        <w:t>Hensher</w:t>
      </w:r>
      <w:proofErr w:type="spellEnd"/>
      <w:r w:rsidRPr="003C511E">
        <w:rPr>
          <w:color w:val="222222"/>
          <w:shd w:val="clear" w:color="auto" w:fill="FFFFFF"/>
        </w:rPr>
        <w:t xml:space="preserve">, D. A., and </w:t>
      </w:r>
      <w:proofErr w:type="spellStart"/>
      <w:r w:rsidRPr="003C511E">
        <w:rPr>
          <w:color w:val="222222"/>
          <w:shd w:val="clear" w:color="auto" w:fill="FFFFFF"/>
        </w:rPr>
        <w:t>Balbontin</w:t>
      </w:r>
      <w:proofErr w:type="spellEnd"/>
      <w:r w:rsidRPr="003C511E">
        <w:rPr>
          <w:color w:val="222222"/>
          <w:shd w:val="clear" w:color="auto" w:fill="FFFFFF"/>
        </w:rPr>
        <w:t>, C. (2024). Three city regions, three different experiences: The impact of lockdown severity on working from home and the potential implications for cities. </w:t>
      </w:r>
      <w:r w:rsidRPr="003C511E">
        <w:rPr>
          <w:i/>
          <w:iCs/>
          <w:color w:val="222222"/>
          <w:shd w:val="clear" w:color="auto" w:fill="FFFFFF"/>
        </w:rPr>
        <w:t>Cities</w:t>
      </w:r>
      <w:r w:rsidRPr="003C511E">
        <w:rPr>
          <w:color w:val="222222"/>
          <w:shd w:val="clear" w:color="auto" w:fill="FFFFFF"/>
        </w:rPr>
        <w:t>, </w:t>
      </w:r>
      <w:r w:rsidRPr="001C447E">
        <w:rPr>
          <w:color w:val="222222"/>
          <w:shd w:val="clear" w:color="auto" w:fill="FFFFFF"/>
        </w:rPr>
        <w:t>147</w:t>
      </w:r>
      <w:r w:rsidRPr="003C511E">
        <w:rPr>
          <w:color w:val="222222"/>
          <w:shd w:val="clear" w:color="auto" w:fill="FFFFFF"/>
        </w:rPr>
        <w:t>, 104800.</w:t>
      </w:r>
    </w:p>
    <w:p w14:paraId="33E005AB" w14:textId="2F928697" w:rsidR="003234BF" w:rsidRPr="009568A7" w:rsidRDefault="003234BF" w:rsidP="005A1783">
      <w:pPr>
        <w:pStyle w:val="NormalWeb"/>
        <w:spacing w:before="0" w:beforeAutospacing="0" w:after="0" w:afterAutospacing="0"/>
        <w:ind w:left="540" w:hanging="540"/>
        <w:jc w:val="both"/>
      </w:pPr>
      <w:r w:rsidRPr="009568A7">
        <w:t xml:space="preserve">Bhat, C. R., Koppelman, F. S. (1993). An </w:t>
      </w:r>
      <w:r w:rsidR="001513C1">
        <w:t>e</w:t>
      </w:r>
      <w:r w:rsidRPr="009568A7">
        <w:t xml:space="preserve">ndogenous </w:t>
      </w:r>
      <w:r w:rsidR="001513C1">
        <w:t>s</w:t>
      </w:r>
      <w:r w:rsidRPr="009568A7">
        <w:t xml:space="preserve">witching </w:t>
      </w:r>
      <w:r w:rsidR="001513C1">
        <w:t>s</w:t>
      </w:r>
      <w:r w:rsidRPr="009568A7">
        <w:t xml:space="preserve">imultaneous </w:t>
      </w:r>
      <w:r w:rsidR="001513C1">
        <w:t>e</w:t>
      </w:r>
      <w:r w:rsidRPr="009568A7">
        <w:t xml:space="preserve">quation </w:t>
      </w:r>
      <w:r w:rsidR="001513C1">
        <w:t>s</w:t>
      </w:r>
      <w:r w:rsidRPr="009568A7">
        <w:t xml:space="preserve">ystem of </w:t>
      </w:r>
      <w:r w:rsidR="001513C1">
        <w:t>e</w:t>
      </w:r>
      <w:r w:rsidRPr="009568A7">
        <w:t xml:space="preserve">mployment, </w:t>
      </w:r>
      <w:r w:rsidR="001513C1">
        <w:t>i</w:t>
      </w:r>
      <w:r w:rsidRPr="009568A7">
        <w:t xml:space="preserve">ncome, and </w:t>
      </w:r>
      <w:r w:rsidR="001513C1">
        <w:t>c</w:t>
      </w:r>
      <w:r w:rsidRPr="009568A7">
        <w:t xml:space="preserve">ar </w:t>
      </w:r>
      <w:r w:rsidR="001513C1">
        <w:t>o</w:t>
      </w:r>
      <w:r w:rsidRPr="009568A7">
        <w:t xml:space="preserve">wnership. </w:t>
      </w:r>
      <w:r w:rsidRPr="009568A7">
        <w:rPr>
          <w:i/>
          <w:iCs/>
        </w:rPr>
        <w:t>Transportation Research Part A</w:t>
      </w:r>
      <w:r w:rsidRPr="009568A7">
        <w:t>, 27, 447-459.</w:t>
      </w:r>
    </w:p>
    <w:p w14:paraId="13914615" w14:textId="23420BD7" w:rsidR="00876D0A" w:rsidRPr="009568A7" w:rsidRDefault="00876D0A" w:rsidP="005A1783">
      <w:pPr>
        <w:pStyle w:val="NormalWeb"/>
        <w:spacing w:before="0" w:beforeAutospacing="0" w:after="0" w:afterAutospacing="0"/>
        <w:ind w:left="540" w:hanging="540"/>
        <w:jc w:val="both"/>
        <w:rPr>
          <w:i/>
          <w:iCs/>
        </w:rPr>
      </w:pPr>
      <w:proofErr w:type="spellStart"/>
      <w:r w:rsidRPr="009568A7">
        <w:t>Bjursell</w:t>
      </w:r>
      <w:proofErr w:type="spellEnd"/>
      <w:r w:rsidRPr="009568A7">
        <w:t xml:space="preserve">, C., </w:t>
      </w:r>
      <w:proofErr w:type="spellStart"/>
      <w:r w:rsidRPr="009568A7">
        <w:t>Bergmo-Prvulovic</w:t>
      </w:r>
      <w:proofErr w:type="spellEnd"/>
      <w:r w:rsidRPr="009568A7">
        <w:t xml:space="preserve">, I., Hedegaard, J. (2021). </w:t>
      </w:r>
      <w:r w:rsidRPr="009568A7">
        <w:rPr>
          <w:i/>
          <w:iCs/>
        </w:rPr>
        <w:t>Telework and Lifelong Learning. Frontiers in Sociology</w:t>
      </w:r>
      <w:r w:rsidRPr="009568A7">
        <w:t xml:space="preserve">, 6. </w:t>
      </w:r>
      <w:hyperlink r:id="rId221" w:history="1">
        <w:r w:rsidRPr="009568A7">
          <w:rPr>
            <w:rStyle w:val="Hyperlink"/>
          </w:rPr>
          <w:t>https://doi.org/10.3389/fsoc.2021.642277</w:t>
        </w:r>
      </w:hyperlink>
    </w:p>
    <w:p w14:paraId="21FD4607" w14:textId="17183628" w:rsidR="00876D0A" w:rsidRDefault="00876D0A" w:rsidP="005A1783">
      <w:pPr>
        <w:pStyle w:val="NormalWeb"/>
        <w:spacing w:before="0" w:beforeAutospacing="0" w:after="0" w:afterAutospacing="0"/>
        <w:ind w:left="540" w:hanging="540"/>
        <w:jc w:val="both"/>
      </w:pPr>
      <w:r w:rsidRPr="009568A7">
        <w:t xml:space="preserve">Boland, B., Smet, A. D., Palter, R., Sanghvi, A. (2020). Reimagining </w:t>
      </w:r>
      <w:r w:rsidR="001513C1">
        <w:t>t</w:t>
      </w:r>
      <w:r w:rsidRPr="009568A7">
        <w:t xml:space="preserve">he </w:t>
      </w:r>
      <w:r w:rsidR="001513C1">
        <w:t>o</w:t>
      </w:r>
      <w:r w:rsidRPr="009568A7">
        <w:t xml:space="preserve">ffice and </w:t>
      </w:r>
      <w:r w:rsidR="001513C1">
        <w:t>w</w:t>
      </w:r>
      <w:r w:rsidRPr="009568A7">
        <w:t xml:space="preserve">ork </w:t>
      </w:r>
      <w:r w:rsidR="001513C1">
        <w:t>l</w:t>
      </w:r>
      <w:r w:rsidRPr="009568A7">
        <w:t xml:space="preserve">ife </w:t>
      </w:r>
      <w:r w:rsidR="001513C1">
        <w:t>a</w:t>
      </w:r>
      <w:r w:rsidRPr="009568A7">
        <w:t xml:space="preserve">fter COVID-19. </w:t>
      </w:r>
      <w:r w:rsidRPr="009568A7">
        <w:rPr>
          <w:i/>
          <w:iCs/>
        </w:rPr>
        <w:t>McKinsey and Company</w:t>
      </w:r>
      <w:r w:rsidRPr="009568A7">
        <w:t xml:space="preserve">. </w:t>
      </w:r>
    </w:p>
    <w:p w14:paraId="16E24B4A" w14:textId="6CF38516" w:rsidR="00AC5923" w:rsidRPr="003C511E" w:rsidRDefault="00AC5923" w:rsidP="003C511E">
      <w:pPr>
        <w:shd w:val="clear" w:color="auto" w:fill="FFFFFF"/>
        <w:tabs>
          <w:tab w:val="left" w:pos="630"/>
        </w:tabs>
        <w:ind w:left="540" w:hanging="540"/>
        <w:rPr>
          <w:color w:val="222222"/>
          <w:shd w:val="clear" w:color="auto" w:fill="FFFFFF"/>
        </w:rPr>
      </w:pPr>
      <w:r w:rsidRPr="00733550">
        <w:rPr>
          <w:color w:val="222222"/>
          <w:shd w:val="clear" w:color="auto" w:fill="FFFFFF"/>
        </w:rPr>
        <w:t xml:space="preserve">Brennan, A., Angus, C., Pryce, R., </w:t>
      </w:r>
      <w:proofErr w:type="spellStart"/>
      <w:r w:rsidRPr="00733550">
        <w:rPr>
          <w:color w:val="222222"/>
          <w:shd w:val="clear" w:color="auto" w:fill="FFFFFF"/>
        </w:rPr>
        <w:t>Buykx</w:t>
      </w:r>
      <w:proofErr w:type="spellEnd"/>
      <w:r w:rsidRPr="00733550">
        <w:rPr>
          <w:color w:val="222222"/>
          <w:shd w:val="clear" w:color="auto" w:fill="FFFFFF"/>
        </w:rPr>
        <w:t xml:space="preserve">, P., </w:t>
      </w:r>
      <w:proofErr w:type="spellStart"/>
      <w:r w:rsidRPr="00733550">
        <w:rPr>
          <w:color w:val="222222"/>
          <w:shd w:val="clear" w:color="auto" w:fill="FFFFFF"/>
        </w:rPr>
        <w:t>Henney</w:t>
      </w:r>
      <w:proofErr w:type="spellEnd"/>
      <w:r w:rsidRPr="00733550">
        <w:rPr>
          <w:color w:val="222222"/>
          <w:shd w:val="clear" w:color="auto" w:fill="FFFFFF"/>
        </w:rPr>
        <w:t xml:space="preserve">, M., Gillespie, D., Holmes, J., and Meier, P. S. (2021). Potential effects of minimum unit pricing at local authority level on alcohol-attributed harms in North West and North East England: </w:t>
      </w:r>
      <w:r>
        <w:rPr>
          <w:color w:val="222222"/>
          <w:shd w:val="clear" w:color="auto" w:fill="FFFFFF"/>
        </w:rPr>
        <w:t>A</w:t>
      </w:r>
      <w:r w:rsidRPr="00733550">
        <w:rPr>
          <w:color w:val="222222"/>
          <w:shd w:val="clear" w:color="auto" w:fill="FFFFFF"/>
        </w:rPr>
        <w:t xml:space="preserve"> modelling study. </w:t>
      </w:r>
      <w:r w:rsidRPr="00733550">
        <w:rPr>
          <w:i/>
          <w:iCs/>
          <w:color w:val="222222"/>
          <w:shd w:val="clear" w:color="auto" w:fill="FFFFFF"/>
        </w:rPr>
        <w:t>Public Health Research</w:t>
      </w:r>
      <w:r w:rsidRPr="00733550">
        <w:rPr>
          <w:color w:val="222222"/>
          <w:shd w:val="clear" w:color="auto" w:fill="FFFFFF"/>
        </w:rPr>
        <w:t>, </w:t>
      </w:r>
      <w:r w:rsidRPr="006E0F2C">
        <w:rPr>
          <w:color w:val="222222"/>
          <w:shd w:val="clear" w:color="auto" w:fill="FFFFFF"/>
        </w:rPr>
        <w:t>9</w:t>
      </w:r>
      <w:r w:rsidRPr="00733550">
        <w:rPr>
          <w:color w:val="222222"/>
          <w:shd w:val="clear" w:color="auto" w:fill="FFFFFF"/>
        </w:rPr>
        <w:t>(4).</w:t>
      </w:r>
    </w:p>
    <w:p w14:paraId="5FC8AAFA" w14:textId="31769FD2" w:rsidR="00876D0A" w:rsidRPr="009568A7" w:rsidRDefault="00876D0A" w:rsidP="005A1783">
      <w:pPr>
        <w:pStyle w:val="NormalWeb"/>
        <w:spacing w:before="0" w:beforeAutospacing="0" w:after="0" w:afterAutospacing="0"/>
        <w:ind w:left="540" w:hanging="540"/>
        <w:jc w:val="both"/>
      </w:pPr>
      <w:r w:rsidRPr="009568A7">
        <w:t>Bucknell University Freeman College of Management. (2021). COVID-19 Telework Study Report.</w:t>
      </w:r>
      <w:hyperlink r:id="rId222" w:history="1">
        <w:r w:rsidR="003A6887" w:rsidRPr="00700C45">
          <w:rPr>
            <w:rStyle w:val="Hyperlink"/>
          </w:rPr>
          <w:t>https://www.bucknell.edu/sites/default/files/college_of_management/covid-19_telework_study_report.pdf</w:t>
        </w:r>
      </w:hyperlink>
      <w:r w:rsidRPr="009568A7">
        <w:t>. Accessed April 13, 2023.</w:t>
      </w:r>
    </w:p>
    <w:p w14:paraId="2978943A" w14:textId="422A5C98" w:rsidR="00876D0A" w:rsidRDefault="00876D0A" w:rsidP="005A1783">
      <w:pPr>
        <w:ind w:left="540" w:hanging="540"/>
        <w:jc w:val="both"/>
        <w:rPr>
          <w:color w:val="000000" w:themeColor="text1"/>
        </w:rPr>
      </w:pPr>
      <w:proofErr w:type="spellStart"/>
      <w:r w:rsidRPr="009568A7">
        <w:rPr>
          <w:color w:val="000000" w:themeColor="text1"/>
        </w:rPr>
        <w:t>Caldarola</w:t>
      </w:r>
      <w:proofErr w:type="spellEnd"/>
      <w:r w:rsidRPr="009568A7">
        <w:rPr>
          <w:color w:val="000000" w:themeColor="text1"/>
        </w:rPr>
        <w:t xml:space="preserve">, B., Sorrell, S. (2022). Do teleworkers travel less? Evidence from the </w:t>
      </w:r>
      <w:r w:rsidR="009568A7">
        <w:rPr>
          <w:color w:val="000000" w:themeColor="text1"/>
        </w:rPr>
        <w:t>E</w:t>
      </w:r>
      <w:r w:rsidRPr="009568A7">
        <w:rPr>
          <w:color w:val="000000" w:themeColor="text1"/>
        </w:rPr>
        <w:t xml:space="preserve">nglish national travel survey. </w:t>
      </w:r>
      <w:r w:rsidRPr="009568A7">
        <w:rPr>
          <w:i/>
          <w:iCs/>
          <w:color w:val="000000" w:themeColor="text1"/>
        </w:rPr>
        <w:t>Transportation Research Part A</w:t>
      </w:r>
      <w:r w:rsidRPr="009568A7">
        <w:rPr>
          <w:color w:val="000000" w:themeColor="text1"/>
        </w:rPr>
        <w:t xml:space="preserve">, </w:t>
      </w:r>
      <w:r w:rsidRPr="00D337A2">
        <w:rPr>
          <w:color w:val="000000" w:themeColor="text1"/>
        </w:rPr>
        <w:t>159,</w:t>
      </w:r>
      <w:r w:rsidRPr="009568A7">
        <w:rPr>
          <w:color w:val="000000" w:themeColor="text1"/>
        </w:rPr>
        <w:t xml:space="preserve"> 282</w:t>
      </w:r>
      <w:r w:rsidR="00D337A2">
        <w:rPr>
          <w:color w:val="000000" w:themeColor="text1"/>
        </w:rPr>
        <w:t>-</w:t>
      </w:r>
      <w:r w:rsidRPr="009568A7">
        <w:rPr>
          <w:color w:val="000000" w:themeColor="text1"/>
        </w:rPr>
        <w:t>303.</w:t>
      </w:r>
    </w:p>
    <w:p w14:paraId="5983E98C" w14:textId="353D736B" w:rsidR="00DF7087" w:rsidRPr="00CF0E6D" w:rsidRDefault="00DF7087" w:rsidP="00DF7087">
      <w:pPr>
        <w:ind w:left="540" w:hanging="540"/>
        <w:jc w:val="both"/>
      </w:pPr>
      <w:proofErr w:type="spellStart"/>
      <w:r w:rsidRPr="00CF0E6D">
        <w:t>Carillo</w:t>
      </w:r>
      <w:proofErr w:type="spellEnd"/>
      <w:r w:rsidRPr="00CF0E6D">
        <w:t xml:space="preserve">, K., </w:t>
      </w:r>
      <w:proofErr w:type="spellStart"/>
      <w:r w:rsidRPr="00CF0E6D">
        <w:t>Cachat</w:t>
      </w:r>
      <w:proofErr w:type="spellEnd"/>
      <w:r w:rsidRPr="00CF0E6D">
        <w:t xml:space="preserve">-Rosset, G., Marsan, J., Saba, T., </w:t>
      </w:r>
      <w:proofErr w:type="spellStart"/>
      <w:r w:rsidRPr="00CF0E6D">
        <w:t>Klarsfeld</w:t>
      </w:r>
      <w:proofErr w:type="spellEnd"/>
      <w:r w:rsidRPr="00CF0E6D">
        <w:t xml:space="preserve">, A. (2021). Adjusting to epidemic-induced telework: Empirical insights from teleworkers in France. </w:t>
      </w:r>
      <w:r w:rsidRPr="00CF0E6D">
        <w:rPr>
          <w:i/>
          <w:iCs/>
        </w:rPr>
        <w:t>European Journal of Information Systems</w:t>
      </w:r>
      <w:r w:rsidRPr="001513C1">
        <w:t xml:space="preserve">, </w:t>
      </w:r>
      <w:r w:rsidRPr="00CF0E6D">
        <w:t xml:space="preserve">30, 69-88. </w:t>
      </w:r>
    </w:p>
    <w:p w14:paraId="1B0D043F" w14:textId="6E2EFC6C" w:rsidR="009568A7" w:rsidRDefault="00876D0A" w:rsidP="005A1783">
      <w:pPr>
        <w:ind w:left="540" w:hanging="540"/>
        <w:jc w:val="both"/>
        <w:rPr>
          <w:color w:val="000000" w:themeColor="text1"/>
        </w:rPr>
      </w:pPr>
      <w:proofErr w:type="spellStart"/>
      <w:r w:rsidRPr="009568A7">
        <w:rPr>
          <w:color w:val="000000" w:themeColor="text1"/>
        </w:rPr>
        <w:t>Cerqueira</w:t>
      </w:r>
      <w:proofErr w:type="spellEnd"/>
      <w:r w:rsidRPr="009568A7">
        <w:rPr>
          <w:color w:val="000000" w:themeColor="text1"/>
        </w:rPr>
        <w:t>, E. D., Motte-</w:t>
      </w:r>
      <w:proofErr w:type="spellStart"/>
      <w:r w:rsidRPr="009568A7">
        <w:rPr>
          <w:color w:val="000000" w:themeColor="text1"/>
        </w:rPr>
        <w:t>Baumvol</w:t>
      </w:r>
      <w:proofErr w:type="spellEnd"/>
      <w:r w:rsidRPr="009568A7">
        <w:rPr>
          <w:color w:val="000000" w:themeColor="text1"/>
        </w:rPr>
        <w:t xml:space="preserve">, B., </w:t>
      </w:r>
      <w:proofErr w:type="spellStart"/>
      <w:r w:rsidRPr="009568A7">
        <w:rPr>
          <w:color w:val="000000" w:themeColor="text1"/>
        </w:rPr>
        <w:t>Chevallier</w:t>
      </w:r>
      <w:proofErr w:type="spellEnd"/>
      <w:r w:rsidRPr="009568A7">
        <w:rPr>
          <w:color w:val="000000" w:themeColor="text1"/>
        </w:rPr>
        <w:t>, L. B., Bonin, O. (2020). Does working from home reduce CO</w:t>
      </w:r>
      <w:r w:rsidRPr="009568A7">
        <w:rPr>
          <w:color w:val="000000" w:themeColor="text1"/>
          <w:position w:val="-2"/>
        </w:rPr>
        <w:t xml:space="preserve">2 </w:t>
      </w:r>
      <w:r w:rsidRPr="009568A7">
        <w:rPr>
          <w:color w:val="000000" w:themeColor="text1"/>
        </w:rPr>
        <w:t xml:space="preserve">emissions? An analysis of travel patterns as dictated by workplaces. </w:t>
      </w:r>
      <w:r w:rsidRPr="009568A7">
        <w:rPr>
          <w:i/>
          <w:iCs/>
          <w:color w:val="000000" w:themeColor="text1"/>
        </w:rPr>
        <w:t>Transportation Research Part D</w:t>
      </w:r>
      <w:r w:rsidRPr="00D337A2">
        <w:rPr>
          <w:color w:val="000000" w:themeColor="text1"/>
        </w:rPr>
        <w:t>, 83</w:t>
      </w:r>
      <w:r w:rsidRPr="009568A7">
        <w:rPr>
          <w:color w:val="000000" w:themeColor="text1"/>
        </w:rPr>
        <w:t xml:space="preserve">, </w:t>
      </w:r>
      <w:r w:rsidR="008F052D">
        <w:rPr>
          <w:color w:val="000000" w:themeColor="text1"/>
        </w:rPr>
        <w:t>102338</w:t>
      </w:r>
      <w:r w:rsidRPr="009568A7">
        <w:rPr>
          <w:color w:val="000000" w:themeColor="text1"/>
        </w:rPr>
        <w:t>.</w:t>
      </w:r>
    </w:p>
    <w:p w14:paraId="5E664AE6" w14:textId="6D799886" w:rsidR="00F34B0C" w:rsidRPr="009568A7" w:rsidRDefault="00F34B0C" w:rsidP="005A1783">
      <w:pPr>
        <w:ind w:left="540" w:hanging="540"/>
        <w:jc w:val="both"/>
        <w:rPr>
          <w:color w:val="000000" w:themeColor="text1"/>
        </w:rPr>
      </w:pPr>
      <w:r w:rsidRPr="009568A7">
        <w:rPr>
          <w:color w:val="000000" w:themeColor="text1"/>
        </w:rPr>
        <w:t xml:space="preserve">Chauhan, R.S., Bhagat-Conway, M.W., Capasso da Silva, D., Salon, D., </w:t>
      </w:r>
      <w:proofErr w:type="spellStart"/>
      <w:r w:rsidRPr="009568A7">
        <w:rPr>
          <w:color w:val="000000" w:themeColor="text1"/>
        </w:rPr>
        <w:t>Shamshiripour</w:t>
      </w:r>
      <w:proofErr w:type="spellEnd"/>
      <w:r w:rsidRPr="009568A7">
        <w:rPr>
          <w:color w:val="000000" w:themeColor="text1"/>
        </w:rPr>
        <w:t xml:space="preserve">, A., Rahimi, E., Khoeini, S., Mohammadian, A., </w:t>
      </w:r>
      <w:proofErr w:type="spellStart"/>
      <w:r w:rsidRPr="009568A7">
        <w:rPr>
          <w:color w:val="000000" w:themeColor="text1"/>
        </w:rPr>
        <w:t>Derrible</w:t>
      </w:r>
      <w:proofErr w:type="spellEnd"/>
      <w:r w:rsidRPr="009568A7">
        <w:rPr>
          <w:color w:val="000000" w:themeColor="text1"/>
        </w:rPr>
        <w:t xml:space="preserve">, S., Pendyala, R.M. (2021) A </w:t>
      </w:r>
      <w:r w:rsidR="001513C1">
        <w:rPr>
          <w:color w:val="000000" w:themeColor="text1"/>
        </w:rPr>
        <w:t>d</w:t>
      </w:r>
      <w:r w:rsidRPr="009568A7">
        <w:rPr>
          <w:color w:val="000000" w:themeColor="text1"/>
        </w:rPr>
        <w:t xml:space="preserve">atabase of </w:t>
      </w:r>
      <w:r w:rsidR="001513C1">
        <w:rPr>
          <w:color w:val="000000" w:themeColor="text1"/>
        </w:rPr>
        <w:t>t</w:t>
      </w:r>
      <w:r w:rsidRPr="009568A7">
        <w:rPr>
          <w:color w:val="000000" w:themeColor="text1"/>
        </w:rPr>
        <w:t xml:space="preserve">ravel-related </w:t>
      </w:r>
      <w:r w:rsidR="001513C1">
        <w:rPr>
          <w:color w:val="000000" w:themeColor="text1"/>
        </w:rPr>
        <w:t>b</w:t>
      </w:r>
      <w:r w:rsidRPr="009568A7">
        <w:rPr>
          <w:color w:val="000000" w:themeColor="text1"/>
        </w:rPr>
        <w:t xml:space="preserve">ehaviors and </w:t>
      </w:r>
      <w:r w:rsidR="001513C1">
        <w:rPr>
          <w:color w:val="000000" w:themeColor="text1"/>
        </w:rPr>
        <w:t>a</w:t>
      </w:r>
      <w:r w:rsidRPr="009568A7">
        <w:rPr>
          <w:color w:val="000000" w:themeColor="text1"/>
        </w:rPr>
        <w:t xml:space="preserve">ttitudes </w:t>
      </w:r>
      <w:r w:rsidR="001513C1">
        <w:rPr>
          <w:color w:val="000000" w:themeColor="text1"/>
        </w:rPr>
        <w:t>b</w:t>
      </w:r>
      <w:r w:rsidRPr="009568A7">
        <w:rPr>
          <w:color w:val="000000" w:themeColor="text1"/>
        </w:rPr>
        <w:t xml:space="preserve">efore, </w:t>
      </w:r>
      <w:r w:rsidR="001513C1">
        <w:rPr>
          <w:color w:val="000000" w:themeColor="text1"/>
        </w:rPr>
        <w:t>d</w:t>
      </w:r>
      <w:r w:rsidRPr="009568A7">
        <w:rPr>
          <w:color w:val="000000" w:themeColor="text1"/>
        </w:rPr>
        <w:t xml:space="preserve">uring, and </w:t>
      </w:r>
      <w:r w:rsidR="001513C1">
        <w:rPr>
          <w:color w:val="000000" w:themeColor="text1"/>
        </w:rPr>
        <w:t>a</w:t>
      </w:r>
      <w:r w:rsidRPr="009568A7">
        <w:rPr>
          <w:color w:val="000000" w:themeColor="text1"/>
        </w:rPr>
        <w:t xml:space="preserve">fter COVID-19 in the United States. </w:t>
      </w:r>
      <w:r w:rsidRPr="009568A7">
        <w:rPr>
          <w:i/>
          <w:iCs/>
          <w:color w:val="000000" w:themeColor="text1"/>
        </w:rPr>
        <w:t>Scientific Data</w:t>
      </w:r>
      <w:r w:rsidRPr="009568A7">
        <w:rPr>
          <w:color w:val="000000" w:themeColor="text1"/>
        </w:rPr>
        <w:t xml:space="preserve">, 8, 245. </w:t>
      </w:r>
    </w:p>
    <w:p w14:paraId="02668AA3" w14:textId="2606C747" w:rsidR="00876D0A" w:rsidRDefault="00876D0A" w:rsidP="005A1783">
      <w:pPr>
        <w:pStyle w:val="NormalWeb"/>
        <w:spacing w:before="0" w:beforeAutospacing="0" w:after="0" w:afterAutospacing="0"/>
        <w:ind w:left="540" w:hanging="540"/>
        <w:jc w:val="both"/>
        <w:rPr>
          <w:color w:val="000000" w:themeColor="text1"/>
          <w:shd w:val="clear" w:color="auto" w:fill="FFFFFF"/>
        </w:rPr>
      </w:pPr>
      <w:r w:rsidRPr="009568A7">
        <w:t xml:space="preserve">Cooper, J., </w:t>
      </w:r>
      <w:r w:rsidRPr="009568A7">
        <w:rPr>
          <w:color w:val="000000" w:themeColor="text1"/>
        </w:rPr>
        <w:t xml:space="preserve">Feldman, L. A. (2020). </w:t>
      </w:r>
      <w:r w:rsidRPr="009568A7">
        <w:rPr>
          <w:color w:val="000000" w:themeColor="text1"/>
          <w:shd w:val="clear" w:color="auto" w:fill="FFFFFF"/>
        </w:rPr>
        <w:t>Helping the “</w:t>
      </w:r>
      <w:r w:rsidR="001513C1">
        <w:rPr>
          <w:color w:val="000000" w:themeColor="text1"/>
          <w:shd w:val="clear" w:color="auto" w:fill="FFFFFF"/>
        </w:rPr>
        <w:t>c</w:t>
      </w:r>
      <w:r w:rsidRPr="009568A7">
        <w:rPr>
          <w:color w:val="000000" w:themeColor="text1"/>
          <w:shd w:val="clear" w:color="auto" w:fill="FFFFFF"/>
        </w:rPr>
        <w:t xml:space="preserve">ouch </w:t>
      </w:r>
      <w:r w:rsidR="001513C1">
        <w:rPr>
          <w:color w:val="000000" w:themeColor="text1"/>
          <w:shd w:val="clear" w:color="auto" w:fill="FFFFFF"/>
        </w:rPr>
        <w:t>p</w:t>
      </w:r>
      <w:r w:rsidRPr="009568A7">
        <w:rPr>
          <w:color w:val="000000" w:themeColor="text1"/>
          <w:shd w:val="clear" w:color="auto" w:fill="FFFFFF"/>
        </w:rPr>
        <w:t xml:space="preserve">otato”: A </w:t>
      </w:r>
      <w:r w:rsidR="001513C1">
        <w:rPr>
          <w:color w:val="000000" w:themeColor="text1"/>
          <w:shd w:val="clear" w:color="auto" w:fill="FFFFFF"/>
        </w:rPr>
        <w:t>c</w:t>
      </w:r>
      <w:r w:rsidRPr="009568A7">
        <w:rPr>
          <w:color w:val="000000" w:themeColor="text1"/>
          <w:shd w:val="clear" w:color="auto" w:fill="FFFFFF"/>
        </w:rPr>
        <w:t xml:space="preserve">ognitive </w:t>
      </w:r>
      <w:r w:rsidR="001513C1">
        <w:rPr>
          <w:color w:val="000000" w:themeColor="text1"/>
          <w:shd w:val="clear" w:color="auto" w:fill="FFFFFF"/>
        </w:rPr>
        <w:t>d</w:t>
      </w:r>
      <w:r w:rsidRPr="009568A7">
        <w:rPr>
          <w:color w:val="000000" w:themeColor="text1"/>
          <w:shd w:val="clear" w:color="auto" w:fill="FFFFFF"/>
        </w:rPr>
        <w:t xml:space="preserve">issonance </w:t>
      </w:r>
      <w:r w:rsidR="001513C1">
        <w:rPr>
          <w:color w:val="000000" w:themeColor="text1"/>
          <w:shd w:val="clear" w:color="auto" w:fill="FFFFFF"/>
        </w:rPr>
        <w:t>a</w:t>
      </w:r>
      <w:r w:rsidRPr="009568A7">
        <w:rPr>
          <w:color w:val="000000" w:themeColor="text1"/>
          <w:shd w:val="clear" w:color="auto" w:fill="FFFFFF"/>
        </w:rPr>
        <w:t xml:space="preserve">pproach to </w:t>
      </w:r>
      <w:r w:rsidR="001513C1">
        <w:rPr>
          <w:color w:val="000000" w:themeColor="text1"/>
          <w:shd w:val="clear" w:color="auto" w:fill="FFFFFF"/>
        </w:rPr>
        <w:t>i</w:t>
      </w:r>
      <w:r w:rsidRPr="009568A7">
        <w:rPr>
          <w:color w:val="000000" w:themeColor="text1"/>
          <w:shd w:val="clear" w:color="auto" w:fill="FFFFFF"/>
        </w:rPr>
        <w:t xml:space="preserve">ncreasing </w:t>
      </w:r>
      <w:r w:rsidR="001513C1">
        <w:rPr>
          <w:color w:val="000000" w:themeColor="text1"/>
          <w:shd w:val="clear" w:color="auto" w:fill="FFFFFF"/>
        </w:rPr>
        <w:t>e</w:t>
      </w:r>
      <w:r w:rsidRPr="009568A7">
        <w:rPr>
          <w:color w:val="000000" w:themeColor="text1"/>
          <w:shd w:val="clear" w:color="auto" w:fill="FFFFFF"/>
        </w:rPr>
        <w:t xml:space="preserve">xercise in the </w:t>
      </w:r>
      <w:r w:rsidR="001513C1">
        <w:rPr>
          <w:color w:val="000000" w:themeColor="text1"/>
          <w:shd w:val="clear" w:color="auto" w:fill="FFFFFF"/>
        </w:rPr>
        <w:t>e</w:t>
      </w:r>
      <w:r w:rsidRPr="009568A7">
        <w:rPr>
          <w:color w:val="000000" w:themeColor="text1"/>
          <w:shd w:val="clear" w:color="auto" w:fill="FFFFFF"/>
        </w:rPr>
        <w:t xml:space="preserve">lderly. </w:t>
      </w:r>
      <w:r w:rsidRPr="007C1B88">
        <w:rPr>
          <w:i/>
          <w:iCs/>
          <w:color w:val="000000" w:themeColor="text1"/>
          <w:shd w:val="clear" w:color="auto" w:fill="FFFFFF"/>
        </w:rPr>
        <w:t>Journal of Applied Social Psychology</w:t>
      </w:r>
      <w:r w:rsidRPr="009568A7">
        <w:rPr>
          <w:color w:val="000000" w:themeColor="text1"/>
          <w:shd w:val="clear" w:color="auto" w:fill="FFFFFF"/>
        </w:rPr>
        <w:t>, 50</w:t>
      </w:r>
      <w:r w:rsidR="001513C1">
        <w:rPr>
          <w:color w:val="000000" w:themeColor="text1"/>
          <w:shd w:val="clear" w:color="auto" w:fill="FFFFFF"/>
        </w:rPr>
        <w:t>(1)</w:t>
      </w:r>
      <w:r w:rsidRPr="009568A7">
        <w:rPr>
          <w:color w:val="000000" w:themeColor="text1"/>
          <w:shd w:val="clear" w:color="auto" w:fill="FFFFFF"/>
        </w:rPr>
        <w:t>, 33-40.</w:t>
      </w:r>
    </w:p>
    <w:p w14:paraId="44991C30" w14:textId="2347AE5A" w:rsidR="00D714C2" w:rsidRPr="009568A7" w:rsidRDefault="00D714C2" w:rsidP="005A1783">
      <w:pPr>
        <w:pStyle w:val="NormalWeb"/>
        <w:spacing w:before="0" w:beforeAutospacing="0" w:after="0" w:afterAutospacing="0"/>
        <w:ind w:left="540" w:hanging="540"/>
        <w:jc w:val="both"/>
        <w:rPr>
          <w:color w:val="000000" w:themeColor="text1"/>
          <w:shd w:val="clear" w:color="auto" w:fill="FFFFFF"/>
        </w:rPr>
      </w:pPr>
      <w:r w:rsidRPr="00D714C2">
        <w:rPr>
          <w:color w:val="000000" w:themeColor="text1"/>
          <w:shd w:val="clear" w:color="auto" w:fill="FFFFFF"/>
        </w:rPr>
        <w:t xml:space="preserve">Dannemiller, K. A., Asmussen, K. E., Mondal, A., Bhat, C. R. (2023). Autonomous vehicle impacts on travel-based activity and activity-based travel. </w:t>
      </w:r>
      <w:r w:rsidRPr="007C1B88">
        <w:rPr>
          <w:i/>
          <w:iCs/>
          <w:color w:val="000000" w:themeColor="text1"/>
          <w:shd w:val="clear" w:color="auto" w:fill="FFFFFF"/>
        </w:rPr>
        <w:t xml:space="preserve">Transportation </w:t>
      </w:r>
      <w:r>
        <w:rPr>
          <w:i/>
          <w:iCs/>
          <w:color w:val="000000" w:themeColor="text1"/>
          <w:shd w:val="clear" w:color="auto" w:fill="FFFFFF"/>
        </w:rPr>
        <w:t>R</w:t>
      </w:r>
      <w:r w:rsidRPr="007C1B88">
        <w:rPr>
          <w:i/>
          <w:iCs/>
          <w:color w:val="000000" w:themeColor="text1"/>
          <w:shd w:val="clear" w:color="auto" w:fill="FFFFFF"/>
        </w:rPr>
        <w:t>esearch</w:t>
      </w:r>
      <w:r>
        <w:rPr>
          <w:i/>
          <w:iCs/>
          <w:color w:val="000000" w:themeColor="text1"/>
          <w:shd w:val="clear" w:color="auto" w:fill="FFFFFF"/>
        </w:rPr>
        <w:t xml:space="preserve"> P</w:t>
      </w:r>
      <w:r w:rsidRPr="007C1B88">
        <w:rPr>
          <w:i/>
          <w:iCs/>
          <w:color w:val="000000" w:themeColor="text1"/>
          <w:shd w:val="clear" w:color="auto" w:fill="FFFFFF"/>
        </w:rPr>
        <w:t>art C</w:t>
      </w:r>
      <w:r w:rsidRPr="00D714C2">
        <w:rPr>
          <w:color w:val="000000" w:themeColor="text1"/>
          <w:shd w:val="clear" w:color="auto" w:fill="FFFFFF"/>
        </w:rPr>
        <w:t>, 150, 104107.</w:t>
      </w:r>
    </w:p>
    <w:p w14:paraId="4BE9721E" w14:textId="77777777" w:rsidR="001513C1" w:rsidRDefault="00876D0A" w:rsidP="001513C1">
      <w:pPr>
        <w:pStyle w:val="NormalWeb"/>
        <w:spacing w:before="0" w:beforeAutospacing="0" w:after="0" w:afterAutospacing="0"/>
        <w:ind w:left="540" w:hanging="540"/>
        <w:jc w:val="both"/>
      </w:pPr>
      <w:r w:rsidRPr="009568A7">
        <w:lastRenderedPageBreak/>
        <w:t xml:space="preserve">Dey, M., </w:t>
      </w:r>
      <w:proofErr w:type="spellStart"/>
      <w:r w:rsidRPr="009568A7">
        <w:t>Frazis</w:t>
      </w:r>
      <w:proofErr w:type="spellEnd"/>
      <w:r w:rsidRPr="009568A7">
        <w:t xml:space="preserve">, H., Loewenstein, M. A., Sun, H. (2020). Ability to </w:t>
      </w:r>
      <w:r w:rsidR="001513C1">
        <w:t>w</w:t>
      </w:r>
      <w:r w:rsidRPr="009568A7">
        <w:t xml:space="preserve">ork </w:t>
      </w:r>
      <w:r w:rsidR="001513C1">
        <w:t>f</w:t>
      </w:r>
      <w:r w:rsidRPr="009568A7">
        <w:t xml:space="preserve">rom </w:t>
      </w:r>
      <w:r w:rsidR="001513C1">
        <w:t>h</w:t>
      </w:r>
      <w:r w:rsidRPr="009568A7">
        <w:t xml:space="preserve">ome: Evidence </w:t>
      </w:r>
      <w:r w:rsidR="001513C1">
        <w:t>f</w:t>
      </w:r>
      <w:r w:rsidRPr="009568A7">
        <w:t xml:space="preserve">rom </w:t>
      </w:r>
      <w:r w:rsidR="001513C1">
        <w:t>t</w:t>
      </w:r>
      <w:r w:rsidRPr="009568A7">
        <w:t xml:space="preserve">wo </w:t>
      </w:r>
      <w:r w:rsidR="001513C1">
        <w:t>s</w:t>
      </w:r>
      <w:r w:rsidRPr="009568A7">
        <w:t xml:space="preserve">urveys and </w:t>
      </w:r>
      <w:r w:rsidR="001513C1">
        <w:t>i</w:t>
      </w:r>
      <w:r w:rsidRPr="009568A7">
        <w:t xml:space="preserve">mplications for the </w:t>
      </w:r>
      <w:r w:rsidR="001513C1">
        <w:t>l</w:t>
      </w:r>
      <w:r w:rsidRPr="009568A7">
        <w:t xml:space="preserve">abor </w:t>
      </w:r>
      <w:r w:rsidR="001513C1">
        <w:t>m</w:t>
      </w:r>
      <w:r w:rsidRPr="009568A7">
        <w:t xml:space="preserve">arket in the COVID-19 </w:t>
      </w:r>
      <w:r w:rsidR="001513C1">
        <w:t>p</w:t>
      </w:r>
      <w:r w:rsidRPr="009568A7">
        <w:t xml:space="preserve">andemic. Monthly Labor Review, U.S. Bureau of Labor Statistics.  </w:t>
      </w:r>
      <w:hyperlink r:id="rId223" w:history="1">
        <w:r w:rsidR="009568A7" w:rsidRPr="001D7C38">
          <w:rPr>
            <w:rStyle w:val="Hyperlink"/>
          </w:rPr>
          <w:t>https://www.bls.gov/opub/mlr/2020/article/ability-to-work-from-home.htm</w:t>
        </w:r>
      </w:hyperlink>
      <w:r w:rsidRPr="009568A7">
        <w:t>. Accessed April 13, 2023</w:t>
      </w:r>
      <w:r w:rsidR="00A550BD" w:rsidRPr="009568A7">
        <w:t>.</w:t>
      </w:r>
    </w:p>
    <w:p w14:paraId="4475D110" w14:textId="02EC9601" w:rsidR="00876D0A" w:rsidRPr="009568A7" w:rsidRDefault="00876D0A" w:rsidP="001513C1">
      <w:pPr>
        <w:pStyle w:val="NormalWeb"/>
        <w:spacing w:before="0" w:beforeAutospacing="0" w:after="0" w:afterAutospacing="0"/>
        <w:ind w:left="540" w:hanging="540"/>
        <w:jc w:val="both"/>
      </w:pPr>
      <w:r w:rsidRPr="001513C1">
        <w:t xml:space="preserve">De Vos, J. (2018). </w:t>
      </w:r>
      <w:r w:rsidR="001513C1" w:rsidRPr="001513C1">
        <w:rPr>
          <w:rFonts w:eastAsiaTheme="majorEastAsia"/>
        </w:rPr>
        <w:t xml:space="preserve">Do people travel with their preferred travel mode? </w:t>
      </w:r>
      <w:proofErr w:type="spellStart"/>
      <w:r w:rsidR="001513C1" w:rsidRPr="001513C1">
        <w:rPr>
          <w:rFonts w:eastAsiaTheme="majorEastAsia"/>
        </w:rPr>
        <w:t>Analysing</w:t>
      </w:r>
      <w:proofErr w:type="spellEnd"/>
      <w:r w:rsidR="001513C1" w:rsidRPr="001513C1">
        <w:rPr>
          <w:rFonts w:eastAsiaTheme="majorEastAsia"/>
        </w:rPr>
        <w:t xml:space="preserve"> the extent of travel mode dissonance and its effect on travel satisfaction</w:t>
      </w:r>
      <w:r w:rsidRPr="009568A7">
        <w:t xml:space="preserve">. </w:t>
      </w:r>
      <w:r w:rsidRPr="009568A7">
        <w:rPr>
          <w:i/>
          <w:iCs/>
        </w:rPr>
        <w:t>Transportation Research Part A</w:t>
      </w:r>
      <w:r w:rsidRPr="008F052D">
        <w:t>, 117</w:t>
      </w:r>
      <w:r w:rsidRPr="001513C1">
        <w:t>,</w:t>
      </w:r>
      <w:r w:rsidRPr="009568A7">
        <w:rPr>
          <w:i/>
          <w:iCs/>
        </w:rPr>
        <w:t xml:space="preserve"> </w:t>
      </w:r>
      <w:r w:rsidRPr="009568A7">
        <w:t xml:space="preserve">261-274. </w:t>
      </w:r>
    </w:p>
    <w:p w14:paraId="5AFDB530" w14:textId="7C43225A" w:rsidR="00876D0A" w:rsidRPr="009568A7" w:rsidRDefault="00876D0A" w:rsidP="00C960B0">
      <w:pPr>
        <w:pStyle w:val="NormalWeb"/>
        <w:spacing w:before="0" w:beforeAutospacing="0" w:after="0" w:afterAutospacing="0"/>
        <w:ind w:left="540" w:hanging="540"/>
        <w:jc w:val="both"/>
        <w:rPr>
          <w:i/>
          <w:iCs/>
        </w:rPr>
      </w:pPr>
      <w:r w:rsidRPr="009568A7">
        <w:t xml:space="preserve">De Vos, J., Singleton, P. A. (2020). Travel and </w:t>
      </w:r>
      <w:r w:rsidR="001513C1">
        <w:t>c</w:t>
      </w:r>
      <w:r w:rsidRPr="009568A7">
        <w:t xml:space="preserve">ognitive </w:t>
      </w:r>
      <w:r w:rsidR="001513C1">
        <w:t>d</w:t>
      </w:r>
      <w:r w:rsidRPr="009568A7">
        <w:t xml:space="preserve">issonance. </w:t>
      </w:r>
      <w:r w:rsidRPr="009568A7">
        <w:rPr>
          <w:i/>
          <w:iCs/>
        </w:rPr>
        <w:t>Transportation Research Part A</w:t>
      </w:r>
      <w:r w:rsidRPr="008F052D">
        <w:t>, 138,</w:t>
      </w:r>
      <w:r w:rsidRPr="009568A7">
        <w:t xml:space="preserve"> 525-536.</w:t>
      </w:r>
    </w:p>
    <w:p w14:paraId="345D6D53" w14:textId="7620C33C" w:rsidR="00876D0A" w:rsidRPr="009568A7" w:rsidRDefault="00876D0A" w:rsidP="00C960B0">
      <w:pPr>
        <w:pStyle w:val="NormalWeb"/>
        <w:keepNext/>
        <w:keepLines/>
        <w:spacing w:before="0" w:beforeAutospacing="0" w:after="0" w:afterAutospacing="0"/>
        <w:ind w:left="547" w:hanging="547"/>
        <w:jc w:val="both"/>
      </w:pPr>
      <w:r w:rsidRPr="009568A7">
        <w:t xml:space="preserve">Dowling, B., Goldstein, D., Park, M., Price, H. (2022). Hybrid </w:t>
      </w:r>
      <w:r w:rsidR="001513C1">
        <w:t>w</w:t>
      </w:r>
      <w:r w:rsidRPr="009568A7">
        <w:t xml:space="preserve">ork: Making </w:t>
      </w:r>
      <w:r w:rsidR="001513C1">
        <w:t>i</w:t>
      </w:r>
      <w:r w:rsidRPr="009568A7">
        <w:t xml:space="preserve">t </w:t>
      </w:r>
      <w:r w:rsidR="001513C1">
        <w:t>f</w:t>
      </w:r>
      <w:r w:rsidRPr="009568A7">
        <w:t xml:space="preserve">it </w:t>
      </w:r>
      <w:r w:rsidR="001513C1">
        <w:t>w</w:t>
      </w:r>
      <w:r w:rsidRPr="009568A7">
        <w:t xml:space="preserve">ith </w:t>
      </w:r>
      <w:r w:rsidR="001513C1">
        <w:t>y</w:t>
      </w:r>
      <w:r w:rsidRPr="009568A7">
        <w:t xml:space="preserve">our </w:t>
      </w:r>
      <w:r w:rsidR="001513C1">
        <w:t>d</w:t>
      </w:r>
      <w:r w:rsidRPr="009568A7">
        <w:t xml:space="preserve">iversity, </w:t>
      </w:r>
      <w:r w:rsidR="001513C1">
        <w:t>e</w:t>
      </w:r>
      <w:r w:rsidRPr="009568A7">
        <w:t xml:space="preserve">quity, and </w:t>
      </w:r>
      <w:r w:rsidR="001513C1">
        <w:t>i</w:t>
      </w:r>
      <w:r w:rsidRPr="009568A7">
        <w:t xml:space="preserve">nclusion </w:t>
      </w:r>
      <w:r w:rsidR="001513C1">
        <w:t>s</w:t>
      </w:r>
      <w:r w:rsidRPr="009568A7">
        <w:t xml:space="preserve">trategy. </w:t>
      </w:r>
      <w:r w:rsidRPr="009568A7">
        <w:rPr>
          <w:i/>
          <w:iCs/>
        </w:rPr>
        <w:t>McKinsey and Company</w:t>
      </w:r>
      <w:r w:rsidRPr="009568A7">
        <w:t xml:space="preserve">. </w:t>
      </w:r>
      <w:hyperlink r:id="rId224" w:history="1">
        <w:r w:rsidRPr="009568A7">
          <w:rPr>
            <w:rStyle w:val="Hyperlink"/>
          </w:rPr>
          <w:t>https://www.mckinsey.com/capabilities/people-and-organizational-performance/our-insights/hybrid-work-making-it-fit-with-your-diversity-equity-and-inclusion-strategy</w:t>
        </w:r>
      </w:hyperlink>
      <w:r w:rsidRPr="00B54E51">
        <w:rPr>
          <w:rStyle w:val="Hyperlink"/>
          <w:color w:val="auto"/>
          <w:u w:val="none"/>
        </w:rPr>
        <w:t>.</w:t>
      </w:r>
      <w:r w:rsidRPr="009568A7">
        <w:rPr>
          <w:rStyle w:val="Hyperlink"/>
        </w:rPr>
        <w:t xml:space="preserve"> </w:t>
      </w:r>
      <w:r w:rsidRPr="009568A7">
        <w:t>Accessed April 13, 2023.</w:t>
      </w:r>
    </w:p>
    <w:p w14:paraId="76AFD381" w14:textId="1D5DFB50" w:rsidR="00876D0A" w:rsidRPr="009568A7" w:rsidRDefault="00876D0A" w:rsidP="00C960B0">
      <w:pPr>
        <w:pStyle w:val="NormalWeb"/>
        <w:spacing w:before="0" w:beforeAutospacing="0" w:after="0" w:afterAutospacing="0"/>
        <w:ind w:left="540" w:hanging="540"/>
        <w:jc w:val="both"/>
      </w:pPr>
      <w:proofErr w:type="spellStart"/>
      <w:r w:rsidRPr="009568A7">
        <w:t>Dua</w:t>
      </w:r>
      <w:proofErr w:type="spellEnd"/>
      <w:r w:rsidRPr="009568A7">
        <w:t xml:space="preserve">, A., </w:t>
      </w:r>
      <w:proofErr w:type="spellStart"/>
      <w:r w:rsidRPr="009568A7">
        <w:t>Ellingrud</w:t>
      </w:r>
      <w:proofErr w:type="spellEnd"/>
      <w:r w:rsidRPr="009568A7">
        <w:t xml:space="preserve">, K., Kirschner, P., Kwok, A., </w:t>
      </w:r>
      <w:proofErr w:type="spellStart"/>
      <w:r w:rsidRPr="009568A7">
        <w:t>Luby</w:t>
      </w:r>
      <w:proofErr w:type="spellEnd"/>
      <w:r w:rsidRPr="009568A7">
        <w:t xml:space="preserve">, R., Palter, R., Pemberton, S. (2022). Americans </w:t>
      </w:r>
      <w:r w:rsidR="00D2447C">
        <w:t>a</w:t>
      </w:r>
      <w:r w:rsidRPr="009568A7">
        <w:t xml:space="preserve">re </w:t>
      </w:r>
      <w:r w:rsidR="00C960B0">
        <w:t>e</w:t>
      </w:r>
      <w:r w:rsidRPr="009568A7">
        <w:t xml:space="preserve">mbracing </w:t>
      </w:r>
      <w:r w:rsidR="00C960B0">
        <w:t>f</w:t>
      </w:r>
      <w:r w:rsidRPr="009568A7">
        <w:t xml:space="preserve">lexible </w:t>
      </w:r>
      <w:r w:rsidR="00C960B0">
        <w:t>w</w:t>
      </w:r>
      <w:r w:rsidRPr="009568A7">
        <w:t>ork</w:t>
      </w:r>
      <w:r w:rsidR="00C960B0">
        <w:t>–a</w:t>
      </w:r>
      <w:r w:rsidRPr="009568A7">
        <w:t xml:space="preserve">nd </w:t>
      </w:r>
      <w:r w:rsidR="00C960B0">
        <w:t>t</w:t>
      </w:r>
      <w:r w:rsidRPr="009568A7">
        <w:t xml:space="preserve">hey </w:t>
      </w:r>
      <w:r w:rsidR="00C960B0">
        <w:t>w</w:t>
      </w:r>
      <w:r w:rsidRPr="009568A7">
        <w:t xml:space="preserve">ant </w:t>
      </w:r>
      <w:r w:rsidR="00C960B0">
        <w:t>m</w:t>
      </w:r>
      <w:r w:rsidRPr="009568A7">
        <w:t xml:space="preserve">ore of </w:t>
      </w:r>
      <w:r w:rsidR="00C960B0">
        <w:t>i</w:t>
      </w:r>
      <w:r w:rsidRPr="009568A7">
        <w:t xml:space="preserve">t. </w:t>
      </w:r>
      <w:r w:rsidRPr="009568A7">
        <w:rPr>
          <w:i/>
          <w:iCs/>
        </w:rPr>
        <w:t>McKinsey and Company</w:t>
      </w:r>
      <w:r w:rsidRPr="009568A7">
        <w:t xml:space="preserve">. </w:t>
      </w:r>
    </w:p>
    <w:p w14:paraId="4DE4EEDF" w14:textId="6C9D5095" w:rsidR="007C31CA" w:rsidRPr="009568A7" w:rsidRDefault="007C31CA" w:rsidP="00C960B0">
      <w:pPr>
        <w:pStyle w:val="NormalWeb"/>
        <w:spacing w:before="0" w:beforeAutospacing="0" w:after="0" w:afterAutospacing="0"/>
        <w:ind w:left="540" w:hanging="540"/>
        <w:jc w:val="both"/>
        <w:rPr>
          <w:color w:val="212121"/>
        </w:rPr>
      </w:pPr>
      <w:r w:rsidRPr="009568A7">
        <w:rPr>
          <w:color w:val="212121"/>
        </w:rPr>
        <w:t xml:space="preserve">Duque, M., Pink, S., </w:t>
      </w:r>
      <w:proofErr w:type="spellStart"/>
      <w:r w:rsidRPr="009568A7">
        <w:rPr>
          <w:color w:val="212121"/>
        </w:rPr>
        <w:t>Sumartojo</w:t>
      </w:r>
      <w:proofErr w:type="spellEnd"/>
      <w:r w:rsidRPr="009568A7">
        <w:rPr>
          <w:color w:val="212121"/>
        </w:rPr>
        <w:t xml:space="preserve">, S., Vaughan, L. (2019). Homeliness in </w:t>
      </w:r>
      <w:r w:rsidR="00C960B0">
        <w:rPr>
          <w:color w:val="212121"/>
        </w:rPr>
        <w:t>h</w:t>
      </w:r>
      <w:r w:rsidRPr="009568A7">
        <w:rPr>
          <w:color w:val="212121"/>
        </w:rPr>
        <w:t xml:space="preserve">ealth </w:t>
      </w:r>
      <w:r w:rsidR="00C960B0">
        <w:rPr>
          <w:color w:val="212121"/>
        </w:rPr>
        <w:t>c</w:t>
      </w:r>
      <w:r w:rsidRPr="009568A7">
        <w:rPr>
          <w:color w:val="212121"/>
        </w:rPr>
        <w:t xml:space="preserve">are: The </w:t>
      </w:r>
      <w:r w:rsidR="00C960B0">
        <w:rPr>
          <w:color w:val="212121"/>
        </w:rPr>
        <w:t>r</w:t>
      </w:r>
      <w:r w:rsidRPr="009568A7">
        <w:rPr>
          <w:color w:val="212121"/>
        </w:rPr>
        <w:t xml:space="preserve">ole of </w:t>
      </w:r>
      <w:r w:rsidR="00C960B0">
        <w:rPr>
          <w:color w:val="212121"/>
        </w:rPr>
        <w:t>e</w:t>
      </w:r>
      <w:r w:rsidRPr="009568A7">
        <w:rPr>
          <w:color w:val="212121"/>
        </w:rPr>
        <w:t xml:space="preserve">veryday </w:t>
      </w:r>
      <w:r w:rsidR="00C960B0">
        <w:rPr>
          <w:color w:val="212121"/>
        </w:rPr>
        <w:t>d</w:t>
      </w:r>
      <w:r w:rsidRPr="009568A7">
        <w:rPr>
          <w:color w:val="212121"/>
        </w:rPr>
        <w:t xml:space="preserve">esigning. </w:t>
      </w:r>
      <w:r w:rsidRPr="009568A7">
        <w:rPr>
          <w:i/>
          <w:iCs/>
          <w:color w:val="212121"/>
        </w:rPr>
        <w:t>Home Cultures</w:t>
      </w:r>
      <w:r w:rsidRPr="009568A7">
        <w:rPr>
          <w:color w:val="212121"/>
        </w:rPr>
        <w:t xml:space="preserve">, </w:t>
      </w:r>
      <w:r w:rsidRPr="008F052D">
        <w:rPr>
          <w:color w:val="212121"/>
        </w:rPr>
        <w:t>16</w:t>
      </w:r>
      <w:r w:rsidRPr="009568A7">
        <w:rPr>
          <w:color w:val="212121"/>
        </w:rPr>
        <w:t xml:space="preserve">, 213-232. </w:t>
      </w:r>
    </w:p>
    <w:p w14:paraId="6AC18455" w14:textId="558BE19E" w:rsidR="00845284" w:rsidRPr="009568A7" w:rsidRDefault="00845284" w:rsidP="00C960B0">
      <w:pPr>
        <w:pStyle w:val="NormalWeb"/>
        <w:spacing w:before="0" w:beforeAutospacing="0" w:after="0" w:afterAutospacing="0"/>
        <w:ind w:left="540" w:hanging="540"/>
        <w:jc w:val="both"/>
      </w:pPr>
      <w:r w:rsidRPr="009568A7">
        <w:t xml:space="preserve">Eluru, N., Bhat, C. R., </w:t>
      </w:r>
      <w:proofErr w:type="spellStart"/>
      <w:r w:rsidRPr="009568A7">
        <w:t>Hensher</w:t>
      </w:r>
      <w:proofErr w:type="spellEnd"/>
      <w:r w:rsidRPr="009568A7">
        <w:t xml:space="preserve">, D. A. (2008). A </w:t>
      </w:r>
      <w:r w:rsidR="00C960B0">
        <w:t>m</w:t>
      </w:r>
      <w:r w:rsidRPr="009568A7">
        <w:t xml:space="preserve">ixed </w:t>
      </w:r>
      <w:r w:rsidR="00C960B0">
        <w:t>g</w:t>
      </w:r>
      <w:r w:rsidRPr="009568A7">
        <w:t xml:space="preserve">eneralized </w:t>
      </w:r>
      <w:r w:rsidR="00C960B0">
        <w:t>o</w:t>
      </w:r>
      <w:r w:rsidRPr="009568A7">
        <w:t xml:space="preserve">rdered </w:t>
      </w:r>
      <w:r w:rsidR="00C960B0">
        <w:t>r</w:t>
      </w:r>
      <w:r w:rsidRPr="009568A7">
        <w:t xml:space="preserve">esponse </w:t>
      </w:r>
      <w:r w:rsidR="00C960B0">
        <w:t>m</w:t>
      </w:r>
      <w:r w:rsidRPr="009568A7">
        <w:t xml:space="preserve">odel for </w:t>
      </w:r>
      <w:r w:rsidR="00C960B0">
        <w:t>e</w:t>
      </w:r>
      <w:r w:rsidRPr="009568A7">
        <w:t xml:space="preserve">xamining </w:t>
      </w:r>
      <w:r w:rsidR="00C960B0">
        <w:t>p</w:t>
      </w:r>
      <w:r w:rsidRPr="009568A7">
        <w:t xml:space="preserve">edestrian and </w:t>
      </w:r>
      <w:r w:rsidR="00C960B0">
        <w:t>b</w:t>
      </w:r>
      <w:r w:rsidRPr="009568A7">
        <w:t xml:space="preserve">icyclist </w:t>
      </w:r>
      <w:r w:rsidR="00C960B0">
        <w:t>i</w:t>
      </w:r>
      <w:r w:rsidRPr="009568A7">
        <w:t xml:space="preserve">njury </w:t>
      </w:r>
      <w:r w:rsidR="00C960B0">
        <w:t>s</w:t>
      </w:r>
      <w:r w:rsidRPr="009568A7">
        <w:t xml:space="preserve">everity </w:t>
      </w:r>
      <w:r w:rsidR="00C960B0">
        <w:t>l</w:t>
      </w:r>
      <w:r w:rsidRPr="009568A7">
        <w:t xml:space="preserve">evel in </w:t>
      </w:r>
      <w:r w:rsidR="00C960B0">
        <w:t>t</w:t>
      </w:r>
      <w:r w:rsidRPr="009568A7">
        <w:t xml:space="preserve">raffic </w:t>
      </w:r>
      <w:r w:rsidR="00C960B0">
        <w:t>c</w:t>
      </w:r>
      <w:r w:rsidRPr="009568A7">
        <w:t xml:space="preserve">rashes. </w:t>
      </w:r>
      <w:r w:rsidRPr="009568A7">
        <w:rPr>
          <w:i/>
          <w:iCs/>
        </w:rPr>
        <w:t>Accident Analysis and Prevention</w:t>
      </w:r>
      <w:r w:rsidRPr="00C960B0">
        <w:t xml:space="preserve">, </w:t>
      </w:r>
      <w:r w:rsidRPr="009568A7">
        <w:t>40</w:t>
      </w:r>
      <w:r w:rsidR="00C960B0">
        <w:t>(3)</w:t>
      </w:r>
      <w:r w:rsidRPr="009568A7">
        <w:t>, 1033-1054.</w:t>
      </w:r>
    </w:p>
    <w:p w14:paraId="088E49F0" w14:textId="77777777" w:rsidR="009568A7" w:rsidRDefault="00876D0A" w:rsidP="00C960B0">
      <w:pPr>
        <w:pStyle w:val="NormalWeb"/>
        <w:spacing w:before="0" w:beforeAutospacing="0" w:after="0" w:afterAutospacing="0"/>
        <w:ind w:left="540" w:hanging="540"/>
        <w:jc w:val="both"/>
        <w:rPr>
          <w:color w:val="000000" w:themeColor="text1"/>
        </w:rPr>
      </w:pPr>
      <w:r w:rsidRPr="009568A7">
        <w:rPr>
          <w:color w:val="000000" w:themeColor="text1"/>
        </w:rPr>
        <w:t xml:space="preserve">Festinger, L. (1975). </w:t>
      </w:r>
      <w:r w:rsidRPr="009568A7">
        <w:rPr>
          <w:i/>
          <w:iCs/>
          <w:color w:val="000000" w:themeColor="text1"/>
        </w:rPr>
        <w:t xml:space="preserve">A Theory of Cognitive Dissonance. </w:t>
      </w:r>
      <w:r w:rsidRPr="009568A7">
        <w:rPr>
          <w:color w:val="000000" w:themeColor="text1"/>
        </w:rPr>
        <w:t xml:space="preserve">Row, Peterson and Company. </w:t>
      </w:r>
    </w:p>
    <w:p w14:paraId="0B069762" w14:textId="2965B2B5" w:rsidR="002A4B63" w:rsidRDefault="002A4B63" w:rsidP="00C960B0">
      <w:pPr>
        <w:pStyle w:val="NormalWeb"/>
        <w:spacing w:before="0" w:beforeAutospacing="0" w:after="0" w:afterAutospacing="0"/>
        <w:ind w:left="540" w:hanging="540"/>
        <w:jc w:val="both"/>
        <w:rPr>
          <w:rStyle w:val="Hyperlink"/>
          <w:rFonts w:eastAsiaTheme="majorEastAsia"/>
          <w:color w:val="000000" w:themeColor="text1"/>
          <w:shd w:val="clear" w:color="auto" w:fill="FFFFFF"/>
        </w:rPr>
      </w:pPr>
      <w:r w:rsidRPr="009568A7">
        <w:rPr>
          <w:color w:val="000000" w:themeColor="text1"/>
          <w:shd w:val="clear" w:color="auto" w:fill="FFFFFF"/>
        </w:rPr>
        <w:t>Green</w:t>
      </w:r>
      <w:r w:rsidR="00C960B0">
        <w:rPr>
          <w:color w:val="000000" w:themeColor="text1"/>
          <w:shd w:val="clear" w:color="auto" w:fill="FFFFFF"/>
        </w:rPr>
        <w:t>,</w:t>
      </w:r>
      <w:r w:rsidRPr="009568A7">
        <w:rPr>
          <w:color w:val="000000" w:themeColor="text1"/>
          <w:shd w:val="clear" w:color="auto" w:fill="FFFFFF"/>
        </w:rPr>
        <w:t xml:space="preserve"> L.</w:t>
      </w:r>
      <w:r w:rsidR="00C960B0">
        <w:rPr>
          <w:color w:val="000000" w:themeColor="text1"/>
          <w:shd w:val="clear" w:color="auto" w:fill="FFFFFF"/>
        </w:rPr>
        <w:t xml:space="preserve"> </w:t>
      </w:r>
      <w:r w:rsidRPr="009568A7">
        <w:rPr>
          <w:color w:val="000000" w:themeColor="text1"/>
          <w:shd w:val="clear" w:color="auto" w:fill="FFFFFF"/>
        </w:rPr>
        <w:t>R., Richardson</w:t>
      </w:r>
      <w:r w:rsidR="00C960B0">
        <w:rPr>
          <w:color w:val="000000" w:themeColor="text1"/>
          <w:shd w:val="clear" w:color="auto" w:fill="FFFFFF"/>
        </w:rPr>
        <w:t>,</w:t>
      </w:r>
      <w:r w:rsidRPr="009568A7">
        <w:rPr>
          <w:color w:val="000000" w:themeColor="text1"/>
          <w:shd w:val="clear" w:color="auto" w:fill="FFFFFF"/>
        </w:rPr>
        <w:t xml:space="preserve"> D.</w:t>
      </w:r>
      <w:r w:rsidR="00C960B0">
        <w:rPr>
          <w:color w:val="000000" w:themeColor="text1"/>
          <w:shd w:val="clear" w:color="auto" w:fill="FFFFFF"/>
        </w:rPr>
        <w:t xml:space="preserve"> </w:t>
      </w:r>
      <w:r w:rsidRPr="009568A7">
        <w:rPr>
          <w:color w:val="000000" w:themeColor="text1"/>
          <w:shd w:val="clear" w:color="auto" w:fill="FFFFFF"/>
        </w:rPr>
        <w:t>S., Lago</w:t>
      </w:r>
      <w:r w:rsidR="00C960B0">
        <w:rPr>
          <w:color w:val="000000" w:themeColor="text1"/>
          <w:shd w:val="clear" w:color="auto" w:fill="FFFFFF"/>
        </w:rPr>
        <w:t>,</w:t>
      </w:r>
      <w:r w:rsidRPr="009568A7">
        <w:rPr>
          <w:color w:val="000000" w:themeColor="text1"/>
          <w:shd w:val="clear" w:color="auto" w:fill="FFFFFF"/>
        </w:rPr>
        <w:t xml:space="preserve"> T</w:t>
      </w:r>
      <w:r w:rsidR="004F1E97" w:rsidRPr="009568A7">
        <w:rPr>
          <w:color w:val="000000" w:themeColor="text1"/>
          <w:shd w:val="clear" w:color="auto" w:fill="FFFFFF"/>
        </w:rPr>
        <w:t>.</w:t>
      </w:r>
      <w:r w:rsidRPr="009568A7">
        <w:rPr>
          <w:color w:val="000000" w:themeColor="text1"/>
          <w:shd w:val="clear" w:color="auto" w:fill="FFFFFF"/>
        </w:rPr>
        <w:t xml:space="preserve">, </w:t>
      </w:r>
      <w:proofErr w:type="spellStart"/>
      <w:r w:rsidRPr="009568A7">
        <w:rPr>
          <w:color w:val="000000" w:themeColor="text1"/>
          <w:shd w:val="clear" w:color="auto" w:fill="FFFFFF"/>
        </w:rPr>
        <w:t>Schatten</w:t>
      </w:r>
      <w:proofErr w:type="spellEnd"/>
      <w:r w:rsidRPr="009568A7">
        <w:rPr>
          <w:color w:val="000000" w:themeColor="text1"/>
          <w:shd w:val="clear" w:color="auto" w:fill="FFFFFF"/>
        </w:rPr>
        <w:t>-Jones</w:t>
      </w:r>
      <w:r w:rsidR="00C960B0">
        <w:rPr>
          <w:color w:val="000000" w:themeColor="text1"/>
          <w:shd w:val="clear" w:color="auto" w:fill="FFFFFF"/>
        </w:rPr>
        <w:t>,</w:t>
      </w:r>
      <w:r w:rsidRPr="009568A7">
        <w:rPr>
          <w:color w:val="000000" w:themeColor="text1"/>
          <w:shd w:val="clear" w:color="auto" w:fill="FFFFFF"/>
        </w:rPr>
        <w:t xml:space="preserve"> E</w:t>
      </w:r>
      <w:r w:rsidR="004F1E97" w:rsidRPr="009568A7">
        <w:rPr>
          <w:color w:val="000000" w:themeColor="text1"/>
          <w:shd w:val="clear" w:color="auto" w:fill="FFFFFF"/>
        </w:rPr>
        <w:t>.</w:t>
      </w:r>
      <w:r w:rsidR="00C960B0">
        <w:rPr>
          <w:color w:val="000000" w:themeColor="text1"/>
          <w:shd w:val="clear" w:color="auto" w:fill="FFFFFF"/>
        </w:rPr>
        <w:t xml:space="preserve"> </w:t>
      </w:r>
      <w:r w:rsidRPr="009568A7">
        <w:rPr>
          <w:color w:val="000000" w:themeColor="text1"/>
          <w:shd w:val="clear" w:color="auto" w:fill="FFFFFF"/>
        </w:rPr>
        <w:t>C</w:t>
      </w:r>
      <w:r w:rsidR="004F1E97" w:rsidRPr="009568A7">
        <w:rPr>
          <w:color w:val="000000" w:themeColor="text1"/>
          <w:shd w:val="clear" w:color="auto" w:fill="FFFFFF"/>
        </w:rPr>
        <w:t>.</w:t>
      </w:r>
      <w:r w:rsidRPr="009568A7">
        <w:rPr>
          <w:color w:val="000000" w:themeColor="text1"/>
          <w:shd w:val="clear" w:color="auto" w:fill="FFFFFF"/>
        </w:rPr>
        <w:t xml:space="preserve"> (2001). </w:t>
      </w:r>
      <w:r w:rsidRPr="009568A7">
        <w:rPr>
          <w:rStyle w:val="ref-title"/>
          <w:rFonts w:eastAsiaTheme="majorEastAsia"/>
          <w:color w:val="000000" w:themeColor="text1"/>
          <w:shd w:val="clear" w:color="auto" w:fill="FFFFFF"/>
        </w:rPr>
        <w:t xml:space="preserve">Network </w:t>
      </w:r>
      <w:r w:rsidR="00C960B0">
        <w:rPr>
          <w:rStyle w:val="ref-title"/>
          <w:rFonts w:eastAsiaTheme="majorEastAsia"/>
          <w:color w:val="000000" w:themeColor="text1"/>
          <w:shd w:val="clear" w:color="auto" w:fill="FFFFFF"/>
        </w:rPr>
        <w:t>c</w:t>
      </w:r>
      <w:r w:rsidRPr="009568A7">
        <w:rPr>
          <w:rStyle w:val="ref-title"/>
          <w:rFonts w:eastAsiaTheme="majorEastAsia"/>
          <w:color w:val="000000" w:themeColor="text1"/>
          <w:shd w:val="clear" w:color="auto" w:fill="FFFFFF"/>
        </w:rPr>
        <w:t xml:space="preserve">orrelates of </w:t>
      </w:r>
      <w:r w:rsidR="00C960B0">
        <w:rPr>
          <w:rStyle w:val="ref-title"/>
          <w:rFonts w:eastAsiaTheme="majorEastAsia"/>
          <w:color w:val="000000" w:themeColor="text1"/>
          <w:shd w:val="clear" w:color="auto" w:fill="FFFFFF"/>
        </w:rPr>
        <w:t>s</w:t>
      </w:r>
      <w:r w:rsidRPr="009568A7">
        <w:rPr>
          <w:rStyle w:val="ref-title"/>
          <w:rFonts w:eastAsiaTheme="majorEastAsia"/>
          <w:color w:val="000000" w:themeColor="text1"/>
          <w:shd w:val="clear" w:color="auto" w:fill="FFFFFF"/>
        </w:rPr>
        <w:t xml:space="preserve">ocial and </w:t>
      </w:r>
      <w:r w:rsidR="00C960B0">
        <w:rPr>
          <w:rStyle w:val="ref-title"/>
          <w:rFonts w:eastAsiaTheme="majorEastAsia"/>
          <w:color w:val="000000" w:themeColor="text1"/>
          <w:shd w:val="clear" w:color="auto" w:fill="FFFFFF"/>
        </w:rPr>
        <w:t>e</w:t>
      </w:r>
      <w:r w:rsidRPr="009568A7">
        <w:rPr>
          <w:rStyle w:val="ref-title"/>
          <w:rFonts w:eastAsiaTheme="majorEastAsia"/>
          <w:color w:val="000000" w:themeColor="text1"/>
          <w:shd w:val="clear" w:color="auto" w:fill="FFFFFF"/>
        </w:rPr>
        <w:t xml:space="preserve">motional </w:t>
      </w:r>
      <w:r w:rsidR="00C960B0">
        <w:rPr>
          <w:rStyle w:val="ref-title"/>
          <w:rFonts w:eastAsiaTheme="majorEastAsia"/>
          <w:color w:val="000000" w:themeColor="text1"/>
          <w:shd w:val="clear" w:color="auto" w:fill="FFFFFF"/>
        </w:rPr>
        <w:t>l</w:t>
      </w:r>
      <w:r w:rsidRPr="009568A7">
        <w:rPr>
          <w:rStyle w:val="ref-title"/>
          <w:rFonts w:eastAsiaTheme="majorEastAsia"/>
          <w:color w:val="000000" w:themeColor="text1"/>
          <w:shd w:val="clear" w:color="auto" w:fill="FFFFFF"/>
        </w:rPr>
        <w:t xml:space="preserve">oneliness in </w:t>
      </w:r>
      <w:r w:rsidR="00C960B0">
        <w:rPr>
          <w:rStyle w:val="ref-title"/>
          <w:rFonts w:eastAsiaTheme="majorEastAsia"/>
          <w:color w:val="000000" w:themeColor="text1"/>
          <w:shd w:val="clear" w:color="auto" w:fill="FFFFFF"/>
        </w:rPr>
        <w:t>y</w:t>
      </w:r>
      <w:r w:rsidRPr="009568A7">
        <w:rPr>
          <w:rStyle w:val="ref-title"/>
          <w:rFonts w:eastAsiaTheme="majorEastAsia"/>
          <w:color w:val="000000" w:themeColor="text1"/>
          <w:shd w:val="clear" w:color="auto" w:fill="FFFFFF"/>
        </w:rPr>
        <w:t xml:space="preserve">oung and </w:t>
      </w:r>
      <w:r w:rsidR="00C960B0">
        <w:rPr>
          <w:rStyle w:val="ref-title"/>
          <w:rFonts w:eastAsiaTheme="majorEastAsia"/>
          <w:color w:val="000000" w:themeColor="text1"/>
          <w:shd w:val="clear" w:color="auto" w:fill="FFFFFF"/>
        </w:rPr>
        <w:t>o</w:t>
      </w:r>
      <w:r w:rsidRPr="009568A7">
        <w:rPr>
          <w:rStyle w:val="ref-title"/>
          <w:rFonts w:eastAsiaTheme="majorEastAsia"/>
          <w:color w:val="000000" w:themeColor="text1"/>
          <w:shd w:val="clear" w:color="auto" w:fill="FFFFFF"/>
        </w:rPr>
        <w:t xml:space="preserve">lder </w:t>
      </w:r>
      <w:r w:rsidR="00C960B0">
        <w:rPr>
          <w:rStyle w:val="ref-title"/>
          <w:rFonts w:eastAsiaTheme="majorEastAsia"/>
          <w:color w:val="000000" w:themeColor="text1"/>
          <w:shd w:val="clear" w:color="auto" w:fill="FFFFFF"/>
        </w:rPr>
        <w:t>a</w:t>
      </w:r>
      <w:r w:rsidRPr="009568A7">
        <w:rPr>
          <w:rStyle w:val="ref-title"/>
          <w:rFonts w:eastAsiaTheme="majorEastAsia"/>
          <w:color w:val="000000" w:themeColor="text1"/>
          <w:shd w:val="clear" w:color="auto" w:fill="FFFFFF"/>
        </w:rPr>
        <w:t>dults</w:t>
      </w:r>
      <w:r w:rsidRPr="009568A7">
        <w:rPr>
          <w:color w:val="000000" w:themeColor="text1"/>
          <w:shd w:val="clear" w:color="auto" w:fill="FFFFFF"/>
        </w:rPr>
        <w:t>. </w:t>
      </w:r>
      <w:r w:rsidRPr="009568A7">
        <w:rPr>
          <w:rStyle w:val="ref-journal"/>
          <w:rFonts w:eastAsiaTheme="majorEastAsia"/>
          <w:i/>
          <w:iCs/>
          <w:color w:val="000000" w:themeColor="text1"/>
          <w:shd w:val="clear" w:color="auto" w:fill="FFFFFF"/>
        </w:rPr>
        <w:t>Personality and Social Psychology Bulletin</w:t>
      </w:r>
      <w:r w:rsidRPr="009568A7">
        <w:rPr>
          <w:color w:val="000000" w:themeColor="text1"/>
          <w:shd w:val="clear" w:color="auto" w:fill="FFFFFF"/>
        </w:rPr>
        <w:t>, </w:t>
      </w:r>
      <w:r w:rsidRPr="009568A7">
        <w:rPr>
          <w:rStyle w:val="ref-vol"/>
          <w:color w:val="000000" w:themeColor="text1"/>
          <w:shd w:val="clear" w:color="auto" w:fill="FFFFFF"/>
        </w:rPr>
        <w:t>27</w:t>
      </w:r>
      <w:r w:rsidR="00C960B0">
        <w:rPr>
          <w:rStyle w:val="ref-vol"/>
          <w:color w:val="000000" w:themeColor="text1"/>
          <w:shd w:val="clear" w:color="auto" w:fill="FFFFFF"/>
        </w:rPr>
        <w:t>(3)</w:t>
      </w:r>
      <w:r w:rsidRPr="009568A7">
        <w:rPr>
          <w:color w:val="000000" w:themeColor="text1"/>
          <w:shd w:val="clear" w:color="auto" w:fill="FFFFFF"/>
        </w:rPr>
        <w:t>, 281</w:t>
      </w:r>
      <w:r w:rsidR="008F052D">
        <w:rPr>
          <w:color w:val="000000" w:themeColor="text1"/>
          <w:shd w:val="clear" w:color="auto" w:fill="FFFFFF"/>
        </w:rPr>
        <w:t>-</w:t>
      </w:r>
      <w:r w:rsidRPr="009568A7">
        <w:rPr>
          <w:color w:val="000000" w:themeColor="text1"/>
          <w:shd w:val="clear" w:color="auto" w:fill="FFFFFF"/>
        </w:rPr>
        <w:t xml:space="preserve">288. </w:t>
      </w:r>
    </w:p>
    <w:p w14:paraId="1F88AE50" w14:textId="32AEF7E0" w:rsidR="00DF7087" w:rsidRPr="00CF0E6D" w:rsidRDefault="00DF7087" w:rsidP="00C960B0">
      <w:pPr>
        <w:pStyle w:val="NormalWeb"/>
        <w:spacing w:before="0" w:beforeAutospacing="0" w:after="0" w:afterAutospacing="0"/>
        <w:ind w:left="540" w:hanging="540"/>
        <w:jc w:val="both"/>
      </w:pPr>
      <w:r w:rsidRPr="00CF0E6D">
        <w:rPr>
          <w:shd w:val="clear" w:color="auto" w:fill="FFFFFF"/>
        </w:rPr>
        <w:t xml:space="preserve">Hackney, A., Yung, M., </w:t>
      </w:r>
      <w:proofErr w:type="spellStart"/>
      <w:r w:rsidRPr="00CF0E6D">
        <w:rPr>
          <w:shd w:val="clear" w:color="auto" w:fill="FFFFFF"/>
        </w:rPr>
        <w:t>Somasundram</w:t>
      </w:r>
      <w:proofErr w:type="spellEnd"/>
      <w:r w:rsidRPr="00CF0E6D">
        <w:rPr>
          <w:shd w:val="clear" w:color="auto" w:fill="FFFFFF"/>
        </w:rPr>
        <w:t xml:space="preserve">, K. G., </w:t>
      </w:r>
      <w:proofErr w:type="spellStart"/>
      <w:r w:rsidRPr="00CF0E6D">
        <w:rPr>
          <w:shd w:val="clear" w:color="auto" w:fill="FFFFFF"/>
        </w:rPr>
        <w:t>Nowrouzi</w:t>
      </w:r>
      <w:proofErr w:type="spellEnd"/>
      <w:r w:rsidRPr="00CF0E6D">
        <w:rPr>
          <w:shd w:val="clear" w:color="auto" w:fill="FFFFFF"/>
        </w:rPr>
        <w:t xml:space="preserve">-Kia, B., Oakman, J., Yazdani, A. (2022). Working in the digital economy: A systematic review of the impact of work from home arrangements on personal and organizational performance and productivity. </w:t>
      </w:r>
      <w:proofErr w:type="spellStart"/>
      <w:r w:rsidRPr="00CF0E6D">
        <w:rPr>
          <w:shd w:val="clear" w:color="auto" w:fill="FFFFFF"/>
        </w:rPr>
        <w:t>PL</w:t>
      </w:r>
      <w:r w:rsidR="00C960B0">
        <w:rPr>
          <w:shd w:val="clear" w:color="auto" w:fill="FFFFFF"/>
        </w:rPr>
        <w:t>o</w:t>
      </w:r>
      <w:r w:rsidRPr="00CF0E6D">
        <w:rPr>
          <w:shd w:val="clear" w:color="auto" w:fill="FFFFFF"/>
        </w:rPr>
        <w:t>S</w:t>
      </w:r>
      <w:proofErr w:type="spellEnd"/>
      <w:r w:rsidRPr="00CF0E6D">
        <w:rPr>
          <w:shd w:val="clear" w:color="auto" w:fill="FFFFFF"/>
        </w:rPr>
        <w:t xml:space="preserve"> ONE</w:t>
      </w:r>
      <w:r w:rsidR="00C960B0">
        <w:rPr>
          <w:shd w:val="clear" w:color="auto" w:fill="FFFFFF"/>
        </w:rPr>
        <w:t>,</w:t>
      </w:r>
      <w:r w:rsidRPr="00CF0E6D">
        <w:rPr>
          <w:shd w:val="clear" w:color="auto" w:fill="FFFFFF"/>
        </w:rPr>
        <w:t xml:space="preserve"> 17(10)</w:t>
      </w:r>
      <w:r w:rsidR="00C960B0">
        <w:rPr>
          <w:shd w:val="clear" w:color="auto" w:fill="FFFFFF"/>
        </w:rPr>
        <w:t>,</w:t>
      </w:r>
      <w:r w:rsidRPr="00CF0E6D">
        <w:rPr>
          <w:shd w:val="clear" w:color="auto" w:fill="FFFFFF"/>
        </w:rPr>
        <w:t xml:space="preserve"> e0274728. </w:t>
      </w:r>
      <w:r w:rsidR="00C960B0" w:rsidRPr="00CF0E6D">
        <w:t xml:space="preserve"> </w:t>
      </w:r>
    </w:p>
    <w:p w14:paraId="61E04749" w14:textId="04EC09C3" w:rsidR="009568A7" w:rsidRDefault="00876D0A" w:rsidP="00C960B0">
      <w:pPr>
        <w:pStyle w:val="NormalWeb"/>
        <w:spacing w:before="0" w:beforeAutospacing="0" w:after="0" w:afterAutospacing="0"/>
        <w:ind w:left="540" w:hanging="540"/>
        <w:jc w:val="both"/>
        <w:rPr>
          <w:color w:val="000000" w:themeColor="text1"/>
        </w:rPr>
      </w:pPr>
      <w:r w:rsidRPr="009568A7">
        <w:rPr>
          <w:color w:val="000000" w:themeColor="text1"/>
        </w:rPr>
        <w:t xml:space="preserve">Haider, M., Anwar, A. I. (2023). The </w:t>
      </w:r>
      <w:r w:rsidR="00C960B0">
        <w:rPr>
          <w:color w:val="000000" w:themeColor="text1"/>
        </w:rPr>
        <w:t>p</w:t>
      </w:r>
      <w:r w:rsidRPr="009568A7">
        <w:rPr>
          <w:color w:val="000000" w:themeColor="text1"/>
        </w:rPr>
        <w:t xml:space="preserve">revalence of </w:t>
      </w:r>
      <w:r w:rsidR="00C960B0">
        <w:rPr>
          <w:color w:val="000000" w:themeColor="text1"/>
        </w:rPr>
        <w:t>t</w:t>
      </w:r>
      <w:r w:rsidRPr="009568A7">
        <w:rPr>
          <w:color w:val="000000" w:themeColor="text1"/>
        </w:rPr>
        <w:t xml:space="preserve">elework </w:t>
      </w:r>
      <w:r w:rsidR="00C960B0">
        <w:rPr>
          <w:color w:val="000000" w:themeColor="text1"/>
        </w:rPr>
        <w:t>u</w:t>
      </w:r>
      <w:r w:rsidRPr="009568A7">
        <w:rPr>
          <w:color w:val="000000" w:themeColor="text1"/>
        </w:rPr>
        <w:t xml:space="preserve">nder Covid-19 in Canada. </w:t>
      </w:r>
      <w:r w:rsidR="00C960B0">
        <w:rPr>
          <w:color w:val="000000" w:themeColor="text1"/>
        </w:rPr>
        <w:t xml:space="preserve"> </w:t>
      </w:r>
      <w:r w:rsidRPr="00C960B0">
        <w:rPr>
          <w:i/>
          <w:iCs/>
          <w:color w:val="000000" w:themeColor="text1"/>
        </w:rPr>
        <w:t>Information Technology and People</w:t>
      </w:r>
      <w:r w:rsidRPr="009568A7">
        <w:rPr>
          <w:color w:val="000000" w:themeColor="text1"/>
        </w:rPr>
        <w:t xml:space="preserve">, 36, 196-223. </w:t>
      </w:r>
    </w:p>
    <w:p w14:paraId="27218298" w14:textId="6E3F2806" w:rsidR="00876D0A" w:rsidRPr="009568A7" w:rsidRDefault="00876D0A" w:rsidP="00C960B0">
      <w:pPr>
        <w:pStyle w:val="NormalWeb"/>
        <w:spacing w:before="0" w:beforeAutospacing="0" w:after="0" w:afterAutospacing="0"/>
        <w:ind w:left="540" w:hanging="540"/>
        <w:jc w:val="both"/>
        <w:rPr>
          <w:color w:val="000000" w:themeColor="text1"/>
        </w:rPr>
      </w:pPr>
      <w:r w:rsidRPr="009568A7">
        <w:rPr>
          <w:color w:val="000000" w:themeColor="text1"/>
        </w:rPr>
        <w:t xml:space="preserve">He, S. Y., Hu, L. (2015). Telecommuting, income, and out-of-home activities. </w:t>
      </w:r>
      <w:r w:rsidRPr="009568A7">
        <w:rPr>
          <w:i/>
          <w:iCs/>
          <w:color w:val="000000" w:themeColor="text1"/>
        </w:rPr>
        <w:t>Travel</w:t>
      </w:r>
      <w:r w:rsidR="009568A7">
        <w:rPr>
          <w:i/>
          <w:iCs/>
          <w:color w:val="000000" w:themeColor="text1"/>
        </w:rPr>
        <w:t xml:space="preserve"> </w:t>
      </w:r>
      <w:r w:rsidRPr="009568A7">
        <w:rPr>
          <w:i/>
          <w:iCs/>
          <w:color w:val="000000" w:themeColor="text1"/>
        </w:rPr>
        <w:t>Behaviour and Society</w:t>
      </w:r>
      <w:r w:rsidRPr="00D337A2">
        <w:rPr>
          <w:color w:val="000000" w:themeColor="text1"/>
        </w:rPr>
        <w:t>, 2,</w:t>
      </w:r>
      <w:r w:rsidRPr="009568A7">
        <w:rPr>
          <w:color w:val="000000" w:themeColor="text1"/>
        </w:rPr>
        <w:t xml:space="preserve"> 131</w:t>
      </w:r>
      <w:r w:rsidR="00D337A2">
        <w:rPr>
          <w:color w:val="000000" w:themeColor="text1"/>
        </w:rPr>
        <w:t>-</w:t>
      </w:r>
      <w:r w:rsidRPr="009568A7">
        <w:rPr>
          <w:color w:val="000000" w:themeColor="text1"/>
        </w:rPr>
        <w:t>147.</w:t>
      </w:r>
    </w:p>
    <w:p w14:paraId="46241432" w14:textId="7E3A5205" w:rsidR="00876D0A" w:rsidRDefault="00876D0A" w:rsidP="00C960B0">
      <w:pPr>
        <w:ind w:left="540" w:hanging="540"/>
        <w:jc w:val="both"/>
      </w:pPr>
      <w:proofErr w:type="spellStart"/>
      <w:r w:rsidRPr="00D337A2">
        <w:t>Heiden</w:t>
      </w:r>
      <w:proofErr w:type="spellEnd"/>
      <w:r w:rsidRPr="00D337A2">
        <w:t xml:space="preserve">, M., </w:t>
      </w:r>
      <w:proofErr w:type="spellStart"/>
      <w:r w:rsidRPr="00D337A2">
        <w:t>Widar</w:t>
      </w:r>
      <w:proofErr w:type="spellEnd"/>
      <w:r w:rsidRPr="00D337A2">
        <w:t xml:space="preserve">, L., </w:t>
      </w:r>
      <w:proofErr w:type="spellStart"/>
      <w:r w:rsidRPr="00D337A2">
        <w:t>Wiitavaara</w:t>
      </w:r>
      <w:proofErr w:type="spellEnd"/>
      <w:r w:rsidRPr="00D337A2">
        <w:t xml:space="preserve">, B., </w:t>
      </w:r>
      <w:proofErr w:type="spellStart"/>
      <w:r w:rsidRPr="00D337A2">
        <w:t>Boman</w:t>
      </w:r>
      <w:proofErr w:type="spellEnd"/>
      <w:r w:rsidRPr="00D337A2">
        <w:t xml:space="preserve">, E. (2021). Telework in academia: </w:t>
      </w:r>
      <w:r w:rsidR="00C960B0">
        <w:t>A</w:t>
      </w:r>
      <w:r w:rsidRPr="00D337A2">
        <w:t>ssociations with health and well-being among staff. </w:t>
      </w:r>
      <w:r w:rsidRPr="008F052D">
        <w:rPr>
          <w:i/>
          <w:iCs/>
        </w:rPr>
        <w:t>Higher Education</w:t>
      </w:r>
      <w:r w:rsidRPr="00D337A2">
        <w:t>, 81, 707</w:t>
      </w:r>
      <w:r w:rsidR="00D337A2" w:rsidRPr="00D337A2">
        <w:t>-</w:t>
      </w:r>
      <w:r w:rsidRPr="00D337A2">
        <w:t>722.</w:t>
      </w:r>
      <w:r w:rsidR="008F052D">
        <w:t xml:space="preserve"> </w:t>
      </w:r>
    </w:p>
    <w:p w14:paraId="1E698EBE" w14:textId="2E269527" w:rsidR="00AC5923" w:rsidRPr="00D337A2" w:rsidRDefault="00AC5923" w:rsidP="00C960B0">
      <w:pPr>
        <w:ind w:left="540" w:hanging="540"/>
        <w:jc w:val="both"/>
      </w:pPr>
      <w:proofErr w:type="spellStart"/>
      <w:r w:rsidRPr="00AC5923">
        <w:t>Heiden</w:t>
      </w:r>
      <w:proofErr w:type="spellEnd"/>
      <w:r w:rsidRPr="00AC5923">
        <w:t xml:space="preserve">, M., Hallman, D. M., </w:t>
      </w:r>
      <w:proofErr w:type="spellStart"/>
      <w:r w:rsidRPr="00AC5923">
        <w:t>Svensson</w:t>
      </w:r>
      <w:proofErr w:type="spellEnd"/>
      <w:r w:rsidRPr="00AC5923">
        <w:t xml:space="preserve">, M., </w:t>
      </w:r>
      <w:proofErr w:type="spellStart"/>
      <w:r w:rsidRPr="00AC5923">
        <w:t>Mathiassen</w:t>
      </w:r>
      <w:proofErr w:type="spellEnd"/>
      <w:r w:rsidRPr="00AC5923">
        <w:t xml:space="preserve">, S. E., </w:t>
      </w:r>
      <w:proofErr w:type="spellStart"/>
      <w:r w:rsidRPr="00AC5923">
        <w:t>Svensson</w:t>
      </w:r>
      <w:proofErr w:type="spellEnd"/>
      <w:r w:rsidRPr="00AC5923">
        <w:t xml:space="preserve">, S., and </w:t>
      </w:r>
      <w:proofErr w:type="spellStart"/>
      <w:r w:rsidRPr="00AC5923">
        <w:t>Bergström</w:t>
      </w:r>
      <w:proofErr w:type="spellEnd"/>
      <w:r w:rsidRPr="00AC5923">
        <w:t>, G. (2023). Mismatch between actual and preferred extent of telework: cross-sectional and prospective associations with well-being and burnout</w:t>
      </w:r>
      <w:r w:rsidRPr="003C511E">
        <w:rPr>
          <w:i/>
          <w:iCs/>
        </w:rPr>
        <w:t>. BMC Public Health</w:t>
      </w:r>
      <w:r w:rsidRPr="004C7D7D">
        <w:t>, 23</w:t>
      </w:r>
      <w:r w:rsidRPr="00AC5923">
        <w:t>(1), 1736.</w:t>
      </w:r>
    </w:p>
    <w:p w14:paraId="0126BD80" w14:textId="18A14608" w:rsidR="00876D0A" w:rsidRDefault="00876D0A" w:rsidP="00C960B0">
      <w:pPr>
        <w:pStyle w:val="NormalWeb"/>
        <w:spacing w:before="0" w:beforeAutospacing="0" w:after="0" w:afterAutospacing="0"/>
        <w:ind w:left="540" w:hanging="540"/>
        <w:jc w:val="both"/>
        <w:rPr>
          <w:color w:val="000000" w:themeColor="text1"/>
        </w:rPr>
      </w:pPr>
      <w:proofErr w:type="spellStart"/>
      <w:r w:rsidRPr="009568A7">
        <w:rPr>
          <w:color w:val="000000" w:themeColor="text1"/>
        </w:rPr>
        <w:t>Hensher</w:t>
      </w:r>
      <w:proofErr w:type="spellEnd"/>
      <w:r w:rsidRPr="009568A7">
        <w:rPr>
          <w:color w:val="000000" w:themeColor="text1"/>
        </w:rPr>
        <w:t xml:space="preserve">, D. A., Beck, M. J., Wei, E. (2021). Working from home and its implications for strategic transport modelling based on the early days of the COVID-19 pandemic. </w:t>
      </w:r>
      <w:r w:rsidRPr="009568A7">
        <w:rPr>
          <w:i/>
          <w:iCs/>
          <w:color w:val="000000" w:themeColor="text1"/>
        </w:rPr>
        <w:t>Transportation Research Part A</w:t>
      </w:r>
      <w:r w:rsidRPr="00D337A2">
        <w:rPr>
          <w:color w:val="000000" w:themeColor="text1"/>
        </w:rPr>
        <w:t>, 148,</w:t>
      </w:r>
      <w:r w:rsidRPr="009568A7">
        <w:rPr>
          <w:color w:val="000000" w:themeColor="text1"/>
        </w:rPr>
        <w:t xml:space="preserve"> 64</w:t>
      </w:r>
      <w:r w:rsidR="00D337A2">
        <w:rPr>
          <w:color w:val="000000" w:themeColor="text1"/>
        </w:rPr>
        <w:t>-</w:t>
      </w:r>
      <w:r w:rsidRPr="009568A7">
        <w:rPr>
          <w:color w:val="000000" w:themeColor="text1"/>
        </w:rPr>
        <w:t>78.</w:t>
      </w:r>
    </w:p>
    <w:p w14:paraId="7E0856A0" w14:textId="5980A26C" w:rsidR="003C511E" w:rsidRPr="003C511E" w:rsidRDefault="003C511E" w:rsidP="00C960B0">
      <w:pPr>
        <w:pStyle w:val="NormalWeb"/>
        <w:spacing w:before="0" w:beforeAutospacing="0" w:after="0" w:afterAutospacing="0"/>
        <w:ind w:left="540" w:hanging="540"/>
        <w:jc w:val="both"/>
        <w:rPr>
          <w:color w:val="000000" w:themeColor="text1"/>
          <w:sz w:val="32"/>
          <w:szCs w:val="32"/>
        </w:rPr>
      </w:pPr>
      <w:proofErr w:type="spellStart"/>
      <w:r w:rsidRPr="003C511E">
        <w:rPr>
          <w:color w:val="222222"/>
          <w:shd w:val="clear" w:color="auto" w:fill="FFFFFF"/>
        </w:rPr>
        <w:t>Hensher</w:t>
      </w:r>
      <w:proofErr w:type="spellEnd"/>
      <w:r w:rsidRPr="003C511E">
        <w:rPr>
          <w:color w:val="222222"/>
          <w:shd w:val="clear" w:color="auto" w:fill="FFFFFF"/>
        </w:rPr>
        <w:t>, D. A., Beck, M. J., and Nelson, J. D. (2023). What have we learned about long-term structural change brought about by COVID-19 and working from home?. </w:t>
      </w:r>
      <w:r w:rsidRPr="003C511E">
        <w:rPr>
          <w:i/>
          <w:iCs/>
          <w:color w:val="222222"/>
          <w:shd w:val="clear" w:color="auto" w:fill="FFFFFF"/>
        </w:rPr>
        <w:t>Transportation Letters</w:t>
      </w:r>
      <w:r w:rsidRPr="003C511E">
        <w:rPr>
          <w:color w:val="222222"/>
          <w:shd w:val="clear" w:color="auto" w:fill="FFFFFF"/>
        </w:rPr>
        <w:t>, 1-13.</w:t>
      </w:r>
    </w:p>
    <w:p w14:paraId="027232A7" w14:textId="358D094F" w:rsidR="00876D0A" w:rsidRDefault="00876D0A" w:rsidP="005A1783">
      <w:pPr>
        <w:pStyle w:val="NormalWeb"/>
        <w:spacing w:before="0" w:beforeAutospacing="0" w:after="0" w:afterAutospacing="0"/>
        <w:ind w:left="540" w:hanging="540"/>
        <w:jc w:val="both"/>
        <w:rPr>
          <w:color w:val="000000" w:themeColor="text1"/>
        </w:rPr>
      </w:pPr>
      <w:r w:rsidRPr="009568A7">
        <w:lastRenderedPageBreak/>
        <w:t xml:space="preserve">Jain, T., Currie, G., Aston, L. (2022). Covid and working from home: Long-term impacts and psychosocial determinants. </w:t>
      </w:r>
      <w:r w:rsidRPr="009568A7">
        <w:rPr>
          <w:i/>
          <w:iCs/>
        </w:rPr>
        <w:t>Transportation Research Part A</w:t>
      </w:r>
      <w:r w:rsidRPr="009568A7">
        <w:t>, 156, 52</w:t>
      </w:r>
      <w:r w:rsidR="008F052D">
        <w:t>-</w:t>
      </w:r>
      <w:r w:rsidRPr="009568A7">
        <w:rPr>
          <w:color w:val="000000" w:themeColor="text1"/>
        </w:rPr>
        <w:t>68.</w:t>
      </w:r>
    </w:p>
    <w:p w14:paraId="7EAADD42" w14:textId="5E1DD2CF" w:rsidR="00AC5923" w:rsidRPr="00D337A2" w:rsidRDefault="00AC5923" w:rsidP="005A1783">
      <w:pPr>
        <w:pStyle w:val="NormalWeb"/>
        <w:spacing w:before="0" w:beforeAutospacing="0" w:after="0" w:afterAutospacing="0"/>
        <w:ind w:left="540" w:hanging="540"/>
        <w:jc w:val="both"/>
      </w:pPr>
      <w:r>
        <w:t xml:space="preserve">Kelly, J. (2023). </w:t>
      </w:r>
      <w:r w:rsidRPr="00AC5923">
        <w:t>‘Loud Quitting’ Is The Next Step From ‘Quiet Quitting,’ ‘Bare Minimum Mondays’ And ‘Acting Your Wage’</w:t>
      </w:r>
      <w:r>
        <w:t xml:space="preserve">. Forbes. </w:t>
      </w:r>
      <w:hyperlink r:id="rId225" w:history="1">
        <w:r w:rsidRPr="00686398">
          <w:rPr>
            <w:rStyle w:val="Hyperlink"/>
          </w:rPr>
          <w:t>https://www.forbes.com/sites/jackkelly/2023/06/26/loud-quitting-is-the-next-step-from-quit-quitting-bare-minimum-mondays-and-acting-your-wage/?sh=7dbdea377295</w:t>
        </w:r>
      </w:hyperlink>
      <w:r>
        <w:t xml:space="preserve">. </w:t>
      </w:r>
      <w:r w:rsidRPr="009568A7">
        <w:t xml:space="preserve">Accessed </w:t>
      </w:r>
      <w:r>
        <w:t>May</w:t>
      </w:r>
      <w:r w:rsidRPr="009568A7">
        <w:t xml:space="preserve"> </w:t>
      </w:r>
      <w:r>
        <w:t>28</w:t>
      </w:r>
      <w:r w:rsidRPr="009568A7">
        <w:t>, 202</w:t>
      </w:r>
      <w:r>
        <w:t>4</w:t>
      </w:r>
      <w:r w:rsidRPr="009568A7">
        <w:t>.</w:t>
      </w:r>
    </w:p>
    <w:p w14:paraId="38AD64F1" w14:textId="061F4EA2" w:rsidR="000001CC" w:rsidRPr="009568A7" w:rsidRDefault="000001CC" w:rsidP="005A1783">
      <w:pPr>
        <w:pStyle w:val="NormalWeb"/>
        <w:spacing w:before="0" w:beforeAutospacing="0" w:after="0" w:afterAutospacing="0"/>
        <w:ind w:left="540" w:hanging="540"/>
        <w:jc w:val="both"/>
      </w:pPr>
      <w:r w:rsidRPr="009568A7">
        <w:t xml:space="preserve">Lister, K., Harnish, T. (2011). The </w:t>
      </w:r>
      <w:r w:rsidR="00C960B0">
        <w:t>s</w:t>
      </w:r>
      <w:r w:rsidRPr="009568A7">
        <w:t xml:space="preserve">tate of </w:t>
      </w:r>
      <w:r w:rsidR="00C960B0">
        <w:t>t</w:t>
      </w:r>
      <w:r w:rsidRPr="009568A7">
        <w:t xml:space="preserve">elework in the U.S.: How </w:t>
      </w:r>
      <w:r w:rsidR="00C960B0">
        <w:t>i</w:t>
      </w:r>
      <w:r w:rsidRPr="009568A7">
        <w:t xml:space="preserve">ndividuals, </w:t>
      </w:r>
      <w:r w:rsidR="00C960B0">
        <w:t>b</w:t>
      </w:r>
      <w:r w:rsidRPr="009568A7">
        <w:t xml:space="preserve">usiness, and </w:t>
      </w:r>
      <w:r w:rsidR="00C960B0">
        <w:t>g</w:t>
      </w:r>
      <w:r w:rsidRPr="009568A7">
        <w:t xml:space="preserve">overnment </w:t>
      </w:r>
      <w:r w:rsidR="00C960B0">
        <w:t>b</w:t>
      </w:r>
      <w:r w:rsidRPr="009568A7">
        <w:t xml:space="preserve">enefit. Telework Research Network. </w:t>
      </w:r>
      <w:hyperlink r:id="rId226" w:history="1">
        <w:r w:rsidR="00D337A2" w:rsidRPr="001D7C38">
          <w:rPr>
            <w:rStyle w:val="Hyperlink"/>
          </w:rPr>
          <w:t>https://www.shrm.org/resourcesandtools/hr-topics/technology/documents/telework-trends-us.pdf</w:t>
        </w:r>
      </w:hyperlink>
      <w:r w:rsidRPr="009568A7">
        <w:t xml:space="preserve"> . Accessed June 13, 2023. </w:t>
      </w:r>
    </w:p>
    <w:p w14:paraId="3313ACE1" w14:textId="1A70901E" w:rsidR="00876D0A" w:rsidRDefault="00876D0A" w:rsidP="005A1783">
      <w:pPr>
        <w:pStyle w:val="NormalWeb"/>
        <w:spacing w:before="0" w:beforeAutospacing="0" w:after="0" w:afterAutospacing="0"/>
        <w:ind w:left="540" w:hanging="540"/>
        <w:jc w:val="both"/>
        <w:rPr>
          <w:color w:val="000000" w:themeColor="text1"/>
        </w:rPr>
      </w:pPr>
      <w:r w:rsidRPr="009568A7">
        <w:t>López-</w:t>
      </w:r>
      <w:proofErr w:type="spellStart"/>
      <w:r w:rsidRPr="009568A7">
        <w:t>Igua</w:t>
      </w:r>
      <w:r w:rsidR="008851E2" w:rsidRPr="009568A7">
        <w:t>l</w:t>
      </w:r>
      <w:proofErr w:type="spellEnd"/>
      <w:r w:rsidRPr="009568A7">
        <w:t>, P., Rodríguez-</w:t>
      </w:r>
      <w:proofErr w:type="spellStart"/>
      <w:r w:rsidRPr="009568A7">
        <w:t>Modroño</w:t>
      </w:r>
      <w:proofErr w:type="spellEnd"/>
      <w:r w:rsidRPr="009568A7">
        <w:t xml:space="preserve">, P. (2020). Who is </w:t>
      </w:r>
      <w:r w:rsidR="00C960B0">
        <w:t>t</w:t>
      </w:r>
      <w:r w:rsidRPr="009568A7">
        <w:t xml:space="preserve">eleworking and </w:t>
      </w:r>
      <w:r w:rsidR="00C960B0">
        <w:t>w</w:t>
      </w:r>
      <w:r w:rsidRPr="009568A7">
        <w:t xml:space="preserve">here from? Exploring the </w:t>
      </w:r>
      <w:r w:rsidR="00C960B0">
        <w:t>m</w:t>
      </w:r>
      <w:r w:rsidRPr="009568A7">
        <w:t xml:space="preserve">ain </w:t>
      </w:r>
      <w:r w:rsidR="00C960B0">
        <w:t>d</w:t>
      </w:r>
      <w:r w:rsidRPr="009568A7">
        <w:t xml:space="preserve">eterminants of </w:t>
      </w:r>
      <w:r w:rsidR="00C960B0">
        <w:t>t</w:t>
      </w:r>
      <w:r w:rsidRPr="009568A7">
        <w:t xml:space="preserve">elework in Europe. </w:t>
      </w:r>
      <w:r w:rsidRPr="009568A7">
        <w:rPr>
          <w:i/>
          <w:iCs/>
        </w:rPr>
        <w:t>Sustainability</w:t>
      </w:r>
      <w:r w:rsidRPr="009568A7">
        <w:t xml:space="preserve">, </w:t>
      </w:r>
      <w:r w:rsidR="00D337A2">
        <w:t>12</w:t>
      </w:r>
      <w:r w:rsidR="008F052D">
        <w:t>(21)</w:t>
      </w:r>
      <w:r w:rsidR="00D337A2">
        <w:t>,</w:t>
      </w:r>
      <w:r w:rsidR="008F052D">
        <w:t xml:space="preserve"> 8797</w:t>
      </w:r>
      <w:r w:rsidRPr="009568A7">
        <w:rPr>
          <w:color w:val="000000" w:themeColor="text1"/>
        </w:rPr>
        <w:t>.</w:t>
      </w:r>
    </w:p>
    <w:p w14:paraId="6B557E1A" w14:textId="433E6750" w:rsidR="00AC5923" w:rsidRPr="003C511E" w:rsidRDefault="00AC5923" w:rsidP="001C447E">
      <w:pPr>
        <w:tabs>
          <w:tab w:val="left" w:pos="630"/>
        </w:tabs>
        <w:spacing w:afterLines="20" w:after="48"/>
        <w:ind w:left="540" w:hanging="540"/>
        <w:jc w:val="both"/>
        <w:rPr>
          <w:shd w:val="clear" w:color="auto" w:fill="FFFFFF"/>
        </w:rPr>
      </w:pPr>
      <w:r w:rsidRPr="00733550">
        <w:rPr>
          <w:color w:val="222222"/>
          <w:shd w:val="clear" w:color="auto" w:fill="FFFFFF"/>
        </w:rPr>
        <w:t xml:space="preserve">Lu, X., and White, H. (2014). Robustness checks and robustness tests in applied </w:t>
      </w:r>
      <w:r w:rsidR="001C447E">
        <w:rPr>
          <w:color w:val="222222"/>
          <w:shd w:val="clear" w:color="auto" w:fill="FFFFFF"/>
        </w:rPr>
        <w:t xml:space="preserve">economics. </w:t>
      </w:r>
      <w:r w:rsidRPr="00733550">
        <w:rPr>
          <w:i/>
          <w:iCs/>
          <w:color w:val="222222"/>
          <w:shd w:val="clear" w:color="auto" w:fill="FFFFFF"/>
        </w:rPr>
        <w:t xml:space="preserve">Journal of </w:t>
      </w:r>
      <w:r w:rsidR="001C447E">
        <w:rPr>
          <w:i/>
          <w:iCs/>
          <w:color w:val="222222"/>
          <w:shd w:val="clear" w:color="auto" w:fill="FFFFFF"/>
        </w:rPr>
        <w:t>E</w:t>
      </w:r>
      <w:r w:rsidRPr="00733550">
        <w:rPr>
          <w:i/>
          <w:iCs/>
          <w:color w:val="222222"/>
          <w:shd w:val="clear" w:color="auto" w:fill="FFFFFF"/>
        </w:rPr>
        <w:t>conometrics</w:t>
      </w:r>
      <w:r w:rsidRPr="00733550">
        <w:rPr>
          <w:color w:val="222222"/>
          <w:shd w:val="clear" w:color="auto" w:fill="FFFFFF"/>
        </w:rPr>
        <w:t>, </w:t>
      </w:r>
      <w:r w:rsidRPr="004C7D7D">
        <w:rPr>
          <w:color w:val="222222"/>
          <w:shd w:val="clear" w:color="auto" w:fill="FFFFFF"/>
        </w:rPr>
        <w:t>178</w:t>
      </w:r>
      <w:r w:rsidRPr="00733550">
        <w:rPr>
          <w:color w:val="222222"/>
          <w:shd w:val="clear" w:color="auto" w:fill="FFFFFF"/>
        </w:rPr>
        <w:t>, 194-206.</w:t>
      </w:r>
    </w:p>
    <w:p w14:paraId="155A18D2" w14:textId="145640A7" w:rsidR="006707A3" w:rsidRDefault="006707A3" w:rsidP="005A1783">
      <w:pPr>
        <w:pStyle w:val="NormalWeb"/>
        <w:spacing w:before="0" w:beforeAutospacing="0" w:after="0" w:afterAutospacing="0"/>
        <w:ind w:left="540" w:hanging="540"/>
        <w:jc w:val="both"/>
      </w:pPr>
      <w:r w:rsidRPr="009568A7">
        <w:t xml:space="preserve">Marshall, J., Burd, C., Burrows, M. (2021). Those </w:t>
      </w:r>
      <w:r w:rsidR="00C960B0">
        <w:t>w</w:t>
      </w:r>
      <w:r w:rsidRPr="009568A7">
        <w:t xml:space="preserve">ho </w:t>
      </w:r>
      <w:r w:rsidR="00C960B0">
        <w:t>s</w:t>
      </w:r>
      <w:r w:rsidRPr="009568A7">
        <w:t xml:space="preserve">witched to </w:t>
      </w:r>
      <w:r w:rsidR="00C960B0">
        <w:t>t</w:t>
      </w:r>
      <w:r w:rsidRPr="009568A7">
        <w:t xml:space="preserve">elework </w:t>
      </w:r>
      <w:r w:rsidR="00C960B0">
        <w:t>h</w:t>
      </w:r>
      <w:r w:rsidRPr="009568A7">
        <w:t xml:space="preserve">ave </w:t>
      </w:r>
      <w:r w:rsidR="00C960B0">
        <w:t>h</w:t>
      </w:r>
      <w:r w:rsidRPr="009568A7">
        <w:t>igher</w:t>
      </w:r>
      <w:r w:rsidR="00D337A2">
        <w:t xml:space="preserve"> </w:t>
      </w:r>
      <w:r w:rsidR="00C960B0">
        <w:t>i</w:t>
      </w:r>
      <w:r w:rsidRPr="009568A7">
        <w:t xml:space="preserve">ncome, </w:t>
      </w:r>
      <w:r w:rsidR="00C960B0">
        <w:t>e</w:t>
      </w:r>
      <w:r w:rsidRPr="009568A7">
        <w:t xml:space="preserve">ducation, and </w:t>
      </w:r>
      <w:r w:rsidR="00C960B0">
        <w:t>b</w:t>
      </w:r>
      <w:r w:rsidRPr="009568A7">
        <w:t xml:space="preserve">etter </w:t>
      </w:r>
      <w:r w:rsidR="00C960B0">
        <w:t>h</w:t>
      </w:r>
      <w:r w:rsidRPr="009568A7">
        <w:t xml:space="preserve">ealth. U.S. Census Bureau. </w:t>
      </w:r>
      <w:hyperlink r:id="rId227" w:history="1">
        <w:r w:rsidR="00C960B0" w:rsidRPr="00700C45">
          <w:rPr>
            <w:rStyle w:val="Hyperlink"/>
          </w:rPr>
          <w:t>https://www.census.gov/library/stories/2021/03/working-from-home-during-the-pandemic.html</w:t>
        </w:r>
      </w:hyperlink>
      <w:r w:rsidRPr="009568A7">
        <w:t>.</w:t>
      </w:r>
      <w:r w:rsidR="00C960B0">
        <w:t xml:space="preserve"> </w:t>
      </w:r>
      <w:r w:rsidRPr="009568A7">
        <w:t xml:space="preserve">Accessed April 13, 2023. </w:t>
      </w:r>
    </w:p>
    <w:p w14:paraId="463AA54E" w14:textId="4BFAFAF8" w:rsidR="00E840B9" w:rsidRPr="009568A7" w:rsidRDefault="00E840B9" w:rsidP="005A1783">
      <w:pPr>
        <w:pStyle w:val="NormalWeb"/>
        <w:spacing w:before="0" w:beforeAutospacing="0" w:after="0" w:afterAutospacing="0"/>
        <w:ind w:left="540" w:hanging="540"/>
        <w:jc w:val="both"/>
      </w:pPr>
      <w:r w:rsidRPr="00E840B9">
        <w:t xml:space="preserve">Mas, A., </w:t>
      </w:r>
      <w:proofErr w:type="spellStart"/>
      <w:r w:rsidRPr="00E840B9">
        <w:t>Pallais</w:t>
      </w:r>
      <w:proofErr w:type="spellEnd"/>
      <w:r w:rsidRPr="00E840B9">
        <w:t xml:space="preserve">, A. (2017). Valuing alternative work arrangements. </w:t>
      </w:r>
      <w:r w:rsidRPr="00E840B9">
        <w:rPr>
          <w:i/>
          <w:iCs/>
        </w:rPr>
        <w:t>American Economic Review</w:t>
      </w:r>
      <w:r w:rsidRPr="00C960B0">
        <w:t>, 107(</w:t>
      </w:r>
      <w:r w:rsidRPr="00E840B9">
        <w:t>12), 3722-3759.</w:t>
      </w:r>
    </w:p>
    <w:p w14:paraId="079DEF8B" w14:textId="767ACDB0" w:rsidR="00876D0A" w:rsidRPr="00D337A2" w:rsidRDefault="00876D0A" w:rsidP="005A1783">
      <w:pPr>
        <w:pStyle w:val="NormalWeb"/>
        <w:spacing w:before="0" w:beforeAutospacing="0" w:after="0" w:afterAutospacing="0"/>
        <w:ind w:left="540" w:hanging="540"/>
        <w:jc w:val="both"/>
      </w:pPr>
      <w:r w:rsidRPr="009568A7">
        <w:t>McKelvey, R.</w:t>
      </w:r>
      <w:r w:rsidR="006707A3" w:rsidRPr="009568A7">
        <w:t xml:space="preserve"> D.,</w:t>
      </w:r>
      <w:r w:rsidRPr="009568A7">
        <w:t xml:space="preserve"> </w:t>
      </w:r>
      <w:proofErr w:type="spellStart"/>
      <w:r w:rsidRPr="009568A7">
        <w:t>Zavoina</w:t>
      </w:r>
      <w:proofErr w:type="spellEnd"/>
      <w:r w:rsidRPr="009568A7">
        <w:t xml:space="preserve">, W. (1975). A statistical model for the analysis of ordinal level dependent variables. </w:t>
      </w:r>
      <w:r w:rsidRPr="009568A7">
        <w:rPr>
          <w:i/>
          <w:iCs/>
        </w:rPr>
        <w:t>Journal of Mathematical Sociology</w:t>
      </w:r>
      <w:r w:rsidRPr="009568A7">
        <w:t>, 4, 103-</w:t>
      </w:r>
      <w:r w:rsidR="006707A3" w:rsidRPr="009568A7">
        <w:t>1</w:t>
      </w:r>
      <w:r w:rsidRPr="009568A7">
        <w:t>20.</w:t>
      </w:r>
    </w:p>
    <w:p w14:paraId="6B7BF588" w14:textId="1F46B4A9" w:rsidR="00F01655" w:rsidRPr="00D21BEA" w:rsidRDefault="00F01655" w:rsidP="005A1783">
      <w:pPr>
        <w:pStyle w:val="NormalWeb"/>
        <w:spacing w:before="0" w:beforeAutospacing="0" w:after="0" w:afterAutospacing="0"/>
        <w:ind w:left="540" w:hanging="540"/>
        <w:jc w:val="both"/>
      </w:pPr>
      <w:r w:rsidRPr="009568A7">
        <w:rPr>
          <w:color w:val="000000" w:themeColor="text1"/>
        </w:rPr>
        <w:t>McNally</w:t>
      </w:r>
      <w:r w:rsidR="00C960B0">
        <w:rPr>
          <w:color w:val="000000" w:themeColor="text1"/>
        </w:rPr>
        <w:t>,</w:t>
      </w:r>
      <w:r w:rsidRPr="009568A7">
        <w:rPr>
          <w:color w:val="000000" w:themeColor="text1"/>
        </w:rPr>
        <w:t xml:space="preserve"> M. G., Rafiq, R., Uddin, </w:t>
      </w:r>
      <w:r w:rsidR="00C960B0">
        <w:rPr>
          <w:color w:val="000000" w:themeColor="text1"/>
        </w:rPr>
        <w:t xml:space="preserve">M. </w:t>
      </w:r>
      <w:r w:rsidRPr="009568A7">
        <w:rPr>
          <w:color w:val="000000" w:themeColor="text1"/>
        </w:rPr>
        <w:t>Y.</w:t>
      </w:r>
      <w:r w:rsidR="00C960B0">
        <w:rPr>
          <w:color w:val="000000" w:themeColor="text1"/>
        </w:rPr>
        <w:t xml:space="preserve"> </w:t>
      </w:r>
      <w:r w:rsidRPr="009568A7">
        <w:rPr>
          <w:color w:val="000000" w:themeColor="text1"/>
        </w:rPr>
        <w:t xml:space="preserve">(2023). Impacts of the COVID-19 </w:t>
      </w:r>
      <w:r w:rsidR="00C960B0">
        <w:rPr>
          <w:color w:val="000000" w:themeColor="text1"/>
        </w:rPr>
        <w:t>p</w:t>
      </w:r>
      <w:r w:rsidRPr="009568A7">
        <w:rPr>
          <w:color w:val="000000" w:themeColor="text1"/>
        </w:rPr>
        <w:t xml:space="preserve">andemic on </w:t>
      </w:r>
      <w:r w:rsidR="00C960B0">
        <w:rPr>
          <w:color w:val="000000" w:themeColor="text1"/>
        </w:rPr>
        <w:t>t</w:t>
      </w:r>
      <w:r w:rsidRPr="009568A7">
        <w:rPr>
          <w:color w:val="000000" w:themeColor="text1"/>
        </w:rPr>
        <w:t xml:space="preserve">elecommuting and </w:t>
      </w:r>
      <w:r w:rsidR="00C960B0">
        <w:rPr>
          <w:color w:val="000000" w:themeColor="text1"/>
        </w:rPr>
        <w:t>t</w:t>
      </w:r>
      <w:r w:rsidRPr="009568A7">
        <w:rPr>
          <w:color w:val="000000" w:themeColor="text1"/>
        </w:rPr>
        <w:t xml:space="preserve">ravel. </w:t>
      </w:r>
      <w:r w:rsidR="00D21BEA" w:rsidRPr="00D21BEA">
        <w:t xml:space="preserve">In: </w:t>
      </w:r>
      <w:proofErr w:type="spellStart"/>
      <w:r w:rsidR="00D21BEA" w:rsidRPr="00D21BEA">
        <w:t>Loukaitou</w:t>
      </w:r>
      <w:proofErr w:type="spellEnd"/>
      <w:r w:rsidR="00D21BEA" w:rsidRPr="00D21BEA">
        <w:t xml:space="preserve">-Sideris, A., </w:t>
      </w:r>
      <w:proofErr w:type="spellStart"/>
      <w:r w:rsidR="00D21BEA" w:rsidRPr="00D21BEA">
        <w:t>Bayen</w:t>
      </w:r>
      <w:proofErr w:type="spellEnd"/>
      <w:r w:rsidR="00D21BEA" w:rsidRPr="00D21BEA">
        <w:t>, A.</w:t>
      </w:r>
      <w:r w:rsidR="00D21BEA">
        <w:t xml:space="preserve"> </w:t>
      </w:r>
      <w:r w:rsidR="00D21BEA" w:rsidRPr="00D21BEA">
        <w:t xml:space="preserve">M., Circella, G., Jayakrishnan, R. (eds) </w:t>
      </w:r>
      <w:r w:rsidR="00D21BEA" w:rsidRPr="00D21BEA">
        <w:rPr>
          <w:i/>
          <w:iCs/>
        </w:rPr>
        <w:t>Pandemic in the Metropolis</w:t>
      </w:r>
      <w:r w:rsidR="00D21BEA" w:rsidRPr="00D21BEA">
        <w:t xml:space="preserve">. Springer Tracts on Transportation and Traffic, </w:t>
      </w:r>
      <w:r w:rsidR="00D21BEA">
        <w:t>V</w:t>
      </w:r>
      <w:r w:rsidR="00D21BEA" w:rsidRPr="00D21BEA">
        <w:t xml:space="preserve">ol 20. Springer, Cham. </w:t>
      </w:r>
      <w:hyperlink r:id="rId228" w:history="1">
        <w:r w:rsidR="00D21BEA" w:rsidRPr="00700C45">
          <w:rPr>
            <w:rStyle w:val="Hyperlink"/>
          </w:rPr>
          <w:t>https://doi.org/10.1007/978-3-031-00148-2_14</w:t>
        </w:r>
      </w:hyperlink>
      <w:r w:rsidR="00B54E51" w:rsidRPr="00D21BEA">
        <w:t>.</w:t>
      </w:r>
      <w:r w:rsidR="00D21BEA">
        <w:t xml:space="preserve"> </w:t>
      </w:r>
    </w:p>
    <w:p w14:paraId="719F8E23" w14:textId="768D6BFE" w:rsidR="00876D0A" w:rsidRPr="009568A7" w:rsidRDefault="00876D0A" w:rsidP="005A1783">
      <w:pPr>
        <w:pStyle w:val="NormalWeb"/>
        <w:spacing w:before="0" w:beforeAutospacing="0" w:after="0" w:afterAutospacing="0"/>
        <w:ind w:left="540" w:hanging="540"/>
        <w:jc w:val="both"/>
        <w:rPr>
          <w:color w:val="000000" w:themeColor="text1"/>
        </w:rPr>
      </w:pPr>
      <w:r w:rsidRPr="009568A7">
        <w:rPr>
          <w:color w:val="000000" w:themeColor="text1"/>
        </w:rPr>
        <w:t xml:space="preserve">Melo, P. C., de Abreu e Silva, J. (2017). Home </w:t>
      </w:r>
      <w:proofErr w:type="gramStart"/>
      <w:r w:rsidRPr="009568A7">
        <w:rPr>
          <w:color w:val="000000" w:themeColor="text1"/>
        </w:rPr>
        <w:t>telework</w:t>
      </w:r>
      <w:proofErr w:type="gramEnd"/>
      <w:r w:rsidRPr="009568A7">
        <w:rPr>
          <w:color w:val="000000" w:themeColor="text1"/>
        </w:rPr>
        <w:t xml:space="preserve"> and household commuting patterns in Great Britain. </w:t>
      </w:r>
      <w:r w:rsidRPr="009568A7">
        <w:rPr>
          <w:i/>
          <w:iCs/>
          <w:color w:val="000000" w:themeColor="text1"/>
        </w:rPr>
        <w:t>Transportation Research Part A</w:t>
      </w:r>
      <w:r w:rsidRPr="00D337A2">
        <w:rPr>
          <w:color w:val="000000" w:themeColor="text1"/>
        </w:rPr>
        <w:t>, 103,</w:t>
      </w:r>
      <w:r w:rsidRPr="009568A7">
        <w:rPr>
          <w:color w:val="000000" w:themeColor="text1"/>
        </w:rPr>
        <w:t xml:space="preserve"> 1</w:t>
      </w:r>
      <w:r w:rsidR="00D337A2">
        <w:rPr>
          <w:color w:val="000000" w:themeColor="text1"/>
        </w:rPr>
        <w:t>-</w:t>
      </w:r>
      <w:r w:rsidRPr="009568A7">
        <w:rPr>
          <w:color w:val="000000" w:themeColor="text1"/>
        </w:rPr>
        <w:t>24.</w:t>
      </w:r>
    </w:p>
    <w:p w14:paraId="7090F02C" w14:textId="5A18BF4E" w:rsidR="00876D0A" w:rsidRPr="009568A7" w:rsidRDefault="00876D0A" w:rsidP="005A1783">
      <w:pPr>
        <w:pStyle w:val="NormalWeb"/>
        <w:spacing w:before="0" w:beforeAutospacing="0" w:after="0" w:afterAutospacing="0"/>
        <w:ind w:left="540" w:hanging="540"/>
        <w:jc w:val="both"/>
      </w:pPr>
      <w:r w:rsidRPr="009568A7">
        <w:t xml:space="preserve">Mission Square Research Institute. (2022). The </w:t>
      </w:r>
      <w:r w:rsidR="00D21BEA">
        <w:t>g</w:t>
      </w:r>
      <w:r w:rsidRPr="009568A7">
        <w:t xml:space="preserve">reat </w:t>
      </w:r>
      <w:r w:rsidR="00D21BEA">
        <w:t>r</w:t>
      </w:r>
      <w:r w:rsidRPr="009568A7">
        <w:t xml:space="preserve">esignation and COVID-19: Impact on </w:t>
      </w:r>
      <w:r w:rsidR="00D21BEA">
        <w:t>p</w:t>
      </w:r>
      <w:r w:rsidRPr="009568A7">
        <w:t xml:space="preserve">ublic </w:t>
      </w:r>
      <w:r w:rsidR="00D21BEA">
        <w:t>s</w:t>
      </w:r>
      <w:r w:rsidRPr="009568A7">
        <w:t xml:space="preserve">ector </w:t>
      </w:r>
      <w:r w:rsidR="00D21BEA">
        <w:t>e</w:t>
      </w:r>
      <w:r w:rsidRPr="009568A7">
        <w:t xml:space="preserve">mployment and </w:t>
      </w:r>
      <w:r w:rsidR="00D21BEA">
        <w:t>h</w:t>
      </w:r>
      <w:r w:rsidRPr="009568A7">
        <w:t xml:space="preserve">ow </w:t>
      </w:r>
      <w:r w:rsidR="00D21BEA">
        <w:t>e</w:t>
      </w:r>
      <w:r w:rsidRPr="009568A7">
        <w:t xml:space="preserve">mployers </w:t>
      </w:r>
      <w:r w:rsidR="00D21BEA">
        <w:t>c</w:t>
      </w:r>
      <w:r w:rsidRPr="009568A7">
        <w:t xml:space="preserve">an </w:t>
      </w:r>
      <w:r w:rsidR="00D21BEA">
        <w:t>h</w:t>
      </w:r>
      <w:r w:rsidRPr="009568A7">
        <w:t xml:space="preserve">elp. </w:t>
      </w:r>
      <w:hyperlink r:id="rId229" w:history="1">
        <w:r w:rsidRPr="009568A7">
          <w:rPr>
            <w:rStyle w:val="Hyperlink"/>
          </w:rPr>
          <w:t>https://slge.org/wp-content/uploads/2022/01/greatresignationinfographic.pdf</w:t>
        </w:r>
      </w:hyperlink>
      <w:r w:rsidRPr="009568A7">
        <w:t>.</w:t>
      </w:r>
      <w:r w:rsidR="00D337A2">
        <w:t xml:space="preserve"> </w:t>
      </w:r>
      <w:r w:rsidRPr="009568A7">
        <w:t>Accessed April 13, 2023.</w:t>
      </w:r>
    </w:p>
    <w:p w14:paraId="28EE0987" w14:textId="40B3D12F" w:rsidR="00876D0A" w:rsidRDefault="00876D0A" w:rsidP="005A1783">
      <w:pPr>
        <w:pStyle w:val="NormalWeb"/>
        <w:spacing w:before="0" w:beforeAutospacing="0" w:after="0" w:afterAutospacing="0"/>
        <w:ind w:left="540" w:hanging="540"/>
        <w:jc w:val="both"/>
        <w:rPr>
          <w:b/>
          <w:bCs/>
          <w:color w:val="000000" w:themeColor="text1"/>
        </w:rPr>
      </w:pPr>
      <w:r w:rsidRPr="009568A7">
        <w:rPr>
          <w:color w:val="000000" w:themeColor="text1"/>
          <w:shd w:val="clear" w:color="auto" w:fill="FFFFFF"/>
        </w:rPr>
        <w:t xml:space="preserve">Mohammadi, M., Rahimi, E., </w:t>
      </w:r>
      <w:proofErr w:type="spellStart"/>
      <w:r w:rsidRPr="009568A7">
        <w:rPr>
          <w:color w:val="000000" w:themeColor="text1"/>
          <w:shd w:val="clear" w:color="auto" w:fill="FFFFFF"/>
        </w:rPr>
        <w:t>Davatgari</w:t>
      </w:r>
      <w:proofErr w:type="spellEnd"/>
      <w:r w:rsidRPr="009568A7">
        <w:rPr>
          <w:color w:val="000000" w:themeColor="text1"/>
          <w:shd w:val="clear" w:color="auto" w:fill="FFFFFF"/>
        </w:rPr>
        <w:t xml:space="preserve">, A., </w:t>
      </w:r>
      <w:proofErr w:type="spellStart"/>
      <w:r w:rsidRPr="009568A7">
        <w:rPr>
          <w:color w:val="000000" w:themeColor="text1"/>
          <w:shd w:val="clear" w:color="auto" w:fill="FFFFFF"/>
        </w:rPr>
        <w:t>Mohammadjavad</w:t>
      </w:r>
      <w:proofErr w:type="spellEnd"/>
      <w:r w:rsidRPr="009568A7">
        <w:rPr>
          <w:color w:val="000000" w:themeColor="text1"/>
          <w:shd w:val="clear" w:color="auto" w:fill="FFFFFF"/>
        </w:rPr>
        <w:t xml:space="preserve">, J. Mohammadian, A., Bhagat-Conway, M. W., Salon, D., </w:t>
      </w:r>
      <w:proofErr w:type="spellStart"/>
      <w:r w:rsidRPr="009568A7">
        <w:rPr>
          <w:color w:val="000000" w:themeColor="text1"/>
          <w:shd w:val="clear" w:color="auto" w:fill="FFFFFF"/>
        </w:rPr>
        <w:t>Derrible</w:t>
      </w:r>
      <w:proofErr w:type="spellEnd"/>
      <w:r w:rsidRPr="009568A7">
        <w:rPr>
          <w:color w:val="000000" w:themeColor="text1"/>
          <w:shd w:val="clear" w:color="auto" w:fill="FFFFFF"/>
        </w:rPr>
        <w:t xml:space="preserve">, S., Pendyala, R. M., Khoeini, </w:t>
      </w:r>
      <w:r w:rsidR="00D337A2">
        <w:rPr>
          <w:color w:val="000000" w:themeColor="text1"/>
          <w:shd w:val="clear" w:color="auto" w:fill="FFFFFF"/>
        </w:rPr>
        <w:t xml:space="preserve">S. (2022). </w:t>
      </w:r>
      <w:r w:rsidRPr="009568A7">
        <w:rPr>
          <w:color w:val="000000" w:themeColor="text1"/>
          <w:shd w:val="clear" w:color="auto" w:fill="FFFFFF"/>
        </w:rPr>
        <w:t xml:space="preserve">Examining the persistence of telecommuting after the COVID-19 </w:t>
      </w:r>
      <w:r w:rsidR="00D337A2">
        <w:rPr>
          <w:color w:val="000000" w:themeColor="text1"/>
          <w:shd w:val="clear" w:color="auto" w:fill="FFFFFF"/>
        </w:rPr>
        <w:t xml:space="preserve">pandemic. </w:t>
      </w:r>
      <w:r w:rsidRPr="009568A7">
        <w:rPr>
          <w:i/>
          <w:iCs/>
          <w:color w:val="000000" w:themeColor="text1"/>
          <w:shd w:val="clear" w:color="auto" w:fill="FFFFFF"/>
        </w:rPr>
        <w:t>Transportation Letters</w:t>
      </w:r>
      <w:r w:rsidR="008F052D">
        <w:rPr>
          <w:color w:val="000000" w:themeColor="text1"/>
          <w:shd w:val="clear" w:color="auto" w:fill="FFFFFF"/>
        </w:rPr>
        <w:t xml:space="preserve">, 15(6), 608-651. </w:t>
      </w:r>
    </w:p>
    <w:p w14:paraId="4DF772D1" w14:textId="4D6CC985" w:rsidR="00D714C2" w:rsidRPr="007C1B88" w:rsidRDefault="00D714C2" w:rsidP="005A1783">
      <w:pPr>
        <w:pStyle w:val="NormalWeb"/>
        <w:spacing w:before="0" w:beforeAutospacing="0" w:after="0" w:afterAutospacing="0"/>
        <w:ind w:left="540" w:hanging="540"/>
        <w:jc w:val="both"/>
        <w:rPr>
          <w:color w:val="000000" w:themeColor="text1"/>
          <w:sz w:val="32"/>
          <w:szCs w:val="32"/>
          <w:shd w:val="clear" w:color="auto" w:fill="FFFFFF"/>
        </w:rPr>
      </w:pPr>
      <w:r w:rsidRPr="007C1B88">
        <w:rPr>
          <w:color w:val="222222"/>
          <w:shd w:val="clear" w:color="auto" w:fill="FFFFFF"/>
        </w:rPr>
        <w:t>Moore, M. A., Lavieri, P. S., Dias, F. F., Bhat, C. R. (2020). On investigating the potential effects of private autonomous vehicle use on home/work relocations and commute times. </w:t>
      </w:r>
      <w:r w:rsidRPr="007C1B88">
        <w:rPr>
          <w:i/>
          <w:iCs/>
          <w:color w:val="222222"/>
          <w:shd w:val="clear" w:color="auto" w:fill="FFFFFF"/>
        </w:rPr>
        <w:t>Transportation Research Part C</w:t>
      </w:r>
      <w:r w:rsidRPr="007C1B88">
        <w:rPr>
          <w:color w:val="222222"/>
          <w:shd w:val="clear" w:color="auto" w:fill="FFFFFF"/>
        </w:rPr>
        <w:t>, </w:t>
      </w:r>
      <w:r w:rsidRPr="00636FB7">
        <w:rPr>
          <w:color w:val="222222"/>
          <w:shd w:val="clear" w:color="auto" w:fill="FFFFFF"/>
        </w:rPr>
        <w:t>110</w:t>
      </w:r>
      <w:r w:rsidRPr="007C1B88">
        <w:rPr>
          <w:color w:val="222222"/>
          <w:shd w:val="clear" w:color="auto" w:fill="FFFFFF"/>
        </w:rPr>
        <w:t>, 166-185.</w:t>
      </w:r>
    </w:p>
    <w:p w14:paraId="7F005B8C" w14:textId="5F90DD1D" w:rsidR="00876D0A" w:rsidRPr="009568A7" w:rsidRDefault="00876D0A" w:rsidP="00E840B9">
      <w:pPr>
        <w:pStyle w:val="NormalWeb"/>
        <w:spacing w:before="0" w:beforeAutospacing="0" w:after="0" w:afterAutospacing="0"/>
        <w:ind w:left="540" w:hanging="540"/>
        <w:jc w:val="both"/>
        <w:rPr>
          <w:color w:val="000000" w:themeColor="text1"/>
        </w:rPr>
      </w:pPr>
      <w:r w:rsidRPr="009568A7">
        <w:rPr>
          <w:color w:val="000000" w:themeColor="text1"/>
        </w:rPr>
        <w:t>Nayak, S.</w:t>
      </w:r>
      <w:r w:rsidR="00D21BEA">
        <w:rPr>
          <w:color w:val="000000" w:themeColor="text1"/>
        </w:rPr>
        <w:t xml:space="preserve">, </w:t>
      </w:r>
      <w:r w:rsidRPr="009568A7">
        <w:rPr>
          <w:color w:val="000000" w:themeColor="text1"/>
        </w:rPr>
        <w:t xml:space="preserve">Pandit, D. (2021). Potential of telecommuting for different employees in the Indian context beyond COVID-19 lockdown. </w:t>
      </w:r>
      <w:r w:rsidRPr="009568A7">
        <w:rPr>
          <w:i/>
          <w:iCs/>
          <w:color w:val="000000" w:themeColor="text1"/>
        </w:rPr>
        <w:t>Transport Policy</w:t>
      </w:r>
      <w:r w:rsidRPr="009568A7">
        <w:rPr>
          <w:color w:val="000000" w:themeColor="text1"/>
        </w:rPr>
        <w:t>, 111, 98</w:t>
      </w:r>
      <w:r w:rsidR="00D337A2">
        <w:rPr>
          <w:color w:val="000000" w:themeColor="text1"/>
        </w:rPr>
        <w:t>-</w:t>
      </w:r>
      <w:r w:rsidRPr="009568A7">
        <w:rPr>
          <w:color w:val="000000" w:themeColor="text1"/>
        </w:rPr>
        <w:t>110</w:t>
      </w:r>
      <w:r w:rsidR="00B54E51">
        <w:rPr>
          <w:color w:val="000000" w:themeColor="text1"/>
        </w:rPr>
        <w:t>.</w:t>
      </w:r>
      <w:r w:rsidR="00E840B9">
        <w:rPr>
          <w:color w:val="000000" w:themeColor="text1"/>
        </w:rPr>
        <w:t xml:space="preserve"> </w:t>
      </w:r>
    </w:p>
    <w:p w14:paraId="50F4A73A" w14:textId="5BD03B28" w:rsidR="00876D0A" w:rsidRPr="00D337A2" w:rsidRDefault="00876D0A" w:rsidP="00E840B9">
      <w:pPr>
        <w:pStyle w:val="NormalWeb"/>
        <w:spacing w:before="0" w:beforeAutospacing="0" w:after="0" w:afterAutospacing="0"/>
        <w:ind w:left="540" w:hanging="540"/>
        <w:jc w:val="both"/>
        <w:rPr>
          <w:color w:val="000000" w:themeColor="text1"/>
        </w:rPr>
      </w:pPr>
      <w:r w:rsidRPr="009568A7">
        <w:rPr>
          <w:color w:val="000000" w:themeColor="text1"/>
        </w:rPr>
        <w:t xml:space="preserve">Nguyen, M. H. (2021). Factors </w:t>
      </w:r>
      <w:r w:rsidR="00D21BEA">
        <w:rPr>
          <w:color w:val="000000" w:themeColor="text1"/>
        </w:rPr>
        <w:t>i</w:t>
      </w:r>
      <w:r w:rsidRPr="009568A7">
        <w:rPr>
          <w:color w:val="000000" w:themeColor="text1"/>
        </w:rPr>
        <w:t xml:space="preserve">nfluencing </w:t>
      </w:r>
      <w:r w:rsidR="00D21BEA">
        <w:rPr>
          <w:color w:val="000000" w:themeColor="text1"/>
        </w:rPr>
        <w:t>h</w:t>
      </w:r>
      <w:r w:rsidRPr="009568A7">
        <w:rPr>
          <w:color w:val="000000" w:themeColor="text1"/>
        </w:rPr>
        <w:t>ome-</w:t>
      </w:r>
      <w:r w:rsidR="00D21BEA">
        <w:rPr>
          <w:color w:val="000000" w:themeColor="text1"/>
        </w:rPr>
        <w:t>b</w:t>
      </w:r>
      <w:r w:rsidRPr="009568A7">
        <w:rPr>
          <w:color w:val="000000" w:themeColor="text1"/>
        </w:rPr>
        <w:t xml:space="preserve">ased </w:t>
      </w:r>
      <w:r w:rsidR="00D21BEA">
        <w:rPr>
          <w:color w:val="000000" w:themeColor="text1"/>
        </w:rPr>
        <w:t>t</w:t>
      </w:r>
      <w:r w:rsidRPr="009568A7">
        <w:rPr>
          <w:color w:val="000000" w:themeColor="text1"/>
        </w:rPr>
        <w:t xml:space="preserve">elework in Hanoi (Vietnam) </w:t>
      </w:r>
      <w:r w:rsidR="00D21BEA">
        <w:rPr>
          <w:color w:val="000000" w:themeColor="text1"/>
        </w:rPr>
        <w:t>d</w:t>
      </w:r>
      <w:r w:rsidRPr="009568A7">
        <w:rPr>
          <w:color w:val="000000" w:themeColor="text1"/>
        </w:rPr>
        <w:t xml:space="preserve">uring and </w:t>
      </w:r>
      <w:r w:rsidR="00D21BEA">
        <w:rPr>
          <w:color w:val="000000" w:themeColor="text1"/>
        </w:rPr>
        <w:t>a</w:t>
      </w:r>
      <w:r w:rsidRPr="009568A7">
        <w:rPr>
          <w:color w:val="000000" w:themeColor="text1"/>
        </w:rPr>
        <w:t xml:space="preserve">fter the COVID-19 </w:t>
      </w:r>
      <w:r w:rsidR="00D21BEA">
        <w:rPr>
          <w:color w:val="000000" w:themeColor="text1"/>
        </w:rPr>
        <w:t>e</w:t>
      </w:r>
      <w:r w:rsidRPr="009568A7">
        <w:rPr>
          <w:color w:val="000000" w:themeColor="text1"/>
        </w:rPr>
        <w:t xml:space="preserve">ra. </w:t>
      </w:r>
      <w:r w:rsidRPr="009568A7">
        <w:rPr>
          <w:i/>
          <w:iCs/>
          <w:color w:val="000000" w:themeColor="text1"/>
        </w:rPr>
        <w:t>Transportation</w:t>
      </w:r>
      <w:r w:rsidRPr="008F052D">
        <w:rPr>
          <w:color w:val="000000" w:themeColor="text1"/>
        </w:rPr>
        <w:t>, 4</w:t>
      </w:r>
      <w:r w:rsidRPr="009568A7">
        <w:rPr>
          <w:color w:val="000000" w:themeColor="text1"/>
        </w:rPr>
        <w:t>8, 3207-3238</w:t>
      </w:r>
      <w:r w:rsidR="00D21BEA">
        <w:rPr>
          <w:color w:val="000000" w:themeColor="text1"/>
        </w:rPr>
        <w:t>.</w:t>
      </w:r>
      <w:r w:rsidR="008F052D">
        <w:t xml:space="preserve"> </w:t>
      </w:r>
      <w:r w:rsidRPr="009568A7">
        <w:rPr>
          <w:b/>
          <w:bCs/>
        </w:rPr>
        <w:t xml:space="preserve"> </w:t>
      </w:r>
    </w:p>
    <w:p w14:paraId="7CA78335" w14:textId="561E388D" w:rsidR="00876D0A" w:rsidRPr="009568A7" w:rsidRDefault="00876D0A" w:rsidP="005A1783">
      <w:pPr>
        <w:pStyle w:val="NormalWeb"/>
        <w:spacing w:before="0" w:beforeAutospacing="0" w:after="0" w:afterAutospacing="0"/>
        <w:ind w:left="540" w:hanging="540"/>
        <w:jc w:val="both"/>
        <w:rPr>
          <w:color w:val="000000" w:themeColor="text1"/>
        </w:rPr>
      </w:pPr>
      <w:proofErr w:type="spellStart"/>
      <w:r w:rsidRPr="009568A7">
        <w:rPr>
          <w:color w:val="000000" w:themeColor="text1"/>
        </w:rPr>
        <w:t>Oduh</w:t>
      </w:r>
      <w:proofErr w:type="spellEnd"/>
      <w:r w:rsidRPr="009568A7">
        <w:rPr>
          <w:color w:val="000000" w:themeColor="text1"/>
        </w:rPr>
        <w:t xml:space="preserve">, W. A. (2016). Dimensions of </w:t>
      </w:r>
      <w:r w:rsidR="00D21BEA">
        <w:rPr>
          <w:color w:val="000000" w:themeColor="text1"/>
        </w:rPr>
        <w:t>c</w:t>
      </w:r>
      <w:r w:rsidRPr="009568A7">
        <w:rPr>
          <w:color w:val="000000" w:themeColor="text1"/>
        </w:rPr>
        <w:t xml:space="preserve">ognitive </w:t>
      </w:r>
      <w:r w:rsidR="00D21BEA">
        <w:rPr>
          <w:color w:val="000000" w:themeColor="text1"/>
        </w:rPr>
        <w:t>d</w:t>
      </w:r>
      <w:r w:rsidRPr="009568A7">
        <w:rPr>
          <w:color w:val="000000" w:themeColor="text1"/>
        </w:rPr>
        <w:t xml:space="preserve">issonance and the </w:t>
      </w:r>
      <w:r w:rsidR="00D21BEA">
        <w:rPr>
          <w:color w:val="000000" w:themeColor="text1"/>
        </w:rPr>
        <w:t>l</w:t>
      </w:r>
      <w:r w:rsidRPr="009568A7">
        <w:rPr>
          <w:color w:val="000000" w:themeColor="text1"/>
        </w:rPr>
        <w:t xml:space="preserve">evel of </w:t>
      </w:r>
      <w:r w:rsidR="00D21BEA">
        <w:rPr>
          <w:color w:val="000000" w:themeColor="text1"/>
        </w:rPr>
        <w:t>j</w:t>
      </w:r>
      <w:r w:rsidRPr="009568A7">
        <w:rPr>
          <w:color w:val="000000" w:themeColor="text1"/>
        </w:rPr>
        <w:t xml:space="preserve">ob </w:t>
      </w:r>
      <w:r w:rsidR="00D21BEA">
        <w:rPr>
          <w:color w:val="000000" w:themeColor="text1"/>
        </w:rPr>
        <w:t>s</w:t>
      </w:r>
      <w:r w:rsidRPr="009568A7">
        <w:rPr>
          <w:color w:val="000000" w:themeColor="text1"/>
        </w:rPr>
        <w:t xml:space="preserve">atisfaction among </w:t>
      </w:r>
      <w:r w:rsidR="00D21BEA">
        <w:rPr>
          <w:color w:val="000000" w:themeColor="text1"/>
        </w:rPr>
        <w:t>c</w:t>
      </w:r>
      <w:r w:rsidRPr="009568A7">
        <w:rPr>
          <w:color w:val="000000" w:themeColor="text1"/>
        </w:rPr>
        <w:t xml:space="preserve">ounsellors in Delta and Edo States, Nigeria. </w:t>
      </w:r>
      <w:r w:rsidRPr="009568A7">
        <w:rPr>
          <w:i/>
          <w:iCs/>
          <w:color w:val="000000" w:themeColor="text1"/>
        </w:rPr>
        <w:t>Journal of Education and Practice</w:t>
      </w:r>
      <w:r w:rsidRPr="009568A7">
        <w:rPr>
          <w:color w:val="000000" w:themeColor="text1"/>
        </w:rPr>
        <w:t>, 7</w:t>
      </w:r>
      <w:r w:rsidR="008F052D">
        <w:rPr>
          <w:color w:val="000000" w:themeColor="text1"/>
        </w:rPr>
        <w:t>(21), 20-29</w:t>
      </w:r>
      <w:r w:rsidRPr="009568A7">
        <w:rPr>
          <w:color w:val="000000" w:themeColor="text1"/>
        </w:rPr>
        <w:t>.</w:t>
      </w:r>
    </w:p>
    <w:p w14:paraId="11A65C60" w14:textId="3111B03B" w:rsidR="00816BE1" w:rsidRPr="00D337A2" w:rsidRDefault="00816BE1" w:rsidP="005A1783">
      <w:pPr>
        <w:pStyle w:val="NormalWeb"/>
        <w:spacing w:before="0" w:beforeAutospacing="0" w:after="0" w:afterAutospacing="0"/>
        <w:ind w:left="540" w:hanging="540"/>
        <w:jc w:val="both"/>
        <w:rPr>
          <w:i/>
          <w:iCs/>
          <w:color w:val="0A0D0F"/>
          <w:shd w:val="clear" w:color="auto" w:fill="FFFFFF"/>
        </w:rPr>
      </w:pPr>
      <w:r w:rsidRPr="009568A7">
        <w:rPr>
          <w:color w:val="0A0D0F"/>
          <w:shd w:val="clear" w:color="auto" w:fill="FFFFFF"/>
        </w:rPr>
        <w:lastRenderedPageBreak/>
        <w:t xml:space="preserve">Ono, H., Mori, T. (2021). COVID-19 and </w:t>
      </w:r>
      <w:r w:rsidR="00D21BEA">
        <w:rPr>
          <w:color w:val="0A0D0F"/>
          <w:shd w:val="clear" w:color="auto" w:fill="FFFFFF"/>
        </w:rPr>
        <w:t>t</w:t>
      </w:r>
      <w:r w:rsidRPr="009568A7">
        <w:rPr>
          <w:color w:val="0A0D0F"/>
          <w:shd w:val="clear" w:color="auto" w:fill="FFFFFF"/>
        </w:rPr>
        <w:t xml:space="preserve">elework: An </w:t>
      </w:r>
      <w:r w:rsidR="00D21BEA">
        <w:rPr>
          <w:color w:val="0A0D0F"/>
          <w:shd w:val="clear" w:color="auto" w:fill="FFFFFF"/>
        </w:rPr>
        <w:t>i</w:t>
      </w:r>
      <w:r w:rsidRPr="009568A7">
        <w:rPr>
          <w:color w:val="0A0D0F"/>
          <w:shd w:val="clear" w:color="auto" w:fill="FFFFFF"/>
        </w:rPr>
        <w:t xml:space="preserve">nternational </w:t>
      </w:r>
      <w:r w:rsidR="00D21BEA">
        <w:rPr>
          <w:color w:val="0A0D0F"/>
          <w:shd w:val="clear" w:color="auto" w:fill="FFFFFF"/>
        </w:rPr>
        <w:t>c</w:t>
      </w:r>
      <w:r w:rsidRPr="009568A7">
        <w:rPr>
          <w:color w:val="0A0D0F"/>
          <w:shd w:val="clear" w:color="auto" w:fill="FFFFFF"/>
        </w:rPr>
        <w:t>omparison. </w:t>
      </w:r>
      <w:r w:rsidRPr="009568A7">
        <w:rPr>
          <w:i/>
          <w:iCs/>
          <w:color w:val="0A0D0F"/>
          <w:shd w:val="clear" w:color="auto" w:fill="FFFFFF"/>
        </w:rPr>
        <w:t>Journal of Quantitative Description: Digital Media</w:t>
      </w:r>
      <w:r w:rsidRPr="009568A7">
        <w:rPr>
          <w:color w:val="0A0D0F"/>
          <w:shd w:val="clear" w:color="auto" w:fill="FFFFFF"/>
        </w:rPr>
        <w:t>, </w:t>
      </w:r>
      <w:r w:rsidRPr="008F052D">
        <w:rPr>
          <w:color w:val="0A0D0F"/>
          <w:shd w:val="clear" w:color="auto" w:fill="FFFFFF"/>
        </w:rPr>
        <w:t>1.</w:t>
      </w:r>
      <w:r w:rsidRPr="009568A7">
        <w:rPr>
          <w:color w:val="0A0D0F"/>
          <w:shd w:val="clear" w:color="auto" w:fill="FFFFFF"/>
        </w:rPr>
        <w:t xml:space="preserve"> </w:t>
      </w:r>
      <w:hyperlink r:id="rId230" w:history="1">
        <w:r w:rsidR="00D21BEA" w:rsidRPr="00700C45">
          <w:rPr>
            <w:rStyle w:val="Hyperlink"/>
            <w:shd w:val="clear" w:color="auto" w:fill="FFFFFF"/>
          </w:rPr>
          <w:t>https://doi.org/10.51685/jqd.2021.004</w:t>
        </w:r>
      </w:hyperlink>
      <w:r w:rsidR="00D21BEA">
        <w:rPr>
          <w:color w:val="0A0D0F"/>
          <w:shd w:val="clear" w:color="auto" w:fill="FFFFFF"/>
        </w:rPr>
        <w:t xml:space="preserve">. </w:t>
      </w:r>
    </w:p>
    <w:p w14:paraId="36AD1BEF" w14:textId="5A52040C" w:rsidR="00876D0A" w:rsidRPr="005F273E" w:rsidRDefault="00876D0A" w:rsidP="005A1783">
      <w:pPr>
        <w:pStyle w:val="NormalWeb"/>
        <w:spacing w:before="0" w:beforeAutospacing="0" w:after="0" w:afterAutospacing="0"/>
        <w:ind w:left="540" w:hanging="540"/>
        <w:jc w:val="both"/>
        <w:rPr>
          <w:color w:val="000000" w:themeColor="text1"/>
        </w:rPr>
      </w:pPr>
      <w:r w:rsidRPr="005F273E">
        <w:rPr>
          <w:color w:val="000000" w:themeColor="text1"/>
        </w:rPr>
        <w:t xml:space="preserve">Owl Labs. State of </w:t>
      </w:r>
      <w:r w:rsidR="00D21BEA" w:rsidRPr="005F273E">
        <w:rPr>
          <w:color w:val="000000" w:themeColor="text1"/>
        </w:rPr>
        <w:t>r</w:t>
      </w:r>
      <w:r w:rsidRPr="005F273E">
        <w:rPr>
          <w:color w:val="000000" w:themeColor="text1"/>
        </w:rPr>
        <w:t xml:space="preserve">emote </w:t>
      </w:r>
      <w:r w:rsidR="00D21BEA" w:rsidRPr="005F273E">
        <w:rPr>
          <w:color w:val="000000" w:themeColor="text1"/>
        </w:rPr>
        <w:t>w</w:t>
      </w:r>
      <w:r w:rsidRPr="005F273E">
        <w:rPr>
          <w:color w:val="000000" w:themeColor="text1"/>
        </w:rPr>
        <w:t xml:space="preserve">ork 2022. (2022). </w:t>
      </w:r>
      <w:r w:rsidRPr="005F273E">
        <w:rPr>
          <w:i/>
          <w:iCs/>
          <w:color w:val="000000" w:themeColor="text1"/>
        </w:rPr>
        <w:t>Owl Labs</w:t>
      </w:r>
      <w:r w:rsidRPr="005F273E">
        <w:rPr>
          <w:color w:val="000000" w:themeColor="text1"/>
        </w:rPr>
        <w:t xml:space="preserve">. </w:t>
      </w:r>
      <w:hyperlink r:id="rId231" w:history="1">
        <w:r w:rsidRPr="005F273E">
          <w:rPr>
            <w:rStyle w:val="Hyperlink"/>
          </w:rPr>
          <w:t>https://owllabs.com/state-of-remote-work/2022</w:t>
        </w:r>
      </w:hyperlink>
      <w:r w:rsidRPr="005F273E">
        <w:rPr>
          <w:color w:val="000000" w:themeColor="text1"/>
        </w:rPr>
        <w:t xml:space="preserve">. Accessed May 24, 2023. </w:t>
      </w:r>
    </w:p>
    <w:p w14:paraId="2A1578D7" w14:textId="29CCA2FD" w:rsidR="00876D0A" w:rsidRPr="009568A7" w:rsidRDefault="00876D0A" w:rsidP="005A1783">
      <w:pPr>
        <w:pStyle w:val="NormalWeb"/>
        <w:spacing w:before="0" w:beforeAutospacing="0" w:after="0" w:afterAutospacing="0"/>
        <w:ind w:left="540" w:hanging="540"/>
        <w:jc w:val="both"/>
      </w:pPr>
      <w:r w:rsidRPr="005F273E">
        <w:rPr>
          <w:color w:val="000000" w:themeColor="text1"/>
        </w:rPr>
        <w:t xml:space="preserve">Owl Labs. State of </w:t>
      </w:r>
      <w:r w:rsidR="00D21BEA" w:rsidRPr="005F273E">
        <w:rPr>
          <w:color w:val="000000" w:themeColor="text1"/>
        </w:rPr>
        <w:t>r</w:t>
      </w:r>
      <w:r w:rsidRPr="005F273E">
        <w:rPr>
          <w:color w:val="000000" w:themeColor="text1"/>
        </w:rPr>
        <w:t xml:space="preserve">emote </w:t>
      </w:r>
      <w:r w:rsidR="00D21BEA" w:rsidRPr="005F273E">
        <w:rPr>
          <w:color w:val="000000" w:themeColor="text1"/>
        </w:rPr>
        <w:t>w</w:t>
      </w:r>
      <w:r w:rsidRPr="005F273E">
        <w:rPr>
          <w:color w:val="000000" w:themeColor="text1"/>
        </w:rPr>
        <w:t xml:space="preserve">ork 2021. (2021). </w:t>
      </w:r>
      <w:r w:rsidRPr="005F273E">
        <w:rPr>
          <w:i/>
          <w:iCs/>
          <w:color w:val="000000" w:themeColor="text1"/>
        </w:rPr>
        <w:t>Owl Labs</w:t>
      </w:r>
      <w:r w:rsidRPr="005F273E">
        <w:rPr>
          <w:color w:val="000000" w:themeColor="text1"/>
        </w:rPr>
        <w:t xml:space="preserve">. </w:t>
      </w:r>
      <w:hyperlink r:id="rId232" w:history="1">
        <w:r w:rsidR="00620BD0" w:rsidRPr="005F273E">
          <w:rPr>
            <w:rStyle w:val="Hyperlink"/>
          </w:rPr>
          <w:t>https://owllabs.com/state-of-remote-work/2021</w:t>
        </w:r>
      </w:hyperlink>
      <w:r w:rsidRPr="005F273E">
        <w:t>.</w:t>
      </w:r>
      <w:r w:rsidRPr="009568A7">
        <w:t xml:space="preserve"> Accessed April 13, 2023.</w:t>
      </w:r>
    </w:p>
    <w:p w14:paraId="14C9A1DB" w14:textId="6EB4BEBB" w:rsidR="00876D0A" w:rsidRPr="009568A7" w:rsidRDefault="00876D0A" w:rsidP="005A1783">
      <w:pPr>
        <w:pStyle w:val="NormalWeb"/>
        <w:spacing w:before="0" w:beforeAutospacing="0" w:after="0" w:afterAutospacing="0"/>
        <w:ind w:left="540" w:hanging="540"/>
        <w:jc w:val="both"/>
        <w:rPr>
          <w:color w:val="000000" w:themeColor="text1"/>
        </w:rPr>
      </w:pPr>
      <w:proofErr w:type="spellStart"/>
      <w:r w:rsidRPr="009568A7">
        <w:t>Ozimek</w:t>
      </w:r>
      <w:proofErr w:type="spellEnd"/>
      <w:r w:rsidRPr="009568A7">
        <w:t xml:space="preserve">, A., Carlson, E. (2022). The </w:t>
      </w:r>
      <w:r w:rsidR="00D21BEA">
        <w:t>u</w:t>
      </w:r>
      <w:r w:rsidRPr="009568A7">
        <w:t xml:space="preserve">neven </w:t>
      </w:r>
      <w:r w:rsidR="00D21BEA">
        <w:t>g</w:t>
      </w:r>
      <w:r w:rsidRPr="009568A7">
        <w:t xml:space="preserve">eography of </w:t>
      </w:r>
      <w:r w:rsidR="00D21BEA">
        <w:t>r</w:t>
      </w:r>
      <w:r w:rsidRPr="009568A7">
        <w:t xml:space="preserve">emote </w:t>
      </w:r>
      <w:r w:rsidR="00D21BEA">
        <w:t>w</w:t>
      </w:r>
      <w:r w:rsidRPr="009568A7">
        <w:t>ork. Economic Innovation Group.</w:t>
      </w:r>
      <w:r w:rsidR="00D21BEA">
        <w:t xml:space="preserve"> Economic Innovation Group.</w:t>
      </w:r>
      <w:r w:rsidRPr="009568A7">
        <w:t xml:space="preserve"> </w:t>
      </w:r>
      <w:hyperlink r:id="rId233" w:history="1">
        <w:r w:rsidRPr="009568A7">
          <w:rPr>
            <w:rStyle w:val="Hyperlink"/>
          </w:rPr>
          <w:t>https://eig.org/the-uneven-geography-of-remote-work/</w:t>
        </w:r>
      </w:hyperlink>
      <w:r w:rsidRPr="009568A7">
        <w:t xml:space="preserve">. Accessed June 1, 2023. </w:t>
      </w:r>
    </w:p>
    <w:p w14:paraId="2BE1EBB5" w14:textId="44C5EBA7" w:rsidR="00816BE1" w:rsidRPr="009568A7" w:rsidRDefault="00816BE1" w:rsidP="005A1783">
      <w:pPr>
        <w:pStyle w:val="NormalWeb"/>
        <w:spacing w:before="0" w:beforeAutospacing="0" w:after="0" w:afterAutospacing="0"/>
        <w:ind w:left="540" w:hanging="540"/>
        <w:jc w:val="both"/>
      </w:pPr>
      <w:r w:rsidRPr="009568A7">
        <w:t xml:space="preserve">Popuri, Y. D., Bhat, C. R. (2003). On </w:t>
      </w:r>
      <w:r w:rsidR="00D21BEA">
        <w:t>m</w:t>
      </w:r>
      <w:r w:rsidRPr="009568A7">
        <w:t xml:space="preserve">odeling </w:t>
      </w:r>
      <w:r w:rsidR="00D21BEA">
        <w:t>c</w:t>
      </w:r>
      <w:r w:rsidRPr="009568A7">
        <w:t xml:space="preserve">hoice and </w:t>
      </w:r>
      <w:r w:rsidR="00D21BEA">
        <w:t>f</w:t>
      </w:r>
      <w:r w:rsidRPr="009568A7">
        <w:t xml:space="preserve">requency of </w:t>
      </w:r>
      <w:r w:rsidR="00D21BEA">
        <w:t>h</w:t>
      </w:r>
      <w:r w:rsidRPr="009568A7">
        <w:t>ome-</w:t>
      </w:r>
      <w:r w:rsidR="00D21BEA">
        <w:t>b</w:t>
      </w:r>
      <w:r w:rsidRPr="009568A7">
        <w:t xml:space="preserve">ased </w:t>
      </w:r>
      <w:r w:rsidR="00D21BEA">
        <w:t>t</w:t>
      </w:r>
      <w:r w:rsidRPr="009568A7">
        <w:t xml:space="preserve">elecommuting. </w:t>
      </w:r>
      <w:r w:rsidRPr="009568A7">
        <w:rPr>
          <w:i/>
          <w:iCs/>
        </w:rPr>
        <w:t>Transportation Research Record</w:t>
      </w:r>
      <w:r w:rsidRPr="009568A7">
        <w:t xml:space="preserve">, 1858, 55-60. </w:t>
      </w:r>
    </w:p>
    <w:p w14:paraId="5A4FD890" w14:textId="1C70F02E" w:rsidR="00876D0A" w:rsidRPr="009568A7" w:rsidRDefault="00876D0A" w:rsidP="005A1783">
      <w:pPr>
        <w:pStyle w:val="NormalWeb"/>
        <w:spacing w:before="0" w:beforeAutospacing="0" w:after="0" w:afterAutospacing="0"/>
        <w:ind w:left="540" w:hanging="540"/>
        <w:jc w:val="both"/>
        <w:rPr>
          <w:color w:val="000000" w:themeColor="text1"/>
        </w:rPr>
      </w:pPr>
      <w:r w:rsidRPr="009568A7">
        <w:t xml:space="preserve">PWC (2021). It’s </w:t>
      </w:r>
      <w:r w:rsidR="00D21BEA">
        <w:rPr>
          <w:color w:val="000000" w:themeColor="text1"/>
        </w:rPr>
        <w:t>t</w:t>
      </w:r>
      <w:r w:rsidRPr="009568A7">
        <w:rPr>
          <w:color w:val="000000" w:themeColor="text1"/>
        </w:rPr>
        <w:t xml:space="preserve">ime to </w:t>
      </w:r>
      <w:r w:rsidR="00D21BEA">
        <w:rPr>
          <w:color w:val="000000" w:themeColor="text1"/>
        </w:rPr>
        <w:t>r</w:t>
      </w:r>
      <w:r w:rsidRPr="009568A7">
        <w:rPr>
          <w:color w:val="000000" w:themeColor="text1"/>
        </w:rPr>
        <w:t xml:space="preserve">eimagine </w:t>
      </w:r>
      <w:r w:rsidR="00D21BEA">
        <w:rPr>
          <w:color w:val="000000" w:themeColor="text1"/>
        </w:rPr>
        <w:t>w</w:t>
      </w:r>
      <w:r w:rsidRPr="009568A7">
        <w:rPr>
          <w:color w:val="000000" w:themeColor="text1"/>
        </w:rPr>
        <w:t xml:space="preserve">here and </w:t>
      </w:r>
      <w:r w:rsidR="00D21BEA">
        <w:rPr>
          <w:color w:val="000000" w:themeColor="text1"/>
        </w:rPr>
        <w:t>h</w:t>
      </w:r>
      <w:r w:rsidRPr="009568A7">
        <w:rPr>
          <w:color w:val="000000" w:themeColor="text1"/>
        </w:rPr>
        <w:t xml:space="preserve">ow </w:t>
      </w:r>
      <w:r w:rsidR="00D21BEA">
        <w:rPr>
          <w:color w:val="000000" w:themeColor="text1"/>
        </w:rPr>
        <w:t>w</w:t>
      </w:r>
      <w:r w:rsidRPr="009568A7">
        <w:rPr>
          <w:color w:val="000000" w:themeColor="text1"/>
        </w:rPr>
        <w:t xml:space="preserve">ork </w:t>
      </w:r>
      <w:r w:rsidR="00D21BEA">
        <w:rPr>
          <w:color w:val="000000" w:themeColor="text1"/>
        </w:rPr>
        <w:t>w</w:t>
      </w:r>
      <w:r w:rsidRPr="009568A7">
        <w:rPr>
          <w:color w:val="000000" w:themeColor="text1"/>
        </w:rPr>
        <w:t xml:space="preserve">ill </w:t>
      </w:r>
      <w:r w:rsidR="00D21BEA">
        <w:rPr>
          <w:color w:val="000000" w:themeColor="text1"/>
        </w:rPr>
        <w:t>g</w:t>
      </w:r>
      <w:r w:rsidRPr="009568A7">
        <w:rPr>
          <w:color w:val="000000" w:themeColor="text1"/>
        </w:rPr>
        <w:t xml:space="preserve">et </w:t>
      </w:r>
      <w:r w:rsidR="00D21BEA">
        <w:rPr>
          <w:color w:val="000000" w:themeColor="text1"/>
        </w:rPr>
        <w:t>d</w:t>
      </w:r>
      <w:r w:rsidRPr="009568A7">
        <w:rPr>
          <w:color w:val="000000" w:themeColor="text1"/>
        </w:rPr>
        <w:t>one: PWC’s US Remote Work Survey.</w:t>
      </w:r>
      <w:r w:rsidR="008F052D">
        <w:rPr>
          <w:color w:val="000000" w:themeColor="text1"/>
        </w:rPr>
        <w:t xml:space="preserve"> </w:t>
      </w:r>
      <w:hyperlink r:id="rId234" w:history="1">
        <w:r w:rsidR="008F052D" w:rsidRPr="001D7C38">
          <w:rPr>
            <w:rStyle w:val="Hyperlink"/>
          </w:rPr>
          <w:t>https://www.pwc.com/us/en/services/consulting/business-transformation/library/covid-19-us-remote-work-survey.html</w:t>
        </w:r>
      </w:hyperlink>
      <w:r w:rsidRPr="009568A7">
        <w:rPr>
          <w:color w:val="000000" w:themeColor="text1"/>
        </w:rPr>
        <w:t>.</w:t>
      </w:r>
      <w:r w:rsidR="008F052D">
        <w:rPr>
          <w:color w:val="000000" w:themeColor="text1"/>
        </w:rPr>
        <w:t xml:space="preserve"> </w:t>
      </w:r>
      <w:r w:rsidRPr="009568A7">
        <w:rPr>
          <w:color w:val="000000" w:themeColor="text1"/>
        </w:rPr>
        <w:t>Accessed April 13, 2023.</w:t>
      </w:r>
    </w:p>
    <w:p w14:paraId="2BB1286F" w14:textId="5A24CFC8" w:rsidR="00876D0A" w:rsidRPr="009568A7" w:rsidRDefault="00876D0A" w:rsidP="005A1783">
      <w:pPr>
        <w:pStyle w:val="NormalWeb"/>
        <w:spacing w:before="0" w:beforeAutospacing="0" w:after="0" w:afterAutospacing="0"/>
        <w:ind w:left="540" w:hanging="540"/>
        <w:jc w:val="both"/>
        <w:rPr>
          <w:color w:val="000000" w:themeColor="text1"/>
        </w:rPr>
      </w:pPr>
      <w:r w:rsidRPr="009568A7">
        <w:rPr>
          <w:color w:val="000000" w:themeColor="text1"/>
        </w:rPr>
        <w:t xml:space="preserve">Rafiq, R., McNally, M. G., Uddin, Y. S., Ahmed, T. (2022). Impact of working from home on activity-travel behavior during the COVID-19 Pandemic: An aggregate structural analysis. </w:t>
      </w:r>
      <w:r w:rsidRPr="009568A7">
        <w:rPr>
          <w:i/>
          <w:iCs/>
          <w:color w:val="000000" w:themeColor="text1"/>
        </w:rPr>
        <w:t>Transportation Research Part A</w:t>
      </w:r>
      <w:r w:rsidRPr="00D337A2">
        <w:rPr>
          <w:color w:val="000000" w:themeColor="text1"/>
        </w:rPr>
        <w:t>, 159</w:t>
      </w:r>
      <w:r w:rsidRPr="009568A7">
        <w:rPr>
          <w:color w:val="000000" w:themeColor="text1"/>
        </w:rPr>
        <w:t>, 35</w:t>
      </w:r>
      <w:r w:rsidR="00D337A2">
        <w:rPr>
          <w:color w:val="000000" w:themeColor="text1"/>
        </w:rPr>
        <w:t>-</w:t>
      </w:r>
      <w:r w:rsidRPr="009568A7">
        <w:rPr>
          <w:color w:val="000000" w:themeColor="text1"/>
        </w:rPr>
        <w:t>54.</w:t>
      </w:r>
    </w:p>
    <w:p w14:paraId="420E9C41" w14:textId="3E4B5FB6" w:rsidR="00876D0A" w:rsidRPr="009568A7" w:rsidRDefault="00876D0A" w:rsidP="005A1783">
      <w:pPr>
        <w:pStyle w:val="NormalWeb"/>
        <w:spacing w:before="0" w:beforeAutospacing="0" w:after="0" w:afterAutospacing="0"/>
        <w:ind w:left="540" w:hanging="540"/>
        <w:jc w:val="both"/>
        <w:rPr>
          <w:color w:val="000000" w:themeColor="text1"/>
        </w:rPr>
      </w:pPr>
      <w:proofErr w:type="spellStart"/>
      <w:r w:rsidRPr="009568A7">
        <w:rPr>
          <w:color w:val="000000" w:themeColor="text1"/>
        </w:rPr>
        <w:t>Ravalet</w:t>
      </w:r>
      <w:proofErr w:type="spellEnd"/>
      <w:r w:rsidRPr="009568A7">
        <w:rPr>
          <w:color w:val="000000" w:themeColor="text1"/>
        </w:rPr>
        <w:t xml:space="preserve">, E., </w:t>
      </w:r>
      <w:r w:rsidRPr="009568A7">
        <w:t>and</w:t>
      </w:r>
      <w:r w:rsidRPr="009568A7">
        <w:rPr>
          <w:color w:val="000000" w:themeColor="text1"/>
        </w:rPr>
        <w:t xml:space="preserve"> </w:t>
      </w:r>
      <w:proofErr w:type="spellStart"/>
      <w:r w:rsidRPr="009568A7">
        <w:t>Rérat</w:t>
      </w:r>
      <w:proofErr w:type="spellEnd"/>
      <w:r w:rsidRPr="009568A7">
        <w:rPr>
          <w:color w:val="000000" w:themeColor="text1"/>
        </w:rPr>
        <w:t xml:space="preserve">, P. (2019). Teleworking: Decreasing mobility or increasing tolerance of commuting distances? </w:t>
      </w:r>
      <w:r w:rsidRPr="009568A7">
        <w:rPr>
          <w:i/>
          <w:iCs/>
          <w:color w:val="000000" w:themeColor="text1"/>
        </w:rPr>
        <w:t>Built Environment</w:t>
      </w:r>
      <w:r w:rsidRPr="00D337A2">
        <w:rPr>
          <w:color w:val="000000" w:themeColor="text1"/>
        </w:rPr>
        <w:t>, 45,</w:t>
      </w:r>
      <w:r w:rsidRPr="009568A7">
        <w:rPr>
          <w:color w:val="000000" w:themeColor="text1"/>
        </w:rPr>
        <w:t xml:space="preserve"> 582</w:t>
      </w:r>
      <w:r w:rsidR="00D337A2">
        <w:rPr>
          <w:color w:val="000000" w:themeColor="text1"/>
        </w:rPr>
        <w:t>-</w:t>
      </w:r>
      <w:r w:rsidRPr="009568A7">
        <w:rPr>
          <w:color w:val="000000" w:themeColor="text1"/>
        </w:rPr>
        <w:t>602.</w:t>
      </w:r>
    </w:p>
    <w:p w14:paraId="573C2C7E" w14:textId="22FB954E" w:rsidR="00876D0A" w:rsidRDefault="00876D0A" w:rsidP="005A1783">
      <w:pPr>
        <w:pStyle w:val="NormalWeb"/>
        <w:spacing w:before="0" w:beforeAutospacing="0" w:after="0" w:afterAutospacing="0"/>
        <w:ind w:left="540" w:hanging="540"/>
        <w:jc w:val="both"/>
      </w:pPr>
      <w:r w:rsidRPr="009568A7">
        <w:t xml:space="preserve">Rembert, M., </w:t>
      </w:r>
      <w:proofErr w:type="spellStart"/>
      <w:r w:rsidRPr="009568A7">
        <w:t>Osinubi</w:t>
      </w:r>
      <w:proofErr w:type="spellEnd"/>
      <w:r w:rsidRPr="009568A7">
        <w:t xml:space="preserve">, A., Douglas, D. (2021). The </w:t>
      </w:r>
      <w:r w:rsidR="00AE0BAE">
        <w:t>r</w:t>
      </w:r>
      <w:r w:rsidRPr="009568A7">
        <w:t xml:space="preserve">ise of </w:t>
      </w:r>
      <w:r w:rsidR="00AE0BAE">
        <w:t>r</w:t>
      </w:r>
      <w:r w:rsidRPr="009568A7">
        <w:t xml:space="preserve">emote </w:t>
      </w:r>
      <w:r w:rsidR="00AE0BAE">
        <w:t>w</w:t>
      </w:r>
      <w:r w:rsidRPr="009568A7">
        <w:t xml:space="preserve">ork in </w:t>
      </w:r>
      <w:r w:rsidR="00AE0BAE">
        <w:t>r</w:t>
      </w:r>
      <w:r w:rsidRPr="009568A7">
        <w:t xml:space="preserve">ural America. The Center on Rural Innovation and </w:t>
      </w:r>
      <w:r w:rsidR="00AE0BAE">
        <w:t>R</w:t>
      </w:r>
      <w:r w:rsidRPr="009568A7">
        <w:t xml:space="preserve">ural Innovation Strategies, Inc.  </w:t>
      </w:r>
      <w:hyperlink r:id="rId235" w:history="1">
        <w:r w:rsidRPr="009568A7">
          <w:rPr>
            <w:rStyle w:val="Hyperlink"/>
          </w:rPr>
          <w:t>https://ruralinnovation.us/wp-content/uploads/2022/01/Remote-Work_122721.pdf</w:t>
        </w:r>
      </w:hyperlink>
      <w:r w:rsidRPr="009568A7">
        <w:t>. Accessed April 13, 2023.</w:t>
      </w:r>
    </w:p>
    <w:p w14:paraId="6DF36B4F" w14:textId="747A1996" w:rsidR="00D714C2" w:rsidRPr="00D714C2" w:rsidRDefault="00D714C2" w:rsidP="005A1783">
      <w:pPr>
        <w:pStyle w:val="NormalWeb"/>
        <w:spacing w:before="0" w:beforeAutospacing="0" w:after="0" w:afterAutospacing="0"/>
        <w:ind w:left="540" w:hanging="540"/>
        <w:jc w:val="both"/>
      </w:pPr>
      <w:r w:rsidRPr="00D714C2">
        <w:t xml:space="preserve">Salomon, I. (1998). Technological change and social forecasting: </w:t>
      </w:r>
      <w:r w:rsidR="00AE0BAE">
        <w:t>T</w:t>
      </w:r>
      <w:r w:rsidRPr="00D714C2">
        <w:t xml:space="preserve">he case of telecommuting as a travel substitute. </w:t>
      </w:r>
      <w:r w:rsidRPr="007C1B88">
        <w:rPr>
          <w:i/>
          <w:iCs/>
        </w:rPr>
        <w:t>Transportation Research Part C</w:t>
      </w:r>
      <w:r w:rsidRPr="00D714C2">
        <w:t>, 6(1-2), 17-45</w:t>
      </w:r>
    </w:p>
    <w:p w14:paraId="0C5D665D" w14:textId="3BFAF1CE" w:rsidR="00876D0A" w:rsidRPr="009568A7" w:rsidRDefault="00876D0A" w:rsidP="00D2447C">
      <w:pPr>
        <w:pStyle w:val="NormalWeb"/>
        <w:keepNext/>
        <w:keepLines/>
        <w:spacing w:before="0" w:beforeAutospacing="0" w:after="0" w:afterAutospacing="0"/>
        <w:ind w:left="547" w:hanging="547"/>
        <w:jc w:val="both"/>
      </w:pPr>
      <w:r w:rsidRPr="009568A7">
        <w:rPr>
          <w:color w:val="000000" w:themeColor="text1"/>
          <w:shd w:val="clear" w:color="auto" w:fill="FFFFFF"/>
        </w:rPr>
        <w:t>Salon, D., Bhagat-Conway, M. W., Chauhan, R., Magassy, T.,</w:t>
      </w:r>
      <w:r w:rsidRPr="009568A7">
        <w:t xml:space="preserve"> </w:t>
      </w:r>
      <w:proofErr w:type="spellStart"/>
      <w:r w:rsidRPr="009568A7">
        <w:t>Mirtich</w:t>
      </w:r>
      <w:proofErr w:type="spellEnd"/>
      <w:r w:rsidRPr="009568A7">
        <w:t>, L., Rahimi, E., Costello, A.,</w:t>
      </w:r>
      <w:r w:rsidRPr="009568A7">
        <w:rPr>
          <w:color w:val="000000" w:themeColor="text1"/>
          <w:shd w:val="clear" w:color="auto" w:fill="FFFFFF"/>
        </w:rPr>
        <w:t xml:space="preserve"> </w:t>
      </w:r>
      <w:proofErr w:type="spellStart"/>
      <w:r w:rsidRPr="009568A7">
        <w:rPr>
          <w:color w:val="000000" w:themeColor="text1"/>
          <w:shd w:val="clear" w:color="auto" w:fill="FFFFFF"/>
        </w:rPr>
        <w:t>Derrible</w:t>
      </w:r>
      <w:proofErr w:type="spellEnd"/>
      <w:r w:rsidRPr="009568A7">
        <w:rPr>
          <w:color w:val="000000" w:themeColor="text1"/>
          <w:shd w:val="clear" w:color="auto" w:fill="FFFFFF"/>
        </w:rPr>
        <w:t>, S., Mohammadian, K., Pendyala, R</w:t>
      </w:r>
      <w:r w:rsidRPr="009568A7">
        <w:t>.</w:t>
      </w:r>
      <w:r w:rsidR="00AE0BAE">
        <w:t xml:space="preserve"> M.</w:t>
      </w:r>
      <w:r w:rsidRPr="009568A7">
        <w:t xml:space="preserve"> (2022)</w:t>
      </w:r>
      <w:r w:rsidR="009170ED" w:rsidRPr="009568A7">
        <w:t>.</w:t>
      </w:r>
      <w:r w:rsidRPr="009568A7">
        <w:t xml:space="preserve"> COVID Future Wave 3 Survey Data [Data set]. Arizona State University Library Research Data Repository. </w:t>
      </w:r>
      <w:hyperlink r:id="rId236" w:history="1">
        <w:r w:rsidR="00D337A2" w:rsidRPr="001D7C38">
          <w:rPr>
            <w:rStyle w:val="Hyperlink"/>
          </w:rPr>
          <w:t>https://doi.org/10.48349/ASU/9O5TIA</w:t>
        </w:r>
      </w:hyperlink>
      <w:r w:rsidR="00D337A2">
        <w:t>.</w:t>
      </w:r>
      <w:r w:rsidRPr="009568A7">
        <w:rPr>
          <w:color w:val="0000FF"/>
        </w:rPr>
        <w:t xml:space="preserve"> </w:t>
      </w:r>
    </w:p>
    <w:p w14:paraId="45AD41AD" w14:textId="423BD2A1" w:rsidR="00876D0A" w:rsidRPr="009568A7" w:rsidRDefault="00876D0A" w:rsidP="005A1783">
      <w:pPr>
        <w:pStyle w:val="NormalWeb"/>
        <w:spacing w:before="0" w:beforeAutospacing="0" w:after="0" w:afterAutospacing="0"/>
        <w:ind w:left="540" w:hanging="540"/>
        <w:jc w:val="both"/>
        <w:rPr>
          <w:color w:val="000000" w:themeColor="text1"/>
        </w:rPr>
      </w:pPr>
      <w:r w:rsidRPr="009568A7">
        <w:rPr>
          <w:color w:val="000000" w:themeColor="text1"/>
        </w:rPr>
        <w:t xml:space="preserve">Sener, I. N., Bhat, C. R. (2011). A </w:t>
      </w:r>
      <w:r w:rsidR="00AE0BAE">
        <w:rPr>
          <w:color w:val="000000" w:themeColor="text1"/>
        </w:rPr>
        <w:t>c</w:t>
      </w:r>
      <w:r w:rsidRPr="009568A7">
        <w:rPr>
          <w:color w:val="000000" w:themeColor="text1"/>
        </w:rPr>
        <w:t>opula-</w:t>
      </w:r>
      <w:r w:rsidR="00AE0BAE">
        <w:rPr>
          <w:color w:val="000000" w:themeColor="text1"/>
        </w:rPr>
        <w:t>b</w:t>
      </w:r>
      <w:r w:rsidRPr="009568A7">
        <w:rPr>
          <w:color w:val="000000" w:themeColor="text1"/>
        </w:rPr>
        <w:t xml:space="preserve">ased </w:t>
      </w:r>
      <w:r w:rsidR="00AE0BAE">
        <w:rPr>
          <w:color w:val="000000" w:themeColor="text1"/>
        </w:rPr>
        <w:t>s</w:t>
      </w:r>
      <w:r w:rsidRPr="009568A7">
        <w:rPr>
          <w:color w:val="000000" w:themeColor="text1"/>
        </w:rPr>
        <w:t xml:space="preserve">ample </w:t>
      </w:r>
      <w:r w:rsidR="00AE0BAE">
        <w:rPr>
          <w:color w:val="000000" w:themeColor="text1"/>
        </w:rPr>
        <w:t>s</w:t>
      </w:r>
      <w:r w:rsidRPr="009568A7">
        <w:rPr>
          <w:color w:val="000000" w:themeColor="text1"/>
        </w:rPr>
        <w:t xml:space="preserve">election </w:t>
      </w:r>
      <w:r w:rsidR="00AE0BAE">
        <w:rPr>
          <w:color w:val="000000" w:themeColor="text1"/>
        </w:rPr>
        <w:t>m</w:t>
      </w:r>
      <w:r w:rsidRPr="009568A7">
        <w:rPr>
          <w:color w:val="000000" w:themeColor="text1"/>
        </w:rPr>
        <w:t xml:space="preserve">odel of </w:t>
      </w:r>
      <w:r w:rsidR="00AE0BAE">
        <w:rPr>
          <w:color w:val="000000" w:themeColor="text1"/>
        </w:rPr>
        <w:t>t</w:t>
      </w:r>
      <w:r w:rsidRPr="009568A7">
        <w:rPr>
          <w:color w:val="000000" w:themeColor="text1"/>
        </w:rPr>
        <w:t xml:space="preserve">elecommuting </w:t>
      </w:r>
      <w:r w:rsidR="00AE0BAE">
        <w:rPr>
          <w:color w:val="000000" w:themeColor="text1"/>
        </w:rPr>
        <w:t>c</w:t>
      </w:r>
      <w:r w:rsidRPr="009568A7">
        <w:rPr>
          <w:color w:val="000000" w:themeColor="text1"/>
        </w:rPr>
        <w:t xml:space="preserve">hoice and </w:t>
      </w:r>
      <w:r w:rsidR="00AE0BAE">
        <w:rPr>
          <w:color w:val="000000" w:themeColor="text1"/>
        </w:rPr>
        <w:t>f</w:t>
      </w:r>
      <w:r w:rsidRPr="009568A7">
        <w:rPr>
          <w:color w:val="000000" w:themeColor="text1"/>
        </w:rPr>
        <w:t xml:space="preserve">requency. </w:t>
      </w:r>
      <w:r w:rsidRPr="009568A7">
        <w:rPr>
          <w:i/>
          <w:iCs/>
          <w:color w:val="000000" w:themeColor="text1"/>
        </w:rPr>
        <w:t>Environment and Planning A: Economy and Space</w:t>
      </w:r>
      <w:r w:rsidRPr="009568A7">
        <w:rPr>
          <w:color w:val="000000" w:themeColor="text1"/>
        </w:rPr>
        <w:t xml:space="preserve">, 43, 126-145. </w:t>
      </w:r>
    </w:p>
    <w:p w14:paraId="245C499E" w14:textId="52C21534" w:rsidR="00876D0A" w:rsidRPr="009568A7" w:rsidRDefault="00876D0A" w:rsidP="005A1783">
      <w:pPr>
        <w:pStyle w:val="NormalWeb"/>
        <w:spacing w:before="0" w:beforeAutospacing="0" w:after="0" w:afterAutospacing="0"/>
        <w:ind w:left="540" w:hanging="540"/>
        <w:jc w:val="both"/>
        <w:rPr>
          <w:color w:val="000000" w:themeColor="text1"/>
        </w:rPr>
      </w:pPr>
      <w:proofErr w:type="spellStart"/>
      <w:r w:rsidRPr="009568A7">
        <w:rPr>
          <w:color w:val="000000" w:themeColor="text1"/>
        </w:rPr>
        <w:t>Shabanpour</w:t>
      </w:r>
      <w:proofErr w:type="spellEnd"/>
      <w:r w:rsidRPr="009568A7">
        <w:rPr>
          <w:color w:val="000000" w:themeColor="text1"/>
        </w:rPr>
        <w:t xml:space="preserve">, R., Golshani, N., </w:t>
      </w:r>
      <w:proofErr w:type="spellStart"/>
      <w:r w:rsidRPr="009568A7">
        <w:rPr>
          <w:color w:val="000000" w:themeColor="text1"/>
        </w:rPr>
        <w:t>Tayarani</w:t>
      </w:r>
      <w:proofErr w:type="spellEnd"/>
      <w:r w:rsidRPr="009568A7">
        <w:rPr>
          <w:color w:val="000000" w:themeColor="text1"/>
        </w:rPr>
        <w:t xml:space="preserve">, M., Auld, J., Mohammadian, A. (2018). Analysis of </w:t>
      </w:r>
      <w:r w:rsidR="00AE0BAE">
        <w:rPr>
          <w:color w:val="000000" w:themeColor="text1"/>
        </w:rPr>
        <w:t>t</w:t>
      </w:r>
      <w:r w:rsidRPr="009568A7">
        <w:rPr>
          <w:color w:val="000000" w:themeColor="text1"/>
        </w:rPr>
        <w:t xml:space="preserve">elecommuting </w:t>
      </w:r>
      <w:r w:rsidR="00AE0BAE">
        <w:rPr>
          <w:color w:val="000000" w:themeColor="text1"/>
        </w:rPr>
        <w:t>b</w:t>
      </w:r>
      <w:r w:rsidRPr="009568A7">
        <w:rPr>
          <w:color w:val="000000" w:themeColor="text1"/>
        </w:rPr>
        <w:t xml:space="preserve">ehavior and </w:t>
      </w:r>
      <w:r w:rsidR="00AE0BAE">
        <w:rPr>
          <w:color w:val="000000" w:themeColor="text1"/>
        </w:rPr>
        <w:t>i</w:t>
      </w:r>
      <w:r w:rsidRPr="009568A7">
        <w:rPr>
          <w:color w:val="000000" w:themeColor="text1"/>
        </w:rPr>
        <w:t xml:space="preserve">mpacts on </w:t>
      </w:r>
      <w:r w:rsidR="00AE0BAE">
        <w:rPr>
          <w:color w:val="000000" w:themeColor="text1"/>
        </w:rPr>
        <w:t>t</w:t>
      </w:r>
      <w:r w:rsidRPr="009568A7">
        <w:rPr>
          <w:color w:val="000000" w:themeColor="text1"/>
        </w:rPr>
        <w:t xml:space="preserve">ravel </w:t>
      </w:r>
      <w:r w:rsidR="00AE0BAE">
        <w:rPr>
          <w:color w:val="000000" w:themeColor="text1"/>
        </w:rPr>
        <w:t>d</w:t>
      </w:r>
      <w:r w:rsidRPr="009568A7">
        <w:rPr>
          <w:color w:val="000000" w:themeColor="text1"/>
        </w:rPr>
        <w:t xml:space="preserve">emand </w:t>
      </w:r>
      <w:r w:rsidR="00AE0BAE">
        <w:rPr>
          <w:color w:val="000000" w:themeColor="text1"/>
        </w:rPr>
        <w:t>a</w:t>
      </w:r>
      <w:r w:rsidRPr="009568A7">
        <w:rPr>
          <w:color w:val="000000" w:themeColor="text1"/>
        </w:rPr>
        <w:t xml:space="preserve">nd </w:t>
      </w:r>
      <w:r w:rsidR="00AE0BAE">
        <w:rPr>
          <w:color w:val="000000" w:themeColor="text1"/>
        </w:rPr>
        <w:t>t</w:t>
      </w:r>
      <w:r w:rsidRPr="009568A7">
        <w:rPr>
          <w:color w:val="000000" w:themeColor="text1"/>
        </w:rPr>
        <w:t xml:space="preserve">he </w:t>
      </w:r>
      <w:r w:rsidR="00AE0BAE">
        <w:rPr>
          <w:color w:val="000000" w:themeColor="text1"/>
        </w:rPr>
        <w:t>e</w:t>
      </w:r>
      <w:r w:rsidRPr="009568A7">
        <w:rPr>
          <w:color w:val="000000" w:themeColor="text1"/>
        </w:rPr>
        <w:t xml:space="preserve">nvironment. </w:t>
      </w:r>
      <w:r w:rsidRPr="009568A7">
        <w:rPr>
          <w:i/>
          <w:iCs/>
          <w:color w:val="000000" w:themeColor="text1"/>
        </w:rPr>
        <w:t>Transportation Research Part D</w:t>
      </w:r>
      <w:r w:rsidRPr="009568A7">
        <w:rPr>
          <w:color w:val="000000" w:themeColor="text1"/>
        </w:rPr>
        <w:t>, 62, 563-576.</w:t>
      </w:r>
    </w:p>
    <w:p w14:paraId="5EC6D970" w14:textId="7BFFB20E" w:rsidR="00876D0A" w:rsidRDefault="00876D0A" w:rsidP="005A1783">
      <w:pPr>
        <w:pStyle w:val="NormalWeb"/>
        <w:spacing w:before="0" w:beforeAutospacing="0" w:after="0" w:afterAutospacing="0"/>
        <w:ind w:left="540" w:hanging="540"/>
        <w:jc w:val="both"/>
        <w:rPr>
          <w:color w:val="212121"/>
          <w:shd w:val="clear" w:color="auto" w:fill="FFFFFF"/>
        </w:rPr>
      </w:pPr>
      <w:r w:rsidRPr="009568A7">
        <w:rPr>
          <w:color w:val="212121"/>
          <w:shd w:val="clear" w:color="auto" w:fill="FFFFFF"/>
        </w:rPr>
        <w:t>Singh, P., Paleti, R., Jenkins, S., Bhat, C. R. (2013). </w:t>
      </w:r>
      <w:r w:rsidRPr="009568A7">
        <w:rPr>
          <w:rStyle w:val="ref-title"/>
          <w:rFonts w:eastAsiaTheme="majorEastAsia"/>
          <w:color w:val="212121"/>
          <w:shd w:val="clear" w:color="auto" w:fill="FFFFFF"/>
        </w:rPr>
        <w:t>On modeling telecommuting behavior: Option, choice, and frequency</w:t>
      </w:r>
      <w:r w:rsidRPr="009568A7">
        <w:rPr>
          <w:color w:val="212121"/>
          <w:shd w:val="clear" w:color="auto" w:fill="FFFFFF"/>
        </w:rPr>
        <w:t>. </w:t>
      </w:r>
      <w:r w:rsidRPr="009568A7">
        <w:rPr>
          <w:rStyle w:val="ref-journal"/>
          <w:rFonts w:eastAsiaTheme="majorEastAsia"/>
          <w:i/>
          <w:iCs/>
          <w:color w:val="212121"/>
          <w:shd w:val="clear" w:color="auto" w:fill="FFFFFF"/>
        </w:rPr>
        <w:t>Transportation</w:t>
      </w:r>
      <w:r w:rsidRPr="009568A7">
        <w:rPr>
          <w:color w:val="212121"/>
          <w:shd w:val="clear" w:color="auto" w:fill="FFFFFF"/>
        </w:rPr>
        <w:t>, </w:t>
      </w:r>
      <w:r w:rsidRPr="009568A7">
        <w:rPr>
          <w:rStyle w:val="ref-vol"/>
          <w:color w:val="212121"/>
          <w:shd w:val="clear" w:color="auto" w:fill="FFFFFF"/>
        </w:rPr>
        <w:t>40</w:t>
      </w:r>
      <w:r w:rsidRPr="009568A7">
        <w:rPr>
          <w:color w:val="212121"/>
          <w:shd w:val="clear" w:color="auto" w:fill="FFFFFF"/>
        </w:rPr>
        <w:t>, 373</w:t>
      </w:r>
      <w:r w:rsidR="008F052D">
        <w:rPr>
          <w:color w:val="212121"/>
          <w:shd w:val="clear" w:color="auto" w:fill="FFFFFF"/>
        </w:rPr>
        <w:t>-</w:t>
      </w:r>
      <w:r w:rsidRPr="009568A7">
        <w:rPr>
          <w:color w:val="212121"/>
          <w:shd w:val="clear" w:color="auto" w:fill="FFFFFF"/>
        </w:rPr>
        <w:t>396</w:t>
      </w:r>
      <w:r w:rsidR="00B54E51">
        <w:rPr>
          <w:color w:val="212121"/>
          <w:shd w:val="clear" w:color="auto" w:fill="FFFFFF"/>
        </w:rPr>
        <w:t xml:space="preserve">. </w:t>
      </w:r>
    </w:p>
    <w:p w14:paraId="1B5EAB77" w14:textId="5F054D0C" w:rsidR="00AC5923" w:rsidRPr="003C511E" w:rsidRDefault="00AC5923" w:rsidP="003C511E">
      <w:pPr>
        <w:tabs>
          <w:tab w:val="left" w:pos="630"/>
        </w:tabs>
        <w:spacing w:afterLines="20" w:after="48"/>
        <w:ind w:left="540" w:hanging="540"/>
        <w:rPr>
          <w:shd w:val="clear" w:color="auto" w:fill="FFFFFF"/>
        </w:rPr>
      </w:pPr>
      <w:r w:rsidRPr="00733550">
        <w:rPr>
          <w:color w:val="222222"/>
          <w:shd w:val="clear" w:color="auto" w:fill="FFFFFF"/>
        </w:rPr>
        <w:t xml:space="preserve">Srivastava, A., Van Passel, S., and </w:t>
      </w:r>
      <w:proofErr w:type="spellStart"/>
      <w:r w:rsidRPr="00733550">
        <w:rPr>
          <w:color w:val="222222"/>
          <w:shd w:val="clear" w:color="auto" w:fill="FFFFFF"/>
        </w:rPr>
        <w:t>Laes</w:t>
      </w:r>
      <w:proofErr w:type="spellEnd"/>
      <w:r w:rsidRPr="00733550">
        <w:rPr>
          <w:color w:val="222222"/>
          <w:shd w:val="clear" w:color="auto" w:fill="FFFFFF"/>
        </w:rPr>
        <w:t>, E. (2018). Assessing the success of electricity demand response programs: A meta-analysis. </w:t>
      </w:r>
      <w:r w:rsidRPr="00733550">
        <w:rPr>
          <w:i/>
          <w:iCs/>
          <w:color w:val="222222"/>
          <w:shd w:val="clear" w:color="auto" w:fill="FFFFFF"/>
        </w:rPr>
        <w:t xml:space="preserve">Energy </w:t>
      </w:r>
      <w:r>
        <w:rPr>
          <w:i/>
          <w:iCs/>
          <w:color w:val="222222"/>
          <w:shd w:val="clear" w:color="auto" w:fill="FFFFFF"/>
        </w:rPr>
        <w:t>R</w:t>
      </w:r>
      <w:r w:rsidRPr="00733550">
        <w:rPr>
          <w:i/>
          <w:iCs/>
          <w:color w:val="222222"/>
          <w:shd w:val="clear" w:color="auto" w:fill="FFFFFF"/>
        </w:rPr>
        <w:t xml:space="preserve">esearch &amp; </w:t>
      </w:r>
      <w:r>
        <w:rPr>
          <w:i/>
          <w:iCs/>
          <w:color w:val="222222"/>
          <w:shd w:val="clear" w:color="auto" w:fill="FFFFFF"/>
        </w:rPr>
        <w:t>S</w:t>
      </w:r>
      <w:r w:rsidRPr="00733550">
        <w:rPr>
          <w:i/>
          <w:iCs/>
          <w:color w:val="222222"/>
          <w:shd w:val="clear" w:color="auto" w:fill="FFFFFF"/>
        </w:rPr>
        <w:t xml:space="preserve">ocial </w:t>
      </w:r>
      <w:r>
        <w:rPr>
          <w:i/>
          <w:iCs/>
          <w:color w:val="222222"/>
          <w:shd w:val="clear" w:color="auto" w:fill="FFFFFF"/>
        </w:rPr>
        <w:t>S</w:t>
      </w:r>
      <w:r w:rsidRPr="00733550">
        <w:rPr>
          <w:i/>
          <w:iCs/>
          <w:color w:val="222222"/>
          <w:shd w:val="clear" w:color="auto" w:fill="FFFFFF"/>
        </w:rPr>
        <w:t>cience</w:t>
      </w:r>
      <w:r w:rsidRPr="00733550">
        <w:rPr>
          <w:color w:val="222222"/>
          <w:shd w:val="clear" w:color="auto" w:fill="FFFFFF"/>
        </w:rPr>
        <w:t>, </w:t>
      </w:r>
      <w:r w:rsidRPr="001C447E">
        <w:rPr>
          <w:color w:val="222222"/>
          <w:shd w:val="clear" w:color="auto" w:fill="FFFFFF"/>
        </w:rPr>
        <w:t>40</w:t>
      </w:r>
      <w:r w:rsidRPr="00733550">
        <w:rPr>
          <w:color w:val="222222"/>
          <w:shd w:val="clear" w:color="auto" w:fill="FFFFFF"/>
        </w:rPr>
        <w:t>, 110-117.</w:t>
      </w:r>
    </w:p>
    <w:p w14:paraId="743565E8" w14:textId="753A4E27" w:rsidR="00876D0A" w:rsidRPr="009568A7" w:rsidRDefault="00876D0A" w:rsidP="005A1783">
      <w:pPr>
        <w:pStyle w:val="NormalWeb"/>
        <w:spacing w:before="0" w:beforeAutospacing="0" w:after="0" w:afterAutospacing="0"/>
        <w:ind w:left="540" w:hanging="540"/>
        <w:jc w:val="both"/>
        <w:rPr>
          <w:color w:val="000000" w:themeColor="text1"/>
        </w:rPr>
      </w:pPr>
      <w:r w:rsidRPr="009568A7">
        <w:rPr>
          <w:color w:val="000000" w:themeColor="text1"/>
        </w:rPr>
        <w:t xml:space="preserve">Sweet, M., Scott, D. M. (2022). Insights </w:t>
      </w:r>
      <w:r w:rsidR="00AE0BAE">
        <w:rPr>
          <w:color w:val="000000" w:themeColor="text1"/>
        </w:rPr>
        <w:t>i</w:t>
      </w:r>
      <w:r w:rsidRPr="009568A7">
        <w:rPr>
          <w:color w:val="000000" w:themeColor="text1"/>
        </w:rPr>
        <w:t xml:space="preserve">nto </w:t>
      </w:r>
      <w:r w:rsidR="00AE0BAE">
        <w:rPr>
          <w:color w:val="000000" w:themeColor="text1"/>
        </w:rPr>
        <w:t>t</w:t>
      </w:r>
      <w:r w:rsidRPr="009568A7">
        <w:rPr>
          <w:color w:val="000000" w:themeColor="text1"/>
        </w:rPr>
        <w:t xml:space="preserve">he </w:t>
      </w:r>
      <w:r w:rsidR="00AE0BAE">
        <w:rPr>
          <w:color w:val="000000" w:themeColor="text1"/>
        </w:rPr>
        <w:t>f</w:t>
      </w:r>
      <w:r w:rsidRPr="009568A7">
        <w:rPr>
          <w:color w:val="000000" w:themeColor="text1"/>
        </w:rPr>
        <w:t xml:space="preserve">uture </w:t>
      </w:r>
      <w:r w:rsidR="00AE0BAE">
        <w:rPr>
          <w:color w:val="000000" w:themeColor="text1"/>
        </w:rPr>
        <w:t>o</w:t>
      </w:r>
      <w:r w:rsidRPr="009568A7">
        <w:rPr>
          <w:color w:val="000000" w:themeColor="text1"/>
        </w:rPr>
        <w:t xml:space="preserve">f </w:t>
      </w:r>
      <w:r w:rsidR="00AE0BAE">
        <w:rPr>
          <w:color w:val="000000" w:themeColor="text1"/>
        </w:rPr>
        <w:t>t</w:t>
      </w:r>
      <w:r w:rsidRPr="009568A7">
        <w:rPr>
          <w:color w:val="000000" w:themeColor="text1"/>
        </w:rPr>
        <w:t xml:space="preserve">elework </w:t>
      </w:r>
      <w:r w:rsidR="00AE0BAE">
        <w:rPr>
          <w:color w:val="000000" w:themeColor="text1"/>
        </w:rPr>
        <w:t>i</w:t>
      </w:r>
      <w:r w:rsidRPr="009568A7">
        <w:rPr>
          <w:color w:val="000000" w:themeColor="text1"/>
        </w:rPr>
        <w:t xml:space="preserve">n Canada: Modeling the </w:t>
      </w:r>
      <w:r w:rsidR="00AE0BAE">
        <w:rPr>
          <w:color w:val="000000" w:themeColor="text1"/>
        </w:rPr>
        <w:t>t</w:t>
      </w:r>
      <w:r w:rsidRPr="009568A7">
        <w:rPr>
          <w:color w:val="000000" w:themeColor="text1"/>
        </w:rPr>
        <w:t xml:space="preserve">rajectory of </w:t>
      </w:r>
      <w:r w:rsidR="00AE0BAE">
        <w:rPr>
          <w:color w:val="000000" w:themeColor="text1"/>
        </w:rPr>
        <w:t>t</w:t>
      </w:r>
      <w:r w:rsidRPr="009568A7">
        <w:rPr>
          <w:color w:val="000000" w:themeColor="text1"/>
        </w:rPr>
        <w:t xml:space="preserve">elework </w:t>
      </w:r>
      <w:r w:rsidR="00AE0BAE">
        <w:rPr>
          <w:color w:val="000000" w:themeColor="text1"/>
        </w:rPr>
        <w:t>a</w:t>
      </w:r>
      <w:r w:rsidRPr="009568A7">
        <w:rPr>
          <w:color w:val="000000" w:themeColor="text1"/>
        </w:rPr>
        <w:t xml:space="preserve">cross a </w:t>
      </w:r>
      <w:r w:rsidR="00AE0BAE">
        <w:rPr>
          <w:color w:val="000000" w:themeColor="text1"/>
        </w:rPr>
        <w:t>p</w:t>
      </w:r>
      <w:r w:rsidRPr="009568A7">
        <w:rPr>
          <w:color w:val="000000" w:themeColor="text1"/>
        </w:rPr>
        <w:t xml:space="preserve">andemic. </w:t>
      </w:r>
      <w:r w:rsidRPr="009568A7">
        <w:rPr>
          <w:i/>
          <w:iCs/>
          <w:color w:val="000000" w:themeColor="text1"/>
        </w:rPr>
        <w:t>Sustainable Cities and Society</w:t>
      </w:r>
      <w:r w:rsidRPr="00D337A2">
        <w:rPr>
          <w:color w:val="000000" w:themeColor="text1"/>
        </w:rPr>
        <w:t>, 87</w:t>
      </w:r>
      <w:r w:rsidR="00C353B0" w:rsidRPr="009568A7">
        <w:rPr>
          <w:color w:val="000000" w:themeColor="text1"/>
        </w:rPr>
        <w:t>, 104175.</w:t>
      </w:r>
      <w:r w:rsidRPr="009568A7">
        <w:rPr>
          <w:color w:val="000000" w:themeColor="text1"/>
        </w:rPr>
        <w:t xml:space="preserve"> </w:t>
      </w:r>
    </w:p>
    <w:p w14:paraId="0C8526D3" w14:textId="05A6153A" w:rsidR="00876D0A" w:rsidRPr="009568A7" w:rsidRDefault="00876D0A" w:rsidP="005A1783">
      <w:pPr>
        <w:pStyle w:val="NormalWeb"/>
        <w:spacing w:before="0" w:beforeAutospacing="0" w:after="0" w:afterAutospacing="0"/>
        <w:ind w:left="540" w:hanging="540"/>
        <w:jc w:val="both"/>
        <w:rPr>
          <w:color w:val="000000" w:themeColor="text1"/>
        </w:rPr>
      </w:pPr>
      <w:r w:rsidRPr="009568A7">
        <w:rPr>
          <w:color w:val="000000" w:themeColor="text1"/>
        </w:rPr>
        <w:t xml:space="preserve">Tahlyan, D., Hamad, N., Said, M., </w:t>
      </w:r>
      <w:proofErr w:type="spellStart"/>
      <w:r w:rsidRPr="009568A7">
        <w:rPr>
          <w:color w:val="000000" w:themeColor="text1"/>
        </w:rPr>
        <w:t>Mahmassani</w:t>
      </w:r>
      <w:proofErr w:type="spellEnd"/>
      <w:r w:rsidRPr="009568A7">
        <w:rPr>
          <w:color w:val="000000" w:themeColor="text1"/>
        </w:rPr>
        <w:t xml:space="preserve">, H., Stathopoulos, A., </w:t>
      </w:r>
      <w:proofErr w:type="spellStart"/>
      <w:r w:rsidRPr="009568A7">
        <w:rPr>
          <w:color w:val="000000" w:themeColor="text1"/>
        </w:rPr>
        <w:t>Shaheen</w:t>
      </w:r>
      <w:proofErr w:type="spellEnd"/>
      <w:r w:rsidRPr="009568A7">
        <w:rPr>
          <w:color w:val="000000" w:themeColor="text1"/>
        </w:rPr>
        <w:t>, S., Walker, J. (2022a). Analysis of teleworkers’ experiences, adoption evolution and activity patterns through the pandemic.</w:t>
      </w:r>
      <w:r w:rsidR="003E6B73">
        <w:rPr>
          <w:color w:val="000000" w:themeColor="text1"/>
        </w:rPr>
        <w:t xml:space="preserve"> </w:t>
      </w:r>
      <w:r w:rsidR="003E6B73" w:rsidRPr="003E6B73">
        <w:t>Telemobility-TR-2022-4, Tier 1 University Transportation Center on</w:t>
      </w:r>
      <w:r w:rsidRPr="003E6B73">
        <w:t xml:space="preserve"> </w:t>
      </w:r>
      <w:proofErr w:type="spellStart"/>
      <w:r w:rsidRPr="003E6B73">
        <w:rPr>
          <w:color w:val="000000" w:themeColor="text1"/>
        </w:rPr>
        <w:t>Telemobility</w:t>
      </w:r>
      <w:proofErr w:type="spellEnd"/>
      <w:r w:rsidR="003E6B73">
        <w:rPr>
          <w:color w:val="000000" w:themeColor="text1"/>
        </w:rPr>
        <w:t>, Evanston, IL</w:t>
      </w:r>
      <w:r w:rsidRPr="009568A7">
        <w:rPr>
          <w:color w:val="000000" w:themeColor="text1"/>
        </w:rPr>
        <w:t>.</w:t>
      </w:r>
    </w:p>
    <w:p w14:paraId="28C8A24A" w14:textId="0C640AFD" w:rsidR="00AC4EDE" w:rsidRPr="009568A7" w:rsidRDefault="00876D0A" w:rsidP="003E6B73">
      <w:pPr>
        <w:pStyle w:val="NormalWeb"/>
        <w:keepLines/>
        <w:spacing w:before="0" w:beforeAutospacing="0" w:after="0" w:afterAutospacing="0"/>
        <w:ind w:left="547" w:hanging="547"/>
        <w:jc w:val="both"/>
        <w:rPr>
          <w:color w:val="000000" w:themeColor="text1"/>
        </w:rPr>
      </w:pPr>
      <w:r w:rsidRPr="009568A7">
        <w:rPr>
          <w:color w:val="000000" w:themeColor="text1"/>
        </w:rPr>
        <w:lastRenderedPageBreak/>
        <w:t xml:space="preserve">Tahlyan, D., Said, M., </w:t>
      </w:r>
      <w:proofErr w:type="spellStart"/>
      <w:r w:rsidRPr="009568A7">
        <w:rPr>
          <w:color w:val="000000" w:themeColor="text1"/>
        </w:rPr>
        <w:t>Mahmassani</w:t>
      </w:r>
      <w:proofErr w:type="spellEnd"/>
      <w:r w:rsidRPr="009568A7">
        <w:rPr>
          <w:color w:val="000000" w:themeColor="text1"/>
        </w:rPr>
        <w:t xml:space="preserve">, H., Stathopoulos, A., Walker, J., </w:t>
      </w:r>
      <w:proofErr w:type="spellStart"/>
      <w:r w:rsidRPr="009568A7">
        <w:rPr>
          <w:color w:val="000000" w:themeColor="text1"/>
        </w:rPr>
        <w:t>Shaheen</w:t>
      </w:r>
      <w:proofErr w:type="spellEnd"/>
      <w:r w:rsidRPr="009568A7">
        <w:rPr>
          <w:color w:val="000000" w:themeColor="text1"/>
        </w:rPr>
        <w:t xml:space="preserve">, S. (2022b). For whom did telework not work during the pandemic? Understanding the factors impacting telework satisfaction In the US using a multiple indicator multiple cause (MIMIC) model. </w:t>
      </w:r>
      <w:r w:rsidRPr="009568A7">
        <w:rPr>
          <w:i/>
          <w:iCs/>
          <w:color w:val="000000" w:themeColor="text1"/>
        </w:rPr>
        <w:t>Transportation Research Part A</w:t>
      </w:r>
      <w:r w:rsidRPr="00D337A2">
        <w:rPr>
          <w:color w:val="000000" w:themeColor="text1"/>
        </w:rPr>
        <w:t>, 155</w:t>
      </w:r>
      <w:r w:rsidRPr="009568A7">
        <w:rPr>
          <w:color w:val="000000" w:themeColor="text1"/>
        </w:rPr>
        <w:t>, 387</w:t>
      </w:r>
      <w:r w:rsidR="00D337A2">
        <w:rPr>
          <w:color w:val="000000" w:themeColor="text1"/>
        </w:rPr>
        <w:t>-</w:t>
      </w:r>
      <w:r w:rsidRPr="009568A7">
        <w:rPr>
          <w:color w:val="000000" w:themeColor="text1"/>
        </w:rPr>
        <w:t>402.</w:t>
      </w:r>
    </w:p>
    <w:p w14:paraId="46560FB0" w14:textId="15D2BBFA" w:rsidR="00876D0A" w:rsidRDefault="00876D0A" w:rsidP="005A1783">
      <w:pPr>
        <w:pStyle w:val="NormalWeb"/>
        <w:spacing w:before="0" w:beforeAutospacing="0" w:after="0" w:afterAutospacing="0"/>
        <w:ind w:left="540" w:hanging="540"/>
        <w:jc w:val="both"/>
      </w:pPr>
      <w:r w:rsidRPr="009568A7">
        <w:t xml:space="preserve">Thompson, R.J., Payne, S.C., Alexander, A.L, Gaskins, V. A., Henning, J. B. (2022). A </w:t>
      </w:r>
      <w:r w:rsidR="00AE0BAE">
        <w:t>t</w:t>
      </w:r>
      <w:r w:rsidRPr="009568A7">
        <w:t xml:space="preserve">axonomy of </w:t>
      </w:r>
      <w:r w:rsidR="00AE0BAE">
        <w:t>e</w:t>
      </w:r>
      <w:r w:rsidRPr="009568A7">
        <w:t xml:space="preserve">mployee </w:t>
      </w:r>
      <w:r w:rsidR="00AE0BAE">
        <w:t>m</w:t>
      </w:r>
      <w:r w:rsidRPr="009568A7">
        <w:t xml:space="preserve">otives for </w:t>
      </w:r>
      <w:r w:rsidR="00AE0BAE">
        <w:t>t</w:t>
      </w:r>
      <w:r w:rsidRPr="009568A7">
        <w:t>elework. </w:t>
      </w:r>
      <w:r w:rsidRPr="00AE0BAE">
        <w:rPr>
          <w:i/>
          <w:iCs/>
        </w:rPr>
        <w:t>Occupational Health Science</w:t>
      </w:r>
      <w:r w:rsidRPr="009568A7">
        <w:t>, 6, 149</w:t>
      </w:r>
      <w:r w:rsidR="00D337A2">
        <w:t>-</w:t>
      </w:r>
      <w:r w:rsidRPr="009568A7">
        <w:t>178</w:t>
      </w:r>
      <w:r w:rsidR="00B54E51">
        <w:t>.</w:t>
      </w:r>
      <w:r w:rsidR="008F052D">
        <w:t xml:space="preserve"> </w:t>
      </w:r>
    </w:p>
    <w:p w14:paraId="50822595" w14:textId="70240410" w:rsidR="00AC5923" w:rsidRPr="009568A7" w:rsidRDefault="00AC5923" w:rsidP="005A1783">
      <w:pPr>
        <w:pStyle w:val="NormalWeb"/>
        <w:spacing w:before="0" w:beforeAutospacing="0" w:after="0" w:afterAutospacing="0"/>
        <w:ind w:left="540" w:hanging="540"/>
        <w:jc w:val="both"/>
        <w:rPr>
          <w:color w:val="000000" w:themeColor="text1"/>
        </w:rPr>
      </w:pPr>
      <w:proofErr w:type="spellStart"/>
      <w:r w:rsidRPr="00AC5923">
        <w:rPr>
          <w:color w:val="000000" w:themeColor="text1"/>
        </w:rPr>
        <w:t>Tokey</w:t>
      </w:r>
      <w:proofErr w:type="spellEnd"/>
      <w:r w:rsidRPr="00AC5923">
        <w:rPr>
          <w:color w:val="000000" w:themeColor="text1"/>
        </w:rPr>
        <w:t xml:space="preserve">, A. I., and </w:t>
      </w:r>
      <w:proofErr w:type="spellStart"/>
      <w:r w:rsidRPr="00AC5923">
        <w:rPr>
          <w:color w:val="000000" w:themeColor="text1"/>
        </w:rPr>
        <w:t>Alam</w:t>
      </w:r>
      <w:proofErr w:type="spellEnd"/>
      <w:r w:rsidRPr="00AC5923">
        <w:rPr>
          <w:color w:val="000000" w:themeColor="text1"/>
        </w:rPr>
        <w:t xml:space="preserve">, M. S. (2023). The travel behavior, attitude, and sociodemographic characteristics of the teleworkers in post-pandemic era. </w:t>
      </w:r>
      <w:r w:rsidRPr="003C511E">
        <w:rPr>
          <w:i/>
          <w:iCs/>
          <w:color w:val="000000" w:themeColor="text1"/>
        </w:rPr>
        <w:t>World Development Sustainability, 2</w:t>
      </w:r>
      <w:r w:rsidRPr="00AC5923">
        <w:rPr>
          <w:color w:val="000000" w:themeColor="text1"/>
        </w:rPr>
        <w:t>, 100066.</w:t>
      </w:r>
    </w:p>
    <w:p w14:paraId="2A4FEECB" w14:textId="626F7A51" w:rsidR="0067118C" w:rsidRPr="00D337A2" w:rsidRDefault="0067118C" w:rsidP="005A1783">
      <w:pPr>
        <w:pStyle w:val="NormalWeb"/>
        <w:spacing w:before="0" w:beforeAutospacing="0" w:after="0" w:afterAutospacing="0"/>
        <w:ind w:left="540" w:hanging="540"/>
        <w:jc w:val="both"/>
        <w:rPr>
          <w:rFonts w:eastAsiaTheme="minorHAnsi"/>
          <w:color w:val="000000" w:themeColor="text1"/>
        </w:rPr>
      </w:pPr>
      <w:r w:rsidRPr="009568A7">
        <w:rPr>
          <w:rFonts w:eastAsiaTheme="minorHAnsi"/>
          <w:color w:val="000000" w:themeColor="text1"/>
        </w:rPr>
        <w:t xml:space="preserve">Tomei, M. (2021). Teleworking: </w:t>
      </w:r>
      <w:r w:rsidR="00AE0BAE">
        <w:rPr>
          <w:rFonts w:eastAsiaTheme="minorHAnsi"/>
          <w:color w:val="000000" w:themeColor="text1"/>
        </w:rPr>
        <w:t>A</w:t>
      </w:r>
      <w:r w:rsidRPr="009568A7">
        <w:rPr>
          <w:rFonts w:eastAsiaTheme="minorHAnsi"/>
          <w:color w:val="000000" w:themeColor="text1"/>
        </w:rPr>
        <w:t xml:space="preserve"> curse or a blessing for gender equality and work-life balance?. </w:t>
      </w:r>
      <w:proofErr w:type="spellStart"/>
      <w:r w:rsidRPr="009568A7">
        <w:rPr>
          <w:rFonts w:eastAsiaTheme="minorHAnsi"/>
          <w:i/>
          <w:iCs/>
          <w:color w:val="000000" w:themeColor="text1"/>
        </w:rPr>
        <w:t>Intereconomics</w:t>
      </w:r>
      <w:proofErr w:type="spellEnd"/>
      <w:r w:rsidRPr="009568A7">
        <w:rPr>
          <w:rFonts w:eastAsiaTheme="minorHAnsi"/>
          <w:color w:val="000000" w:themeColor="text1"/>
        </w:rPr>
        <w:t>, </w:t>
      </w:r>
      <w:r w:rsidRPr="008F052D">
        <w:rPr>
          <w:rFonts w:eastAsiaTheme="minorHAnsi"/>
          <w:color w:val="000000" w:themeColor="text1"/>
        </w:rPr>
        <w:t>56</w:t>
      </w:r>
      <w:r w:rsidRPr="009568A7">
        <w:rPr>
          <w:rFonts w:eastAsiaTheme="minorHAnsi"/>
          <w:color w:val="000000" w:themeColor="text1"/>
        </w:rPr>
        <w:t>, 260-264.</w:t>
      </w:r>
    </w:p>
    <w:p w14:paraId="6C781CA0" w14:textId="4A2B7D82" w:rsidR="00876D0A" w:rsidRPr="009568A7" w:rsidRDefault="00876D0A" w:rsidP="005A1783">
      <w:pPr>
        <w:pStyle w:val="NormalWeb"/>
        <w:spacing w:before="0" w:beforeAutospacing="0" w:after="0" w:afterAutospacing="0"/>
        <w:ind w:left="540" w:hanging="540"/>
        <w:jc w:val="both"/>
        <w:rPr>
          <w:color w:val="000000" w:themeColor="text1"/>
        </w:rPr>
      </w:pPr>
      <w:r w:rsidRPr="009568A7">
        <w:rPr>
          <w:color w:val="000000" w:themeColor="text1"/>
        </w:rPr>
        <w:t xml:space="preserve">Ton, D., </w:t>
      </w:r>
      <w:proofErr w:type="spellStart"/>
      <w:r w:rsidRPr="009568A7">
        <w:rPr>
          <w:color w:val="000000" w:themeColor="text1"/>
        </w:rPr>
        <w:t>Arendsen</w:t>
      </w:r>
      <w:proofErr w:type="spellEnd"/>
      <w:r w:rsidRPr="009568A7">
        <w:rPr>
          <w:color w:val="000000" w:themeColor="text1"/>
        </w:rPr>
        <w:t xml:space="preserve">, K., de </w:t>
      </w:r>
      <w:proofErr w:type="spellStart"/>
      <w:r w:rsidRPr="009568A7">
        <w:rPr>
          <w:color w:val="000000" w:themeColor="text1"/>
        </w:rPr>
        <w:t>Bruyn</w:t>
      </w:r>
      <w:proofErr w:type="spellEnd"/>
      <w:r w:rsidRPr="009568A7">
        <w:rPr>
          <w:color w:val="000000" w:themeColor="text1"/>
        </w:rPr>
        <w:t xml:space="preserve">, M., </w:t>
      </w:r>
      <w:proofErr w:type="spellStart"/>
      <w:r w:rsidRPr="009568A7">
        <w:rPr>
          <w:color w:val="000000" w:themeColor="text1"/>
        </w:rPr>
        <w:t>Severens</w:t>
      </w:r>
      <w:proofErr w:type="spellEnd"/>
      <w:r w:rsidRPr="009568A7">
        <w:rPr>
          <w:color w:val="000000" w:themeColor="text1"/>
        </w:rPr>
        <w:t xml:space="preserve">, V., van Hagen, M., van Oort, N., </w:t>
      </w:r>
      <w:proofErr w:type="spellStart"/>
      <w:r w:rsidRPr="009568A7">
        <w:rPr>
          <w:color w:val="000000" w:themeColor="text1"/>
        </w:rPr>
        <w:t>Duives</w:t>
      </w:r>
      <w:proofErr w:type="spellEnd"/>
      <w:r w:rsidRPr="009568A7">
        <w:rPr>
          <w:color w:val="000000" w:themeColor="text1"/>
        </w:rPr>
        <w:t xml:space="preserve">, D. (2022). Teleworking during COVID-19 in the Netherlands: Understanding </w:t>
      </w:r>
      <w:proofErr w:type="spellStart"/>
      <w:r w:rsidRPr="009568A7">
        <w:rPr>
          <w:color w:val="000000" w:themeColor="text1"/>
        </w:rPr>
        <w:t>behaviour</w:t>
      </w:r>
      <w:proofErr w:type="spellEnd"/>
      <w:r w:rsidRPr="009568A7">
        <w:rPr>
          <w:color w:val="000000" w:themeColor="text1"/>
        </w:rPr>
        <w:t xml:space="preserve">, attitudes, and future intentions of train </w:t>
      </w:r>
      <w:proofErr w:type="spellStart"/>
      <w:r w:rsidRPr="009568A7">
        <w:rPr>
          <w:color w:val="000000" w:themeColor="text1"/>
        </w:rPr>
        <w:t>travellers</w:t>
      </w:r>
      <w:proofErr w:type="spellEnd"/>
      <w:r w:rsidRPr="009568A7">
        <w:rPr>
          <w:color w:val="000000" w:themeColor="text1"/>
        </w:rPr>
        <w:t xml:space="preserve">. </w:t>
      </w:r>
      <w:r w:rsidRPr="009568A7">
        <w:rPr>
          <w:i/>
          <w:iCs/>
          <w:color w:val="000000" w:themeColor="text1"/>
        </w:rPr>
        <w:t xml:space="preserve">Transportation Research Part </w:t>
      </w:r>
      <w:r w:rsidRPr="00D337A2">
        <w:rPr>
          <w:i/>
          <w:iCs/>
          <w:color w:val="000000" w:themeColor="text1"/>
        </w:rPr>
        <w:t>A</w:t>
      </w:r>
      <w:r w:rsidR="00D337A2">
        <w:rPr>
          <w:color w:val="000000" w:themeColor="text1"/>
        </w:rPr>
        <w:t xml:space="preserve">, </w:t>
      </w:r>
      <w:r w:rsidRPr="00D337A2">
        <w:rPr>
          <w:color w:val="000000" w:themeColor="text1"/>
        </w:rPr>
        <w:t>159</w:t>
      </w:r>
      <w:r w:rsidRPr="009568A7">
        <w:rPr>
          <w:color w:val="000000" w:themeColor="text1"/>
        </w:rPr>
        <w:t>, 55</w:t>
      </w:r>
      <w:r w:rsidR="00D337A2">
        <w:rPr>
          <w:color w:val="000000" w:themeColor="text1"/>
        </w:rPr>
        <w:t>-</w:t>
      </w:r>
      <w:r w:rsidRPr="009568A7">
        <w:rPr>
          <w:color w:val="000000" w:themeColor="text1"/>
        </w:rPr>
        <w:t xml:space="preserve">73. </w:t>
      </w:r>
    </w:p>
    <w:p w14:paraId="70A3F28C" w14:textId="42B9C230" w:rsidR="00876D0A" w:rsidRPr="009568A7" w:rsidRDefault="00876D0A" w:rsidP="005A1783">
      <w:pPr>
        <w:pStyle w:val="NormalWeb"/>
        <w:spacing w:before="0" w:beforeAutospacing="0" w:after="0" w:afterAutospacing="0"/>
        <w:ind w:left="540" w:hanging="540"/>
        <w:jc w:val="both"/>
      </w:pPr>
      <w:proofErr w:type="spellStart"/>
      <w:r w:rsidRPr="009568A7">
        <w:t>Türkes</w:t>
      </w:r>
      <w:proofErr w:type="spellEnd"/>
      <w:r w:rsidRPr="009568A7">
        <w:rPr>
          <w:position w:val="-2"/>
        </w:rPr>
        <w:t>,</w:t>
      </w:r>
      <w:r w:rsidRPr="009568A7">
        <w:t xml:space="preserve"> M. C.</w:t>
      </w:r>
      <w:r w:rsidR="00AE0BAE">
        <w:t xml:space="preserve">, </w:t>
      </w:r>
      <w:proofErr w:type="spellStart"/>
      <w:r w:rsidRPr="009568A7">
        <w:t>Vuta</w:t>
      </w:r>
      <w:proofErr w:type="spellEnd"/>
      <w:r w:rsidRPr="009568A7">
        <w:t xml:space="preserve">, D. R. (2022). Telework: Before and after COVID-19. </w:t>
      </w:r>
      <w:r w:rsidRPr="009568A7">
        <w:rPr>
          <w:i/>
          <w:iCs/>
        </w:rPr>
        <w:t>Encyclopedia</w:t>
      </w:r>
      <w:r w:rsidRPr="009568A7">
        <w:t xml:space="preserve">, </w:t>
      </w:r>
      <w:r w:rsidRPr="008F052D">
        <w:t>2</w:t>
      </w:r>
      <w:r w:rsidR="008F052D">
        <w:t>(3)</w:t>
      </w:r>
      <w:r w:rsidRPr="009568A7">
        <w:t>,</w:t>
      </w:r>
      <w:r w:rsidR="008F052D">
        <w:t xml:space="preserve"> 1370-1383</w:t>
      </w:r>
      <w:r w:rsidR="00B54E51">
        <w:t>.</w:t>
      </w:r>
      <w:r w:rsidR="008F052D">
        <w:t xml:space="preserve">  </w:t>
      </w:r>
      <w:r w:rsidRPr="009568A7">
        <w:t xml:space="preserve"> </w:t>
      </w:r>
    </w:p>
    <w:p w14:paraId="5C9CCF55" w14:textId="434B99B8" w:rsidR="00876D0A" w:rsidRPr="009568A7" w:rsidRDefault="00876D0A" w:rsidP="005A1783">
      <w:pPr>
        <w:pStyle w:val="NormalWeb"/>
        <w:spacing w:before="0" w:beforeAutospacing="0" w:after="0" w:afterAutospacing="0"/>
        <w:ind w:left="540" w:hanging="540"/>
        <w:jc w:val="both"/>
      </w:pPr>
      <w:r w:rsidRPr="009568A7">
        <w:t xml:space="preserve">U.S. Bureau of Labor Statistics. (2022a). Labor Force Statistics from the Current Population Survey. </w:t>
      </w:r>
      <w:hyperlink r:id="rId237" w:history="1">
        <w:r w:rsidRPr="009568A7">
          <w:rPr>
            <w:rStyle w:val="Hyperlink"/>
          </w:rPr>
          <w:t>https://www.bls.gov/cps/cpsaat08.htm</w:t>
        </w:r>
      </w:hyperlink>
      <w:r w:rsidRPr="009568A7">
        <w:t xml:space="preserve">. Accessed June 1, 2023. </w:t>
      </w:r>
    </w:p>
    <w:p w14:paraId="2D502204" w14:textId="6B2080B4" w:rsidR="00876D0A" w:rsidRPr="009568A7" w:rsidRDefault="00876D0A" w:rsidP="005A1783">
      <w:pPr>
        <w:pStyle w:val="NormalWeb"/>
        <w:spacing w:before="0" w:beforeAutospacing="0" w:after="0" w:afterAutospacing="0"/>
        <w:ind w:left="540" w:hanging="540"/>
        <w:jc w:val="both"/>
      </w:pPr>
      <w:r w:rsidRPr="009568A7">
        <w:t xml:space="preserve">U.S. Bureau of Labor Statistics. (2022b). Labor Force Statistics from the Current Population Survey. </w:t>
      </w:r>
      <w:hyperlink r:id="rId238" w:history="1">
        <w:r w:rsidRPr="009568A7">
          <w:rPr>
            <w:rStyle w:val="Hyperlink"/>
          </w:rPr>
          <w:t>https://www.bls.gov/cps/cpsaat11.htm</w:t>
        </w:r>
      </w:hyperlink>
      <w:r w:rsidRPr="009568A7">
        <w:t>. Accessed May 24, 2023.</w:t>
      </w:r>
    </w:p>
    <w:p w14:paraId="07AD17F5" w14:textId="58F66390" w:rsidR="00876D0A" w:rsidRPr="009568A7" w:rsidRDefault="00876D0A" w:rsidP="005A1783">
      <w:pPr>
        <w:pStyle w:val="NormalWeb"/>
        <w:spacing w:before="0" w:beforeAutospacing="0" w:after="0" w:afterAutospacing="0"/>
        <w:ind w:left="540" w:hanging="540"/>
        <w:jc w:val="both"/>
      </w:pPr>
      <w:r w:rsidRPr="009568A7">
        <w:t xml:space="preserve">U.S. Bureau of Transportation Statistics. (2021). Commute Mode. </w:t>
      </w:r>
      <w:hyperlink r:id="rId239" w:history="1">
        <w:r w:rsidRPr="009568A7">
          <w:rPr>
            <w:rStyle w:val="Hyperlink"/>
          </w:rPr>
          <w:t>https://www.bts.gov/browse-</w:t>
        </w:r>
        <w:r w:rsidRPr="009568A7">
          <w:rPr>
            <w:rStyle w:val="Hyperlink"/>
            <w:u w:val="none"/>
          </w:rPr>
          <w:tab/>
        </w:r>
        <w:r w:rsidRPr="009568A7">
          <w:rPr>
            <w:rStyle w:val="Hyperlink"/>
          </w:rPr>
          <w:t>statistical-products-and-data/state-transportation-statistics/commute-mode</w:t>
        </w:r>
      </w:hyperlink>
      <w:r w:rsidRPr="009568A7">
        <w:t>. Accessed May 24, 2023.</w:t>
      </w:r>
    </w:p>
    <w:p w14:paraId="455E97F4" w14:textId="32AC813C" w:rsidR="00876D0A" w:rsidRPr="009568A7" w:rsidRDefault="00876D0A" w:rsidP="005A1783">
      <w:pPr>
        <w:pStyle w:val="NormalWeb"/>
        <w:spacing w:before="0" w:beforeAutospacing="0" w:after="0" w:afterAutospacing="0"/>
        <w:ind w:left="540" w:hanging="540"/>
        <w:jc w:val="both"/>
      </w:pPr>
      <w:r w:rsidRPr="009568A7">
        <w:t xml:space="preserve">U.S. Census Bureau. (2023). Quarterly Residential Vacancies and Homeownership, First Quarter 2023. </w:t>
      </w:r>
      <w:hyperlink r:id="rId240" w:history="1">
        <w:r w:rsidRPr="009568A7">
          <w:rPr>
            <w:rStyle w:val="Hyperlink"/>
          </w:rPr>
          <w:t>https://www.census.gov/housing/hvs/files/currenthvspress.pdf</w:t>
        </w:r>
      </w:hyperlink>
      <w:r w:rsidRPr="009568A7">
        <w:t xml:space="preserve">. Accessed May 24, 2023. </w:t>
      </w:r>
    </w:p>
    <w:p w14:paraId="58F84F72" w14:textId="56B150AB" w:rsidR="00876D0A" w:rsidRPr="009568A7" w:rsidRDefault="00876D0A" w:rsidP="005A1783">
      <w:pPr>
        <w:pStyle w:val="NormalWeb"/>
        <w:spacing w:before="0" w:beforeAutospacing="0" w:after="0" w:afterAutospacing="0"/>
        <w:ind w:left="540" w:hanging="540"/>
        <w:jc w:val="both"/>
      </w:pPr>
      <w:r w:rsidRPr="009568A7">
        <w:t xml:space="preserve">U.S. Census Bureau. (2022). U.S. Census Bureau United States Population Growth by Region. </w:t>
      </w:r>
      <w:hyperlink r:id="rId241" w:history="1">
        <w:r w:rsidR="00D337A2" w:rsidRPr="001D7C38">
          <w:rPr>
            <w:rStyle w:val="Hyperlink"/>
          </w:rPr>
          <w:t>https://www.census.gov/popclock/print.php?component=growth&amp;image=//www.census.gov/popclock/share/images/growth_1561939200.png</w:t>
        </w:r>
      </w:hyperlink>
      <w:r w:rsidRPr="009568A7">
        <w:t xml:space="preserve">. Accessed June 1, 2023. </w:t>
      </w:r>
    </w:p>
    <w:p w14:paraId="69A6026C" w14:textId="422D15FD" w:rsidR="007157EA" w:rsidRPr="009568A7" w:rsidRDefault="007157EA" w:rsidP="005A1783">
      <w:pPr>
        <w:pStyle w:val="NormalWeb"/>
        <w:spacing w:before="0" w:beforeAutospacing="0" w:after="0" w:afterAutospacing="0"/>
        <w:ind w:left="540" w:hanging="540"/>
        <w:jc w:val="both"/>
      </w:pPr>
      <w:r w:rsidRPr="009568A7">
        <w:t xml:space="preserve">U.S. Census Bureau. (2021). Geographic Levels. </w:t>
      </w:r>
      <w:hyperlink r:id="rId242" w:anchor="par_textimage_34" w:history="1">
        <w:r w:rsidRPr="009568A7">
          <w:rPr>
            <w:rStyle w:val="Hyperlink"/>
          </w:rPr>
          <w:t>https://www.census.gov/programs-</w:t>
        </w:r>
        <w:r w:rsidRPr="009568A7">
          <w:rPr>
            <w:rStyle w:val="Hyperlink"/>
            <w:u w:val="none"/>
          </w:rPr>
          <w:tab/>
        </w:r>
        <w:r w:rsidRPr="009568A7">
          <w:rPr>
            <w:rStyle w:val="Hyperlink"/>
          </w:rPr>
          <w:t>surveys/economic-census/guidance-geographies/levels.html#par_textimage_34</w:t>
        </w:r>
      </w:hyperlink>
      <w:r w:rsidRPr="009568A7">
        <w:t>. Accessed June 13, 2023.</w:t>
      </w:r>
    </w:p>
    <w:p w14:paraId="0468ECE9" w14:textId="7AF5C901" w:rsidR="00876D0A" w:rsidRPr="009568A7" w:rsidRDefault="00876D0A" w:rsidP="005A1783">
      <w:pPr>
        <w:pStyle w:val="NormalWeb"/>
        <w:spacing w:before="0" w:beforeAutospacing="0" w:after="0" w:afterAutospacing="0"/>
        <w:ind w:left="540" w:hanging="540"/>
        <w:jc w:val="both"/>
      </w:pPr>
      <w:r w:rsidRPr="009568A7">
        <w:t xml:space="preserve">U.S. Census Bureau. (2020). 2020 Census Urban Area Facts. </w:t>
      </w:r>
      <w:hyperlink r:id="rId243" w:history="1">
        <w:r w:rsidRPr="009568A7">
          <w:rPr>
            <w:rStyle w:val="Hyperlink"/>
          </w:rPr>
          <w:t>https://www.census.gov/programs-</w:t>
        </w:r>
        <w:r w:rsidRPr="009568A7">
          <w:rPr>
            <w:rStyle w:val="Hyperlink"/>
            <w:u w:val="none"/>
          </w:rPr>
          <w:tab/>
        </w:r>
        <w:r w:rsidRPr="009568A7">
          <w:rPr>
            <w:rStyle w:val="Hyperlink"/>
          </w:rPr>
          <w:t>surveys/geography/guidance/geo-areas/urban-rural/2020-ua-facts.html</w:t>
        </w:r>
      </w:hyperlink>
      <w:r w:rsidRPr="009568A7">
        <w:t xml:space="preserve">. Accessed May 24, 2023. </w:t>
      </w:r>
    </w:p>
    <w:p w14:paraId="1FF55E6F" w14:textId="5448016E" w:rsidR="00876D0A" w:rsidRPr="009568A7" w:rsidRDefault="00876D0A" w:rsidP="005A1783">
      <w:pPr>
        <w:pStyle w:val="NormalWeb"/>
        <w:spacing w:before="0" w:beforeAutospacing="0" w:after="0" w:afterAutospacing="0"/>
        <w:ind w:left="540" w:hanging="540"/>
        <w:jc w:val="both"/>
      </w:pPr>
      <w:r w:rsidRPr="009568A7">
        <w:t xml:space="preserve">U.S. Census Bureau. (2017). Fewer Married Households and More Living Alone. </w:t>
      </w:r>
      <w:hyperlink r:id="rId244" w:history="1">
        <w:r w:rsidR="00D337A2" w:rsidRPr="001D7C38">
          <w:rPr>
            <w:rStyle w:val="Hyperlink"/>
          </w:rPr>
          <w:t>https://www.census.gov/library/stories/2017/08/more-adults-living-without-children.html</w:t>
        </w:r>
      </w:hyperlink>
      <w:r w:rsidRPr="009568A7">
        <w:t>. Accessed May 24, 2023.</w:t>
      </w:r>
    </w:p>
    <w:p w14:paraId="52762A46" w14:textId="7C082C90" w:rsidR="00DF7087" w:rsidRPr="00CF0E6D" w:rsidRDefault="00DF7087" w:rsidP="00CF0E6D">
      <w:pPr>
        <w:pStyle w:val="dx-doi"/>
        <w:spacing w:before="0" w:beforeAutospacing="0" w:after="0" w:afterAutospacing="0"/>
        <w:ind w:left="540" w:hanging="540"/>
        <w:jc w:val="both"/>
        <w:rPr>
          <w:shd w:val="clear" w:color="auto" w:fill="FFFFFF"/>
        </w:rPr>
      </w:pPr>
      <w:r w:rsidRPr="00CF0E6D">
        <w:rPr>
          <w:shd w:val="clear" w:color="auto" w:fill="FFFFFF"/>
        </w:rPr>
        <w:t xml:space="preserve">Vyas, L., </w:t>
      </w:r>
      <w:proofErr w:type="spellStart"/>
      <w:r w:rsidRPr="00CF0E6D">
        <w:rPr>
          <w:shd w:val="clear" w:color="auto" w:fill="FFFFFF"/>
        </w:rPr>
        <w:t>Butakhieo</w:t>
      </w:r>
      <w:proofErr w:type="spellEnd"/>
      <w:r w:rsidRPr="00CF0E6D">
        <w:rPr>
          <w:shd w:val="clear" w:color="auto" w:fill="FFFFFF"/>
        </w:rPr>
        <w:t xml:space="preserve">, N. (2021) The impact of working from home during COVID-19 on </w:t>
      </w:r>
      <w:r w:rsidRPr="00091B9F">
        <w:rPr>
          <w:shd w:val="clear" w:color="auto" w:fill="FFFFFF"/>
        </w:rPr>
        <w:t xml:space="preserve">work and life domains: </w:t>
      </w:r>
      <w:r w:rsidR="00AE0BAE">
        <w:rPr>
          <w:shd w:val="clear" w:color="auto" w:fill="FFFFFF"/>
        </w:rPr>
        <w:t>A</w:t>
      </w:r>
      <w:r w:rsidRPr="00091B9F">
        <w:rPr>
          <w:shd w:val="clear" w:color="auto" w:fill="FFFFFF"/>
        </w:rPr>
        <w:t>n exploratory study on Hong Kong. </w:t>
      </w:r>
      <w:r w:rsidRPr="00091B9F">
        <w:rPr>
          <w:i/>
          <w:iCs/>
          <w:shd w:val="clear" w:color="auto" w:fill="FFFFFF"/>
        </w:rPr>
        <w:t>Policy Design and Practice</w:t>
      </w:r>
      <w:r w:rsidRPr="00091B9F">
        <w:rPr>
          <w:shd w:val="clear" w:color="auto" w:fill="FFFFFF"/>
        </w:rPr>
        <w:t xml:space="preserve">, 4(1), 59-76. </w:t>
      </w:r>
    </w:p>
    <w:p w14:paraId="1D6F82F2" w14:textId="57F3853F" w:rsidR="00D714C2" w:rsidRPr="009568A7" w:rsidRDefault="00D714C2" w:rsidP="005A1783">
      <w:pPr>
        <w:pStyle w:val="NormalWeb"/>
        <w:spacing w:before="0" w:beforeAutospacing="0" w:after="0" w:afterAutospacing="0"/>
        <w:ind w:left="540" w:hanging="540"/>
        <w:jc w:val="both"/>
      </w:pPr>
      <w:proofErr w:type="spellStart"/>
      <w:r w:rsidRPr="00D714C2">
        <w:t>Wali</w:t>
      </w:r>
      <w:proofErr w:type="spellEnd"/>
      <w:r w:rsidRPr="00D714C2">
        <w:t xml:space="preserve">, B., Khattak, A. J. (2022). A joint behavioral choice model for adoption of automated vehicle ride sourcing and carsharing technologies: Role of built environment &amp; sustainable travel behaviors. </w:t>
      </w:r>
      <w:r w:rsidRPr="007C1B88">
        <w:rPr>
          <w:i/>
          <w:iCs/>
        </w:rPr>
        <w:t>Transportation Research Part C</w:t>
      </w:r>
      <w:r w:rsidRPr="00636FB7">
        <w:t>,</w:t>
      </w:r>
      <w:r w:rsidRPr="00D714C2">
        <w:t xml:space="preserve"> 136, 103557.</w:t>
      </w:r>
    </w:p>
    <w:p w14:paraId="0C425218" w14:textId="4C2E0432" w:rsidR="00876D0A" w:rsidRPr="00D337A2" w:rsidRDefault="00876D0A" w:rsidP="005A1783">
      <w:pPr>
        <w:pStyle w:val="NormalWeb"/>
        <w:spacing w:before="0" w:beforeAutospacing="0" w:after="0" w:afterAutospacing="0"/>
        <w:ind w:left="540" w:hanging="540"/>
        <w:jc w:val="both"/>
      </w:pPr>
      <w:proofErr w:type="spellStart"/>
      <w:r w:rsidRPr="009568A7">
        <w:lastRenderedPageBreak/>
        <w:t>Wigert</w:t>
      </w:r>
      <w:proofErr w:type="spellEnd"/>
      <w:r w:rsidRPr="009568A7">
        <w:t xml:space="preserve">, B. (2022). The </w:t>
      </w:r>
      <w:r w:rsidR="00AE0BAE">
        <w:t>f</w:t>
      </w:r>
      <w:r w:rsidRPr="009568A7">
        <w:t xml:space="preserve">uture of </w:t>
      </w:r>
      <w:r w:rsidR="00AE0BAE">
        <w:t>h</w:t>
      </w:r>
      <w:r w:rsidRPr="009568A7">
        <w:t xml:space="preserve">ybrid </w:t>
      </w:r>
      <w:r w:rsidR="00AE0BAE">
        <w:t>w</w:t>
      </w:r>
      <w:r w:rsidRPr="009568A7">
        <w:t xml:space="preserve">ork: 5 </w:t>
      </w:r>
      <w:r w:rsidR="00AE0BAE">
        <w:t>k</w:t>
      </w:r>
      <w:r w:rsidRPr="009568A7">
        <w:t xml:space="preserve">ey </w:t>
      </w:r>
      <w:r w:rsidR="00AE0BAE">
        <w:t>q</w:t>
      </w:r>
      <w:r w:rsidRPr="009568A7">
        <w:t xml:space="preserve">uestions </w:t>
      </w:r>
      <w:r w:rsidR="00AE0BAE">
        <w:t>a</w:t>
      </w:r>
      <w:r w:rsidRPr="009568A7">
        <w:t xml:space="preserve">nswered </w:t>
      </w:r>
      <w:r w:rsidR="00AE0BAE">
        <w:t>w</w:t>
      </w:r>
      <w:r w:rsidRPr="009568A7">
        <w:t xml:space="preserve">ith </w:t>
      </w:r>
      <w:r w:rsidR="00AE0BAE">
        <w:t>d</w:t>
      </w:r>
      <w:r w:rsidRPr="009568A7">
        <w:t xml:space="preserve">ata. </w:t>
      </w:r>
      <w:hyperlink r:id="rId245" w:history="1">
        <w:r w:rsidR="00D337A2" w:rsidRPr="001D7C38">
          <w:rPr>
            <w:rStyle w:val="Hyperlink"/>
          </w:rPr>
          <w:t>https://www.gallup.com/workplace/390632/future-hybrid-work-key-questions-answered-data.aspx</w:t>
        </w:r>
      </w:hyperlink>
      <w:r w:rsidRPr="009568A7">
        <w:t>. Accessed April 13, 2023.</w:t>
      </w:r>
    </w:p>
    <w:p w14:paraId="07997B24" w14:textId="2DCBE11B" w:rsidR="00781CA8" w:rsidRPr="00B54E51" w:rsidRDefault="00781CA8" w:rsidP="005A1783">
      <w:pPr>
        <w:pStyle w:val="NormalWeb"/>
        <w:spacing w:before="0" w:beforeAutospacing="0" w:after="0" w:afterAutospacing="0"/>
        <w:ind w:left="540" w:hanging="540"/>
        <w:jc w:val="both"/>
        <w:rPr>
          <w:color w:val="000000" w:themeColor="text1"/>
          <w:shd w:val="clear" w:color="auto" w:fill="FFFFFF"/>
        </w:rPr>
      </w:pPr>
      <w:proofErr w:type="spellStart"/>
      <w:r w:rsidRPr="00B54E51">
        <w:rPr>
          <w:color w:val="212121"/>
          <w:shd w:val="clear" w:color="auto" w:fill="FFFFFF"/>
        </w:rPr>
        <w:t>Wosik</w:t>
      </w:r>
      <w:proofErr w:type="spellEnd"/>
      <w:r w:rsidRPr="00B54E51">
        <w:rPr>
          <w:color w:val="212121"/>
          <w:shd w:val="clear" w:color="auto" w:fill="FFFFFF"/>
        </w:rPr>
        <w:t xml:space="preserve">, J., </w:t>
      </w:r>
      <w:proofErr w:type="spellStart"/>
      <w:r w:rsidRPr="00B54E51">
        <w:rPr>
          <w:color w:val="212121"/>
          <w:shd w:val="clear" w:color="auto" w:fill="FFFFFF"/>
        </w:rPr>
        <w:t>Fudim</w:t>
      </w:r>
      <w:proofErr w:type="spellEnd"/>
      <w:r w:rsidRPr="00B54E51">
        <w:rPr>
          <w:color w:val="212121"/>
          <w:shd w:val="clear" w:color="auto" w:fill="FFFFFF"/>
        </w:rPr>
        <w:t xml:space="preserve">, M., Cameron, B., </w:t>
      </w:r>
      <w:proofErr w:type="spellStart"/>
      <w:r w:rsidRPr="00B54E51">
        <w:rPr>
          <w:color w:val="212121"/>
          <w:shd w:val="clear" w:color="auto" w:fill="FFFFFF"/>
        </w:rPr>
        <w:t>Gellad</w:t>
      </w:r>
      <w:proofErr w:type="spellEnd"/>
      <w:r w:rsidRPr="00B54E51">
        <w:rPr>
          <w:color w:val="212121"/>
          <w:shd w:val="clear" w:color="auto" w:fill="FFFFFF"/>
        </w:rPr>
        <w:t xml:space="preserve">, Z. </w:t>
      </w:r>
      <w:r w:rsidRPr="00B54E51">
        <w:rPr>
          <w:color w:val="000000" w:themeColor="text1"/>
          <w:shd w:val="clear" w:color="auto" w:fill="FFFFFF"/>
        </w:rPr>
        <w:t xml:space="preserve">F., Cho, A., Phinney, D., Curtis, S., Roman, M., Poon, E. G., Ferranti, J., Katz, J. N., </w:t>
      </w:r>
      <w:proofErr w:type="spellStart"/>
      <w:r w:rsidRPr="00B54E51">
        <w:rPr>
          <w:color w:val="000000" w:themeColor="text1"/>
          <w:shd w:val="clear" w:color="auto" w:fill="FFFFFF"/>
        </w:rPr>
        <w:t>Tcheng</w:t>
      </w:r>
      <w:proofErr w:type="spellEnd"/>
      <w:r w:rsidRPr="00B54E51">
        <w:rPr>
          <w:color w:val="000000" w:themeColor="text1"/>
          <w:shd w:val="clear" w:color="auto" w:fill="FFFFFF"/>
        </w:rPr>
        <w:t xml:space="preserve">, J. </w:t>
      </w:r>
      <w:r w:rsidR="00993924" w:rsidRPr="00B54E51">
        <w:rPr>
          <w:color w:val="000000" w:themeColor="text1"/>
          <w:shd w:val="clear" w:color="auto" w:fill="FFFFFF"/>
        </w:rPr>
        <w:t xml:space="preserve">(2020). </w:t>
      </w:r>
      <w:r w:rsidRPr="00B54E51">
        <w:rPr>
          <w:color w:val="000000" w:themeColor="text1"/>
          <w:shd w:val="clear" w:color="auto" w:fill="FFFFFF"/>
        </w:rPr>
        <w:t xml:space="preserve">Telehealth </w:t>
      </w:r>
      <w:r w:rsidR="00AE0BAE">
        <w:rPr>
          <w:color w:val="000000" w:themeColor="text1"/>
          <w:shd w:val="clear" w:color="auto" w:fill="FFFFFF"/>
        </w:rPr>
        <w:t>t</w:t>
      </w:r>
      <w:r w:rsidRPr="00B54E51">
        <w:rPr>
          <w:color w:val="000000" w:themeColor="text1"/>
          <w:shd w:val="clear" w:color="auto" w:fill="FFFFFF"/>
        </w:rPr>
        <w:t xml:space="preserve">ransformation: COVID-19 and the </w:t>
      </w:r>
      <w:r w:rsidR="00AE0BAE">
        <w:rPr>
          <w:color w:val="000000" w:themeColor="text1"/>
          <w:shd w:val="clear" w:color="auto" w:fill="FFFFFF"/>
        </w:rPr>
        <w:t>r</w:t>
      </w:r>
      <w:r w:rsidRPr="00B54E51">
        <w:rPr>
          <w:color w:val="000000" w:themeColor="text1"/>
          <w:shd w:val="clear" w:color="auto" w:fill="FFFFFF"/>
        </w:rPr>
        <w:t xml:space="preserve">ise of </w:t>
      </w:r>
      <w:r w:rsidR="00AE0BAE">
        <w:rPr>
          <w:color w:val="000000" w:themeColor="text1"/>
          <w:shd w:val="clear" w:color="auto" w:fill="FFFFFF"/>
        </w:rPr>
        <w:t>v</w:t>
      </w:r>
      <w:r w:rsidRPr="00B54E51">
        <w:rPr>
          <w:color w:val="000000" w:themeColor="text1"/>
          <w:shd w:val="clear" w:color="auto" w:fill="FFFFFF"/>
        </w:rPr>
        <w:t xml:space="preserve">irtual </w:t>
      </w:r>
      <w:r w:rsidR="00AE0BAE">
        <w:rPr>
          <w:color w:val="000000" w:themeColor="text1"/>
          <w:shd w:val="clear" w:color="auto" w:fill="FFFFFF"/>
        </w:rPr>
        <w:t>c</w:t>
      </w:r>
      <w:r w:rsidRPr="00B54E51">
        <w:rPr>
          <w:color w:val="000000" w:themeColor="text1"/>
          <w:shd w:val="clear" w:color="auto" w:fill="FFFFFF"/>
        </w:rPr>
        <w:t>are</w:t>
      </w:r>
      <w:r w:rsidR="00B54E51" w:rsidRPr="00B54E51">
        <w:rPr>
          <w:color w:val="000000" w:themeColor="text1"/>
          <w:shd w:val="clear" w:color="auto" w:fill="FFFFFF"/>
        </w:rPr>
        <w:t>.</w:t>
      </w:r>
      <w:r w:rsidR="00B54E51" w:rsidRPr="00B54E51">
        <w:t xml:space="preserve"> </w:t>
      </w:r>
      <w:r w:rsidR="00B54E51" w:rsidRPr="00B54E51">
        <w:rPr>
          <w:rFonts w:eastAsiaTheme="majorEastAsia"/>
          <w:i/>
          <w:iCs/>
          <w:bdr w:val="none" w:sz="0" w:space="0" w:color="auto" w:frame="1"/>
          <w:shd w:val="clear" w:color="auto" w:fill="FFFFFF"/>
        </w:rPr>
        <w:t>Journal of the American Medical Informatics Association</w:t>
      </w:r>
      <w:r w:rsidR="00993924" w:rsidRPr="00B54E51">
        <w:rPr>
          <w:color w:val="000000" w:themeColor="text1"/>
          <w:shd w:val="clear" w:color="auto" w:fill="FFFFFF"/>
        </w:rPr>
        <w:t>, 27</w:t>
      </w:r>
      <w:r w:rsidR="00B54E51" w:rsidRPr="00B54E51">
        <w:rPr>
          <w:color w:val="000000" w:themeColor="text1"/>
          <w:shd w:val="clear" w:color="auto" w:fill="FFFFFF"/>
        </w:rPr>
        <w:t>(6)</w:t>
      </w:r>
      <w:r w:rsidR="00993924" w:rsidRPr="00B54E51">
        <w:rPr>
          <w:color w:val="000000" w:themeColor="text1"/>
          <w:shd w:val="clear" w:color="auto" w:fill="FFFFFF"/>
        </w:rPr>
        <w:t xml:space="preserve">, 957-962. </w:t>
      </w:r>
    </w:p>
    <w:p w14:paraId="0414E1FD" w14:textId="179FE190" w:rsidR="00876D0A" w:rsidRPr="00D337A2" w:rsidRDefault="00876D0A" w:rsidP="005A1783">
      <w:pPr>
        <w:pStyle w:val="NormalWeb"/>
        <w:spacing w:before="0" w:beforeAutospacing="0" w:after="0" w:afterAutospacing="0"/>
        <w:ind w:left="540" w:hanging="540"/>
        <w:jc w:val="both"/>
        <w:rPr>
          <w:color w:val="211E1E"/>
        </w:rPr>
      </w:pPr>
      <w:r w:rsidRPr="00B54E51">
        <w:rPr>
          <w:color w:val="212121"/>
          <w:shd w:val="clear" w:color="auto" w:fill="FFFFFF"/>
        </w:rPr>
        <w:t>Yamashita</w:t>
      </w:r>
      <w:r w:rsidR="00AE0BAE">
        <w:rPr>
          <w:color w:val="212121"/>
          <w:shd w:val="clear" w:color="auto" w:fill="FFFFFF"/>
        </w:rPr>
        <w:t>,</w:t>
      </w:r>
      <w:r w:rsidRPr="00B54E51">
        <w:rPr>
          <w:color w:val="212121"/>
          <w:shd w:val="clear" w:color="auto" w:fill="FFFFFF"/>
        </w:rPr>
        <w:t xml:space="preserve"> S., Ishimaru</w:t>
      </w:r>
      <w:r w:rsidR="00AE0BAE">
        <w:rPr>
          <w:color w:val="212121"/>
          <w:shd w:val="clear" w:color="auto" w:fill="FFFFFF"/>
        </w:rPr>
        <w:t>,</w:t>
      </w:r>
      <w:r w:rsidRPr="00B54E51">
        <w:rPr>
          <w:color w:val="212121"/>
          <w:shd w:val="clear" w:color="auto" w:fill="FFFFFF"/>
        </w:rPr>
        <w:t xml:space="preserve"> T., Nagata</w:t>
      </w:r>
      <w:r w:rsidR="00AE0BAE">
        <w:rPr>
          <w:color w:val="212121"/>
          <w:shd w:val="clear" w:color="auto" w:fill="FFFFFF"/>
        </w:rPr>
        <w:t>,</w:t>
      </w:r>
      <w:r w:rsidRPr="00B54E51">
        <w:rPr>
          <w:color w:val="212121"/>
          <w:shd w:val="clear" w:color="auto" w:fill="FFFFFF"/>
        </w:rPr>
        <w:t xml:space="preserve"> T., </w:t>
      </w:r>
      <w:proofErr w:type="spellStart"/>
      <w:r w:rsidRPr="00B54E51">
        <w:rPr>
          <w:color w:val="212121"/>
          <w:shd w:val="clear" w:color="auto" w:fill="FFFFFF"/>
        </w:rPr>
        <w:t>Tateishi</w:t>
      </w:r>
      <w:proofErr w:type="spellEnd"/>
      <w:r w:rsidR="00AE0BAE">
        <w:rPr>
          <w:color w:val="212121"/>
          <w:shd w:val="clear" w:color="auto" w:fill="FFFFFF"/>
        </w:rPr>
        <w:t>,</w:t>
      </w:r>
      <w:r w:rsidRPr="00B54E51">
        <w:rPr>
          <w:color w:val="212121"/>
          <w:shd w:val="clear" w:color="auto" w:fill="FFFFFF"/>
        </w:rPr>
        <w:t xml:space="preserve"> S., Hino</w:t>
      </w:r>
      <w:r w:rsidR="00AE0BAE">
        <w:rPr>
          <w:color w:val="212121"/>
          <w:shd w:val="clear" w:color="auto" w:fill="FFFFFF"/>
        </w:rPr>
        <w:t>,</w:t>
      </w:r>
      <w:r w:rsidRPr="00B54E51">
        <w:rPr>
          <w:color w:val="212121"/>
          <w:shd w:val="clear" w:color="auto" w:fill="FFFFFF"/>
        </w:rPr>
        <w:t xml:space="preserve"> A., Tsuji</w:t>
      </w:r>
      <w:r w:rsidR="00AE0BAE">
        <w:rPr>
          <w:color w:val="212121"/>
          <w:shd w:val="clear" w:color="auto" w:fill="FFFFFF"/>
        </w:rPr>
        <w:t>,</w:t>
      </w:r>
      <w:r w:rsidRPr="009568A7">
        <w:rPr>
          <w:color w:val="212121"/>
          <w:shd w:val="clear" w:color="auto" w:fill="FFFFFF"/>
        </w:rPr>
        <w:t xml:space="preserve"> M., I</w:t>
      </w:r>
      <w:r w:rsidRPr="009568A7">
        <w:rPr>
          <w:color w:val="211E1E"/>
        </w:rPr>
        <w:t xml:space="preserve">kegami, K., </w:t>
      </w:r>
      <w:proofErr w:type="spellStart"/>
      <w:r w:rsidRPr="009568A7">
        <w:rPr>
          <w:color w:val="211E1E"/>
        </w:rPr>
        <w:t>Muramatsu</w:t>
      </w:r>
      <w:proofErr w:type="spellEnd"/>
      <w:r w:rsidRPr="009568A7">
        <w:rPr>
          <w:color w:val="211E1E"/>
        </w:rPr>
        <w:t xml:space="preserve">, K., </w:t>
      </w:r>
      <w:proofErr w:type="spellStart"/>
      <w:r w:rsidRPr="009568A7">
        <w:rPr>
          <w:color w:val="211E1E"/>
        </w:rPr>
        <w:t>Fujino</w:t>
      </w:r>
      <w:proofErr w:type="spellEnd"/>
      <w:r w:rsidRPr="009568A7">
        <w:rPr>
          <w:color w:val="211E1E"/>
        </w:rPr>
        <w:t>, Y.</w:t>
      </w:r>
      <w:r w:rsidRPr="009568A7">
        <w:t xml:space="preserve"> </w:t>
      </w:r>
      <w:r w:rsidRPr="009568A7">
        <w:rPr>
          <w:color w:val="212121"/>
          <w:shd w:val="clear" w:color="auto" w:fill="FFFFFF"/>
        </w:rPr>
        <w:t>(2022). </w:t>
      </w:r>
      <w:r w:rsidRPr="009568A7">
        <w:rPr>
          <w:rStyle w:val="ref-title"/>
          <w:rFonts w:eastAsiaTheme="majorEastAsia"/>
          <w:color w:val="212121"/>
          <w:shd w:val="clear" w:color="auto" w:fill="FFFFFF"/>
        </w:rPr>
        <w:t xml:space="preserve">Association of preference and frequency of teleworking with work functioning impairment: </w:t>
      </w:r>
      <w:r w:rsidR="005A1783">
        <w:rPr>
          <w:rStyle w:val="ref-title"/>
          <w:rFonts w:eastAsiaTheme="majorEastAsia"/>
          <w:color w:val="212121"/>
          <w:shd w:val="clear" w:color="auto" w:fill="FFFFFF"/>
        </w:rPr>
        <w:t>A</w:t>
      </w:r>
      <w:r w:rsidRPr="009568A7">
        <w:rPr>
          <w:rStyle w:val="ref-title"/>
          <w:rFonts w:eastAsiaTheme="majorEastAsia"/>
          <w:color w:val="212121"/>
          <w:shd w:val="clear" w:color="auto" w:fill="FFFFFF"/>
        </w:rPr>
        <w:t xml:space="preserve"> nationwide cross-sectional study of Japanese full-time employees</w:t>
      </w:r>
      <w:r w:rsidRPr="009568A7">
        <w:rPr>
          <w:color w:val="212121"/>
          <w:shd w:val="clear" w:color="auto" w:fill="FFFFFF"/>
        </w:rPr>
        <w:t>. </w:t>
      </w:r>
      <w:r w:rsidR="00B54E51" w:rsidRPr="00B54E51">
        <w:rPr>
          <w:i/>
          <w:iCs/>
        </w:rPr>
        <w:t>Journal of Occupational and Environmental Medicine</w:t>
      </w:r>
      <w:r w:rsidR="00B54E51" w:rsidRPr="00B54E51">
        <w:rPr>
          <w:rStyle w:val="ref-journal"/>
          <w:rFonts w:eastAsiaTheme="majorEastAsia"/>
          <w:color w:val="212121"/>
          <w:shd w:val="clear" w:color="auto" w:fill="FFFFFF"/>
        </w:rPr>
        <w:t xml:space="preserve">, </w:t>
      </w:r>
      <w:r w:rsidRPr="009568A7">
        <w:rPr>
          <w:rStyle w:val="ref-vol"/>
          <w:color w:val="212121"/>
          <w:shd w:val="clear" w:color="auto" w:fill="FFFFFF"/>
        </w:rPr>
        <w:t>64</w:t>
      </w:r>
      <w:r w:rsidR="00B54E51">
        <w:rPr>
          <w:rStyle w:val="ref-vol"/>
          <w:color w:val="212121"/>
          <w:shd w:val="clear" w:color="auto" w:fill="FFFFFF"/>
        </w:rPr>
        <w:t>(6)</w:t>
      </w:r>
      <w:r w:rsidRPr="009568A7">
        <w:rPr>
          <w:color w:val="212121"/>
          <w:shd w:val="clear" w:color="auto" w:fill="FFFFFF"/>
        </w:rPr>
        <w:t>, e363</w:t>
      </w:r>
      <w:r w:rsidR="00B54E51">
        <w:rPr>
          <w:color w:val="212121"/>
          <w:shd w:val="clear" w:color="auto" w:fill="FFFFFF"/>
        </w:rPr>
        <w:t>-</w:t>
      </w:r>
      <w:r w:rsidRPr="009568A7">
        <w:rPr>
          <w:color w:val="212121"/>
          <w:shd w:val="clear" w:color="auto" w:fill="FFFFFF"/>
        </w:rPr>
        <w:t xml:space="preserve">e368. </w:t>
      </w:r>
    </w:p>
    <w:p w14:paraId="5CC9BEA3" w14:textId="11D11BDE" w:rsidR="00F01655" w:rsidRPr="00D337A2" w:rsidRDefault="00F01655" w:rsidP="005A1783">
      <w:pPr>
        <w:pStyle w:val="NormalWeb"/>
        <w:spacing w:before="0" w:beforeAutospacing="0" w:after="0" w:afterAutospacing="0"/>
        <w:ind w:left="540" w:hanging="540"/>
        <w:jc w:val="both"/>
      </w:pPr>
      <w:r w:rsidRPr="009568A7">
        <w:t xml:space="preserve">Yang, Y., Lewis, R. (2023). Sustaining </w:t>
      </w:r>
      <w:r w:rsidR="00AE0BAE">
        <w:t>m</w:t>
      </w:r>
      <w:r w:rsidRPr="009568A7">
        <w:t xml:space="preserve">ultimodal </w:t>
      </w:r>
      <w:r w:rsidR="00AE0BAE">
        <w:t>c</w:t>
      </w:r>
      <w:r w:rsidRPr="009568A7">
        <w:t xml:space="preserve">hoices: Examining </w:t>
      </w:r>
      <w:r w:rsidR="00AE0BAE">
        <w:t>t</w:t>
      </w:r>
      <w:r w:rsidRPr="009568A7">
        <w:t xml:space="preserve">ravel </w:t>
      </w:r>
      <w:r w:rsidR="00AE0BAE">
        <w:t>b</w:t>
      </w:r>
      <w:r w:rsidRPr="009568A7">
        <w:t xml:space="preserve">ehavior for </w:t>
      </w:r>
      <w:r w:rsidR="00AE0BAE">
        <w:t>n</w:t>
      </w:r>
      <w:r w:rsidRPr="009568A7">
        <w:t xml:space="preserve">on-work </w:t>
      </w:r>
      <w:r w:rsidR="00AE0BAE">
        <w:t>t</w:t>
      </w:r>
      <w:r w:rsidRPr="009568A7">
        <w:t xml:space="preserve">rips </w:t>
      </w:r>
      <w:r w:rsidR="00AE0BAE">
        <w:t>b</w:t>
      </w:r>
      <w:r w:rsidRPr="009568A7">
        <w:t>eyond COVID-19. NITC-RR1504. Transportation Research and Education Center (TREC)</w:t>
      </w:r>
      <w:r w:rsidR="00AE0BAE">
        <w:t>,</w:t>
      </w:r>
      <w:r w:rsidR="00AE0BAE" w:rsidRPr="00AE0BAE">
        <w:t xml:space="preserve"> </w:t>
      </w:r>
      <w:r w:rsidR="00AE0BAE" w:rsidRPr="009568A7">
        <w:t>Portland, OR</w:t>
      </w:r>
      <w:r w:rsidRPr="009568A7">
        <w:t>.</w:t>
      </w:r>
    </w:p>
    <w:p w14:paraId="771D7B09" w14:textId="0D9492A0" w:rsidR="00876D0A" w:rsidRPr="009568A7" w:rsidRDefault="00876D0A" w:rsidP="00AE0BAE">
      <w:pPr>
        <w:pStyle w:val="NormalWeb"/>
        <w:spacing w:before="0" w:beforeAutospacing="0" w:after="0" w:afterAutospacing="0"/>
        <w:ind w:left="540" w:hanging="540"/>
        <w:jc w:val="both"/>
        <w:rPr>
          <w:color w:val="000000" w:themeColor="text1"/>
        </w:rPr>
      </w:pPr>
      <w:r w:rsidRPr="009568A7">
        <w:rPr>
          <w:color w:val="000000" w:themeColor="text1"/>
        </w:rPr>
        <w:t xml:space="preserve">Zhang, S., Moeckel, R., Moreno, A. T., Shuai, B., Gao, J. (2020). A </w:t>
      </w:r>
      <w:r w:rsidR="00AE0BAE">
        <w:rPr>
          <w:color w:val="000000" w:themeColor="text1"/>
        </w:rPr>
        <w:t>w</w:t>
      </w:r>
      <w:r w:rsidRPr="009568A7">
        <w:rPr>
          <w:color w:val="000000" w:themeColor="text1"/>
        </w:rPr>
        <w:t>ork-</w:t>
      </w:r>
      <w:r w:rsidR="00AE0BAE">
        <w:rPr>
          <w:color w:val="000000" w:themeColor="text1"/>
        </w:rPr>
        <w:t>l</w:t>
      </w:r>
      <w:r w:rsidRPr="009568A7">
        <w:rPr>
          <w:color w:val="000000" w:themeColor="text1"/>
        </w:rPr>
        <w:t xml:space="preserve">ife </w:t>
      </w:r>
      <w:r w:rsidR="00AE0BAE">
        <w:rPr>
          <w:color w:val="000000" w:themeColor="text1"/>
        </w:rPr>
        <w:t>c</w:t>
      </w:r>
      <w:r w:rsidRPr="009568A7">
        <w:rPr>
          <w:color w:val="000000" w:themeColor="text1"/>
        </w:rPr>
        <w:t xml:space="preserve">onflict </w:t>
      </w:r>
      <w:r w:rsidR="00AE0BAE">
        <w:rPr>
          <w:color w:val="000000" w:themeColor="text1"/>
        </w:rPr>
        <w:t>p</w:t>
      </w:r>
      <w:r w:rsidRPr="009568A7">
        <w:rPr>
          <w:color w:val="000000" w:themeColor="text1"/>
        </w:rPr>
        <w:t xml:space="preserve">erspective on </w:t>
      </w:r>
      <w:proofErr w:type="gramStart"/>
      <w:r w:rsidR="00AE0BAE">
        <w:rPr>
          <w:color w:val="000000" w:themeColor="text1"/>
        </w:rPr>
        <w:t>t</w:t>
      </w:r>
      <w:r w:rsidRPr="009568A7">
        <w:rPr>
          <w:color w:val="000000" w:themeColor="text1"/>
        </w:rPr>
        <w:t>elework</w:t>
      </w:r>
      <w:proofErr w:type="gramEnd"/>
      <w:r w:rsidRPr="009568A7">
        <w:rPr>
          <w:color w:val="000000" w:themeColor="text1"/>
        </w:rPr>
        <w:t xml:space="preserve">. </w:t>
      </w:r>
      <w:r w:rsidRPr="009568A7">
        <w:rPr>
          <w:i/>
          <w:iCs/>
          <w:color w:val="000000" w:themeColor="text1"/>
        </w:rPr>
        <w:t>Transportation Research Part A</w:t>
      </w:r>
      <w:r w:rsidRPr="009568A7">
        <w:rPr>
          <w:color w:val="000000" w:themeColor="text1"/>
        </w:rPr>
        <w:t xml:space="preserve">, 141, 51-68. </w:t>
      </w:r>
    </w:p>
    <w:p w14:paraId="480FDAC8" w14:textId="17C9BD13" w:rsidR="00876D0A" w:rsidRPr="009568A7" w:rsidRDefault="00876D0A" w:rsidP="005A1783">
      <w:pPr>
        <w:pStyle w:val="NormalWeb"/>
        <w:spacing w:before="0" w:beforeAutospacing="0" w:after="0" w:afterAutospacing="0"/>
        <w:ind w:left="540" w:hanging="540"/>
        <w:jc w:val="both"/>
        <w:rPr>
          <w:color w:val="000000" w:themeColor="text1"/>
        </w:rPr>
      </w:pPr>
      <w:r w:rsidRPr="009568A7">
        <w:rPr>
          <w:color w:val="000000" w:themeColor="text1"/>
        </w:rPr>
        <w:t xml:space="preserve">Zhu, P., Mason, S. G. (2014). The impact of telecommuting on personal vehicle usage and environmental sustainability. </w:t>
      </w:r>
      <w:r w:rsidRPr="009568A7">
        <w:rPr>
          <w:i/>
          <w:iCs/>
          <w:color w:val="000000" w:themeColor="text1"/>
        </w:rPr>
        <w:t>International Journal of Environmental Science and Technology</w:t>
      </w:r>
      <w:r w:rsidRPr="00B54E51">
        <w:rPr>
          <w:color w:val="000000" w:themeColor="text1"/>
        </w:rPr>
        <w:t>, 11,</w:t>
      </w:r>
      <w:r w:rsidRPr="009568A7">
        <w:rPr>
          <w:color w:val="000000" w:themeColor="text1"/>
        </w:rPr>
        <w:t xml:space="preserve"> 2185</w:t>
      </w:r>
      <w:r w:rsidR="00B54E51">
        <w:rPr>
          <w:color w:val="000000" w:themeColor="text1"/>
        </w:rPr>
        <w:t>-</w:t>
      </w:r>
      <w:r w:rsidRPr="009568A7">
        <w:rPr>
          <w:color w:val="000000" w:themeColor="text1"/>
        </w:rPr>
        <w:t>2200</w:t>
      </w:r>
    </w:p>
    <w:p w14:paraId="173A34B6" w14:textId="6BA2C7B0" w:rsidR="00876D0A" w:rsidRPr="00D337A2" w:rsidRDefault="00876D0A" w:rsidP="004A029F">
      <w:pPr>
        <w:pStyle w:val="NormalWeb"/>
        <w:spacing w:before="0" w:beforeAutospacing="0" w:after="0" w:afterAutospacing="0"/>
        <w:ind w:left="540" w:hanging="540"/>
        <w:jc w:val="both"/>
        <w:rPr>
          <w:color w:val="000000" w:themeColor="text1"/>
          <w:shd w:val="clear" w:color="auto" w:fill="FFFFFF"/>
        </w:rPr>
      </w:pPr>
      <w:r w:rsidRPr="009568A7">
        <w:rPr>
          <w:color w:val="000000" w:themeColor="text1"/>
          <w:shd w:val="clear" w:color="auto" w:fill="FFFFFF"/>
        </w:rPr>
        <w:t xml:space="preserve">Zou, X., Chen, X., Chen, F., Luo, C., Liu, H. (2020). The </w:t>
      </w:r>
      <w:r w:rsidR="00AE0BAE">
        <w:rPr>
          <w:color w:val="000000" w:themeColor="text1"/>
          <w:shd w:val="clear" w:color="auto" w:fill="FFFFFF"/>
        </w:rPr>
        <w:t>i</w:t>
      </w:r>
      <w:r w:rsidRPr="009568A7">
        <w:rPr>
          <w:color w:val="000000" w:themeColor="text1"/>
          <w:shd w:val="clear" w:color="auto" w:fill="FFFFFF"/>
        </w:rPr>
        <w:t xml:space="preserve">nfluence of </w:t>
      </w:r>
      <w:r w:rsidR="00AE0BAE">
        <w:rPr>
          <w:color w:val="000000" w:themeColor="text1"/>
          <w:shd w:val="clear" w:color="auto" w:fill="FFFFFF"/>
        </w:rPr>
        <w:t>n</w:t>
      </w:r>
      <w:r w:rsidRPr="009568A7">
        <w:rPr>
          <w:color w:val="000000" w:themeColor="text1"/>
          <w:shd w:val="clear" w:color="auto" w:fill="FFFFFF"/>
        </w:rPr>
        <w:t xml:space="preserve">egative </w:t>
      </w:r>
      <w:r w:rsidR="00AE0BAE">
        <w:rPr>
          <w:color w:val="000000" w:themeColor="text1"/>
          <w:shd w:val="clear" w:color="auto" w:fill="FFFFFF"/>
        </w:rPr>
        <w:t>w</w:t>
      </w:r>
      <w:r w:rsidRPr="009568A7">
        <w:rPr>
          <w:color w:val="000000" w:themeColor="text1"/>
          <w:shd w:val="clear" w:color="auto" w:fill="FFFFFF"/>
        </w:rPr>
        <w:t xml:space="preserve">orkplace </w:t>
      </w:r>
      <w:r w:rsidR="00AE0BAE">
        <w:rPr>
          <w:color w:val="000000" w:themeColor="text1"/>
          <w:shd w:val="clear" w:color="auto" w:fill="FFFFFF"/>
        </w:rPr>
        <w:t>g</w:t>
      </w:r>
      <w:r w:rsidRPr="009568A7">
        <w:rPr>
          <w:color w:val="000000" w:themeColor="text1"/>
          <w:shd w:val="clear" w:color="auto" w:fill="FFFFFF"/>
        </w:rPr>
        <w:t xml:space="preserve">ossip on </w:t>
      </w:r>
      <w:r w:rsidR="00AE0BAE">
        <w:rPr>
          <w:color w:val="000000" w:themeColor="text1"/>
          <w:shd w:val="clear" w:color="auto" w:fill="FFFFFF"/>
        </w:rPr>
        <w:t>k</w:t>
      </w:r>
      <w:r w:rsidRPr="009568A7">
        <w:rPr>
          <w:color w:val="000000" w:themeColor="text1"/>
          <w:shd w:val="clear" w:color="auto" w:fill="FFFFFF"/>
        </w:rPr>
        <w:t xml:space="preserve">nowledge </w:t>
      </w:r>
      <w:r w:rsidR="00AE0BAE">
        <w:rPr>
          <w:color w:val="000000" w:themeColor="text1"/>
          <w:shd w:val="clear" w:color="auto" w:fill="FFFFFF"/>
        </w:rPr>
        <w:t>s</w:t>
      </w:r>
      <w:r w:rsidRPr="009568A7">
        <w:rPr>
          <w:color w:val="000000" w:themeColor="text1"/>
          <w:shd w:val="clear" w:color="auto" w:fill="FFFFFF"/>
        </w:rPr>
        <w:t xml:space="preserve">haring: Insight from the </w:t>
      </w:r>
      <w:r w:rsidR="00AE0BAE">
        <w:rPr>
          <w:color w:val="000000" w:themeColor="text1"/>
          <w:shd w:val="clear" w:color="auto" w:fill="FFFFFF"/>
        </w:rPr>
        <w:t>c</w:t>
      </w:r>
      <w:r w:rsidRPr="009568A7">
        <w:rPr>
          <w:color w:val="000000" w:themeColor="text1"/>
          <w:shd w:val="clear" w:color="auto" w:fill="FFFFFF"/>
        </w:rPr>
        <w:t xml:space="preserve">ognitive </w:t>
      </w:r>
      <w:r w:rsidR="00AE0BAE">
        <w:rPr>
          <w:color w:val="000000" w:themeColor="text1"/>
          <w:shd w:val="clear" w:color="auto" w:fill="FFFFFF"/>
        </w:rPr>
        <w:t>d</w:t>
      </w:r>
      <w:r w:rsidRPr="009568A7">
        <w:rPr>
          <w:color w:val="000000" w:themeColor="text1"/>
          <w:shd w:val="clear" w:color="auto" w:fill="FFFFFF"/>
        </w:rPr>
        <w:t xml:space="preserve">issonance </w:t>
      </w:r>
      <w:r w:rsidR="004A029F">
        <w:rPr>
          <w:color w:val="000000" w:themeColor="text1"/>
          <w:shd w:val="clear" w:color="auto" w:fill="FFFFFF"/>
        </w:rPr>
        <w:t xml:space="preserve">perspective. </w:t>
      </w:r>
      <w:r w:rsidR="004A029F" w:rsidRPr="004A029F">
        <w:rPr>
          <w:i/>
          <w:iCs/>
          <w:color w:val="000000" w:themeColor="text1"/>
          <w:shd w:val="clear" w:color="auto" w:fill="FFFFFF"/>
        </w:rPr>
        <w:t>Sustainability</w:t>
      </w:r>
      <w:r w:rsidR="004A029F">
        <w:rPr>
          <w:color w:val="000000" w:themeColor="text1"/>
          <w:shd w:val="clear" w:color="auto" w:fill="FFFFFF"/>
        </w:rPr>
        <w:t xml:space="preserve">, </w:t>
      </w:r>
      <w:r w:rsidRPr="009568A7">
        <w:rPr>
          <w:color w:val="000000" w:themeColor="text1"/>
          <w:shd w:val="clear" w:color="auto" w:fill="FFFFFF"/>
        </w:rPr>
        <w:t>12</w:t>
      </w:r>
      <w:r w:rsidR="00B54E51">
        <w:rPr>
          <w:color w:val="000000" w:themeColor="text1"/>
          <w:shd w:val="clear" w:color="auto" w:fill="FFFFFF"/>
        </w:rPr>
        <w:t>(8), 3282</w:t>
      </w:r>
      <w:r w:rsidRPr="009568A7">
        <w:rPr>
          <w:color w:val="000000" w:themeColor="text1"/>
          <w:shd w:val="clear" w:color="auto" w:fill="FFFFFF"/>
        </w:rPr>
        <w:t xml:space="preserve">. </w:t>
      </w:r>
    </w:p>
    <w:p w14:paraId="046C91EC" w14:textId="77777777" w:rsidR="0082092A" w:rsidRPr="004A6699" w:rsidRDefault="0082092A" w:rsidP="00781963">
      <w:pPr>
        <w:pStyle w:val="NormalWeb"/>
        <w:keepNext/>
        <w:keepLines/>
        <w:spacing w:before="0" w:beforeAutospacing="0" w:after="0" w:afterAutospacing="0"/>
        <w:outlineLvl w:val="0"/>
        <w:rPr>
          <w:color w:val="000000" w:themeColor="text1"/>
          <w:sz w:val="40"/>
          <w:szCs w:val="40"/>
        </w:rPr>
      </w:pPr>
    </w:p>
    <w:sectPr w:rsidR="0082092A" w:rsidRPr="004A6699" w:rsidSect="00AB1C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FF7C" w14:textId="77777777" w:rsidR="00F23F95" w:rsidRDefault="00F23F95">
      <w:r>
        <w:separator/>
      </w:r>
    </w:p>
  </w:endnote>
  <w:endnote w:type="continuationSeparator" w:id="0">
    <w:p w14:paraId="61B30228" w14:textId="77777777" w:rsidR="00F23F95" w:rsidRDefault="00F23F95">
      <w:r>
        <w:continuationSeparator/>
      </w:r>
    </w:p>
  </w:endnote>
  <w:endnote w:type="continuationNotice" w:id="1">
    <w:p w14:paraId="1C76D0BE" w14:textId="77777777" w:rsidR="00F23F95" w:rsidRDefault="00F23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332946"/>
      <w:docPartObj>
        <w:docPartGallery w:val="Page Numbers (Bottom of Page)"/>
        <w:docPartUnique/>
      </w:docPartObj>
    </w:sdtPr>
    <w:sdtEndPr>
      <w:rPr>
        <w:rFonts w:ascii="Times New Roman" w:hAnsi="Times New Roman" w:cs="Times New Roman"/>
        <w:noProof/>
        <w:sz w:val="22"/>
        <w:szCs w:val="22"/>
      </w:rPr>
    </w:sdtEndPr>
    <w:sdtContent>
      <w:p w14:paraId="1893D56E" w14:textId="71E7082A" w:rsidR="003329B4" w:rsidRPr="003329B4" w:rsidRDefault="00B30D38" w:rsidP="003329B4">
        <w:pPr>
          <w:pStyle w:val="Footer"/>
          <w:jc w:val="center"/>
          <w:rPr>
            <w:rFonts w:ascii="Times New Roman" w:hAnsi="Times New Roman" w:cs="Times New Roman"/>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2551"/>
      <w:docPartObj>
        <w:docPartGallery w:val="Page Numbers (Bottom of Page)"/>
        <w:docPartUnique/>
      </w:docPartObj>
    </w:sdtPr>
    <w:sdtEndPr>
      <w:rPr>
        <w:rFonts w:ascii="Times New Roman" w:hAnsi="Times New Roman" w:cs="Times New Roman"/>
        <w:noProof/>
        <w:sz w:val="22"/>
        <w:szCs w:val="22"/>
      </w:rPr>
    </w:sdtEndPr>
    <w:sdtContent>
      <w:p w14:paraId="58D4AC68" w14:textId="77777777" w:rsidR="003329B4" w:rsidRPr="003329B4" w:rsidRDefault="003329B4" w:rsidP="003329B4">
        <w:pPr>
          <w:pStyle w:val="Footer"/>
          <w:jc w:val="center"/>
          <w:rPr>
            <w:rFonts w:ascii="Times New Roman" w:hAnsi="Times New Roman" w:cs="Times New Roman"/>
            <w:sz w:val="22"/>
            <w:szCs w:val="22"/>
          </w:rPr>
        </w:pPr>
        <w:r w:rsidRPr="003329B4">
          <w:rPr>
            <w:rFonts w:ascii="Times New Roman" w:hAnsi="Times New Roman" w:cs="Times New Roman"/>
            <w:sz w:val="22"/>
            <w:szCs w:val="22"/>
          </w:rPr>
          <w:fldChar w:fldCharType="begin"/>
        </w:r>
        <w:r w:rsidRPr="003329B4">
          <w:rPr>
            <w:rFonts w:ascii="Times New Roman" w:hAnsi="Times New Roman" w:cs="Times New Roman"/>
            <w:sz w:val="22"/>
            <w:szCs w:val="22"/>
          </w:rPr>
          <w:instrText xml:space="preserve"> PAGE   \* MERGEFORMAT </w:instrText>
        </w:r>
        <w:r w:rsidRPr="003329B4">
          <w:rPr>
            <w:rFonts w:ascii="Times New Roman" w:hAnsi="Times New Roman" w:cs="Times New Roman"/>
            <w:sz w:val="22"/>
            <w:szCs w:val="22"/>
          </w:rPr>
          <w:fldChar w:fldCharType="separate"/>
        </w:r>
        <w:r w:rsidRPr="003329B4">
          <w:rPr>
            <w:rFonts w:ascii="Times New Roman" w:hAnsi="Times New Roman" w:cs="Times New Roman"/>
            <w:noProof/>
            <w:sz w:val="22"/>
            <w:szCs w:val="22"/>
          </w:rPr>
          <w:t>2</w:t>
        </w:r>
        <w:r w:rsidRPr="003329B4">
          <w:rPr>
            <w:rFonts w:ascii="Times New Roman" w:hAnsi="Times New Roman" w:cs="Times New Roman"/>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C5C8" w14:textId="77777777" w:rsidR="003329B4" w:rsidRDefault="003329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508103"/>
      <w:docPartObj>
        <w:docPartGallery w:val="Page Numbers (Bottom of Page)"/>
        <w:docPartUnique/>
      </w:docPartObj>
    </w:sdtPr>
    <w:sdtEndPr>
      <w:rPr>
        <w:rStyle w:val="PageNumber"/>
      </w:rPr>
    </w:sdtEndPr>
    <w:sdtContent>
      <w:p w14:paraId="25190975" w14:textId="77777777" w:rsidR="003329B4" w:rsidRDefault="003329B4" w:rsidP="009719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8C8A1F" w14:textId="77777777" w:rsidR="003329B4" w:rsidRDefault="003329B4">
    <w:pPr>
      <w:pStyle w:val="Footer"/>
    </w:pPr>
  </w:p>
  <w:p w14:paraId="0DE50227" w14:textId="77777777" w:rsidR="003329B4" w:rsidRDefault="003329B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69214820"/>
      <w:docPartObj>
        <w:docPartGallery w:val="Page Numbers (Bottom of Page)"/>
        <w:docPartUnique/>
      </w:docPartObj>
    </w:sdtPr>
    <w:sdtEndPr>
      <w:rPr>
        <w:rStyle w:val="PageNumber"/>
      </w:rPr>
    </w:sdtEndPr>
    <w:sdtContent>
      <w:p w14:paraId="5B32979C" w14:textId="77777777" w:rsidR="003329B4" w:rsidRPr="00A41291" w:rsidRDefault="003329B4" w:rsidP="00971968">
        <w:pPr>
          <w:pStyle w:val="Footer"/>
          <w:framePr w:wrap="none" w:vAnchor="text" w:hAnchor="margin" w:xAlign="center" w:y="1"/>
          <w:rPr>
            <w:rStyle w:val="PageNumber"/>
            <w:rFonts w:ascii="Times New Roman" w:hAnsi="Times New Roman" w:cs="Times New Roman"/>
          </w:rPr>
        </w:pPr>
        <w:r w:rsidRPr="00A41291">
          <w:rPr>
            <w:rStyle w:val="PageNumber"/>
            <w:rFonts w:ascii="Times New Roman" w:hAnsi="Times New Roman" w:cs="Times New Roman"/>
          </w:rPr>
          <w:fldChar w:fldCharType="begin"/>
        </w:r>
        <w:r w:rsidRPr="00A41291">
          <w:rPr>
            <w:rStyle w:val="PageNumber"/>
            <w:rFonts w:ascii="Times New Roman" w:hAnsi="Times New Roman" w:cs="Times New Roman"/>
          </w:rPr>
          <w:instrText xml:space="preserve"> PAGE </w:instrText>
        </w:r>
        <w:r w:rsidRPr="00A41291">
          <w:rPr>
            <w:rStyle w:val="PageNumber"/>
            <w:rFonts w:ascii="Times New Roman" w:hAnsi="Times New Roman" w:cs="Times New Roman"/>
          </w:rPr>
          <w:fldChar w:fldCharType="separate"/>
        </w:r>
        <w:r w:rsidRPr="00A41291">
          <w:rPr>
            <w:rStyle w:val="PageNumber"/>
            <w:rFonts w:ascii="Times New Roman" w:hAnsi="Times New Roman" w:cs="Times New Roman"/>
            <w:noProof/>
          </w:rPr>
          <w:t>1</w:t>
        </w:r>
        <w:r w:rsidRPr="00A41291">
          <w:rPr>
            <w:rStyle w:val="PageNumber"/>
            <w:rFonts w:ascii="Times New Roman" w:hAnsi="Times New Roman" w:cs="Times New Roman"/>
          </w:rPr>
          <w:fldChar w:fldCharType="end"/>
        </w:r>
      </w:p>
    </w:sdtContent>
  </w:sdt>
  <w:p w14:paraId="6B47CEEE" w14:textId="77777777" w:rsidR="003329B4" w:rsidRDefault="003329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1B412" w14:textId="77777777" w:rsidR="00F23F95" w:rsidRDefault="00F23F95">
      <w:r>
        <w:separator/>
      </w:r>
    </w:p>
  </w:footnote>
  <w:footnote w:type="continuationSeparator" w:id="0">
    <w:p w14:paraId="0FC0077B" w14:textId="77777777" w:rsidR="00F23F95" w:rsidRDefault="00F23F95">
      <w:r>
        <w:continuationSeparator/>
      </w:r>
    </w:p>
  </w:footnote>
  <w:footnote w:type="continuationNotice" w:id="1">
    <w:p w14:paraId="70EBA93A" w14:textId="77777777" w:rsidR="00F23F95" w:rsidRDefault="00F23F95"/>
  </w:footnote>
  <w:footnote w:id="2">
    <w:p w14:paraId="36AE9062" w14:textId="68272F13" w:rsidR="00C70E2B" w:rsidRPr="00C70E2B" w:rsidRDefault="00C70E2B" w:rsidP="00C70E2B">
      <w:pPr>
        <w:pStyle w:val="FootnoteText"/>
        <w:rPr>
          <w:rFonts w:ascii="Times New Roman" w:hAnsi="Times New Roman" w:cs="Times New Roman"/>
        </w:rPr>
      </w:pPr>
      <w:bookmarkStart w:id="0" w:name="_Hlk167922405"/>
      <w:r w:rsidRPr="00C70E2B">
        <w:rPr>
          <w:rStyle w:val="FootnoteReference"/>
          <w:rFonts w:ascii="Times New Roman" w:hAnsi="Times New Roman" w:cs="Times New Roman"/>
        </w:rPr>
        <w:footnoteRef/>
      </w:r>
      <w:r w:rsidR="00714E0B">
        <w:rPr>
          <w:rFonts w:ascii="Times New Roman" w:hAnsi="Times New Roman" w:cs="Times New Roman"/>
        </w:rPr>
        <w:t xml:space="preserve"> </w:t>
      </w:r>
      <w:r w:rsidRPr="003C511E">
        <w:rPr>
          <w:rFonts w:ascii="Times New Roman" w:hAnsi="Times New Roman" w:cs="Times New Roman"/>
        </w:rPr>
        <w:t>Some studies have indicated that the desire to work from home among employees has continued to be high even after all lockdown restrictions have been removed</w:t>
      </w:r>
      <w:r w:rsidR="00FB2514">
        <w:rPr>
          <w:rFonts w:ascii="Times New Roman" w:hAnsi="Times New Roman" w:cs="Times New Roman"/>
        </w:rPr>
        <w:t xml:space="preserve">. Indeed, </w:t>
      </w:r>
      <w:r w:rsidRPr="003C511E">
        <w:rPr>
          <w:rFonts w:ascii="Times New Roman" w:hAnsi="Times New Roman" w:cs="Times New Roman"/>
        </w:rPr>
        <w:t xml:space="preserve">many employees </w:t>
      </w:r>
      <w:r w:rsidR="00FB2514">
        <w:rPr>
          <w:rFonts w:ascii="Times New Roman" w:hAnsi="Times New Roman" w:cs="Times New Roman"/>
        </w:rPr>
        <w:t xml:space="preserve">appear to </w:t>
      </w:r>
      <w:r w:rsidRPr="003C511E">
        <w:rPr>
          <w:rFonts w:ascii="Times New Roman" w:hAnsi="Times New Roman" w:cs="Times New Roman"/>
        </w:rPr>
        <w:t>view work-from-home as a “way of life” in the post-pandemic era (see</w:t>
      </w:r>
      <w:r w:rsidR="00FB2514">
        <w:rPr>
          <w:rFonts w:ascii="Times New Roman" w:hAnsi="Times New Roman" w:cs="Times New Roman"/>
        </w:rPr>
        <w:t xml:space="preserve"> </w:t>
      </w:r>
      <w:r w:rsidRPr="003C511E">
        <w:rPr>
          <w:rFonts w:ascii="Times New Roman" w:hAnsi="Times New Roman" w:cs="Times New Roman"/>
        </w:rPr>
        <w:t xml:space="preserve">Hensher et al., 2023 and Beck et al., 2024). Along the same lines, </w:t>
      </w:r>
      <w:r w:rsidRPr="00A24A56">
        <w:rPr>
          <w:rFonts w:ascii="Times New Roman" w:hAnsi="Times New Roman" w:cs="Times New Roman"/>
        </w:rPr>
        <w:t>there has been a significant increase in</w:t>
      </w:r>
      <w:r w:rsidRPr="00F31CE0">
        <w:rPr>
          <w:rFonts w:ascii="Times New Roman" w:hAnsi="Times New Roman" w:cs="Times New Roman"/>
        </w:rPr>
        <w:t xml:space="preserve"> </w:t>
      </w:r>
      <w:r w:rsidR="0097793B">
        <w:rPr>
          <w:rFonts w:ascii="Times New Roman" w:hAnsi="Times New Roman" w:cs="Times New Roman"/>
        </w:rPr>
        <w:t xml:space="preserve">studies in the </w:t>
      </w:r>
      <w:r w:rsidRPr="00A24A56">
        <w:rPr>
          <w:rFonts w:ascii="Times New Roman" w:hAnsi="Times New Roman" w:cs="Times New Roman"/>
        </w:rPr>
        <w:t>public health</w:t>
      </w:r>
      <w:r w:rsidR="0097793B">
        <w:rPr>
          <w:rFonts w:ascii="Times New Roman" w:hAnsi="Times New Roman" w:cs="Times New Roman"/>
        </w:rPr>
        <w:t>/</w:t>
      </w:r>
      <w:r w:rsidRPr="00A24A56">
        <w:rPr>
          <w:rFonts w:ascii="Times New Roman" w:hAnsi="Times New Roman" w:cs="Times New Roman"/>
        </w:rPr>
        <w:t xml:space="preserve">sustainability </w:t>
      </w:r>
      <w:r w:rsidRPr="00F31CE0">
        <w:rPr>
          <w:rFonts w:ascii="Times New Roman" w:hAnsi="Times New Roman" w:cs="Times New Roman"/>
        </w:rPr>
        <w:t>literature</w:t>
      </w:r>
      <w:r w:rsidR="0097793B">
        <w:rPr>
          <w:rFonts w:ascii="Times New Roman" w:hAnsi="Times New Roman" w:cs="Times New Roman"/>
        </w:rPr>
        <w:t>s</w:t>
      </w:r>
      <w:r w:rsidRPr="00A24A56">
        <w:rPr>
          <w:rFonts w:ascii="Times New Roman" w:hAnsi="Times New Roman" w:cs="Times New Roman"/>
        </w:rPr>
        <w:t xml:space="preserve"> </w:t>
      </w:r>
      <w:r w:rsidR="0097793B">
        <w:rPr>
          <w:rFonts w:ascii="Times New Roman" w:hAnsi="Times New Roman" w:cs="Times New Roman"/>
        </w:rPr>
        <w:t xml:space="preserve">too </w:t>
      </w:r>
      <w:r w:rsidRPr="00A24A56">
        <w:rPr>
          <w:rFonts w:ascii="Times New Roman" w:hAnsi="Times New Roman" w:cs="Times New Roman"/>
        </w:rPr>
        <w:t>examin</w:t>
      </w:r>
      <w:r w:rsidR="0097793B">
        <w:rPr>
          <w:rFonts w:ascii="Times New Roman" w:hAnsi="Times New Roman" w:cs="Times New Roman"/>
        </w:rPr>
        <w:t>ing</w:t>
      </w:r>
      <w:r w:rsidRPr="00A24A56">
        <w:rPr>
          <w:rFonts w:ascii="Times New Roman" w:hAnsi="Times New Roman" w:cs="Times New Roman"/>
        </w:rPr>
        <w:t xml:space="preserve"> existing </w:t>
      </w:r>
      <w:r w:rsidR="0097793B">
        <w:rPr>
          <w:rFonts w:ascii="Times New Roman" w:hAnsi="Times New Roman" w:cs="Times New Roman"/>
        </w:rPr>
        <w:t xml:space="preserve">or preferred </w:t>
      </w:r>
      <w:r w:rsidRPr="00A24A56">
        <w:rPr>
          <w:rFonts w:ascii="Times New Roman" w:hAnsi="Times New Roman" w:cs="Times New Roman"/>
        </w:rPr>
        <w:t xml:space="preserve">telework arrangements (see, for </w:t>
      </w:r>
      <w:r w:rsidRPr="00F31CE0">
        <w:rPr>
          <w:rFonts w:ascii="Times New Roman" w:hAnsi="Times New Roman" w:cs="Times New Roman"/>
        </w:rPr>
        <w:t xml:space="preserve">example, Sweet and Scott, 2022; Heiden et al., 2023; </w:t>
      </w:r>
      <w:r w:rsidRPr="003469B6">
        <w:rPr>
          <w:rFonts w:ascii="Times New Roman" w:hAnsi="Times New Roman" w:cs="Times New Roman"/>
        </w:rPr>
        <w:t>Tokey and Alam, 2023). However, few studies have</w:t>
      </w:r>
      <w:r w:rsidR="0097793B">
        <w:rPr>
          <w:rFonts w:ascii="Times New Roman" w:hAnsi="Times New Roman" w:cs="Times New Roman"/>
        </w:rPr>
        <w:t xml:space="preserve"> explicitly</w:t>
      </w:r>
      <w:r w:rsidRPr="00A24A56">
        <w:rPr>
          <w:rFonts w:ascii="Times New Roman" w:hAnsi="Times New Roman" w:cs="Times New Roman"/>
        </w:rPr>
        <w:t xml:space="preserve"> investigated </w:t>
      </w:r>
      <w:r w:rsidRPr="00F31CE0">
        <w:rPr>
          <w:rFonts w:ascii="Times New Roman" w:hAnsi="Times New Roman" w:cs="Times New Roman"/>
        </w:rPr>
        <w:t>the disconnect</w:t>
      </w:r>
      <w:r w:rsidRPr="003469B6">
        <w:rPr>
          <w:rFonts w:ascii="Times New Roman" w:hAnsi="Times New Roman" w:cs="Times New Roman"/>
        </w:rPr>
        <w:t xml:space="preserve"> between current and desired rates of telework through a joint modeling approach.</w:t>
      </w:r>
    </w:p>
    <w:bookmarkEnd w:id="0"/>
  </w:footnote>
  <w:footnote w:id="3">
    <w:p w14:paraId="2F1BFCAC" w14:textId="557E8051" w:rsidR="00DF7087" w:rsidRDefault="00DF7087">
      <w:pPr>
        <w:pStyle w:val="FootnoteText"/>
      </w:pPr>
      <w:r w:rsidRPr="005F6BF6">
        <w:rPr>
          <w:rStyle w:val="FootnoteReference"/>
          <w:rFonts w:ascii="Times New Roman" w:hAnsi="Times New Roman" w:cs="Times New Roman"/>
        </w:rPr>
        <w:footnoteRef/>
      </w:r>
      <w:r w:rsidR="00714E0B">
        <w:rPr>
          <w:rFonts w:ascii="Times New Roman" w:hAnsi="Times New Roman" w:cs="Times New Roman"/>
        </w:rPr>
        <w:t xml:space="preserve"> </w:t>
      </w:r>
      <w:r w:rsidRPr="00A544E0">
        <w:rPr>
          <w:rFonts w:ascii="Times New Roman" w:hAnsi="Times New Roman" w:cs="Times New Roman"/>
        </w:rPr>
        <w:t xml:space="preserve">This figure </w:t>
      </w:r>
      <w:r w:rsidR="00E351A4">
        <w:rPr>
          <w:rFonts w:ascii="Times New Roman" w:hAnsi="Times New Roman" w:cs="Times New Roman"/>
        </w:rPr>
        <w:t xml:space="preserve">is </w:t>
      </w:r>
      <w:r w:rsidRPr="00A544E0">
        <w:rPr>
          <w:rFonts w:ascii="Times New Roman" w:hAnsi="Times New Roman" w:cs="Times New Roman"/>
        </w:rPr>
        <w:t xml:space="preserve">included here as an illustrative example of </w:t>
      </w:r>
      <w:r w:rsidR="00E351A4">
        <w:rPr>
          <w:rFonts w:ascii="Times New Roman" w:hAnsi="Times New Roman" w:cs="Times New Roman"/>
        </w:rPr>
        <w:t xml:space="preserve">ETF-ITF induced dissonance </w:t>
      </w:r>
      <w:r w:rsidRPr="00A544E0">
        <w:rPr>
          <w:rFonts w:ascii="Times New Roman" w:hAnsi="Times New Roman" w:cs="Times New Roman"/>
        </w:rPr>
        <w:t>and</w:t>
      </w:r>
      <w:r w:rsidR="00E351A4">
        <w:rPr>
          <w:rFonts w:ascii="Times New Roman" w:hAnsi="Times New Roman" w:cs="Times New Roman"/>
        </w:rPr>
        <w:t xml:space="preserve"> </w:t>
      </w:r>
      <w:r w:rsidRPr="00A544E0">
        <w:rPr>
          <w:rFonts w:ascii="Times New Roman" w:hAnsi="Times New Roman" w:cs="Times New Roman"/>
        </w:rPr>
        <w:t>how an employee</w:t>
      </w:r>
      <w:r w:rsidR="00E351A4">
        <w:rPr>
          <w:rFonts w:ascii="Times New Roman" w:hAnsi="Times New Roman" w:cs="Times New Roman"/>
        </w:rPr>
        <w:t>, in an extreme case,</w:t>
      </w:r>
      <w:r w:rsidRPr="00A544E0">
        <w:rPr>
          <w:rFonts w:ascii="Times New Roman" w:hAnsi="Times New Roman" w:cs="Times New Roman"/>
        </w:rPr>
        <w:t xml:space="preserve"> might </w:t>
      </w:r>
      <w:r w:rsidR="00E351A4">
        <w:rPr>
          <w:rFonts w:ascii="Times New Roman" w:hAnsi="Times New Roman" w:cs="Times New Roman"/>
        </w:rPr>
        <w:t>take action</w:t>
      </w:r>
      <w:r w:rsidRPr="00A544E0">
        <w:rPr>
          <w:rFonts w:ascii="Times New Roman" w:hAnsi="Times New Roman" w:cs="Times New Roman"/>
        </w:rPr>
        <w:t xml:space="preserve"> to reduce the dissonance.</w:t>
      </w:r>
    </w:p>
  </w:footnote>
  <w:footnote w:id="4">
    <w:p w14:paraId="2CEBA8A9" w14:textId="66012893" w:rsidR="003329B4" w:rsidRPr="00E16E5A" w:rsidRDefault="003329B4" w:rsidP="006E0F2C">
      <w:pPr>
        <w:pStyle w:val="FootnoteText"/>
        <w:spacing w:after="40"/>
        <w:rPr>
          <w:rFonts w:ascii="Times New Roman" w:hAnsi="Times New Roman" w:cs="Times New Roman"/>
        </w:rPr>
      </w:pPr>
      <w:r w:rsidRPr="00E16E5A">
        <w:rPr>
          <w:rStyle w:val="FootnoteReference"/>
          <w:rFonts w:ascii="Times New Roman" w:hAnsi="Times New Roman" w:cs="Times New Roman"/>
        </w:rPr>
        <w:footnoteRef/>
      </w:r>
      <w:r w:rsidR="00714E0B">
        <w:rPr>
          <w:rFonts w:ascii="Times New Roman" w:hAnsi="Times New Roman" w:cs="Times New Roman"/>
        </w:rPr>
        <w:t xml:space="preserve"> </w:t>
      </w:r>
      <w:r w:rsidRPr="00E16E5A">
        <w:rPr>
          <w:rFonts w:ascii="Times New Roman" w:hAnsi="Times New Roman" w:cs="Times New Roman"/>
        </w:rPr>
        <w:t xml:space="preserve">We use the expected telework frequency “once society reaches a post-COVID new normal” as the measure of the actual </w:t>
      </w:r>
      <w:r w:rsidRPr="003329B4">
        <w:rPr>
          <w:rFonts w:ascii="Times New Roman" w:hAnsi="Times New Roman" w:cs="Times New Roman"/>
        </w:rPr>
        <w:t>telework behavior of an employee down the road (assuming the employee sticks with the employer). While the worst of the pandemic was in the rear view mirror by fall 2021, many employers still had not had the time to gear up to provide/develop a clear framework for employee telework policies. Besides, the Omicron variant was still lingering around the time, and led to another round of safety measures in late fall 2021. Thus, many employees were aware that their existing telework behavior in fall 2021 was not what should be expected down the road, as also clearly indicated by Mohammadi et al. (2022)</w:t>
      </w:r>
      <w:r w:rsidRPr="003329B4" w:rsidDel="001C2253">
        <w:rPr>
          <w:rFonts w:ascii="Times New Roman" w:hAnsi="Times New Roman" w:cs="Times New Roman"/>
        </w:rPr>
        <w:t xml:space="preserve"> </w:t>
      </w:r>
      <w:r w:rsidRPr="003329B4">
        <w:rPr>
          <w:rFonts w:ascii="Times New Roman" w:hAnsi="Times New Roman" w:cs="Times New Roman"/>
        </w:rPr>
        <w:t>and Appel-</w:t>
      </w:r>
      <w:r w:rsidRPr="003329B4">
        <w:rPr>
          <w:rFonts w:ascii="Times New Roman" w:hAnsi="Times New Roman" w:cs="Times New Roman"/>
        </w:rPr>
        <w:t>Meulenbroek et al. (2022). Further, in the context of the focus of this paper on telework frequency dissonance, the gulf between the expected telework frequency down</w:t>
      </w:r>
      <w:r w:rsidRPr="007A0521">
        <w:rPr>
          <w:rFonts w:ascii="Times New Roman" w:hAnsi="Times New Roman" w:cs="Times New Roman"/>
        </w:rPr>
        <w:t xml:space="preserve"> the road and the ideal telework frequency down the road is what should matter in the minds of employees. However, for ease of interpretation and understanding, and also to avoid any confusion with the alternative statistical interpretation of the label “expected telework frequency”, in this paper</w:t>
      </w:r>
      <w:r w:rsidRPr="00E16E5A">
        <w:rPr>
          <w:rFonts w:ascii="Times New Roman" w:hAnsi="Times New Roman" w:cs="Times New Roman"/>
        </w:rPr>
        <w:t>, we use the terminology “existing telework frequency” (ETF) to refer to the expected (in the future) telework frequency. This important point should be kept in mind in all future invocations of the label “existing” telework frequency in the current paper. Also, in the context of ETF, for ease in presentation and conciseness, we will use crisp sentences such as “About 28% of individuals never telework” as though it were a statistic referring to existing teleworking arrangements, rather than the technically correct “About 28% of individuals expect never to be teleworking once society reaches a post-COVID new normal”</w:t>
      </w:r>
      <w:r>
        <w:rPr>
          <w:rFonts w:ascii="Times New Roman" w:hAnsi="Times New Roman" w:cs="Times New Roman"/>
        </w:rPr>
        <w:t>.</w:t>
      </w:r>
    </w:p>
  </w:footnote>
  <w:footnote w:id="5">
    <w:p w14:paraId="1F6A81E8" w14:textId="6F2B2A42" w:rsidR="003329B4" w:rsidRPr="00E16E5A" w:rsidRDefault="003329B4">
      <w:pPr>
        <w:pStyle w:val="FootnoteText"/>
        <w:rPr>
          <w:rFonts w:ascii="Times New Roman" w:hAnsi="Times New Roman" w:cs="Times New Roman"/>
        </w:rPr>
      </w:pPr>
      <w:r w:rsidRPr="00E16E5A">
        <w:rPr>
          <w:rStyle w:val="FootnoteReference"/>
          <w:rFonts w:ascii="Times New Roman" w:hAnsi="Times New Roman" w:cs="Times New Roman"/>
        </w:rPr>
        <w:footnoteRef/>
      </w:r>
      <w:r w:rsidR="00714E0B">
        <w:rPr>
          <w:rFonts w:ascii="Times New Roman" w:hAnsi="Times New Roman" w:cs="Times New Roman"/>
        </w:rPr>
        <w:t xml:space="preserve"> S</w:t>
      </w:r>
      <w:r w:rsidRPr="00E16E5A">
        <w:rPr>
          <w:rFonts w:ascii="Times New Roman" w:hAnsi="Times New Roman" w:cs="Times New Roman"/>
        </w:rPr>
        <w:t xml:space="preserve">ee </w:t>
      </w:r>
      <w:hyperlink r:id="rId1" w:history="1">
        <w:r w:rsidRPr="00E16E5A">
          <w:rPr>
            <w:rStyle w:val="Hyperlink"/>
            <w:rFonts w:ascii="Times New Roman" w:hAnsi="Times New Roman" w:cs="Times New Roman"/>
          </w:rPr>
          <w:t>https://www.statista.com/bstatistics/183648/average-size-of-households-in-the-us/</w:t>
        </w:r>
      </w:hyperlink>
      <w:r w:rsidRPr="00E16E5A">
        <w:rPr>
          <w:rFonts w:ascii="Times New Roman" w:hAnsi="Times New Roman" w:cs="Times New Roman"/>
        </w:rPr>
        <w:t>, accessed May 19, 2023</w:t>
      </w:r>
      <w:r>
        <w:rPr>
          <w:rFonts w:ascii="Times New Roman" w:hAnsi="Times New Roman" w:cs="Times New Roman"/>
        </w:rPr>
        <w:t>.</w:t>
      </w:r>
    </w:p>
  </w:footnote>
  <w:footnote w:id="6">
    <w:p w14:paraId="3DB3A2B2" w14:textId="0E05782C" w:rsidR="003329B4" w:rsidRPr="007A0521" w:rsidRDefault="003329B4">
      <w:pPr>
        <w:pStyle w:val="FootnoteText"/>
        <w:rPr>
          <w:rFonts w:ascii="Times New Roman" w:hAnsi="Times New Roman" w:cs="Times New Roman"/>
        </w:rPr>
      </w:pPr>
      <w:r w:rsidRPr="007A0521">
        <w:rPr>
          <w:rStyle w:val="FootnoteReference"/>
          <w:rFonts w:ascii="Times New Roman" w:hAnsi="Times New Roman" w:cs="Times New Roman"/>
        </w:rPr>
        <w:footnoteRef/>
      </w:r>
      <w:r w:rsidRPr="007A0521">
        <w:rPr>
          <w:rFonts w:ascii="Times New Roman" w:hAnsi="Times New Roman" w:cs="Times New Roman"/>
        </w:rPr>
        <w:t xml:space="preserve"> </w:t>
      </w:r>
      <w:r>
        <w:rPr>
          <w:rFonts w:ascii="Times New Roman" w:hAnsi="Times New Roman" w:cs="Times New Roman"/>
        </w:rPr>
        <w:t xml:space="preserve">The U.S. Census Bureau groups all 50 states into four distinct regions (Midwest, Northeast, South, and West) based on their geographic </w:t>
      </w:r>
      <w:r w:rsidRPr="003329B4">
        <w:rPr>
          <w:rFonts w:ascii="Times New Roman" w:hAnsi="Times New Roman" w:cs="Times New Roman"/>
        </w:rPr>
        <w:t>proximity (see U.S. Census Bureau, 2021).</w:t>
      </w:r>
    </w:p>
  </w:footnote>
  <w:footnote w:id="7">
    <w:p w14:paraId="382B48A8" w14:textId="388F810A" w:rsidR="003329B4" w:rsidRPr="0028201D" w:rsidRDefault="003329B4" w:rsidP="001F3548">
      <w:pPr>
        <w:pStyle w:val="FootnoteText"/>
        <w:rPr>
          <w:lang w:val="en-IN"/>
        </w:rPr>
      </w:pPr>
      <w:r w:rsidRPr="005F6BF6">
        <w:rPr>
          <w:rStyle w:val="FootnoteReference"/>
          <w:rFonts w:ascii="Times New Roman" w:hAnsi="Times New Roman" w:cs="Times New Roman"/>
        </w:rPr>
        <w:footnoteRef/>
      </w:r>
      <w:r w:rsidRPr="005F6BF6">
        <w:rPr>
          <w:rFonts w:ascii="Times New Roman" w:hAnsi="Times New Roman" w:cs="Times New Roman"/>
        </w:rPr>
        <w:t xml:space="preserve"> </w:t>
      </w:r>
      <w:r w:rsidRPr="0028201D">
        <w:rPr>
          <w:rFonts w:ascii="Times New Roman" w:hAnsi="Times New Roman" w:cs="Times New Roman"/>
        </w:rPr>
        <w:t>Despite the</w:t>
      </w:r>
      <w:r>
        <w:rPr>
          <w:rFonts w:ascii="Times New Roman" w:hAnsi="Times New Roman" w:cs="Times New Roman"/>
        </w:rPr>
        <w:t xml:space="preserve"> above-adopted</w:t>
      </w:r>
      <w:r w:rsidRPr="0028201D">
        <w:rPr>
          <w:rFonts w:ascii="Times New Roman" w:hAnsi="Times New Roman" w:cs="Times New Roman"/>
        </w:rPr>
        <w:t xml:space="preserve"> additive specification, there could be situations when adjusted thresholds can overlap </w:t>
      </w:r>
      <w:r w:rsidRPr="007A0521">
        <w:rPr>
          <w:rFonts w:ascii="Times New Roman" w:hAnsi="Times New Roman" w:cs="Times New Roman"/>
        </w:rPr>
        <w:t xml:space="preserve">with the unadjusted thresholds, particularly when the shifts are highly negative. In such situations, it is advisable to adopt a second level exponential parameterization of these shifts (see for </w:t>
      </w:r>
      <w:r w:rsidRPr="00FA4EBF">
        <w:rPr>
          <w:rFonts w:ascii="Times New Roman" w:hAnsi="Times New Roman" w:cs="Times New Roman"/>
        </w:rPr>
        <w:t xml:space="preserve">example, Eluru et al., 2008, </w:t>
      </w:r>
      <w:r w:rsidRPr="00FA4EBF">
        <w:rPr>
          <w:rFonts w:ascii="Times New Roman" w:hAnsi="Times New Roman" w:cs="Times New Roman"/>
        </w:rPr>
        <w:t xml:space="preserve">Balusu et al., 2018) to avoid violation of the non-decreasing property of the thresholds. However, in our empirical case, since the </w:t>
      </w:r>
      <w:r w:rsidR="002054D7">
        <w:rPr>
          <w:rFonts w:ascii="Times New Roman" w:hAnsi="Times New Roman" w:cs="Times New Roman"/>
        </w:rPr>
        <w:t xml:space="preserve">same-threshold </w:t>
      </w:r>
      <w:r w:rsidRPr="00FA4EBF">
        <w:rPr>
          <w:rFonts w:ascii="Times New Roman" w:hAnsi="Times New Roman" w:cs="Times New Roman"/>
        </w:rPr>
        <w:t>shifts were mostly positive</w:t>
      </w:r>
      <w:r w:rsidR="002054D7">
        <w:rPr>
          <w:rFonts w:ascii="Times New Roman" w:hAnsi="Times New Roman" w:cs="Times New Roman"/>
        </w:rPr>
        <w:t xml:space="preserve"> (basically capturing strong consonance behaviors)</w:t>
      </w:r>
      <w:r w:rsidRPr="00FA4EBF">
        <w:rPr>
          <w:rFonts w:ascii="Times New Roman" w:hAnsi="Times New Roman" w:cs="Times New Roman"/>
        </w:rPr>
        <w:t xml:space="preserve">, </w:t>
      </w:r>
      <w:r w:rsidR="002054D7">
        <w:rPr>
          <w:rFonts w:ascii="Times New Roman" w:hAnsi="Times New Roman" w:cs="Times New Roman"/>
        </w:rPr>
        <w:t xml:space="preserve">and we had only two cross-threshold shift effects (basically capturing strong dissonance behaviors), </w:t>
      </w:r>
      <w:r w:rsidRPr="00FA4EBF">
        <w:rPr>
          <w:rFonts w:ascii="Times New Roman" w:hAnsi="Times New Roman" w:cs="Times New Roman"/>
        </w:rPr>
        <w:t>we did</w:t>
      </w:r>
      <w:r w:rsidRPr="007A0521">
        <w:rPr>
          <w:rFonts w:ascii="Times New Roman" w:hAnsi="Times New Roman" w:cs="Times New Roman"/>
        </w:rPr>
        <w:t xml:space="preserve"> not require any additional parameterization.</w:t>
      </w:r>
      <w:r w:rsidRPr="0028201D">
        <w:rPr>
          <w:rFonts w:ascii="Times New Roman" w:hAnsi="Times New Roman" w:cs="Times New Roman"/>
        </w:rPr>
        <w:t xml:space="preserve"> </w:t>
      </w:r>
    </w:p>
  </w:footnote>
  <w:footnote w:id="8">
    <w:p w14:paraId="68C789ED" w14:textId="1646F9E7" w:rsidR="009A4BF8" w:rsidRPr="003C511E" w:rsidRDefault="009A4BF8" w:rsidP="003C511E">
      <w:pPr>
        <w:shd w:val="clear" w:color="auto" w:fill="FFFFFF"/>
        <w:jc w:val="both"/>
      </w:pPr>
      <w:bookmarkStart w:id="15" w:name="_Hlk167956387"/>
      <w:bookmarkStart w:id="16" w:name="_Hlk167958407"/>
      <w:r w:rsidRPr="003C511E">
        <w:rPr>
          <w:rStyle w:val="FootnoteReference"/>
          <w:sz w:val="20"/>
          <w:szCs w:val="20"/>
        </w:rPr>
        <w:footnoteRef/>
      </w:r>
      <w:bookmarkStart w:id="17" w:name="_Hlk167957227"/>
      <w:r w:rsidR="00446AF6">
        <w:rPr>
          <w:sz w:val="20"/>
          <w:szCs w:val="20"/>
        </w:rPr>
        <w:t xml:space="preserve"> </w:t>
      </w:r>
      <w:r w:rsidRPr="003C511E">
        <w:rPr>
          <w:sz w:val="20"/>
          <w:szCs w:val="20"/>
        </w:rPr>
        <w:t xml:space="preserve">The significance level selection process is closely tied to Type II error considerations, balancing the risk of Type I and Type II errors. In </w:t>
      </w:r>
      <w:r w:rsidR="00B04EF5" w:rsidRPr="003C511E">
        <w:rPr>
          <w:sz w:val="20"/>
          <w:szCs w:val="20"/>
        </w:rPr>
        <w:t xml:space="preserve">our analysis, </w:t>
      </w:r>
      <w:r w:rsidRPr="003C511E">
        <w:rPr>
          <w:sz w:val="20"/>
          <w:szCs w:val="20"/>
        </w:rPr>
        <w:t xml:space="preserve">accepting a slightly higher Type I error can help identify informative variables for future investigations with </w:t>
      </w:r>
      <w:r w:rsidR="00B04EF5" w:rsidRPr="003C511E">
        <w:rPr>
          <w:sz w:val="20"/>
          <w:szCs w:val="20"/>
        </w:rPr>
        <w:t xml:space="preserve">a </w:t>
      </w:r>
      <w:r w:rsidRPr="003C511E">
        <w:rPr>
          <w:sz w:val="20"/>
          <w:szCs w:val="20"/>
        </w:rPr>
        <w:t>larger sample size</w:t>
      </w:r>
      <w:r w:rsidR="00B04EF5" w:rsidRPr="003C511E">
        <w:rPr>
          <w:sz w:val="20"/>
          <w:szCs w:val="20"/>
        </w:rPr>
        <w:t xml:space="preserve"> as a whole as well as larger samples </w:t>
      </w:r>
      <w:r w:rsidR="00B04EF5" w:rsidRPr="009731D0">
        <w:rPr>
          <w:sz w:val="20"/>
          <w:szCs w:val="20"/>
        </w:rPr>
        <w:t>within each cell of the “</w:t>
      </w:r>
      <w:r w:rsidR="009731D0" w:rsidRPr="009731D0">
        <w:rPr>
          <w:sz w:val="20"/>
          <w:szCs w:val="20"/>
        </w:rPr>
        <w:t xml:space="preserve">ETF </w:t>
      </w:r>
      <w:r w:rsidR="00B04EF5" w:rsidRPr="009731D0">
        <w:rPr>
          <w:sz w:val="20"/>
          <w:szCs w:val="20"/>
        </w:rPr>
        <w:t>versus</w:t>
      </w:r>
      <w:r w:rsidR="009731D0" w:rsidRPr="009731D0">
        <w:rPr>
          <w:sz w:val="20"/>
          <w:szCs w:val="20"/>
        </w:rPr>
        <w:t xml:space="preserve"> ITF</w:t>
      </w:r>
      <w:r w:rsidR="00B04EF5" w:rsidRPr="009731D0">
        <w:rPr>
          <w:sz w:val="20"/>
          <w:szCs w:val="20"/>
        </w:rPr>
        <w:t>” matrix in Table 2</w:t>
      </w:r>
      <w:r w:rsidR="006037AA" w:rsidRPr="003C511E">
        <w:rPr>
          <w:sz w:val="20"/>
          <w:szCs w:val="20"/>
        </w:rPr>
        <w:t xml:space="preserve"> (the point is that our sample has admittedly relatively low power, but we also believe that it still provides insights on a subject matter that is timely and critical as we come out of the pandemic). </w:t>
      </w:r>
      <w:bookmarkEnd w:id="17"/>
      <w:r w:rsidR="00F71D44" w:rsidRPr="003C511E">
        <w:rPr>
          <w:sz w:val="20"/>
          <w:szCs w:val="20"/>
        </w:rPr>
        <w:t xml:space="preserve">Overall, </w:t>
      </w:r>
      <w:r w:rsidR="00F71D44" w:rsidRPr="003C511E">
        <w:rPr>
          <w:color w:val="212121"/>
          <w:sz w:val="20"/>
          <w:szCs w:val="20"/>
          <w:shd w:val="clear" w:color="auto" w:fill="FFFFFF"/>
        </w:rPr>
        <w:t>we decided to err more on the side of being inclusive in the variable set (that is, making larger Type I errors and reducing Type II errors).</w:t>
      </w:r>
      <w:bookmarkEnd w:id="15"/>
      <w:r w:rsidR="00D03849">
        <w:rPr>
          <w:color w:val="212121"/>
          <w:sz w:val="20"/>
          <w:szCs w:val="20"/>
          <w:shd w:val="clear" w:color="auto" w:fill="FFFFFF"/>
        </w:rPr>
        <w:t xml:space="preserve"> </w:t>
      </w:r>
      <w:r w:rsidRPr="003C511E">
        <w:rPr>
          <w:sz w:val="20"/>
          <w:szCs w:val="20"/>
        </w:rPr>
        <w:t>Additionally, we conducted model estimations, excluding variables with coefficients falling below a 90% confidence level (t-statistic of 1.645) and a 95% confidence level (t-statistic of 1.96), as recommended by Lu and White (2014), Srivastava et al. (2018), and Brennan et al. (2021) for robustness testing purposes.</w:t>
      </w:r>
      <w:r w:rsidR="00F71D44" w:rsidRPr="003C511E">
        <w:rPr>
          <w:sz w:val="20"/>
          <w:szCs w:val="20"/>
        </w:rPr>
        <w:t xml:space="preserve"> However, doing so had little impact on the specification or on the estimates o</w:t>
      </w:r>
      <w:r w:rsidR="00A05A64">
        <w:rPr>
          <w:sz w:val="20"/>
          <w:szCs w:val="20"/>
        </w:rPr>
        <w:t>f</w:t>
      </w:r>
      <w:r w:rsidR="00F71D44" w:rsidRPr="003C511E">
        <w:rPr>
          <w:sz w:val="20"/>
          <w:szCs w:val="20"/>
        </w:rPr>
        <w:t xml:space="preserve"> other variables reported in Table 2. Further, across a range of different specifications tested, the variables with low t-statistics showed little change in their estimated effect sizes, providing further </w:t>
      </w:r>
      <w:r w:rsidR="009935AF" w:rsidRPr="003C511E">
        <w:rPr>
          <w:sz w:val="20"/>
          <w:szCs w:val="20"/>
        </w:rPr>
        <w:t xml:space="preserve">support for their inclusion. With all that said, </w:t>
      </w:r>
      <w:r w:rsidRPr="003C511E">
        <w:rPr>
          <w:sz w:val="20"/>
          <w:szCs w:val="20"/>
        </w:rPr>
        <w:t xml:space="preserve">caution </w:t>
      </w:r>
      <w:r w:rsidR="009935AF">
        <w:rPr>
          <w:sz w:val="20"/>
          <w:szCs w:val="20"/>
        </w:rPr>
        <w:t xml:space="preserve">still </w:t>
      </w:r>
      <w:r w:rsidRPr="003C511E">
        <w:rPr>
          <w:sz w:val="20"/>
          <w:szCs w:val="20"/>
        </w:rPr>
        <w:t xml:space="preserve">is warranted </w:t>
      </w:r>
      <w:r w:rsidR="009935AF">
        <w:rPr>
          <w:sz w:val="20"/>
          <w:szCs w:val="20"/>
        </w:rPr>
        <w:t xml:space="preserve">when interpreting coefficients </w:t>
      </w:r>
      <w:r w:rsidRPr="003C511E">
        <w:rPr>
          <w:sz w:val="20"/>
          <w:szCs w:val="20"/>
        </w:rPr>
        <w:t xml:space="preserve">with notably low t-statistics, as they may indicate variables of </w:t>
      </w:r>
      <w:r w:rsidR="00A05A64">
        <w:rPr>
          <w:sz w:val="20"/>
          <w:szCs w:val="20"/>
        </w:rPr>
        <w:t xml:space="preserve">more uncertain </w:t>
      </w:r>
      <w:r w:rsidR="009935AF" w:rsidRPr="003C511E">
        <w:rPr>
          <w:sz w:val="20"/>
          <w:szCs w:val="20"/>
        </w:rPr>
        <w:t xml:space="preserve">“true” </w:t>
      </w:r>
      <w:r w:rsidRPr="003C511E">
        <w:rPr>
          <w:sz w:val="20"/>
          <w:szCs w:val="20"/>
        </w:rPr>
        <w:t>consequence in the population.</w:t>
      </w:r>
    </w:p>
    <w:bookmarkEnd w:id="16"/>
  </w:footnote>
  <w:footnote w:id="9">
    <w:p w14:paraId="588E87F9" w14:textId="3CB038EA" w:rsidR="009A0343" w:rsidRPr="006023ED" w:rsidRDefault="009A0343" w:rsidP="006C4CCD">
      <w:pPr>
        <w:pStyle w:val="FootnoteText"/>
        <w:spacing w:after="40"/>
        <w:rPr>
          <w:rFonts w:ascii="Times New Roman" w:hAnsi="Times New Roman" w:cs="Times New Roman"/>
        </w:rPr>
      </w:pPr>
      <w:r w:rsidRPr="006023ED">
        <w:rPr>
          <w:rStyle w:val="FootnoteReference"/>
          <w:rFonts w:ascii="Times New Roman" w:hAnsi="Times New Roman" w:cs="Times New Roman"/>
        </w:rPr>
        <w:footnoteRef/>
      </w:r>
      <w:r w:rsidR="002966B2">
        <w:rPr>
          <w:rFonts w:ascii="Times New Roman" w:hAnsi="Times New Roman" w:cs="Times New Roman"/>
        </w:rPr>
        <w:t xml:space="preserve"> </w:t>
      </w:r>
      <w:r w:rsidRPr="006023ED">
        <w:rPr>
          <w:rFonts w:ascii="Times New Roman" w:hAnsi="Times New Roman" w:cs="Times New Roman"/>
        </w:rPr>
        <w:t>In contrast, e</w:t>
      </w:r>
      <w:r w:rsidRPr="006023ED">
        <w:rPr>
          <w:rFonts w:ascii="Times New Roman" w:hAnsi="Times New Roman" w:cs="Times New Roman"/>
          <w:color w:val="000000" w:themeColor="text1"/>
        </w:rPr>
        <w:t>arlier telework studies have indicated that individuals with young children in the household are more likely to be teleworking and/or at least have an elevated desire to do so (to better balance work and life outside of work and save commuting</w:t>
      </w:r>
      <w:r>
        <w:rPr>
          <w:rFonts w:ascii="Times New Roman" w:hAnsi="Times New Roman" w:cs="Times New Roman"/>
          <w:color w:val="000000" w:themeColor="text1"/>
        </w:rPr>
        <w:t xml:space="preserve"> time</w:t>
      </w:r>
      <w:r w:rsidRPr="006023ED">
        <w:rPr>
          <w:rFonts w:ascii="Times New Roman" w:hAnsi="Times New Roman" w:cs="Times New Roman"/>
          <w:color w:val="000000" w:themeColor="text1"/>
        </w:rPr>
        <w:t xml:space="preserve">/apparel costs; see </w:t>
      </w:r>
      <w:r w:rsidR="00790053">
        <w:rPr>
          <w:rFonts w:ascii="Times New Roman" w:hAnsi="Times New Roman" w:cs="Times New Roman"/>
          <w:color w:val="000000" w:themeColor="text1"/>
        </w:rPr>
        <w:t xml:space="preserve">Arntz et al., 2020; </w:t>
      </w:r>
      <w:r w:rsidR="009073E4">
        <w:rPr>
          <w:rFonts w:ascii="Times New Roman" w:hAnsi="Times New Roman" w:cs="Times New Roman"/>
          <w:color w:val="000000" w:themeColor="text1"/>
        </w:rPr>
        <w:t>Asmussen et al</w:t>
      </w:r>
      <w:r w:rsidR="009073E4" w:rsidRPr="00E840B9">
        <w:rPr>
          <w:rFonts w:ascii="Times New Roman" w:hAnsi="Times New Roman" w:cs="Times New Roman"/>
          <w:color w:val="000000" w:themeColor="text1"/>
        </w:rPr>
        <w:t xml:space="preserve">., </w:t>
      </w:r>
      <w:r w:rsidR="00620BD0">
        <w:rPr>
          <w:rFonts w:ascii="Times New Roman" w:hAnsi="Times New Roman" w:cs="Times New Roman"/>
          <w:color w:val="000000" w:themeColor="text1"/>
        </w:rPr>
        <w:t>2024a</w:t>
      </w:r>
      <w:r w:rsidR="003945FA" w:rsidRPr="00E840B9">
        <w:rPr>
          <w:rFonts w:ascii="Times New Roman" w:hAnsi="Times New Roman" w:cs="Times New Roman"/>
          <w:color w:val="000000" w:themeColor="text1"/>
        </w:rPr>
        <w:t>; Asmussen et al., 2024</w:t>
      </w:r>
      <w:r w:rsidR="00620BD0">
        <w:rPr>
          <w:rFonts w:ascii="Times New Roman" w:hAnsi="Times New Roman" w:cs="Times New Roman"/>
          <w:color w:val="000000" w:themeColor="text1"/>
        </w:rPr>
        <w:t>b</w:t>
      </w:r>
      <w:r w:rsidRPr="00E840B9">
        <w:rPr>
          <w:rFonts w:ascii="Times New Roman" w:hAnsi="Times New Roman" w:cs="Times New Roman"/>
          <w:color w:val="000000" w:themeColor="text1"/>
        </w:rPr>
        <w:t>).</w:t>
      </w:r>
      <w:r w:rsidRPr="006023ED">
        <w:rPr>
          <w:rFonts w:ascii="Times New Roman" w:hAnsi="Times New Roman" w:cs="Times New Roman"/>
          <w:color w:val="000000" w:themeColor="text1"/>
        </w:rPr>
        <w:t xml:space="preserve"> Some studies have further suggested that women with young children in the household are particularly more likely to telework and/or have a desire to do so relative to men in households with young children (see </w:t>
      </w:r>
      <w:r w:rsidR="00790053" w:rsidRPr="00790053">
        <w:rPr>
          <w:rFonts w:ascii="Times New Roman" w:hAnsi="Times New Roman" w:cs="Times New Roman"/>
          <w:color w:val="000000" w:themeColor="text1"/>
        </w:rPr>
        <w:t xml:space="preserve">Mas </w:t>
      </w:r>
      <w:r w:rsidR="00790053">
        <w:rPr>
          <w:rFonts w:ascii="Times New Roman" w:hAnsi="Times New Roman" w:cs="Times New Roman"/>
          <w:color w:val="000000" w:themeColor="text1"/>
        </w:rPr>
        <w:t>and</w:t>
      </w:r>
      <w:r w:rsidR="00790053" w:rsidRPr="00790053">
        <w:rPr>
          <w:rFonts w:ascii="Times New Roman" w:hAnsi="Times New Roman" w:cs="Times New Roman"/>
          <w:color w:val="000000" w:themeColor="text1"/>
        </w:rPr>
        <w:t xml:space="preserve"> Pallais, 2017</w:t>
      </w:r>
      <w:r w:rsidR="003945FA">
        <w:rPr>
          <w:rFonts w:ascii="Times New Roman" w:hAnsi="Times New Roman" w:cs="Times New Roman"/>
          <w:color w:val="000000" w:themeColor="text1"/>
        </w:rPr>
        <w:t>; Nayak and Pandit, 2021</w:t>
      </w:r>
      <w:r w:rsidR="00790053">
        <w:rPr>
          <w:rFonts w:ascii="Times New Roman" w:hAnsi="Times New Roman" w:cs="Times New Roman"/>
          <w:color w:val="000000" w:themeColor="text1"/>
        </w:rPr>
        <w:t xml:space="preserve">; Asmussen et al., </w:t>
      </w:r>
      <w:r w:rsidR="00620BD0">
        <w:rPr>
          <w:rFonts w:ascii="Times New Roman" w:hAnsi="Times New Roman" w:cs="Times New Roman"/>
          <w:color w:val="000000" w:themeColor="text1"/>
        </w:rPr>
        <w:t>2024a</w:t>
      </w:r>
      <w:r w:rsidRPr="006023ED">
        <w:rPr>
          <w:rFonts w:ascii="Times New Roman" w:hAnsi="Times New Roman" w:cs="Times New Roman"/>
          <w:color w:val="000000" w:themeColor="text1"/>
        </w:rPr>
        <w:t xml:space="preserve">). It is quite possible that our finding here of the lack of the effect of young children, as well as the lack of any gendered effect of young children, may be tied to the fact that relatively few households in our sample have children at all </w:t>
      </w:r>
      <w:r>
        <w:rPr>
          <w:rFonts w:ascii="Times New Roman" w:hAnsi="Times New Roman" w:cs="Times New Roman"/>
          <w:color w:val="000000" w:themeColor="text1"/>
        </w:rPr>
        <w:t>and much fewer households (</w:t>
      </w:r>
      <w:r w:rsidRPr="006023ED">
        <w:rPr>
          <w:rFonts w:ascii="Times New Roman" w:hAnsi="Times New Roman" w:cs="Times New Roman"/>
          <w:color w:val="000000" w:themeColor="text1"/>
        </w:rPr>
        <w:t>108 households out of 1239 sample households</w:t>
      </w:r>
      <w:r>
        <w:rPr>
          <w:rFonts w:ascii="Times New Roman" w:hAnsi="Times New Roman" w:cs="Times New Roman"/>
          <w:color w:val="000000" w:themeColor="text1"/>
        </w:rPr>
        <w:t xml:space="preserve">, or </w:t>
      </w:r>
      <w:r w:rsidRPr="006023ED">
        <w:rPr>
          <w:rFonts w:ascii="Times New Roman" w:hAnsi="Times New Roman" w:cs="Times New Roman"/>
          <w:color w:val="000000" w:themeColor="text1"/>
        </w:rPr>
        <w:t>8.7%)</w:t>
      </w:r>
      <w:r w:rsidR="00EE3E5F">
        <w:rPr>
          <w:rFonts w:ascii="Times New Roman" w:hAnsi="Times New Roman" w:cs="Times New Roman"/>
          <w:color w:val="000000" w:themeColor="text1"/>
        </w:rPr>
        <w:t>, in particular,</w:t>
      </w:r>
      <w:r w:rsidRPr="006023ED">
        <w:rPr>
          <w:rFonts w:ascii="Times New Roman" w:hAnsi="Times New Roman" w:cs="Times New Roman"/>
          <w:color w:val="000000" w:themeColor="text1"/>
        </w:rPr>
        <w:t xml:space="preserve"> have young children in the of 0-4 years age range; </w:t>
      </w:r>
      <w:r>
        <w:rPr>
          <w:rFonts w:ascii="Times New Roman" w:hAnsi="Times New Roman" w:cs="Times New Roman"/>
          <w:color w:val="000000" w:themeColor="text1"/>
        </w:rPr>
        <w:t>s</w:t>
      </w:r>
      <w:r w:rsidRPr="006023ED">
        <w:rPr>
          <w:rFonts w:ascii="Times New Roman" w:hAnsi="Times New Roman" w:cs="Times New Roman"/>
          <w:color w:val="000000" w:themeColor="text1"/>
        </w:rPr>
        <w:t xml:space="preserve">ee Table 1). </w:t>
      </w:r>
    </w:p>
  </w:footnote>
  <w:footnote w:id="10">
    <w:p w14:paraId="488637EB" w14:textId="4F843DD1" w:rsidR="00790CF8" w:rsidRPr="009073E4" w:rsidRDefault="00790CF8">
      <w:pPr>
        <w:pStyle w:val="FootnoteText"/>
        <w:rPr>
          <w:rFonts w:ascii="Times New Roman" w:hAnsi="Times New Roman" w:cs="Times New Roman"/>
        </w:rPr>
      </w:pPr>
      <w:r w:rsidRPr="009073E4">
        <w:rPr>
          <w:rStyle w:val="FootnoteReference"/>
          <w:rFonts w:ascii="Times New Roman" w:hAnsi="Times New Roman" w:cs="Times New Roman"/>
        </w:rPr>
        <w:footnoteRef/>
      </w:r>
      <w:r w:rsidR="002966B2">
        <w:rPr>
          <w:rFonts w:ascii="Times New Roman" w:hAnsi="Times New Roman" w:cs="Times New Roman"/>
        </w:rPr>
        <w:t xml:space="preserve"> </w:t>
      </w:r>
      <w:r w:rsidRPr="009073E4">
        <w:rPr>
          <w:rFonts w:ascii="Times New Roman" w:hAnsi="Times New Roman" w:cs="Times New Roman"/>
        </w:rPr>
        <w:t>U</w:t>
      </w:r>
      <w:r w:rsidRPr="009073E4">
        <w:rPr>
          <w:rFonts w:ascii="Times New Roman" w:hAnsi="Times New Roman" w:cs="Times New Roman"/>
          <w:color w:val="000000" w:themeColor="text1"/>
        </w:rPr>
        <w:t xml:space="preserve">nlike Sweet and Scott, 2022, we did not find any difference in the age effects between part-time and full-time employees, nor did we find any age-gender interaction effects as has been observed in many earlier studies; see, for example, Sener and Bhat, 2011). </w:t>
      </w:r>
      <w:r w:rsidR="00EE3E5F" w:rsidRPr="009073E4">
        <w:rPr>
          <w:rFonts w:ascii="Times New Roman" w:hAnsi="Times New Roman" w:cs="Times New Roman"/>
          <w:color w:val="000000" w:themeColor="text1"/>
        </w:rPr>
        <w:t xml:space="preserve">Similarly, we did not find any </w:t>
      </w:r>
      <w:r w:rsidRPr="009073E4">
        <w:rPr>
          <w:rFonts w:ascii="Times New Roman" w:hAnsi="Times New Roman" w:cs="Times New Roman"/>
          <w:color w:val="000000" w:themeColor="text1"/>
        </w:rPr>
        <w:t>statistically significant effects</w:t>
      </w:r>
      <w:r w:rsidR="00EE3E5F" w:rsidRPr="009073E4">
        <w:rPr>
          <w:rFonts w:ascii="Times New Roman" w:hAnsi="Times New Roman" w:cs="Times New Roman"/>
          <w:color w:val="000000" w:themeColor="text1"/>
        </w:rPr>
        <w:t xml:space="preserve"> on the </w:t>
      </w:r>
      <w:r w:rsidRPr="009073E4">
        <w:rPr>
          <w:rFonts w:ascii="Times New Roman" w:hAnsi="Times New Roman" w:cs="Times New Roman"/>
          <w:color w:val="000000" w:themeColor="text1"/>
        </w:rPr>
        <w:t>interactions of life-cycle variables with age (such as the interaction of single individual</w:t>
      </w:r>
      <w:r w:rsidR="00EE3E5F" w:rsidRPr="009073E4">
        <w:rPr>
          <w:rFonts w:ascii="Times New Roman" w:hAnsi="Times New Roman" w:cs="Times New Roman"/>
          <w:color w:val="000000" w:themeColor="text1"/>
        </w:rPr>
        <w:t xml:space="preserve"> status</w:t>
      </w:r>
      <w:r w:rsidRPr="009073E4">
        <w:rPr>
          <w:rFonts w:ascii="Times New Roman" w:hAnsi="Times New Roman" w:cs="Times New Roman"/>
          <w:color w:val="000000" w:themeColor="text1"/>
        </w:rPr>
        <w:t xml:space="preserve"> and 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E23F1"/>
    <w:multiLevelType w:val="hybridMultilevel"/>
    <w:tmpl w:val="3C9A2952"/>
    <w:lvl w:ilvl="0" w:tplc="DF50A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30B6C"/>
    <w:multiLevelType w:val="hybridMultilevel"/>
    <w:tmpl w:val="D4323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05AAF"/>
    <w:multiLevelType w:val="hybridMultilevel"/>
    <w:tmpl w:val="8E0CF1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4B4F6119"/>
    <w:multiLevelType w:val="hybridMultilevel"/>
    <w:tmpl w:val="834E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2457D7"/>
    <w:multiLevelType w:val="multilevel"/>
    <w:tmpl w:val="F88CD282"/>
    <w:lvl w:ilvl="0">
      <w:start w:val="1"/>
      <w:numFmt w:val="decimal"/>
      <w:lvlText w:val="%1."/>
      <w:lvlJc w:val="left"/>
      <w:pPr>
        <w:ind w:left="720" w:hanging="720"/>
      </w:pPr>
      <w:rPr>
        <w:rFonts w:ascii="Times New Roman" w:eastAsiaTheme="majorEastAsia"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5B015A2"/>
    <w:multiLevelType w:val="hybridMultilevel"/>
    <w:tmpl w:val="53DED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024E42"/>
    <w:multiLevelType w:val="hybridMultilevel"/>
    <w:tmpl w:val="F4E8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F650F"/>
    <w:multiLevelType w:val="hybridMultilevel"/>
    <w:tmpl w:val="BCF45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5660C"/>
    <w:multiLevelType w:val="hybridMultilevel"/>
    <w:tmpl w:val="531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44D5A"/>
    <w:multiLevelType w:val="hybridMultilevel"/>
    <w:tmpl w:val="43EC3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9"/>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ztjQ1tzA1MDIyMLRU0lEKTi0uzszPAykwqQUAkuPztywAAAA="/>
  </w:docVars>
  <w:rsids>
    <w:rsidRoot w:val="00232689"/>
    <w:rsid w:val="000001CC"/>
    <w:rsid w:val="00001C9F"/>
    <w:rsid w:val="00006970"/>
    <w:rsid w:val="000069DD"/>
    <w:rsid w:val="00010FC4"/>
    <w:rsid w:val="00016968"/>
    <w:rsid w:val="00017870"/>
    <w:rsid w:val="00017B3F"/>
    <w:rsid w:val="000237F1"/>
    <w:rsid w:val="00025AD0"/>
    <w:rsid w:val="00027F80"/>
    <w:rsid w:val="000306F3"/>
    <w:rsid w:val="0003094A"/>
    <w:rsid w:val="00031EE2"/>
    <w:rsid w:val="00032C00"/>
    <w:rsid w:val="0003391E"/>
    <w:rsid w:val="00036353"/>
    <w:rsid w:val="00047FD3"/>
    <w:rsid w:val="00053C58"/>
    <w:rsid w:val="0005734C"/>
    <w:rsid w:val="00057381"/>
    <w:rsid w:val="000664D4"/>
    <w:rsid w:val="00066A73"/>
    <w:rsid w:val="000677BD"/>
    <w:rsid w:val="00067912"/>
    <w:rsid w:val="00074FC9"/>
    <w:rsid w:val="00075B88"/>
    <w:rsid w:val="00082700"/>
    <w:rsid w:val="00082E88"/>
    <w:rsid w:val="00087F25"/>
    <w:rsid w:val="000907AC"/>
    <w:rsid w:val="00090F66"/>
    <w:rsid w:val="00091B9F"/>
    <w:rsid w:val="000956DD"/>
    <w:rsid w:val="00097CCB"/>
    <w:rsid w:val="000A2446"/>
    <w:rsid w:val="000A3AB8"/>
    <w:rsid w:val="000B146F"/>
    <w:rsid w:val="000B4019"/>
    <w:rsid w:val="000C15B2"/>
    <w:rsid w:val="000C2C48"/>
    <w:rsid w:val="000C396E"/>
    <w:rsid w:val="000C50E2"/>
    <w:rsid w:val="000C7436"/>
    <w:rsid w:val="000D109B"/>
    <w:rsid w:val="000D12F6"/>
    <w:rsid w:val="000D14EC"/>
    <w:rsid w:val="000D1E23"/>
    <w:rsid w:val="000D2478"/>
    <w:rsid w:val="000D24E5"/>
    <w:rsid w:val="000D2861"/>
    <w:rsid w:val="000D3F79"/>
    <w:rsid w:val="000D5147"/>
    <w:rsid w:val="000D726B"/>
    <w:rsid w:val="000D77D9"/>
    <w:rsid w:val="000D7BAD"/>
    <w:rsid w:val="000E0D34"/>
    <w:rsid w:val="000E356A"/>
    <w:rsid w:val="000E7E47"/>
    <w:rsid w:val="000F0927"/>
    <w:rsid w:val="000F4B6A"/>
    <w:rsid w:val="000F5AF3"/>
    <w:rsid w:val="001017D5"/>
    <w:rsid w:val="00102BF8"/>
    <w:rsid w:val="0010334F"/>
    <w:rsid w:val="00103F0F"/>
    <w:rsid w:val="001119BE"/>
    <w:rsid w:val="0011418D"/>
    <w:rsid w:val="00120317"/>
    <w:rsid w:val="001242F4"/>
    <w:rsid w:val="00126586"/>
    <w:rsid w:val="0013289B"/>
    <w:rsid w:val="00133717"/>
    <w:rsid w:val="00133FE9"/>
    <w:rsid w:val="00135243"/>
    <w:rsid w:val="00135D7F"/>
    <w:rsid w:val="00136D4A"/>
    <w:rsid w:val="0013767B"/>
    <w:rsid w:val="001379FB"/>
    <w:rsid w:val="001417C5"/>
    <w:rsid w:val="00141BDB"/>
    <w:rsid w:val="001436DA"/>
    <w:rsid w:val="0014601C"/>
    <w:rsid w:val="001513C1"/>
    <w:rsid w:val="00161644"/>
    <w:rsid w:val="001628F4"/>
    <w:rsid w:val="00163813"/>
    <w:rsid w:val="0016457F"/>
    <w:rsid w:val="00165BB1"/>
    <w:rsid w:val="0016714F"/>
    <w:rsid w:val="001711C4"/>
    <w:rsid w:val="0017219E"/>
    <w:rsid w:val="001767A1"/>
    <w:rsid w:val="00176B4C"/>
    <w:rsid w:val="001777E2"/>
    <w:rsid w:val="0018101D"/>
    <w:rsid w:val="001825DF"/>
    <w:rsid w:val="00183243"/>
    <w:rsid w:val="0018540D"/>
    <w:rsid w:val="00193E31"/>
    <w:rsid w:val="0019453E"/>
    <w:rsid w:val="001A0631"/>
    <w:rsid w:val="001A078D"/>
    <w:rsid w:val="001A44DF"/>
    <w:rsid w:val="001A6CC4"/>
    <w:rsid w:val="001A7842"/>
    <w:rsid w:val="001A7F97"/>
    <w:rsid w:val="001B3E6E"/>
    <w:rsid w:val="001B48DE"/>
    <w:rsid w:val="001B6661"/>
    <w:rsid w:val="001B7540"/>
    <w:rsid w:val="001B7CB1"/>
    <w:rsid w:val="001B7D91"/>
    <w:rsid w:val="001C2253"/>
    <w:rsid w:val="001C3743"/>
    <w:rsid w:val="001C3C29"/>
    <w:rsid w:val="001C447E"/>
    <w:rsid w:val="001C5FAB"/>
    <w:rsid w:val="001C631F"/>
    <w:rsid w:val="001C7E98"/>
    <w:rsid w:val="001C7EE3"/>
    <w:rsid w:val="001C7F76"/>
    <w:rsid w:val="001D0A56"/>
    <w:rsid w:val="001D2F50"/>
    <w:rsid w:val="001D3DFD"/>
    <w:rsid w:val="001D5043"/>
    <w:rsid w:val="001D79AD"/>
    <w:rsid w:val="001E08F1"/>
    <w:rsid w:val="001E2472"/>
    <w:rsid w:val="001E46B4"/>
    <w:rsid w:val="001E4702"/>
    <w:rsid w:val="001E6FCC"/>
    <w:rsid w:val="001E74E8"/>
    <w:rsid w:val="001F3548"/>
    <w:rsid w:val="001F3932"/>
    <w:rsid w:val="001F5A82"/>
    <w:rsid w:val="001F7FE9"/>
    <w:rsid w:val="00203040"/>
    <w:rsid w:val="00203E92"/>
    <w:rsid w:val="002047B8"/>
    <w:rsid w:val="00204CD8"/>
    <w:rsid w:val="002054D7"/>
    <w:rsid w:val="002074ED"/>
    <w:rsid w:val="00207C98"/>
    <w:rsid w:val="00210D89"/>
    <w:rsid w:val="00211036"/>
    <w:rsid w:val="0021133B"/>
    <w:rsid w:val="00212321"/>
    <w:rsid w:val="00212B9C"/>
    <w:rsid w:val="00213124"/>
    <w:rsid w:val="00214EE7"/>
    <w:rsid w:val="0021535D"/>
    <w:rsid w:val="002170C1"/>
    <w:rsid w:val="0021788B"/>
    <w:rsid w:val="00217BF2"/>
    <w:rsid w:val="00220FD3"/>
    <w:rsid w:val="0022369F"/>
    <w:rsid w:val="002236BD"/>
    <w:rsid w:val="0022456B"/>
    <w:rsid w:val="00224A80"/>
    <w:rsid w:val="00227564"/>
    <w:rsid w:val="002301CC"/>
    <w:rsid w:val="0023179C"/>
    <w:rsid w:val="00232689"/>
    <w:rsid w:val="00232ADD"/>
    <w:rsid w:val="00232DDA"/>
    <w:rsid w:val="00234422"/>
    <w:rsid w:val="00234D81"/>
    <w:rsid w:val="00236977"/>
    <w:rsid w:val="00245C30"/>
    <w:rsid w:val="00251E00"/>
    <w:rsid w:val="00252AE9"/>
    <w:rsid w:val="00253E74"/>
    <w:rsid w:val="00254153"/>
    <w:rsid w:val="002543E9"/>
    <w:rsid w:val="002560E8"/>
    <w:rsid w:val="00257F7D"/>
    <w:rsid w:val="00260CCC"/>
    <w:rsid w:val="0026398C"/>
    <w:rsid w:val="002641DE"/>
    <w:rsid w:val="0026566E"/>
    <w:rsid w:val="00267F8E"/>
    <w:rsid w:val="00267FBB"/>
    <w:rsid w:val="00281BE2"/>
    <w:rsid w:val="00282866"/>
    <w:rsid w:val="00286972"/>
    <w:rsid w:val="00292521"/>
    <w:rsid w:val="00292B65"/>
    <w:rsid w:val="002939F8"/>
    <w:rsid w:val="0029559B"/>
    <w:rsid w:val="00295CD1"/>
    <w:rsid w:val="002966B2"/>
    <w:rsid w:val="002A139F"/>
    <w:rsid w:val="002A160E"/>
    <w:rsid w:val="002A4B63"/>
    <w:rsid w:val="002A4B91"/>
    <w:rsid w:val="002A4BF5"/>
    <w:rsid w:val="002A6D8D"/>
    <w:rsid w:val="002B213F"/>
    <w:rsid w:val="002B3440"/>
    <w:rsid w:val="002B6093"/>
    <w:rsid w:val="002B6A30"/>
    <w:rsid w:val="002B6D03"/>
    <w:rsid w:val="002C2659"/>
    <w:rsid w:val="002C3DCC"/>
    <w:rsid w:val="002C4303"/>
    <w:rsid w:val="002C5487"/>
    <w:rsid w:val="002D05A9"/>
    <w:rsid w:val="002D2BBB"/>
    <w:rsid w:val="002D3615"/>
    <w:rsid w:val="002D6611"/>
    <w:rsid w:val="002D745A"/>
    <w:rsid w:val="002E18CC"/>
    <w:rsid w:val="002E1D8A"/>
    <w:rsid w:val="002E36A3"/>
    <w:rsid w:val="002E4B2B"/>
    <w:rsid w:val="002E5016"/>
    <w:rsid w:val="002E5256"/>
    <w:rsid w:val="002E5CF2"/>
    <w:rsid w:val="002E7FE1"/>
    <w:rsid w:val="002F03AA"/>
    <w:rsid w:val="002F161F"/>
    <w:rsid w:val="002F178F"/>
    <w:rsid w:val="002F288D"/>
    <w:rsid w:val="002F3997"/>
    <w:rsid w:val="002F6BB1"/>
    <w:rsid w:val="00301011"/>
    <w:rsid w:val="00301217"/>
    <w:rsid w:val="003021D4"/>
    <w:rsid w:val="00304BAA"/>
    <w:rsid w:val="0030653F"/>
    <w:rsid w:val="00306AE6"/>
    <w:rsid w:val="00307CFD"/>
    <w:rsid w:val="0031118A"/>
    <w:rsid w:val="00312B04"/>
    <w:rsid w:val="00313541"/>
    <w:rsid w:val="00313DF3"/>
    <w:rsid w:val="00313F20"/>
    <w:rsid w:val="003144F5"/>
    <w:rsid w:val="00314B6C"/>
    <w:rsid w:val="003210AC"/>
    <w:rsid w:val="003234BF"/>
    <w:rsid w:val="003249FE"/>
    <w:rsid w:val="00325E30"/>
    <w:rsid w:val="0033180A"/>
    <w:rsid w:val="003329B4"/>
    <w:rsid w:val="00333168"/>
    <w:rsid w:val="00333E71"/>
    <w:rsid w:val="00336E8D"/>
    <w:rsid w:val="00341B88"/>
    <w:rsid w:val="00341F17"/>
    <w:rsid w:val="0034213C"/>
    <w:rsid w:val="003424EC"/>
    <w:rsid w:val="00343883"/>
    <w:rsid w:val="00345471"/>
    <w:rsid w:val="00346313"/>
    <w:rsid w:val="003469B6"/>
    <w:rsid w:val="003525AA"/>
    <w:rsid w:val="00355223"/>
    <w:rsid w:val="003566EF"/>
    <w:rsid w:val="00360236"/>
    <w:rsid w:val="0036283D"/>
    <w:rsid w:val="0036389C"/>
    <w:rsid w:val="00365769"/>
    <w:rsid w:val="00365FE8"/>
    <w:rsid w:val="00367325"/>
    <w:rsid w:val="00367985"/>
    <w:rsid w:val="003701F6"/>
    <w:rsid w:val="00372E30"/>
    <w:rsid w:val="00374668"/>
    <w:rsid w:val="0037533D"/>
    <w:rsid w:val="00375527"/>
    <w:rsid w:val="00381459"/>
    <w:rsid w:val="003820B7"/>
    <w:rsid w:val="00382B44"/>
    <w:rsid w:val="00382FA4"/>
    <w:rsid w:val="00383F93"/>
    <w:rsid w:val="00391277"/>
    <w:rsid w:val="00392C76"/>
    <w:rsid w:val="00393654"/>
    <w:rsid w:val="003945FA"/>
    <w:rsid w:val="0039496A"/>
    <w:rsid w:val="00397435"/>
    <w:rsid w:val="003A1D5C"/>
    <w:rsid w:val="003A2D35"/>
    <w:rsid w:val="003A6887"/>
    <w:rsid w:val="003A7631"/>
    <w:rsid w:val="003B4048"/>
    <w:rsid w:val="003B4AE5"/>
    <w:rsid w:val="003B4E77"/>
    <w:rsid w:val="003B730B"/>
    <w:rsid w:val="003B7352"/>
    <w:rsid w:val="003C099B"/>
    <w:rsid w:val="003C0AD0"/>
    <w:rsid w:val="003C49AD"/>
    <w:rsid w:val="003C511E"/>
    <w:rsid w:val="003D22F1"/>
    <w:rsid w:val="003D4A3F"/>
    <w:rsid w:val="003D5D3E"/>
    <w:rsid w:val="003E1E39"/>
    <w:rsid w:val="003E3AD3"/>
    <w:rsid w:val="003E493E"/>
    <w:rsid w:val="003E53FB"/>
    <w:rsid w:val="003E62AF"/>
    <w:rsid w:val="003E6B73"/>
    <w:rsid w:val="003F0393"/>
    <w:rsid w:val="003F19EA"/>
    <w:rsid w:val="003F1FD4"/>
    <w:rsid w:val="003F24DD"/>
    <w:rsid w:val="003F2A59"/>
    <w:rsid w:val="003F65EE"/>
    <w:rsid w:val="003F6E68"/>
    <w:rsid w:val="0040576E"/>
    <w:rsid w:val="0040699B"/>
    <w:rsid w:val="004076E7"/>
    <w:rsid w:val="0040780C"/>
    <w:rsid w:val="0041050D"/>
    <w:rsid w:val="00410DA1"/>
    <w:rsid w:val="00412047"/>
    <w:rsid w:val="004126BD"/>
    <w:rsid w:val="0041365F"/>
    <w:rsid w:val="0041433B"/>
    <w:rsid w:val="004206D6"/>
    <w:rsid w:val="00421ABC"/>
    <w:rsid w:val="00422EB8"/>
    <w:rsid w:val="0042301A"/>
    <w:rsid w:val="00424275"/>
    <w:rsid w:val="0042485D"/>
    <w:rsid w:val="0042487B"/>
    <w:rsid w:val="00424B1F"/>
    <w:rsid w:val="00426A43"/>
    <w:rsid w:val="00435E72"/>
    <w:rsid w:val="004426D8"/>
    <w:rsid w:val="00444436"/>
    <w:rsid w:val="00446033"/>
    <w:rsid w:val="00446AF6"/>
    <w:rsid w:val="00451213"/>
    <w:rsid w:val="004608CF"/>
    <w:rsid w:val="0046211D"/>
    <w:rsid w:val="00464893"/>
    <w:rsid w:val="00466E67"/>
    <w:rsid w:val="00470782"/>
    <w:rsid w:val="00474896"/>
    <w:rsid w:val="00475530"/>
    <w:rsid w:val="00477175"/>
    <w:rsid w:val="00477A39"/>
    <w:rsid w:val="00481782"/>
    <w:rsid w:val="0048292D"/>
    <w:rsid w:val="0048425E"/>
    <w:rsid w:val="004850CB"/>
    <w:rsid w:val="0048519E"/>
    <w:rsid w:val="00485227"/>
    <w:rsid w:val="0048773A"/>
    <w:rsid w:val="00492595"/>
    <w:rsid w:val="00492F29"/>
    <w:rsid w:val="00493504"/>
    <w:rsid w:val="00497EE6"/>
    <w:rsid w:val="004A029F"/>
    <w:rsid w:val="004A1E2D"/>
    <w:rsid w:val="004A2100"/>
    <w:rsid w:val="004A40EE"/>
    <w:rsid w:val="004A6699"/>
    <w:rsid w:val="004A669E"/>
    <w:rsid w:val="004A7F20"/>
    <w:rsid w:val="004B0D24"/>
    <w:rsid w:val="004B2882"/>
    <w:rsid w:val="004B664E"/>
    <w:rsid w:val="004C51FE"/>
    <w:rsid w:val="004C7D7D"/>
    <w:rsid w:val="004D2E5B"/>
    <w:rsid w:val="004D5E19"/>
    <w:rsid w:val="004D6789"/>
    <w:rsid w:val="004E0BB0"/>
    <w:rsid w:val="004E517A"/>
    <w:rsid w:val="004E7CE0"/>
    <w:rsid w:val="004F1E97"/>
    <w:rsid w:val="004F25D3"/>
    <w:rsid w:val="004F3605"/>
    <w:rsid w:val="004F3CF3"/>
    <w:rsid w:val="004F5460"/>
    <w:rsid w:val="004F6E0E"/>
    <w:rsid w:val="00502837"/>
    <w:rsid w:val="00503AEF"/>
    <w:rsid w:val="00504239"/>
    <w:rsid w:val="00504480"/>
    <w:rsid w:val="005049EC"/>
    <w:rsid w:val="005148B2"/>
    <w:rsid w:val="00521C6F"/>
    <w:rsid w:val="00527676"/>
    <w:rsid w:val="00530CD2"/>
    <w:rsid w:val="005340A2"/>
    <w:rsid w:val="005379E3"/>
    <w:rsid w:val="00545355"/>
    <w:rsid w:val="0054714B"/>
    <w:rsid w:val="005528D5"/>
    <w:rsid w:val="0055340B"/>
    <w:rsid w:val="005559AE"/>
    <w:rsid w:val="005579FC"/>
    <w:rsid w:val="005603A9"/>
    <w:rsid w:val="00560648"/>
    <w:rsid w:val="0056566D"/>
    <w:rsid w:val="0056634A"/>
    <w:rsid w:val="00570770"/>
    <w:rsid w:val="00572175"/>
    <w:rsid w:val="005731F7"/>
    <w:rsid w:val="00573A0E"/>
    <w:rsid w:val="00573FED"/>
    <w:rsid w:val="005746D4"/>
    <w:rsid w:val="005800A2"/>
    <w:rsid w:val="00582680"/>
    <w:rsid w:val="005872C2"/>
    <w:rsid w:val="005A1783"/>
    <w:rsid w:val="005A1C83"/>
    <w:rsid w:val="005B2ABF"/>
    <w:rsid w:val="005C0432"/>
    <w:rsid w:val="005C0C22"/>
    <w:rsid w:val="005C5753"/>
    <w:rsid w:val="005D2289"/>
    <w:rsid w:val="005D6025"/>
    <w:rsid w:val="005E11C6"/>
    <w:rsid w:val="005E1C07"/>
    <w:rsid w:val="005E1E5F"/>
    <w:rsid w:val="005E42E5"/>
    <w:rsid w:val="005E567D"/>
    <w:rsid w:val="005E68D7"/>
    <w:rsid w:val="005E6FA5"/>
    <w:rsid w:val="005F0724"/>
    <w:rsid w:val="005F2550"/>
    <w:rsid w:val="005F273E"/>
    <w:rsid w:val="005F3222"/>
    <w:rsid w:val="005F40B3"/>
    <w:rsid w:val="005F6BF6"/>
    <w:rsid w:val="00602644"/>
    <w:rsid w:val="006037AA"/>
    <w:rsid w:val="00613D82"/>
    <w:rsid w:val="0061500E"/>
    <w:rsid w:val="00620BD0"/>
    <w:rsid w:val="00621203"/>
    <w:rsid w:val="006230E7"/>
    <w:rsid w:val="00625B4C"/>
    <w:rsid w:val="006272D4"/>
    <w:rsid w:val="00627644"/>
    <w:rsid w:val="00630145"/>
    <w:rsid w:val="006318EE"/>
    <w:rsid w:val="0063476C"/>
    <w:rsid w:val="0063487E"/>
    <w:rsid w:val="00636FB7"/>
    <w:rsid w:val="00637418"/>
    <w:rsid w:val="00641733"/>
    <w:rsid w:val="00641F12"/>
    <w:rsid w:val="006421BF"/>
    <w:rsid w:val="00643BB9"/>
    <w:rsid w:val="00645455"/>
    <w:rsid w:val="0064590A"/>
    <w:rsid w:val="00646A88"/>
    <w:rsid w:val="00650861"/>
    <w:rsid w:val="0065712C"/>
    <w:rsid w:val="00660C10"/>
    <w:rsid w:val="00664674"/>
    <w:rsid w:val="00664F6B"/>
    <w:rsid w:val="006655D2"/>
    <w:rsid w:val="0067067E"/>
    <w:rsid w:val="006707A3"/>
    <w:rsid w:val="0067118C"/>
    <w:rsid w:val="00671DFB"/>
    <w:rsid w:val="00676F93"/>
    <w:rsid w:val="00677188"/>
    <w:rsid w:val="006773C9"/>
    <w:rsid w:val="006804E0"/>
    <w:rsid w:val="00685319"/>
    <w:rsid w:val="00692058"/>
    <w:rsid w:val="0069288F"/>
    <w:rsid w:val="0069293E"/>
    <w:rsid w:val="00693636"/>
    <w:rsid w:val="006A20C6"/>
    <w:rsid w:val="006A48D8"/>
    <w:rsid w:val="006A4FEC"/>
    <w:rsid w:val="006A5CC2"/>
    <w:rsid w:val="006A678B"/>
    <w:rsid w:val="006B11DB"/>
    <w:rsid w:val="006B5A84"/>
    <w:rsid w:val="006C159F"/>
    <w:rsid w:val="006C3F44"/>
    <w:rsid w:val="006C4CCD"/>
    <w:rsid w:val="006C5847"/>
    <w:rsid w:val="006C5AF3"/>
    <w:rsid w:val="006C678E"/>
    <w:rsid w:val="006C73A3"/>
    <w:rsid w:val="006D06B7"/>
    <w:rsid w:val="006D1D68"/>
    <w:rsid w:val="006D2CC6"/>
    <w:rsid w:val="006D60F1"/>
    <w:rsid w:val="006D68FB"/>
    <w:rsid w:val="006D7A78"/>
    <w:rsid w:val="006E0724"/>
    <w:rsid w:val="006E0A71"/>
    <w:rsid w:val="006E0F2C"/>
    <w:rsid w:val="006E1036"/>
    <w:rsid w:val="006E2176"/>
    <w:rsid w:val="006E7983"/>
    <w:rsid w:val="006F0006"/>
    <w:rsid w:val="006F1A03"/>
    <w:rsid w:val="006F205D"/>
    <w:rsid w:val="006F4E7B"/>
    <w:rsid w:val="006F5639"/>
    <w:rsid w:val="006F6494"/>
    <w:rsid w:val="00701D24"/>
    <w:rsid w:val="007033D3"/>
    <w:rsid w:val="0071083B"/>
    <w:rsid w:val="00713AFB"/>
    <w:rsid w:val="00714E0B"/>
    <w:rsid w:val="007157EA"/>
    <w:rsid w:val="00716E37"/>
    <w:rsid w:val="007210E0"/>
    <w:rsid w:val="0072333B"/>
    <w:rsid w:val="0072429A"/>
    <w:rsid w:val="00727760"/>
    <w:rsid w:val="0072798C"/>
    <w:rsid w:val="007300A3"/>
    <w:rsid w:val="007300F2"/>
    <w:rsid w:val="00730B8C"/>
    <w:rsid w:val="00733F5A"/>
    <w:rsid w:val="00734D86"/>
    <w:rsid w:val="007351DA"/>
    <w:rsid w:val="00735D3A"/>
    <w:rsid w:val="0074162A"/>
    <w:rsid w:val="00742D47"/>
    <w:rsid w:val="00742EE6"/>
    <w:rsid w:val="00752144"/>
    <w:rsid w:val="00754948"/>
    <w:rsid w:val="00761699"/>
    <w:rsid w:val="007616F2"/>
    <w:rsid w:val="007677ED"/>
    <w:rsid w:val="00774094"/>
    <w:rsid w:val="00774B63"/>
    <w:rsid w:val="00774DAA"/>
    <w:rsid w:val="00780973"/>
    <w:rsid w:val="0078164E"/>
    <w:rsid w:val="00781963"/>
    <w:rsid w:val="00781CA8"/>
    <w:rsid w:val="00781FE4"/>
    <w:rsid w:val="00783883"/>
    <w:rsid w:val="00783F84"/>
    <w:rsid w:val="0078796B"/>
    <w:rsid w:val="00790053"/>
    <w:rsid w:val="0079071B"/>
    <w:rsid w:val="00790CF8"/>
    <w:rsid w:val="00791291"/>
    <w:rsid w:val="007917BC"/>
    <w:rsid w:val="00792E81"/>
    <w:rsid w:val="0079315B"/>
    <w:rsid w:val="00794E73"/>
    <w:rsid w:val="007975B7"/>
    <w:rsid w:val="007A0045"/>
    <w:rsid w:val="007A0521"/>
    <w:rsid w:val="007A77FC"/>
    <w:rsid w:val="007B1530"/>
    <w:rsid w:val="007B3497"/>
    <w:rsid w:val="007B4137"/>
    <w:rsid w:val="007B4579"/>
    <w:rsid w:val="007B4784"/>
    <w:rsid w:val="007C0060"/>
    <w:rsid w:val="007C0588"/>
    <w:rsid w:val="007C099E"/>
    <w:rsid w:val="007C1B88"/>
    <w:rsid w:val="007C31CA"/>
    <w:rsid w:val="007C3390"/>
    <w:rsid w:val="007C423D"/>
    <w:rsid w:val="007C43C3"/>
    <w:rsid w:val="007C53FA"/>
    <w:rsid w:val="007C6BE2"/>
    <w:rsid w:val="007D0CB9"/>
    <w:rsid w:val="007D3A97"/>
    <w:rsid w:val="007D57E5"/>
    <w:rsid w:val="007D7570"/>
    <w:rsid w:val="007E2307"/>
    <w:rsid w:val="007E2635"/>
    <w:rsid w:val="007E3412"/>
    <w:rsid w:val="007E6B02"/>
    <w:rsid w:val="007F191A"/>
    <w:rsid w:val="007F478A"/>
    <w:rsid w:val="007F54DE"/>
    <w:rsid w:val="0080026F"/>
    <w:rsid w:val="00800B61"/>
    <w:rsid w:val="008027B3"/>
    <w:rsid w:val="00802D36"/>
    <w:rsid w:val="00805CCD"/>
    <w:rsid w:val="00810861"/>
    <w:rsid w:val="00814124"/>
    <w:rsid w:val="00814854"/>
    <w:rsid w:val="00816BE1"/>
    <w:rsid w:val="00816F85"/>
    <w:rsid w:val="00817197"/>
    <w:rsid w:val="008171F8"/>
    <w:rsid w:val="00817D19"/>
    <w:rsid w:val="00817E4B"/>
    <w:rsid w:val="0082092A"/>
    <w:rsid w:val="00820C39"/>
    <w:rsid w:val="00821417"/>
    <w:rsid w:val="00821F64"/>
    <w:rsid w:val="008226F8"/>
    <w:rsid w:val="00826658"/>
    <w:rsid w:val="0082738F"/>
    <w:rsid w:val="00831173"/>
    <w:rsid w:val="008313F9"/>
    <w:rsid w:val="00834A4C"/>
    <w:rsid w:val="0083519F"/>
    <w:rsid w:val="00835CEC"/>
    <w:rsid w:val="00843D2C"/>
    <w:rsid w:val="00844B87"/>
    <w:rsid w:val="00845284"/>
    <w:rsid w:val="0084677D"/>
    <w:rsid w:val="008513EE"/>
    <w:rsid w:val="00851D82"/>
    <w:rsid w:val="0085221A"/>
    <w:rsid w:val="008531EC"/>
    <w:rsid w:val="00856C24"/>
    <w:rsid w:val="00860788"/>
    <w:rsid w:val="00863EE3"/>
    <w:rsid w:val="0086426E"/>
    <w:rsid w:val="00870D25"/>
    <w:rsid w:val="00870DBF"/>
    <w:rsid w:val="00871F98"/>
    <w:rsid w:val="00872127"/>
    <w:rsid w:val="008742D3"/>
    <w:rsid w:val="008753A7"/>
    <w:rsid w:val="008754A8"/>
    <w:rsid w:val="00876D0A"/>
    <w:rsid w:val="0088209A"/>
    <w:rsid w:val="0088328D"/>
    <w:rsid w:val="0088391A"/>
    <w:rsid w:val="00884888"/>
    <w:rsid w:val="008851E2"/>
    <w:rsid w:val="00885C4A"/>
    <w:rsid w:val="00886CF5"/>
    <w:rsid w:val="00887C80"/>
    <w:rsid w:val="00892AB3"/>
    <w:rsid w:val="00893B53"/>
    <w:rsid w:val="00897091"/>
    <w:rsid w:val="00897637"/>
    <w:rsid w:val="008A1619"/>
    <w:rsid w:val="008B0FA1"/>
    <w:rsid w:val="008B2BB2"/>
    <w:rsid w:val="008B33A7"/>
    <w:rsid w:val="008B3780"/>
    <w:rsid w:val="008B461D"/>
    <w:rsid w:val="008B7613"/>
    <w:rsid w:val="008C0EE0"/>
    <w:rsid w:val="008C1603"/>
    <w:rsid w:val="008C3530"/>
    <w:rsid w:val="008C3C63"/>
    <w:rsid w:val="008C49EE"/>
    <w:rsid w:val="008C6985"/>
    <w:rsid w:val="008C7D4F"/>
    <w:rsid w:val="008D2CE7"/>
    <w:rsid w:val="008D63C6"/>
    <w:rsid w:val="008D6901"/>
    <w:rsid w:val="008D7441"/>
    <w:rsid w:val="008E006C"/>
    <w:rsid w:val="008E008D"/>
    <w:rsid w:val="008E59BE"/>
    <w:rsid w:val="008E7E0A"/>
    <w:rsid w:val="008F052D"/>
    <w:rsid w:val="008F10F2"/>
    <w:rsid w:val="008F25E4"/>
    <w:rsid w:val="009001F8"/>
    <w:rsid w:val="00900A11"/>
    <w:rsid w:val="00902701"/>
    <w:rsid w:val="009028CC"/>
    <w:rsid w:val="009073E4"/>
    <w:rsid w:val="009103FD"/>
    <w:rsid w:val="00912380"/>
    <w:rsid w:val="00914CD2"/>
    <w:rsid w:val="00914F33"/>
    <w:rsid w:val="009170ED"/>
    <w:rsid w:val="00920BCA"/>
    <w:rsid w:val="009216B2"/>
    <w:rsid w:val="00921ECD"/>
    <w:rsid w:val="00922B3D"/>
    <w:rsid w:val="00924596"/>
    <w:rsid w:val="0092513C"/>
    <w:rsid w:val="00925632"/>
    <w:rsid w:val="00926E20"/>
    <w:rsid w:val="0093159A"/>
    <w:rsid w:val="0093185E"/>
    <w:rsid w:val="00932BEE"/>
    <w:rsid w:val="00936E58"/>
    <w:rsid w:val="00940492"/>
    <w:rsid w:val="00944546"/>
    <w:rsid w:val="009452A7"/>
    <w:rsid w:val="00946868"/>
    <w:rsid w:val="009474E1"/>
    <w:rsid w:val="00950CBA"/>
    <w:rsid w:val="00955EB0"/>
    <w:rsid w:val="009568A7"/>
    <w:rsid w:val="00960B28"/>
    <w:rsid w:val="00964419"/>
    <w:rsid w:val="00965DA0"/>
    <w:rsid w:val="00967FF1"/>
    <w:rsid w:val="00971968"/>
    <w:rsid w:val="00971FB0"/>
    <w:rsid w:val="00971FDF"/>
    <w:rsid w:val="00972B17"/>
    <w:rsid w:val="009731D0"/>
    <w:rsid w:val="00973D04"/>
    <w:rsid w:val="00975BF9"/>
    <w:rsid w:val="0097793B"/>
    <w:rsid w:val="00977C7C"/>
    <w:rsid w:val="00977F8D"/>
    <w:rsid w:val="0098078A"/>
    <w:rsid w:val="009844A5"/>
    <w:rsid w:val="00992183"/>
    <w:rsid w:val="009935AF"/>
    <w:rsid w:val="00993924"/>
    <w:rsid w:val="00994B22"/>
    <w:rsid w:val="009976CE"/>
    <w:rsid w:val="009A0343"/>
    <w:rsid w:val="009A4778"/>
    <w:rsid w:val="009A4BF8"/>
    <w:rsid w:val="009A6EFE"/>
    <w:rsid w:val="009A7835"/>
    <w:rsid w:val="009B0F32"/>
    <w:rsid w:val="009B1601"/>
    <w:rsid w:val="009B3295"/>
    <w:rsid w:val="009B50A5"/>
    <w:rsid w:val="009B6A74"/>
    <w:rsid w:val="009B7EFF"/>
    <w:rsid w:val="009C1E58"/>
    <w:rsid w:val="009C2D5A"/>
    <w:rsid w:val="009C457A"/>
    <w:rsid w:val="009C6DA3"/>
    <w:rsid w:val="009D13E7"/>
    <w:rsid w:val="009D1B9E"/>
    <w:rsid w:val="009D2BF0"/>
    <w:rsid w:val="009D6178"/>
    <w:rsid w:val="009D6C5B"/>
    <w:rsid w:val="009E00D4"/>
    <w:rsid w:val="009E2A46"/>
    <w:rsid w:val="009E2A4F"/>
    <w:rsid w:val="009E315A"/>
    <w:rsid w:val="009E5B38"/>
    <w:rsid w:val="009E6E68"/>
    <w:rsid w:val="009F1B83"/>
    <w:rsid w:val="009F4467"/>
    <w:rsid w:val="009F5F2A"/>
    <w:rsid w:val="009F7449"/>
    <w:rsid w:val="00A002A0"/>
    <w:rsid w:val="00A01084"/>
    <w:rsid w:val="00A05A64"/>
    <w:rsid w:val="00A06AED"/>
    <w:rsid w:val="00A078E4"/>
    <w:rsid w:val="00A126D9"/>
    <w:rsid w:val="00A12E36"/>
    <w:rsid w:val="00A14009"/>
    <w:rsid w:val="00A1416C"/>
    <w:rsid w:val="00A15961"/>
    <w:rsid w:val="00A17AD1"/>
    <w:rsid w:val="00A2015F"/>
    <w:rsid w:val="00A24A56"/>
    <w:rsid w:val="00A27A6C"/>
    <w:rsid w:val="00A37558"/>
    <w:rsid w:val="00A40CF1"/>
    <w:rsid w:val="00A44782"/>
    <w:rsid w:val="00A517FE"/>
    <w:rsid w:val="00A521F8"/>
    <w:rsid w:val="00A550BD"/>
    <w:rsid w:val="00A63499"/>
    <w:rsid w:val="00A711D8"/>
    <w:rsid w:val="00A76314"/>
    <w:rsid w:val="00A77E18"/>
    <w:rsid w:val="00A81857"/>
    <w:rsid w:val="00A82F62"/>
    <w:rsid w:val="00A85DC2"/>
    <w:rsid w:val="00A87D3F"/>
    <w:rsid w:val="00A910EE"/>
    <w:rsid w:val="00A95827"/>
    <w:rsid w:val="00A96CF5"/>
    <w:rsid w:val="00A975C5"/>
    <w:rsid w:val="00AA1C66"/>
    <w:rsid w:val="00AA5E7E"/>
    <w:rsid w:val="00AA742C"/>
    <w:rsid w:val="00AB110C"/>
    <w:rsid w:val="00AB1C90"/>
    <w:rsid w:val="00AB2863"/>
    <w:rsid w:val="00AB3671"/>
    <w:rsid w:val="00AB3C09"/>
    <w:rsid w:val="00AB5D5E"/>
    <w:rsid w:val="00AC02B7"/>
    <w:rsid w:val="00AC4E94"/>
    <w:rsid w:val="00AC4EDE"/>
    <w:rsid w:val="00AC5923"/>
    <w:rsid w:val="00AC6596"/>
    <w:rsid w:val="00AD165F"/>
    <w:rsid w:val="00AD5670"/>
    <w:rsid w:val="00AD581A"/>
    <w:rsid w:val="00AD6464"/>
    <w:rsid w:val="00AD7AAB"/>
    <w:rsid w:val="00AD7F4A"/>
    <w:rsid w:val="00AE0BAE"/>
    <w:rsid w:val="00AE181A"/>
    <w:rsid w:val="00AE18ED"/>
    <w:rsid w:val="00AE1B67"/>
    <w:rsid w:val="00AE5FBF"/>
    <w:rsid w:val="00AE6068"/>
    <w:rsid w:val="00AE7392"/>
    <w:rsid w:val="00AE7896"/>
    <w:rsid w:val="00AF1A6B"/>
    <w:rsid w:val="00AF610F"/>
    <w:rsid w:val="00AF677C"/>
    <w:rsid w:val="00B005F6"/>
    <w:rsid w:val="00B01853"/>
    <w:rsid w:val="00B04B09"/>
    <w:rsid w:val="00B04E90"/>
    <w:rsid w:val="00B04EF5"/>
    <w:rsid w:val="00B05404"/>
    <w:rsid w:val="00B11C43"/>
    <w:rsid w:val="00B134ED"/>
    <w:rsid w:val="00B145D1"/>
    <w:rsid w:val="00B162F5"/>
    <w:rsid w:val="00B207EA"/>
    <w:rsid w:val="00B20AF1"/>
    <w:rsid w:val="00B219A2"/>
    <w:rsid w:val="00B219FD"/>
    <w:rsid w:val="00B2221E"/>
    <w:rsid w:val="00B23074"/>
    <w:rsid w:val="00B23DFA"/>
    <w:rsid w:val="00B245B2"/>
    <w:rsid w:val="00B24620"/>
    <w:rsid w:val="00B258AD"/>
    <w:rsid w:val="00B307C7"/>
    <w:rsid w:val="00B30D38"/>
    <w:rsid w:val="00B34EA2"/>
    <w:rsid w:val="00B35383"/>
    <w:rsid w:val="00B36993"/>
    <w:rsid w:val="00B4139C"/>
    <w:rsid w:val="00B41F31"/>
    <w:rsid w:val="00B44EFC"/>
    <w:rsid w:val="00B51043"/>
    <w:rsid w:val="00B516B8"/>
    <w:rsid w:val="00B54ACA"/>
    <w:rsid w:val="00B54B6B"/>
    <w:rsid w:val="00B54E51"/>
    <w:rsid w:val="00B55BC5"/>
    <w:rsid w:val="00B562CE"/>
    <w:rsid w:val="00B5768E"/>
    <w:rsid w:val="00B60706"/>
    <w:rsid w:val="00B61939"/>
    <w:rsid w:val="00B6228A"/>
    <w:rsid w:val="00B63EC5"/>
    <w:rsid w:val="00B67057"/>
    <w:rsid w:val="00B7027F"/>
    <w:rsid w:val="00B718EB"/>
    <w:rsid w:val="00B73C21"/>
    <w:rsid w:val="00B75241"/>
    <w:rsid w:val="00B77EB6"/>
    <w:rsid w:val="00B81258"/>
    <w:rsid w:val="00B813CC"/>
    <w:rsid w:val="00B83405"/>
    <w:rsid w:val="00B83B0D"/>
    <w:rsid w:val="00B844CC"/>
    <w:rsid w:val="00B8664A"/>
    <w:rsid w:val="00B90D4D"/>
    <w:rsid w:val="00B9216F"/>
    <w:rsid w:val="00B921AF"/>
    <w:rsid w:val="00B9290A"/>
    <w:rsid w:val="00BA0B04"/>
    <w:rsid w:val="00BA1665"/>
    <w:rsid w:val="00BA384F"/>
    <w:rsid w:val="00BA393D"/>
    <w:rsid w:val="00BA46C0"/>
    <w:rsid w:val="00BA7678"/>
    <w:rsid w:val="00BA7EDF"/>
    <w:rsid w:val="00BB08CC"/>
    <w:rsid w:val="00BB12B5"/>
    <w:rsid w:val="00BB25D3"/>
    <w:rsid w:val="00BB330A"/>
    <w:rsid w:val="00BB375F"/>
    <w:rsid w:val="00BB37D9"/>
    <w:rsid w:val="00BB39B8"/>
    <w:rsid w:val="00BB5017"/>
    <w:rsid w:val="00BB61E8"/>
    <w:rsid w:val="00BC02DD"/>
    <w:rsid w:val="00BC09CC"/>
    <w:rsid w:val="00BC3224"/>
    <w:rsid w:val="00BC4702"/>
    <w:rsid w:val="00BC4C9B"/>
    <w:rsid w:val="00BD10CA"/>
    <w:rsid w:val="00BD2699"/>
    <w:rsid w:val="00BD3E40"/>
    <w:rsid w:val="00BD45F5"/>
    <w:rsid w:val="00BD4720"/>
    <w:rsid w:val="00BD4916"/>
    <w:rsid w:val="00BD64D6"/>
    <w:rsid w:val="00BD7CAC"/>
    <w:rsid w:val="00BE0C81"/>
    <w:rsid w:val="00BE19C3"/>
    <w:rsid w:val="00BE6AEC"/>
    <w:rsid w:val="00BF0D53"/>
    <w:rsid w:val="00BF524A"/>
    <w:rsid w:val="00BF5CBD"/>
    <w:rsid w:val="00C00333"/>
    <w:rsid w:val="00C0068B"/>
    <w:rsid w:val="00C0079F"/>
    <w:rsid w:val="00C01500"/>
    <w:rsid w:val="00C018CB"/>
    <w:rsid w:val="00C02260"/>
    <w:rsid w:val="00C02FE1"/>
    <w:rsid w:val="00C03AE8"/>
    <w:rsid w:val="00C054E5"/>
    <w:rsid w:val="00C07C94"/>
    <w:rsid w:val="00C10C54"/>
    <w:rsid w:val="00C137C5"/>
    <w:rsid w:val="00C13978"/>
    <w:rsid w:val="00C17F4F"/>
    <w:rsid w:val="00C20A82"/>
    <w:rsid w:val="00C222B9"/>
    <w:rsid w:val="00C26213"/>
    <w:rsid w:val="00C316EB"/>
    <w:rsid w:val="00C3260E"/>
    <w:rsid w:val="00C353B0"/>
    <w:rsid w:val="00C3742A"/>
    <w:rsid w:val="00C4344E"/>
    <w:rsid w:val="00C43CFA"/>
    <w:rsid w:val="00C44681"/>
    <w:rsid w:val="00C508CF"/>
    <w:rsid w:val="00C51952"/>
    <w:rsid w:val="00C519AB"/>
    <w:rsid w:val="00C51BD5"/>
    <w:rsid w:val="00C52D9E"/>
    <w:rsid w:val="00C54EE6"/>
    <w:rsid w:val="00C55708"/>
    <w:rsid w:val="00C6398A"/>
    <w:rsid w:val="00C6687F"/>
    <w:rsid w:val="00C6729F"/>
    <w:rsid w:val="00C6793F"/>
    <w:rsid w:val="00C67989"/>
    <w:rsid w:val="00C70308"/>
    <w:rsid w:val="00C70E2B"/>
    <w:rsid w:val="00C72C91"/>
    <w:rsid w:val="00C74376"/>
    <w:rsid w:val="00C74520"/>
    <w:rsid w:val="00C7464E"/>
    <w:rsid w:val="00C76FEE"/>
    <w:rsid w:val="00C77029"/>
    <w:rsid w:val="00C77EA8"/>
    <w:rsid w:val="00C80DCE"/>
    <w:rsid w:val="00C927EC"/>
    <w:rsid w:val="00C93428"/>
    <w:rsid w:val="00C952E4"/>
    <w:rsid w:val="00C960B0"/>
    <w:rsid w:val="00C965B1"/>
    <w:rsid w:val="00CA4B59"/>
    <w:rsid w:val="00CA6E36"/>
    <w:rsid w:val="00CA7934"/>
    <w:rsid w:val="00CA7A19"/>
    <w:rsid w:val="00CB1B1D"/>
    <w:rsid w:val="00CB40F4"/>
    <w:rsid w:val="00CB7794"/>
    <w:rsid w:val="00CC051C"/>
    <w:rsid w:val="00CD13B3"/>
    <w:rsid w:val="00CD166A"/>
    <w:rsid w:val="00CD1742"/>
    <w:rsid w:val="00CD31D6"/>
    <w:rsid w:val="00CD4DB6"/>
    <w:rsid w:val="00CE0465"/>
    <w:rsid w:val="00CE304F"/>
    <w:rsid w:val="00CE44BC"/>
    <w:rsid w:val="00CE5218"/>
    <w:rsid w:val="00CE5333"/>
    <w:rsid w:val="00CE5467"/>
    <w:rsid w:val="00CE7142"/>
    <w:rsid w:val="00CF0B50"/>
    <w:rsid w:val="00CF0E6D"/>
    <w:rsid w:val="00CF4D82"/>
    <w:rsid w:val="00CF72E6"/>
    <w:rsid w:val="00D01557"/>
    <w:rsid w:val="00D022A4"/>
    <w:rsid w:val="00D03849"/>
    <w:rsid w:val="00D0752F"/>
    <w:rsid w:val="00D07B5F"/>
    <w:rsid w:val="00D10F72"/>
    <w:rsid w:val="00D13A35"/>
    <w:rsid w:val="00D159A2"/>
    <w:rsid w:val="00D20F10"/>
    <w:rsid w:val="00D21BEA"/>
    <w:rsid w:val="00D2251B"/>
    <w:rsid w:val="00D23926"/>
    <w:rsid w:val="00D2447C"/>
    <w:rsid w:val="00D31E13"/>
    <w:rsid w:val="00D337A2"/>
    <w:rsid w:val="00D347D0"/>
    <w:rsid w:val="00D424FE"/>
    <w:rsid w:val="00D437AE"/>
    <w:rsid w:val="00D4509A"/>
    <w:rsid w:val="00D45FB5"/>
    <w:rsid w:val="00D463B7"/>
    <w:rsid w:val="00D466D3"/>
    <w:rsid w:val="00D46F8A"/>
    <w:rsid w:val="00D476CD"/>
    <w:rsid w:val="00D51620"/>
    <w:rsid w:val="00D54251"/>
    <w:rsid w:val="00D54EAD"/>
    <w:rsid w:val="00D560F0"/>
    <w:rsid w:val="00D56D5C"/>
    <w:rsid w:val="00D56E23"/>
    <w:rsid w:val="00D6105E"/>
    <w:rsid w:val="00D615DF"/>
    <w:rsid w:val="00D6168C"/>
    <w:rsid w:val="00D6171D"/>
    <w:rsid w:val="00D61B09"/>
    <w:rsid w:val="00D63C31"/>
    <w:rsid w:val="00D6459E"/>
    <w:rsid w:val="00D66ED5"/>
    <w:rsid w:val="00D70070"/>
    <w:rsid w:val="00D701B2"/>
    <w:rsid w:val="00D714C2"/>
    <w:rsid w:val="00D71A2D"/>
    <w:rsid w:val="00D73CF3"/>
    <w:rsid w:val="00D76D39"/>
    <w:rsid w:val="00D77746"/>
    <w:rsid w:val="00D80859"/>
    <w:rsid w:val="00D83975"/>
    <w:rsid w:val="00D9012D"/>
    <w:rsid w:val="00D90219"/>
    <w:rsid w:val="00D924F3"/>
    <w:rsid w:val="00D9275D"/>
    <w:rsid w:val="00D973F6"/>
    <w:rsid w:val="00DA16C4"/>
    <w:rsid w:val="00DA28A3"/>
    <w:rsid w:val="00DA2F2D"/>
    <w:rsid w:val="00DA5034"/>
    <w:rsid w:val="00DB1088"/>
    <w:rsid w:val="00DB293A"/>
    <w:rsid w:val="00DB2A5B"/>
    <w:rsid w:val="00DB2CB4"/>
    <w:rsid w:val="00DC19BF"/>
    <w:rsid w:val="00DC1DD9"/>
    <w:rsid w:val="00DC4235"/>
    <w:rsid w:val="00DC4F9E"/>
    <w:rsid w:val="00DC68A2"/>
    <w:rsid w:val="00DD0AFC"/>
    <w:rsid w:val="00DD1C01"/>
    <w:rsid w:val="00DD1CED"/>
    <w:rsid w:val="00DD1D39"/>
    <w:rsid w:val="00DD25D0"/>
    <w:rsid w:val="00DD3E2B"/>
    <w:rsid w:val="00DD4A93"/>
    <w:rsid w:val="00DD5CE8"/>
    <w:rsid w:val="00DE22F9"/>
    <w:rsid w:val="00DE243E"/>
    <w:rsid w:val="00DE33A2"/>
    <w:rsid w:val="00DE4073"/>
    <w:rsid w:val="00DE5D1A"/>
    <w:rsid w:val="00DE5DFB"/>
    <w:rsid w:val="00DE69EF"/>
    <w:rsid w:val="00DF002D"/>
    <w:rsid w:val="00DF0B63"/>
    <w:rsid w:val="00DF2230"/>
    <w:rsid w:val="00DF2CBE"/>
    <w:rsid w:val="00DF3AB6"/>
    <w:rsid w:val="00DF62DA"/>
    <w:rsid w:val="00DF7087"/>
    <w:rsid w:val="00E0209F"/>
    <w:rsid w:val="00E03C1D"/>
    <w:rsid w:val="00E048EA"/>
    <w:rsid w:val="00E07557"/>
    <w:rsid w:val="00E124A8"/>
    <w:rsid w:val="00E125D8"/>
    <w:rsid w:val="00E1268F"/>
    <w:rsid w:val="00E14AE1"/>
    <w:rsid w:val="00E15178"/>
    <w:rsid w:val="00E15F66"/>
    <w:rsid w:val="00E16054"/>
    <w:rsid w:val="00E16E5A"/>
    <w:rsid w:val="00E251FC"/>
    <w:rsid w:val="00E31D89"/>
    <w:rsid w:val="00E31E8B"/>
    <w:rsid w:val="00E351A4"/>
    <w:rsid w:val="00E42367"/>
    <w:rsid w:val="00E473E3"/>
    <w:rsid w:val="00E477F5"/>
    <w:rsid w:val="00E50CB3"/>
    <w:rsid w:val="00E55E66"/>
    <w:rsid w:val="00E60FB6"/>
    <w:rsid w:val="00E61666"/>
    <w:rsid w:val="00E641ED"/>
    <w:rsid w:val="00E64E20"/>
    <w:rsid w:val="00E71BB7"/>
    <w:rsid w:val="00E751AD"/>
    <w:rsid w:val="00E75F5E"/>
    <w:rsid w:val="00E7606E"/>
    <w:rsid w:val="00E763A7"/>
    <w:rsid w:val="00E80D40"/>
    <w:rsid w:val="00E829D3"/>
    <w:rsid w:val="00E838D0"/>
    <w:rsid w:val="00E840B9"/>
    <w:rsid w:val="00E86DAA"/>
    <w:rsid w:val="00E90640"/>
    <w:rsid w:val="00E957BB"/>
    <w:rsid w:val="00EA0D4F"/>
    <w:rsid w:val="00EA294E"/>
    <w:rsid w:val="00EA344B"/>
    <w:rsid w:val="00EA4634"/>
    <w:rsid w:val="00EA4F0E"/>
    <w:rsid w:val="00EA6BAA"/>
    <w:rsid w:val="00EB10A0"/>
    <w:rsid w:val="00EB1279"/>
    <w:rsid w:val="00EB4A47"/>
    <w:rsid w:val="00EB5A5F"/>
    <w:rsid w:val="00EB6AE9"/>
    <w:rsid w:val="00EC085A"/>
    <w:rsid w:val="00EC1966"/>
    <w:rsid w:val="00EC46E9"/>
    <w:rsid w:val="00EC7495"/>
    <w:rsid w:val="00ED38E8"/>
    <w:rsid w:val="00ED3D9F"/>
    <w:rsid w:val="00ED7169"/>
    <w:rsid w:val="00ED7246"/>
    <w:rsid w:val="00ED7A11"/>
    <w:rsid w:val="00ED7DF1"/>
    <w:rsid w:val="00EE0B63"/>
    <w:rsid w:val="00EE20C9"/>
    <w:rsid w:val="00EE2F33"/>
    <w:rsid w:val="00EE3E5F"/>
    <w:rsid w:val="00EF0CDC"/>
    <w:rsid w:val="00EF26B4"/>
    <w:rsid w:val="00EF304F"/>
    <w:rsid w:val="00EF4956"/>
    <w:rsid w:val="00EF553E"/>
    <w:rsid w:val="00EF6822"/>
    <w:rsid w:val="00F00601"/>
    <w:rsid w:val="00F01655"/>
    <w:rsid w:val="00F02D8A"/>
    <w:rsid w:val="00F042EA"/>
    <w:rsid w:val="00F04997"/>
    <w:rsid w:val="00F107A7"/>
    <w:rsid w:val="00F151F3"/>
    <w:rsid w:val="00F20186"/>
    <w:rsid w:val="00F207D1"/>
    <w:rsid w:val="00F23301"/>
    <w:rsid w:val="00F237C7"/>
    <w:rsid w:val="00F23F95"/>
    <w:rsid w:val="00F26680"/>
    <w:rsid w:val="00F30C08"/>
    <w:rsid w:val="00F315E9"/>
    <w:rsid w:val="00F31CE0"/>
    <w:rsid w:val="00F3211A"/>
    <w:rsid w:val="00F33B16"/>
    <w:rsid w:val="00F34B0C"/>
    <w:rsid w:val="00F35AAC"/>
    <w:rsid w:val="00F40223"/>
    <w:rsid w:val="00F402EE"/>
    <w:rsid w:val="00F40A6F"/>
    <w:rsid w:val="00F41DDC"/>
    <w:rsid w:val="00F472C6"/>
    <w:rsid w:val="00F5074C"/>
    <w:rsid w:val="00F518BC"/>
    <w:rsid w:val="00F53231"/>
    <w:rsid w:val="00F54A83"/>
    <w:rsid w:val="00F56ADB"/>
    <w:rsid w:val="00F56C1C"/>
    <w:rsid w:val="00F640D0"/>
    <w:rsid w:val="00F6413F"/>
    <w:rsid w:val="00F71D44"/>
    <w:rsid w:val="00F727FF"/>
    <w:rsid w:val="00F779DD"/>
    <w:rsid w:val="00F805C6"/>
    <w:rsid w:val="00F872A2"/>
    <w:rsid w:val="00F91F52"/>
    <w:rsid w:val="00F9693D"/>
    <w:rsid w:val="00FA35FC"/>
    <w:rsid w:val="00FA3ED5"/>
    <w:rsid w:val="00FA4EBF"/>
    <w:rsid w:val="00FA6CCC"/>
    <w:rsid w:val="00FA6FD0"/>
    <w:rsid w:val="00FB2514"/>
    <w:rsid w:val="00FB4534"/>
    <w:rsid w:val="00FC281B"/>
    <w:rsid w:val="00FC4016"/>
    <w:rsid w:val="00FC49E6"/>
    <w:rsid w:val="00FC6F1E"/>
    <w:rsid w:val="00FD44E3"/>
    <w:rsid w:val="00FE0A45"/>
    <w:rsid w:val="00FE14C3"/>
    <w:rsid w:val="00FE317E"/>
    <w:rsid w:val="00FE361A"/>
    <w:rsid w:val="00FE5094"/>
    <w:rsid w:val="00FE715B"/>
    <w:rsid w:val="00FF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071E5"/>
  <w15:chartTrackingRefBased/>
  <w15:docId w15:val="{2775F7AC-2CA6-594B-80FB-DBA6B28D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12"/>
    <w:rPr>
      <w:rFonts w:ascii="Times New Roman" w:eastAsia="Times New Roman" w:hAnsi="Times New Roman" w:cs="Times New Roman"/>
    </w:rPr>
  </w:style>
  <w:style w:type="paragraph" w:styleId="Heading1">
    <w:name w:val="heading 1"/>
    <w:basedOn w:val="Normal"/>
    <w:next w:val="Normal"/>
    <w:link w:val="Heading1Char"/>
    <w:uiPriority w:val="9"/>
    <w:qFormat/>
    <w:rsid w:val="002326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26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268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6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26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2689"/>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232689"/>
    <w:pPr>
      <w:spacing w:before="100" w:beforeAutospacing="1" w:after="100" w:afterAutospacing="1"/>
    </w:pPr>
  </w:style>
  <w:style w:type="paragraph" w:styleId="Caption">
    <w:name w:val="caption"/>
    <w:basedOn w:val="Normal"/>
    <w:next w:val="Normal"/>
    <w:uiPriority w:val="35"/>
    <w:unhideWhenUsed/>
    <w:qFormat/>
    <w:rsid w:val="00232689"/>
    <w:pPr>
      <w:spacing w:after="200"/>
    </w:pPr>
    <w:rPr>
      <w:rFonts w:asciiTheme="minorHAnsi" w:eastAsiaTheme="minorHAnsi" w:hAnsiTheme="minorHAnsi" w:cstheme="minorBidi"/>
      <w:i/>
      <w:iCs/>
      <w:color w:val="44546A" w:themeColor="text2"/>
      <w:sz w:val="18"/>
      <w:szCs w:val="18"/>
    </w:rPr>
  </w:style>
  <w:style w:type="character" w:styleId="Hyperlink">
    <w:name w:val="Hyperlink"/>
    <w:basedOn w:val="DefaultParagraphFont"/>
    <w:uiPriority w:val="99"/>
    <w:unhideWhenUsed/>
    <w:rsid w:val="00232689"/>
    <w:rPr>
      <w:color w:val="0563C1" w:themeColor="hyperlink"/>
      <w:u w:val="single"/>
    </w:rPr>
  </w:style>
  <w:style w:type="character" w:styleId="CommentReference">
    <w:name w:val="annotation reference"/>
    <w:basedOn w:val="DefaultParagraphFont"/>
    <w:uiPriority w:val="99"/>
    <w:semiHidden/>
    <w:unhideWhenUsed/>
    <w:rsid w:val="00232689"/>
    <w:rPr>
      <w:sz w:val="16"/>
      <w:szCs w:val="16"/>
    </w:rPr>
  </w:style>
  <w:style w:type="paragraph" w:styleId="ListParagraph">
    <w:name w:val="List Paragraph"/>
    <w:basedOn w:val="Normal"/>
    <w:uiPriority w:val="34"/>
    <w:qFormat/>
    <w:rsid w:val="00232689"/>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232689"/>
    <w:rPr>
      <w:i/>
      <w:iCs/>
    </w:rPr>
  </w:style>
  <w:style w:type="paragraph" w:styleId="CommentText">
    <w:name w:val="annotation text"/>
    <w:basedOn w:val="Normal"/>
    <w:link w:val="CommentTextChar"/>
    <w:uiPriority w:val="99"/>
    <w:unhideWhenUsed/>
    <w:rsid w:val="00232689"/>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32689"/>
    <w:rPr>
      <w:sz w:val="20"/>
      <w:szCs w:val="20"/>
    </w:rPr>
  </w:style>
  <w:style w:type="character" w:styleId="FollowedHyperlink">
    <w:name w:val="FollowedHyperlink"/>
    <w:basedOn w:val="DefaultParagraphFont"/>
    <w:uiPriority w:val="99"/>
    <w:semiHidden/>
    <w:unhideWhenUsed/>
    <w:rsid w:val="00232689"/>
    <w:rPr>
      <w:color w:val="954F72" w:themeColor="followedHyperlink"/>
      <w:u w:val="single"/>
    </w:rPr>
  </w:style>
  <w:style w:type="character" w:styleId="UnresolvedMention">
    <w:name w:val="Unresolved Mention"/>
    <w:basedOn w:val="DefaultParagraphFont"/>
    <w:uiPriority w:val="99"/>
    <w:semiHidden/>
    <w:unhideWhenUsed/>
    <w:rsid w:val="0023268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32689"/>
    <w:rPr>
      <w:b/>
      <w:bCs/>
    </w:rPr>
  </w:style>
  <w:style w:type="character" w:customStyle="1" w:styleId="CommentSubjectChar">
    <w:name w:val="Comment Subject Char"/>
    <w:basedOn w:val="CommentTextChar"/>
    <w:link w:val="CommentSubject"/>
    <w:uiPriority w:val="99"/>
    <w:semiHidden/>
    <w:rsid w:val="00232689"/>
    <w:rPr>
      <w:b/>
      <w:bCs/>
      <w:sz w:val="20"/>
      <w:szCs w:val="20"/>
    </w:rPr>
  </w:style>
  <w:style w:type="paragraph" w:styleId="Header">
    <w:name w:val="header"/>
    <w:basedOn w:val="Normal"/>
    <w:link w:val="HeaderChar"/>
    <w:uiPriority w:val="99"/>
    <w:unhideWhenUsed/>
    <w:rsid w:val="00232689"/>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2689"/>
  </w:style>
  <w:style w:type="paragraph" w:styleId="Footer">
    <w:name w:val="footer"/>
    <w:basedOn w:val="Normal"/>
    <w:link w:val="FooterChar"/>
    <w:uiPriority w:val="99"/>
    <w:unhideWhenUsed/>
    <w:rsid w:val="00232689"/>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2689"/>
  </w:style>
  <w:style w:type="character" w:styleId="PageNumber">
    <w:name w:val="page number"/>
    <w:basedOn w:val="DefaultParagraphFont"/>
    <w:uiPriority w:val="99"/>
    <w:semiHidden/>
    <w:unhideWhenUsed/>
    <w:rsid w:val="00232689"/>
  </w:style>
  <w:style w:type="paragraph" w:styleId="BalloonText">
    <w:name w:val="Balloon Text"/>
    <w:basedOn w:val="Normal"/>
    <w:link w:val="BalloonTextChar"/>
    <w:uiPriority w:val="99"/>
    <w:semiHidden/>
    <w:unhideWhenUsed/>
    <w:rsid w:val="009719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968"/>
    <w:rPr>
      <w:rFonts w:ascii="Segoe UI" w:eastAsia="Times New Roman" w:hAnsi="Segoe UI" w:cs="Segoe UI"/>
      <w:sz w:val="18"/>
      <w:szCs w:val="18"/>
    </w:rPr>
  </w:style>
  <w:style w:type="paragraph" w:styleId="Revision">
    <w:name w:val="Revision"/>
    <w:hidden/>
    <w:uiPriority w:val="99"/>
    <w:semiHidden/>
    <w:rsid w:val="00971968"/>
    <w:rPr>
      <w:rFonts w:ascii="Times New Roman" w:eastAsia="Times New Roman" w:hAnsi="Times New Roman" w:cs="Times New Roman"/>
    </w:rPr>
  </w:style>
  <w:style w:type="character" w:customStyle="1" w:styleId="normaltextrun">
    <w:name w:val="normaltextrun"/>
    <w:basedOn w:val="DefaultParagraphFont"/>
    <w:rsid w:val="00B718EB"/>
  </w:style>
  <w:style w:type="character" w:customStyle="1" w:styleId="eop">
    <w:name w:val="eop"/>
    <w:basedOn w:val="DefaultParagraphFont"/>
    <w:rsid w:val="00B718EB"/>
  </w:style>
  <w:style w:type="paragraph" w:styleId="FootnoteText">
    <w:name w:val="footnote text"/>
    <w:basedOn w:val="Normal"/>
    <w:link w:val="FootnoteTextChar"/>
    <w:unhideWhenUsed/>
    <w:rsid w:val="00B63EC5"/>
    <w:pPr>
      <w:jc w:val="both"/>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B63EC5"/>
    <w:rPr>
      <w:sz w:val="20"/>
      <w:szCs w:val="20"/>
    </w:rPr>
  </w:style>
  <w:style w:type="character" w:styleId="FootnoteReference">
    <w:name w:val="footnote reference"/>
    <w:basedOn w:val="DefaultParagraphFont"/>
    <w:semiHidden/>
    <w:unhideWhenUsed/>
    <w:rsid w:val="00B63EC5"/>
    <w:rPr>
      <w:vertAlign w:val="superscript"/>
    </w:rPr>
  </w:style>
  <w:style w:type="paragraph" w:customStyle="1" w:styleId="MTDisplayEquation">
    <w:name w:val="MTDisplayEquation"/>
    <w:basedOn w:val="Normal"/>
    <w:link w:val="MTDisplayEquationChar"/>
    <w:rsid w:val="009C6DA3"/>
    <w:pPr>
      <w:tabs>
        <w:tab w:val="center" w:pos="4680"/>
        <w:tab w:val="right" w:pos="9360"/>
      </w:tabs>
      <w:jc w:val="both"/>
    </w:pPr>
  </w:style>
  <w:style w:type="character" w:customStyle="1" w:styleId="MTDisplayEquationChar">
    <w:name w:val="MTDisplayEquation Char"/>
    <w:basedOn w:val="DefaultParagraphFont"/>
    <w:link w:val="MTDisplayEquation"/>
    <w:rsid w:val="009C6DA3"/>
    <w:rPr>
      <w:rFonts w:ascii="Times New Roman" w:eastAsia="Times New Roman" w:hAnsi="Times New Roman" w:cs="Times New Roman"/>
    </w:rPr>
  </w:style>
  <w:style w:type="character" w:customStyle="1" w:styleId="ref-title">
    <w:name w:val="ref-title"/>
    <w:basedOn w:val="DefaultParagraphFont"/>
    <w:rsid w:val="003566EF"/>
  </w:style>
  <w:style w:type="character" w:customStyle="1" w:styleId="ref-journal">
    <w:name w:val="ref-journal"/>
    <w:basedOn w:val="DefaultParagraphFont"/>
    <w:rsid w:val="003566EF"/>
  </w:style>
  <w:style w:type="character" w:customStyle="1" w:styleId="ref-vol">
    <w:name w:val="ref-vol"/>
    <w:basedOn w:val="DefaultParagraphFont"/>
    <w:rsid w:val="003566EF"/>
  </w:style>
  <w:style w:type="character" w:customStyle="1" w:styleId="ref-iss">
    <w:name w:val="ref-iss"/>
    <w:basedOn w:val="DefaultParagraphFont"/>
    <w:rsid w:val="003566EF"/>
  </w:style>
  <w:style w:type="character" w:customStyle="1" w:styleId="authors">
    <w:name w:val="authors"/>
    <w:basedOn w:val="DefaultParagraphFont"/>
    <w:rsid w:val="00D13A35"/>
  </w:style>
  <w:style w:type="character" w:customStyle="1" w:styleId="Date1">
    <w:name w:val="Date1"/>
    <w:basedOn w:val="DefaultParagraphFont"/>
    <w:rsid w:val="00D13A35"/>
  </w:style>
  <w:style w:type="character" w:customStyle="1" w:styleId="arttitle">
    <w:name w:val="art_title"/>
    <w:basedOn w:val="DefaultParagraphFont"/>
    <w:rsid w:val="00D13A35"/>
  </w:style>
  <w:style w:type="character" w:customStyle="1" w:styleId="serialtitle">
    <w:name w:val="serial_title"/>
    <w:basedOn w:val="DefaultParagraphFont"/>
    <w:rsid w:val="00D13A35"/>
  </w:style>
  <w:style w:type="character" w:customStyle="1" w:styleId="doilink">
    <w:name w:val="doi_link"/>
    <w:basedOn w:val="DefaultParagraphFont"/>
    <w:rsid w:val="00D13A35"/>
  </w:style>
  <w:style w:type="character" w:customStyle="1" w:styleId="anchor-text">
    <w:name w:val="anchor-text"/>
    <w:basedOn w:val="DefaultParagraphFont"/>
    <w:rsid w:val="00AE7896"/>
  </w:style>
  <w:style w:type="table" w:styleId="TableGrid">
    <w:name w:val="Table Grid"/>
    <w:basedOn w:val="TableNormal"/>
    <w:uiPriority w:val="39"/>
    <w:rsid w:val="00573F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73FED"/>
    <w:pPr>
      <w:spacing w:after="120" w:line="360" w:lineRule="auto"/>
      <w:ind w:firstLine="720"/>
    </w:pPr>
  </w:style>
  <w:style w:type="character" w:customStyle="1" w:styleId="BodyText2Char">
    <w:name w:val="Body Text 2 Char"/>
    <w:basedOn w:val="DefaultParagraphFont"/>
    <w:link w:val="BodyText2"/>
    <w:rsid w:val="00573FED"/>
    <w:rPr>
      <w:rFonts w:ascii="Times New Roman" w:eastAsia="Times New Roman" w:hAnsi="Times New Roman" w:cs="Times New Roman"/>
    </w:rPr>
  </w:style>
  <w:style w:type="paragraph" w:customStyle="1" w:styleId="dx-doi">
    <w:name w:val="dx-doi"/>
    <w:basedOn w:val="Normal"/>
    <w:rsid w:val="00DF7087"/>
    <w:pPr>
      <w:spacing w:before="100" w:beforeAutospacing="1" w:after="100" w:afterAutospacing="1"/>
    </w:pPr>
  </w:style>
  <w:style w:type="character" w:customStyle="1" w:styleId="title-text">
    <w:name w:val="title-text"/>
    <w:basedOn w:val="DefaultParagraphFont"/>
    <w:rsid w:val="0015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4064">
      <w:bodyDiv w:val="1"/>
      <w:marLeft w:val="0"/>
      <w:marRight w:val="0"/>
      <w:marTop w:val="0"/>
      <w:marBottom w:val="0"/>
      <w:divBdr>
        <w:top w:val="none" w:sz="0" w:space="0" w:color="auto"/>
        <w:left w:val="none" w:sz="0" w:space="0" w:color="auto"/>
        <w:bottom w:val="none" w:sz="0" w:space="0" w:color="auto"/>
        <w:right w:val="none" w:sz="0" w:space="0" w:color="auto"/>
      </w:divBdr>
      <w:divsChild>
        <w:div w:id="1919905489">
          <w:marLeft w:val="0"/>
          <w:marRight w:val="0"/>
          <w:marTop w:val="0"/>
          <w:marBottom w:val="0"/>
          <w:divBdr>
            <w:top w:val="none" w:sz="0" w:space="0" w:color="auto"/>
            <w:left w:val="none" w:sz="0" w:space="0" w:color="auto"/>
            <w:bottom w:val="none" w:sz="0" w:space="0" w:color="auto"/>
            <w:right w:val="none" w:sz="0" w:space="0" w:color="auto"/>
          </w:divBdr>
          <w:divsChild>
            <w:div w:id="372387336">
              <w:marLeft w:val="0"/>
              <w:marRight w:val="0"/>
              <w:marTop w:val="0"/>
              <w:marBottom w:val="0"/>
              <w:divBdr>
                <w:top w:val="none" w:sz="0" w:space="0" w:color="auto"/>
                <w:left w:val="none" w:sz="0" w:space="0" w:color="auto"/>
                <w:bottom w:val="none" w:sz="0" w:space="0" w:color="auto"/>
                <w:right w:val="none" w:sz="0" w:space="0" w:color="auto"/>
              </w:divBdr>
              <w:divsChild>
                <w:div w:id="2585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2066">
      <w:bodyDiv w:val="1"/>
      <w:marLeft w:val="0"/>
      <w:marRight w:val="0"/>
      <w:marTop w:val="0"/>
      <w:marBottom w:val="0"/>
      <w:divBdr>
        <w:top w:val="none" w:sz="0" w:space="0" w:color="auto"/>
        <w:left w:val="none" w:sz="0" w:space="0" w:color="auto"/>
        <w:bottom w:val="none" w:sz="0" w:space="0" w:color="auto"/>
        <w:right w:val="none" w:sz="0" w:space="0" w:color="auto"/>
      </w:divBdr>
    </w:div>
    <w:div w:id="265357634">
      <w:bodyDiv w:val="1"/>
      <w:marLeft w:val="0"/>
      <w:marRight w:val="0"/>
      <w:marTop w:val="0"/>
      <w:marBottom w:val="0"/>
      <w:divBdr>
        <w:top w:val="none" w:sz="0" w:space="0" w:color="auto"/>
        <w:left w:val="none" w:sz="0" w:space="0" w:color="auto"/>
        <w:bottom w:val="none" w:sz="0" w:space="0" w:color="auto"/>
        <w:right w:val="none" w:sz="0" w:space="0" w:color="auto"/>
      </w:divBdr>
    </w:div>
    <w:div w:id="377824494">
      <w:bodyDiv w:val="1"/>
      <w:marLeft w:val="0"/>
      <w:marRight w:val="0"/>
      <w:marTop w:val="0"/>
      <w:marBottom w:val="0"/>
      <w:divBdr>
        <w:top w:val="none" w:sz="0" w:space="0" w:color="auto"/>
        <w:left w:val="none" w:sz="0" w:space="0" w:color="auto"/>
        <w:bottom w:val="none" w:sz="0" w:space="0" w:color="auto"/>
        <w:right w:val="none" w:sz="0" w:space="0" w:color="auto"/>
      </w:divBdr>
    </w:div>
    <w:div w:id="378943556">
      <w:bodyDiv w:val="1"/>
      <w:marLeft w:val="0"/>
      <w:marRight w:val="0"/>
      <w:marTop w:val="0"/>
      <w:marBottom w:val="0"/>
      <w:divBdr>
        <w:top w:val="none" w:sz="0" w:space="0" w:color="auto"/>
        <w:left w:val="none" w:sz="0" w:space="0" w:color="auto"/>
        <w:bottom w:val="none" w:sz="0" w:space="0" w:color="auto"/>
        <w:right w:val="none" w:sz="0" w:space="0" w:color="auto"/>
      </w:divBdr>
    </w:div>
    <w:div w:id="425535872">
      <w:bodyDiv w:val="1"/>
      <w:marLeft w:val="0"/>
      <w:marRight w:val="0"/>
      <w:marTop w:val="0"/>
      <w:marBottom w:val="0"/>
      <w:divBdr>
        <w:top w:val="none" w:sz="0" w:space="0" w:color="auto"/>
        <w:left w:val="none" w:sz="0" w:space="0" w:color="auto"/>
        <w:bottom w:val="none" w:sz="0" w:space="0" w:color="auto"/>
        <w:right w:val="none" w:sz="0" w:space="0" w:color="auto"/>
      </w:divBdr>
    </w:div>
    <w:div w:id="428698148">
      <w:bodyDiv w:val="1"/>
      <w:marLeft w:val="0"/>
      <w:marRight w:val="0"/>
      <w:marTop w:val="0"/>
      <w:marBottom w:val="0"/>
      <w:divBdr>
        <w:top w:val="none" w:sz="0" w:space="0" w:color="auto"/>
        <w:left w:val="none" w:sz="0" w:space="0" w:color="auto"/>
        <w:bottom w:val="none" w:sz="0" w:space="0" w:color="auto"/>
        <w:right w:val="none" w:sz="0" w:space="0" w:color="auto"/>
      </w:divBdr>
      <w:divsChild>
        <w:div w:id="1447701541">
          <w:marLeft w:val="0"/>
          <w:marRight w:val="0"/>
          <w:marTop w:val="0"/>
          <w:marBottom w:val="0"/>
          <w:divBdr>
            <w:top w:val="none" w:sz="0" w:space="0" w:color="auto"/>
            <w:left w:val="none" w:sz="0" w:space="0" w:color="auto"/>
            <w:bottom w:val="none" w:sz="0" w:space="0" w:color="auto"/>
            <w:right w:val="none" w:sz="0" w:space="0" w:color="auto"/>
          </w:divBdr>
          <w:divsChild>
            <w:div w:id="436099597">
              <w:marLeft w:val="0"/>
              <w:marRight w:val="0"/>
              <w:marTop w:val="0"/>
              <w:marBottom w:val="0"/>
              <w:divBdr>
                <w:top w:val="none" w:sz="0" w:space="0" w:color="auto"/>
                <w:left w:val="none" w:sz="0" w:space="0" w:color="auto"/>
                <w:bottom w:val="none" w:sz="0" w:space="0" w:color="auto"/>
                <w:right w:val="none" w:sz="0" w:space="0" w:color="auto"/>
              </w:divBdr>
              <w:divsChild>
                <w:div w:id="14927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3727">
      <w:bodyDiv w:val="1"/>
      <w:marLeft w:val="0"/>
      <w:marRight w:val="0"/>
      <w:marTop w:val="0"/>
      <w:marBottom w:val="0"/>
      <w:divBdr>
        <w:top w:val="none" w:sz="0" w:space="0" w:color="auto"/>
        <w:left w:val="none" w:sz="0" w:space="0" w:color="auto"/>
        <w:bottom w:val="none" w:sz="0" w:space="0" w:color="auto"/>
        <w:right w:val="none" w:sz="0" w:space="0" w:color="auto"/>
      </w:divBdr>
      <w:divsChild>
        <w:div w:id="25370337">
          <w:marLeft w:val="0"/>
          <w:marRight w:val="0"/>
          <w:marTop w:val="0"/>
          <w:marBottom w:val="0"/>
          <w:divBdr>
            <w:top w:val="none" w:sz="0" w:space="0" w:color="auto"/>
            <w:left w:val="none" w:sz="0" w:space="0" w:color="auto"/>
            <w:bottom w:val="none" w:sz="0" w:space="0" w:color="auto"/>
            <w:right w:val="none" w:sz="0" w:space="0" w:color="auto"/>
          </w:divBdr>
          <w:divsChild>
            <w:div w:id="1136681988">
              <w:marLeft w:val="0"/>
              <w:marRight w:val="0"/>
              <w:marTop w:val="0"/>
              <w:marBottom w:val="0"/>
              <w:divBdr>
                <w:top w:val="none" w:sz="0" w:space="0" w:color="auto"/>
                <w:left w:val="none" w:sz="0" w:space="0" w:color="auto"/>
                <w:bottom w:val="none" w:sz="0" w:space="0" w:color="auto"/>
                <w:right w:val="none" w:sz="0" w:space="0" w:color="auto"/>
              </w:divBdr>
              <w:divsChild>
                <w:div w:id="16857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8504">
      <w:bodyDiv w:val="1"/>
      <w:marLeft w:val="0"/>
      <w:marRight w:val="0"/>
      <w:marTop w:val="0"/>
      <w:marBottom w:val="0"/>
      <w:divBdr>
        <w:top w:val="none" w:sz="0" w:space="0" w:color="auto"/>
        <w:left w:val="none" w:sz="0" w:space="0" w:color="auto"/>
        <w:bottom w:val="none" w:sz="0" w:space="0" w:color="auto"/>
        <w:right w:val="none" w:sz="0" w:space="0" w:color="auto"/>
      </w:divBdr>
      <w:divsChild>
        <w:div w:id="996542252">
          <w:marLeft w:val="0"/>
          <w:marRight w:val="0"/>
          <w:marTop w:val="0"/>
          <w:marBottom w:val="0"/>
          <w:divBdr>
            <w:top w:val="none" w:sz="0" w:space="0" w:color="auto"/>
            <w:left w:val="none" w:sz="0" w:space="0" w:color="auto"/>
            <w:bottom w:val="none" w:sz="0" w:space="0" w:color="auto"/>
            <w:right w:val="none" w:sz="0" w:space="0" w:color="auto"/>
          </w:divBdr>
          <w:divsChild>
            <w:div w:id="1559440355">
              <w:marLeft w:val="0"/>
              <w:marRight w:val="0"/>
              <w:marTop w:val="0"/>
              <w:marBottom w:val="0"/>
              <w:divBdr>
                <w:top w:val="none" w:sz="0" w:space="0" w:color="auto"/>
                <w:left w:val="none" w:sz="0" w:space="0" w:color="auto"/>
                <w:bottom w:val="none" w:sz="0" w:space="0" w:color="auto"/>
                <w:right w:val="none" w:sz="0" w:space="0" w:color="auto"/>
              </w:divBdr>
              <w:divsChild>
                <w:div w:id="2631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774551">
      <w:bodyDiv w:val="1"/>
      <w:marLeft w:val="0"/>
      <w:marRight w:val="0"/>
      <w:marTop w:val="0"/>
      <w:marBottom w:val="0"/>
      <w:divBdr>
        <w:top w:val="none" w:sz="0" w:space="0" w:color="auto"/>
        <w:left w:val="none" w:sz="0" w:space="0" w:color="auto"/>
        <w:bottom w:val="none" w:sz="0" w:space="0" w:color="auto"/>
        <w:right w:val="none" w:sz="0" w:space="0" w:color="auto"/>
      </w:divBdr>
    </w:div>
    <w:div w:id="623775578">
      <w:bodyDiv w:val="1"/>
      <w:marLeft w:val="0"/>
      <w:marRight w:val="0"/>
      <w:marTop w:val="0"/>
      <w:marBottom w:val="0"/>
      <w:divBdr>
        <w:top w:val="none" w:sz="0" w:space="0" w:color="auto"/>
        <w:left w:val="none" w:sz="0" w:space="0" w:color="auto"/>
        <w:bottom w:val="none" w:sz="0" w:space="0" w:color="auto"/>
        <w:right w:val="none" w:sz="0" w:space="0" w:color="auto"/>
      </w:divBdr>
    </w:div>
    <w:div w:id="8908493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231">
          <w:marLeft w:val="0"/>
          <w:marRight w:val="0"/>
          <w:marTop w:val="0"/>
          <w:marBottom w:val="0"/>
          <w:divBdr>
            <w:top w:val="none" w:sz="0" w:space="0" w:color="auto"/>
            <w:left w:val="none" w:sz="0" w:space="0" w:color="auto"/>
            <w:bottom w:val="none" w:sz="0" w:space="0" w:color="auto"/>
            <w:right w:val="none" w:sz="0" w:space="0" w:color="auto"/>
          </w:divBdr>
          <w:divsChild>
            <w:div w:id="1028289270">
              <w:marLeft w:val="0"/>
              <w:marRight w:val="0"/>
              <w:marTop w:val="0"/>
              <w:marBottom w:val="0"/>
              <w:divBdr>
                <w:top w:val="none" w:sz="0" w:space="0" w:color="auto"/>
                <w:left w:val="none" w:sz="0" w:space="0" w:color="auto"/>
                <w:bottom w:val="none" w:sz="0" w:space="0" w:color="auto"/>
                <w:right w:val="none" w:sz="0" w:space="0" w:color="auto"/>
              </w:divBdr>
              <w:divsChild>
                <w:div w:id="10586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4306">
      <w:bodyDiv w:val="1"/>
      <w:marLeft w:val="0"/>
      <w:marRight w:val="0"/>
      <w:marTop w:val="0"/>
      <w:marBottom w:val="0"/>
      <w:divBdr>
        <w:top w:val="none" w:sz="0" w:space="0" w:color="auto"/>
        <w:left w:val="none" w:sz="0" w:space="0" w:color="auto"/>
        <w:bottom w:val="none" w:sz="0" w:space="0" w:color="auto"/>
        <w:right w:val="none" w:sz="0" w:space="0" w:color="auto"/>
      </w:divBdr>
    </w:div>
    <w:div w:id="951787963">
      <w:bodyDiv w:val="1"/>
      <w:marLeft w:val="0"/>
      <w:marRight w:val="0"/>
      <w:marTop w:val="0"/>
      <w:marBottom w:val="0"/>
      <w:divBdr>
        <w:top w:val="none" w:sz="0" w:space="0" w:color="auto"/>
        <w:left w:val="none" w:sz="0" w:space="0" w:color="auto"/>
        <w:bottom w:val="none" w:sz="0" w:space="0" w:color="auto"/>
        <w:right w:val="none" w:sz="0" w:space="0" w:color="auto"/>
      </w:divBdr>
    </w:div>
    <w:div w:id="962347449">
      <w:bodyDiv w:val="1"/>
      <w:marLeft w:val="0"/>
      <w:marRight w:val="0"/>
      <w:marTop w:val="0"/>
      <w:marBottom w:val="0"/>
      <w:divBdr>
        <w:top w:val="none" w:sz="0" w:space="0" w:color="auto"/>
        <w:left w:val="none" w:sz="0" w:space="0" w:color="auto"/>
        <w:bottom w:val="none" w:sz="0" w:space="0" w:color="auto"/>
        <w:right w:val="none" w:sz="0" w:space="0" w:color="auto"/>
      </w:divBdr>
      <w:divsChild>
        <w:div w:id="416293878">
          <w:marLeft w:val="0"/>
          <w:marRight w:val="0"/>
          <w:marTop w:val="0"/>
          <w:marBottom w:val="0"/>
          <w:divBdr>
            <w:top w:val="none" w:sz="0" w:space="0" w:color="auto"/>
            <w:left w:val="none" w:sz="0" w:space="0" w:color="auto"/>
            <w:bottom w:val="none" w:sz="0" w:space="0" w:color="auto"/>
            <w:right w:val="none" w:sz="0" w:space="0" w:color="auto"/>
          </w:divBdr>
          <w:divsChild>
            <w:div w:id="1986079227">
              <w:marLeft w:val="0"/>
              <w:marRight w:val="0"/>
              <w:marTop w:val="0"/>
              <w:marBottom w:val="0"/>
              <w:divBdr>
                <w:top w:val="none" w:sz="0" w:space="0" w:color="auto"/>
                <w:left w:val="none" w:sz="0" w:space="0" w:color="auto"/>
                <w:bottom w:val="none" w:sz="0" w:space="0" w:color="auto"/>
                <w:right w:val="none" w:sz="0" w:space="0" w:color="auto"/>
              </w:divBdr>
              <w:divsChild>
                <w:div w:id="16875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2168">
      <w:bodyDiv w:val="1"/>
      <w:marLeft w:val="0"/>
      <w:marRight w:val="0"/>
      <w:marTop w:val="0"/>
      <w:marBottom w:val="0"/>
      <w:divBdr>
        <w:top w:val="none" w:sz="0" w:space="0" w:color="auto"/>
        <w:left w:val="none" w:sz="0" w:space="0" w:color="auto"/>
        <w:bottom w:val="none" w:sz="0" w:space="0" w:color="auto"/>
        <w:right w:val="none" w:sz="0" w:space="0" w:color="auto"/>
      </w:divBdr>
    </w:div>
    <w:div w:id="1134299622">
      <w:bodyDiv w:val="1"/>
      <w:marLeft w:val="0"/>
      <w:marRight w:val="0"/>
      <w:marTop w:val="0"/>
      <w:marBottom w:val="0"/>
      <w:divBdr>
        <w:top w:val="none" w:sz="0" w:space="0" w:color="auto"/>
        <w:left w:val="none" w:sz="0" w:space="0" w:color="auto"/>
        <w:bottom w:val="none" w:sz="0" w:space="0" w:color="auto"/>
        <w:right w:val="none" w:sz="0" w:space="0" w:color="auto"/>
      </w:divBdr>
    </w:div>
    <w:div w:id="1167746032">
      <w:bodyDiv w:val="1"/>
      <w:marLeft w:val="0"/>
      <w:marRight w:val="0"/>
      <w:marTop w:val="0"/>
      <w:marBottom w:val="0"/>
      <w:divBdr>
        <w:top w:val="none" w:sz="0" w:space="0" w:color="auto"/>
        <w:left w:val="none" w:sz="0" w:space="0" w:color="auto"/>
        <w:bottom w:val="none" w:sz="0" w:space="0" w:color="auto"/>
        <w:right w:val="none" w:sz="0" w:space="0" w:color="auto"/>
      </w:divBdr>
      <w:divsChild>
        <w:div w:id="867179554">
          <w:marLeft w:val="0"/>
          <w:marRight w:val="0"/>
          <w:marTop w:val="0"/>
          <w:marBottom w:val="0"/>
          <w:divBdr>
            <w:top w:val="none" w:sz="0" w:space="0" w:color="auto"/>
            <w:left w:val="none" w:sz="0" w:space="0" w:color="auto"/>
            <w:bottom w:val="none" w:sz="0" w:space="0" w:color="auto"/>
            <w:right w:val="none" w:sz="0" w:space="0" w:color="auto"/>
          </w:divBdr>
          <w:divsChild>
            <w:div w:id="955910483">
              <w:marLeft w:val="0"/>
              <w:marRight w:val="0"/>
              <w:marTop w:val="0"/>
              <w:marBottom w:val="0"/>
              <w:divBdr>
                <w:top w:val="none" w:sz="0" w:space="0" w:color="auto"/>
                <w:left w:val="none" w:sz="0" w:space="0" w:color="auto"/>
                <w:bottom w:val="none" w:sz="0" w:space="0" w:color="auto"/>
                <w:right w:val="none" w:sz="0" w:space="0" w:color="auto"/>
              </w:divBdr>
              <w:divsChild>
                <w:div w:id="6297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2076">
      <w:bodyDiv w:val="1"/>
      <w:marLeft w:val="0"/>
      <w:marRight w:val="0"/>
      <w:marTop w:val="0"/>
      <w:marBottom w:val="0"/>
      <w:divBdr>
        <w:top w:val="none" w:sz="0" w:space="0" w:color="auto"/>
        <w:left w:val="none" w:sz="0" w:space="0" w:color="auto"/>
        <w:bottom w:val="none" w:sz="0" w:space="0" w:color="auto"/>
        <w:right w:val="none" w:sz="0" w:space="0" w:color="auto"/>
      </w:divBdr>
    </w:div>
    <w:div w:id="1225331855">
      <w:bodyDiv w:val="1"/>
      <w:marLeft w:val="0"/>
      <w:marRight w:val="0"/>
      <w:marTop w:val="0"/>
      <w:marBottom w:val="0"/>
      <w:divBdr>
        <w:top w:val="none" w:sz="0" w:space="0" w:color="auto"/>
        <w:left w:val="none" w:sz="0" w:space="0" w:color="auto"/>
        <w:bottom w:val="none" w:sz="0" w:space="0" w:color="auto"/>
        <w:right w:val="none" w:sz="0" w:space="0" w:color="auto"/>
      </w:divBdr>
    </w:div>
    <w:div w:id="1287812465">
      <w:bodyDiv w:val="1"/>
      <w:marLeft w:val="0"/>
      <w:marRight w:val="0"/>
      <w:marTop w:val="0"/>
      <w:marBottom w:val="0"/>
      <w:divBdr>
        <w:top w:val="none" w:sz="0" w:space="0" w:color="auto"/>
        <w:left w:val="none" w:sz="0" w:space="0" w:color="auto"/>
        <w:bottom w:val="none" w:sz="0" w:space="0" w:color="auto"/>
        <w:right w:val="none" w:sz="0" w:space="0" w:color="auto"/>
      </w:divBdr>
      <w:divsChild>
        <w:div w:id="867068477">
          <w:marLeft w:val="0"/>
          <w:marRight w:val="0"/>
          <w:marTop w:val="0"/>
          <w:marBottom w:val="0"/>
          <w:divBdr>
            <w:top w:val="none" w:sz="0" w:space="0" w:color="auto"/>
            <w:left w:val="none" w:sz="0" w:space="0" w:color="auto"/>
            <w:bottom w:val="none" w:sz="0" w:space="0" w:color="auto"/>
            <w:right w:val="none" w:sz="0" w:space="0" w:color="auto"/>
          </w:divBdr>
          <w:divsChild>
            <w:div w:id="768697022">
              <w:marLeft w:val="0"/>
              <w:marRight w:val="0"/>
              <w:marTop w:val="0"/>
              <w:marBottom w:val="0"/>
              <w:divBdr>
                <w:top w:val="none" w:sz="0" w:space="0" w:color="auto"/>
                <w:left w:val="none" w:sz="0" w:space="0" w:color="auto"/>
                <w:bottom w:val="none" w:sz="0" w:space="0" w:color="auto"/>
                <w:right w:val="none" w:sz="0" w:space="0" w:color="auto"/>
              </w:divBdr>
              <w:divsChild>
                <w:div w:id="15201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9628">
      <w:bodyDiv w:val="1"/>
      <w:marLeft w:val="0"/>
      <w:marRight w:val="0"/>
      <w:marTop w:val="0"/>
      <w:marBottom w:val="0"/>
      <w:divBdr>
        <w:top w:val="none" w:sz="0" w:space="0" w:color="auto"/>
        <w:left w:val="none" w:sz="0" w:space="0" w:color="auto"/>
        <w:bottom w:val="none" w:sz="0" w:space="0" w:color="auto"/>
        <w:right w:val="none" w:sz="0" w:space="0" w:color="auto"/>
      </w:divBdr>
    </w:div>
    <w:div w:id="1357387284">
      <w:bodyDiv w:val="1"/>
      <w:marLeft w:val="0"/>
      <w:marRight w:val="0"/>
      <w:marTop w:val="0"/>
      <w:marBottom w:val="0"/>
      <w:divBdr>
        <w:top w:val="none" w:sz="0" w:space="0" w:color="auto"/>
        <w:left w:val="none" w:sz="0" w:space="0" w:color="auto"/>
        <w:bottom w:val="none" w:sz="0" w:space="0" w:color="auto"/>
        <w:right w:val="none" w:sz="0" w:space="0" w:color="auto"/>
      </w:divBdr>
    </w:div>
    <w:div w:id="1423339468">
      <w:bodyDiv w:val="1"/>
      <w:marLeft w:val="0"/>
      <w:marRight w:val="0"/>
      <w:marTop w:val="0"/>
      <w:marBottom w:val="0"/>
      <w:divBdr>
        <w:top w:val="none" w:sz="0" w:space="0" w:color="auto"/>
        <w:left w:val="none" w:sz="0" w:space="0" w:color="auto"/>
        <w:bottom w:val="none" w:sz="0" w:space="0" w:color="auto"/>
        <w:right w:val="none" w:sz="0" w:space="0" w:color="auto"/>
      </w:divBdr>
      <w:divsChild>
        <w:div w:id="300497199">
          <w:marLeft w:val="0"/>
          <w:marRight w:val="0"/>
          <w:marTop w:val="0"/>
          <w:marBottom w:val="0"/>
          <w:divBdr>
            <w:top w:val="none" w:sz="0" w:space="0" w:color="auto"/>
            <w:left w:val="none" w:sz="0" w:space="0" w:color="auto"/>
            <w:bottom w:val="none" w:sz="0" w:space="0" w:color="auto"/>
            <w:right w:val="none" w:sz="0" w:space="0" w:color="auto"/>
          </w:divBdr>
          <w:divsChild>
            <w:div w:id="2060469744">
              <w:marLeft w:val="0"/>
              <w:marRight w:val="0"/>
              <w:marTop w:val="0"/>
              <w:marBottom w:val="0"/>
              <w:divBdr>
                <w:top w:val="none" w:sz="0" w:space="0" w:color="auto"/>
                <w:left w:val="none" w:sz="0" w:space="0" w:color="auto"/>
                <w:bottom w:val="none" w:sz="0" w:space="0" w:color="auto"/>
                <w:right w:val="none" w:sz="0" w:space="0" w:color="auto"/>
              </w:divBdr>
              <w:divsChild>
                <w:div w:id="17842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95758">
      <w:bodyDiv w:val="1"/>
      <w:marLeft w:val="0"/>
      <w:marRight w:val="0"/>
      <w:marTop w:val="0"/>
      <w:marBottom w:val="0"/>
      <w:divBdr>
        <w:top w:val="none" w:sz="0" w:space="0" w:color="auto"/>
        <w:left w:val="none" w:sz="0" w:space="0" w:color="auto"/>
        <w:bottom w:val="none" w:sz="0" w:space="0" w:color="auto"/>
        <w:right w:val="none" w:sz="0" w:space="0" w:color="auto"/>
      </w:divBdr>
    </w:div>
    <w:div w:id="1491166707">
      <w:bodyDiv w:val="1"/>
      <w:marLeft w:val="0"/>
      <w:marRight w:val="0"/>
      <w:marTop w:val="0"/>
      <w:marBottom w:val="0"/>
      <w:divBdr>
        <w:top w:val="none" w:sz="0" w:space="0" w:color="auto"/>
        <w:left w:val="none" w:sz="0" w:space="0" w:color="auto"/>
        <w:bottom w:val="none" w:sz="0" w:space="0" w:color="auto"/>
        <w:right w:val="none" w:sz="0" w:space="0" w:color="auto"/>
      </w:divBdr>
    </w:div>
    <w:div w:id="1707295857">
      <w:bodyDiv w:val="1"/>
      <w:marLeft w:val="0"/>
      <w:marRight w:val="0"/>
      <w:marTop w:val="0"/>
      <w:marBottom w:val="0"/>
      <w:divBdr>
        <w:top w:val="none" w:sz="0" w:space="0" w:color="auto"/>
        <w:left w:val="none" w:sz="0" w:space="0" w:color="auto"/>
        <w:bottom w:val="none" w:sz="0" w:space="0" w:color="auto"/>
        <w:right w:val="none" w:sz="0" w:space="0" w:color="auto"/>
      </w:divBdr>
    </w:div>
    <w:div w:id="1725835668">
      <w:bodyDiv w:val="1"/>
      <w:marLeft w:val="0"/>
      <w:marRight w:val="0"/>
      <w:marTop w:val="0"/>
      <w:marBottom w:val="0"/>
      <w:divBdr>
        <w:top w:val="none" w:sz="0" w:space="0" w:color="auto"/>
        <w:left w:val="none" w:sz="0" w:space="0" w:color="auto"/>
        <w:bottom w:val="none" w:sz="0" w:space="0" w:color="auto"/>
        <w:right w:val="none" w:sz="0" w:space="0" w:color="auto"/>
      </w:divBdr>
    </w:div>
    <w:div w:id="1737363023">
      <w:bodyDiv w:val="1"/>
      <w:marLeft w:val="0"/>
      <w:marRight w:val="0"/>
      <w:marTop w:val="0"/>
      <w:marBottom w:val="0"/>
      <w:divBdr>
        <w:top w:val="none" w:sz="0" w:space="0" w:color="auto"/>
        <w:left w:val="none" w:sz="0" w:space="0" w:color="auto"/>
        <w:bottom w:val="none" w:sz="0" w:space="0" w:color="auto"/>
        <w:right w:val="none" w:sz="0" w:space="0" w:color="auto"/>
      </w:divBdr>
    </w:div>
    <w:div w:id="1962883486">
      <w:bodyDiv w:val="1"/>
      <w:marLeft w:val="0"/>
      <w:marRight w:val="0"/>
      <w:marTop w:val="0"/>
      <w:marBottom w:val="0"/>
      <w:divBdr>
        <w:top w:val="none" w:sz="0" w:space="0" w:color="auto"/>
        <w:left w:val="none" w:sz="0" w:space="0" w:color="auto"/>
        <w:bottom w:val="none" w:sz="0" w:space="0" w:color="auto"/>
        <w:right w:val="none" w:sz="0" w:space="0" w:color="auto"/>
      </w:divBdr>
      <w:divsChild>
        <w:div w:id="1317950656">
          <w:marLeft w:val="0"/>
          <w:marRight w:val="0"/>
          <w:marTop w:val="0"/>
          <w:marBottom w:val="0"/>
          <w:divBdr>
            <w:top w:val="none" w:sz="0" w:space="0" w:color="auto"/>
            <w:left w:val="none" w:sz="0" w:space="0" w:color="auto"/>
            <w:bottom w:val="none" w:sz="0" w:space="0" w:color="auto"/>
            <w:right w:val="none" w:sz="0" w:space="0" w:color="auto"/>
          </w:divBdr>
          <w:divsChild>
            <w:div w:id="1833980973">
              <w:marLeft w:val="0"/>
              <w:marRight w:val="0"/>
              <w:marTop w:val="0"/>
              <w:marBottom w:val="0"/>
              <w:divBdr>
                <w:top w:val="none" w:sz="0" w:space="0" w:color="auto"/>
                <w:left w:val="none" w:sz="0" w:space="0" w:color="auto"/>
                <w:bottom w:val="none" w:sz="0" w:space="0" w:color="auto"/>
                <w:right w:val="none" w:sz="0" w:space="0" w:color="auto"/>
              </w:divBdr>
              <w:divsChild>
                <w:div w:id="329060196">
                  <w:marLeft w:val="0"/>
                  <w:marRight w:val="0"/>
                  <w:marTop w:val="0"/>
                  <w:marBottom w:val="0"/>
                  <w:divBdr>
                    <w:top w:val="none" w:sz="0" w:space="0" w:color="auto"/>
                    <w:left w:val="none" w:sz="0" w:space="0" w:color="auto"/>
                    <w:bottom w:val="none" w:sz="0" w:space="0" w:color="auto"/>
                    <w:right w:val="none" w:sz="0" w:space="0" w:color="auto"/>
                  </w:divBdr>
                </w:div>
              </w:divsChild>
            </w:div>
            <w:div w:id="204099034">
              <w:marLeft w:val="0"/>
              <w:marRight w:val="0"/>
              <w:marTop w:val="0"/>
              <w:marBottom w:val="0"/>
              <w:divBdr>
                <w:top w:val="none" w:sz="0" w:space="0" w:color="auto"/>
                <w:left w:val="none" w:sz="0" w:space="0" w:color="auto"/>
                <w:bottom w:val="none" w:sz="0" w:space="0" w:color="auto"/>
                <w:right w:val="none" w:sz="0" w:space="0" w:color="auto"/>
              </w:divBdr>
              <w:divsChild>
                <w:div w:id="19153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3102">
      <w:bodyDiv w:val="1"/>
      <w:marLeft w:val="0"/>
      <w:marRight w:val="0"/>
      <w:marTop w:val="0"/>
      <w:marBottom w:val="0"/>
      <w:divBdr>
        <w:top w:val="none" w:sz="0" w:space="0" w:color="auto"/>
        <w:left w:val="none" w:sz="0" w:space="0" w:color="auto"/>
        <w:bottom w:val="none" w:sz="0" w:space="0" w:color="auto"/>
        <w:right w:val="none" w:sz="0" w:space="0" w:color="auto"/>
      </w:divBdr>
      <w:divsChild>
        <w:div w:id="1898857683">
          <w:marLeft w:val="0"/>
          <w:marRight w:val="0"/>
          <w:marTop w:val="0"/>
          <w:marBottom w:val="0"/>
          <w:divBdr>
            <w:top w:val="none" w:sz="0" w:space="0" w:color="auto"/>
            <w:left w:val="none" w:sz="0" w:space="0" w:color="auto"/>
            <w:bottom w:val="none" w:sz="0" w:space="0" w:color="auto"/>
            <w:right w:val="none" w:sz="0" w:space="0" w:color="auto"/>
          </w:divBdr>
          <w:divsChild>
            <w:div w:id="1920946725">
              <w:marLeft w:val="0"/>
              <w:marRight w:val="0"/>
              <w:marTop w:val="0"/>
              <w:marBottom w:val="0"/>
              <w:divBdr>
                <w:top w:val="none" w:sz="0" w:space="0" w:color="auto"/>
                <w:left w:val="none" w:sz="0" w:space="0" w:color="auto"/>
                <w:bottom w:val="none" w:sz="0" w:space="0" w:color="auto"/>
                <w:right w:val="none" w:sz="0" w:space="0" w:color="auto"/>
              </w:divBdr>
              <w:divsChild>
                <w:div w:id="7671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2314">
      <w:bodyDiv w:val="1"/>
      <w:marLeft w:val="0"/>
      <w:marRight w:val="0"/>
      <w:marTop w:val="0"/>
      <w:marBottom w:val="0"/>
      <w:divBdr>
        <w:top w:val="none" w:sz="0" w:space="0" w:color="auto"/>
        <w:left w:val="none" w:sz="0" w:space="0" w:color="auto"/>
        <w:bottom w:val="none" w:sz="0" w:space="0" w:color="auto"/>
        <w:right w:val="none" w:sz="0" w:space="0" w:color="auto"/>
      </w:divBdr>
    </w:div>
    <w:div w:id="21058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3.wmf"/><Relationship Id="rId42" Type="http://schemas.openxmlformats.org/officeDocument/2006/relationships/image" Target="media/image14.wmf"/><Relationship Id="rId63" Type="http://schemas.openxmlformats.org/officeDocument/2006/relationships/image" Target="media/image22.wmf"/><Relationship Id="rId84" Type="http://schemas.openxmlformats.org/officeDocument/2006/relationships/image" Target="media/image32.wmf"/><Relationship Id="rId138" Type="http://schemas.openxmlformats.org/officeDocument/2006/relationships/image" Target="media/image54.wmf"/><Relationship Id="rId159" Type="http://schemas.openxmlformats.org/officeDocument/2006/relationships/oleObject" Target="embeddings/oleObject77.bin"/><Relationship Id="rId170" Type="http://schemas.openxmlformats.org/officeDocument/2006/relationships/image" Target="media/image70.wmf"/><Relationship Id="rId191" Type="http://schemas.openxmlformats.org/officeDocument/2006/relationships/image" Target="media/image80.wmf"/><Relationship Id="rId205" Type="http://schemas.openxmlformats.org/officeDocument/2006/relationships/image" Target="media/image84.wmf"/><Relationship Id="rId226" Type="http://schemas.openxmlformats.org/officeDocument/2006/relationships/hyperlink" Target="https://www.shrm.org/resourcesandtools/hr-topics/technology/documents/telework-trends-us.pdf" TargetMode="External"/><Relationship Id="rId247" Type="http://schemas.openxmlformats.org/officeDocument/2006/relationships/theme" Target="theme/theme1.xml"/><Relationship Id="rId107" Type="http://schemas.openxmlformats.org/officeDocument/2006/relationships/oleObject" Target="embeddings/oleObject47.bin"/><Relationship Id="rId11" Type="http://schemas.openxmlformats.org/officeDocument/2006/relationships/hyperlink" Target="mailto:ibatur@asu.edu" TargetMode="External"/><Relationship Id="rId32" Type="http://schemas.openxmlformats.org/officeDocument/2006/relationships/oleObject" Target="embeddings/oleObject6.bin"/><Relationship Id="rId53" Type="http://schemas.openxmlformats.org/officeDocument/2006/relationships/oleObject" Target="embeddings/oleObject17.bin"/><Relationship Id="rId74" Type="http://schemas.openxmlformats.org/officeDocument/2006/relationships/oleObject" Target="embeddings/oleObject29.bin"/><Relationship Id="rId128" Type="http://schemas.openxmlformats.org/officeDocument/2006/relationships/image" Target="media/image51.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image" Target="media/image65.wmf"/><Relationship Id="rId181" Type="http://schemas.openxmlformats.org/officeDocument/2006/relationships/oleObject" Target="embeddings/oleObject88.bin"/><Relationship Id="rId216" Type="http://schemas.openxmlformats.org/officeDocument/2006/relationships/oleObject" Target="embeddings/oleObject109.bin"/><Relationship Id="rId237" Type="http://schemas.openxmlformats.org/officeDocument/2006/relationships/hyperlink" Target="https://www.bls.gov/cps/cpsaat08.htm" TargetMode="External"/><Relationship Id="rId22" Type="http://schemas.openxmlformats.org/officeDocument/2006/relationships/oleObject" Target="embeddings/oleObject1.bin"/><Relationship Id="rId43" Type="http://schemas.openxmlformats.org/officeDocument/2006/relationships/oleObject" Target="embeddings/oleObject11.bin"/><Relationship Id="rId64" Type="http://schemas.openxmlformats.org/officeDocument/2006/relationships/oleObject" Target="embeddings/oleObject24.bin"/><Relationship Id="rId118" Type="http://schemas.openxmlformats.org/officeDocument/2006/relationships/image" Target="media/image48.wmf"/><Relationship Id="rId139" Type="http://schemas.openxmlformats.org/officeDocument/2006/relationships/oleObject" Target="embeddings/oleObject67.bin"/><Relationship Id="rId85" Type="http://schemas.openxmlformats.org/officeDocument/2006/relationships/oleObject" Target="embeddings/oleObject35.bin"/><Relationship Id="rId150" Type="http://schemas.openxmlformats.org/officeDocument/2006/relationships/image" Target="media/image60.wmf"/><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oleObject" Target="embeddings/oleObject104.bin"/><Relationship Id="rId227" Type="http://schemas.openxmlformats.org/officeDocument/2006/relationships/hyperlink" Target="https://www.census.gov/library/stories/2021/03/working-from-home-during-the-pandemic.html" TargetMode="External"/><Relationship Id="rId12" Type="http://schemas.openxmlformats.org/officeDocument/2006/relationships/hyperlink" Target="mailto:ram.pendyala@asu.edu" TargetMode="External"/><Relationship Id="rId33" Type="http://schemas.openxmlformats.org/officeDocument/2006/relationships/image" Target="media/image9.wmf"/><Relationship Id="rId108" Type="http://schemas.openxmlformats.org/officeDocument/2006/relationships/image" Target="media/image43.wmf"/><Relationship Id="rId129" Type="http://schemas.openxmlformats.org/officeDocument/2006/relationships/oleObject" Target="embeddings/oleObject60.bin"/><Relationship Id="rId54" Type="http://schemas.openxmlformats.org/officeDocument/2006/relationships/image" Target="media/image19.wmf"/><Relationship Id="rId75" Type="http://schemas.openxmlformats.org/officeDocument/2006/relationships/image" Target="media/image28.wmf"/><Relationship Id="rId96" Type="http://schemas.openxmlformats.org/officeDocument/2006/relationships/oleObject" Target="embeddings/oleObject41.bin"/><Relationship Id="rId140" Type="http://schemas.openxmlformats.org/officeDocument/2006/relationships/image" Target="media/image55.wmf"/><Relationship Id="rId161" Type="http://schemas.openxmlformats.org/officeDocument/2006/relationships/oleObject" Target="embeddings/oleObject78.bin"/><Relationship Id="rId182" Type="http://schemas.openxmlformats.org/officeDocument/2006/relationships/image" Target="media/image76.wmf"/><Relationship Id="rId217" Type="http://schemas.openxmlformats.org/officeDocument/2006/relationships/image" Target="media/image90.wmf"/><Relationship Id="rId6" Type="http://schemas.openxmlformats.org/officeDocument/2006/relationships/footnotes" Target="footnotes.xml"/><Relationship Id="rId238" Type="http://schemas.openxmlformats.org/officeDocument/2006/relationships/hyperlink" Target="https://www.bls.gov/cps/cpsaat11.htm" TargetMode="External"/><Relationship Id="rId23" Type="http://schemas.openxmlformats.org/officeDocument/2006/relationships/image" Target="media/image4.wmf"/><Relationship Id="rId119" Type="http://schemas.openxmlformats.org/officeDocument/2006/relationships/oleObject" Target="embeddings/oleObject53.bin"/><Relationship Id="rId44" Type="http://schemas.openxmlformats.org/officeDocument/2006/relationships/image" Target="media/image15.wmf"/><Relationship Id="rId65" Type="http://schemas.openxmlformats.org/officeDocument/2006/relationships/image" Target="media/image23.wmf"/><Relationship Id="rId86" Type="http://schemas.openxmlformats.org/officeDocument/2006/relationships/image" Target="media/image33.wmf"/><Relationship Id="rId130" Type="http://schemas.openxmlformats.org/officeDocument/2006/relationships/oleObject" Target="embeddings/oleObject61.bin"/><Relationship Id="rId151" Type="http://schemas.openxmlformats.org/officeDocument/2006/relationships/oleObject" Target="embeddings/oleObject73.bin"/><Relationship Id="rId172" Type="http://schemas.openxmlformats.org/officeDocument/2006/relationships/image" Target="media/image71.wmf"/><Relationship Id="rId193" Type="http://schemas.openxmlformats.org/officeDocument/2006/relationships/oleObject" Target="embeddings/oleObject95.bin"/><Relationship Id="rId207" Type="http://schemas.openxmlformats.org/officeDocument/2006/relationships/image" Target="media/image85.wmf"/><Relationship Id="rId228" Type="http://schemas.openxmlformats.org/officeDocument/2006/relationships/hyperlink" Target="https://doi.org/10.1007/978-3-031-00148-2_14" TargetMode="External"/><Relationship Id="rId13" Type="http://schemas.openxmlformats.org/officeDocument/2006/relationships/hyperlink" Target="mailto:bhat@mail.utexas.edu" TargetMode="External"/><Relationship Id="rId109" Type="http://schemas.openxmlformats.org/officeDocument/2006/relationships/oleObject" Target="embeddings/oleObject48.bin"/><Relationship Id="rId34" Type="http://schemas.openxmlformats.org/officeDocument/2006/relationships/oleObject" Target="embeddings/oleObject7.bin"/><Relationship Id="rId55" Type="http://schemas.openxmlformats.org/officeDocument/2006/relationships/oleObject" Target="embeddings/oleObject18.bin"/><Relationship Id="rId76" Type="http://schemas.openxmlformats.org/officeDocument/2006/relationships/oleObject" Target="embeddings/oleObject30.bin"/><Relationship Id="rId97" Type="http://schemas.openxmlformats.org/officeDocument/2006/relationships/oleObject" Target="embeddings/oleObject42.bin"/><Relationship Id="rId120" Type="http://schemas.openxmlformats.org/officeDocument/2006/relationships/image" Target="media/image49.wmf"/><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66.wmf"/><Relationship Id="rId183" Type="http://schemas.openxmlformats.org/officeDocument/2006/relationships/oleObject" Target="embeddings/oleObject89.bin"/><Relationship Id="rId218" Type="http://schemas.openxmlformats.org/officeDocument/2006/relationships/oleObject" Target="embeddings/oleObject110.bin"/><Relationship Id="rId239" Type="http://schemas.openxmlformats.org/officeDocument/2006/relationships/hyperlink" Target="https://www.bts.gov/browse-%09statistical-products-and-data/state-transportation-statistics/commute-mode" TargetMode="External"/><Relationship Id="rId24" Type="http://schemas.openxmlformats.org/officeDocument/2006/relationships/oleObject" Target="embeddings/oleObject2.bin"/><Relationship Id="rId45" Type="http://schemas.openxmlformats.org/officeDocument/2006/relationships/oleObject" Target="embeddings/oleObject12.bin"/><Relationship Id="rId66" Type="http://schemas.openxmlformats.org/officeDocument/2006/relationships/oleObject" Target="embeddings/oleObject25.bin"/><Relationship Id="rId87" Type="http://schemas.openxmlformats.org/officeDocument/2006/relationships/oleObject" Target="embeddings/oleObject36.bin"/><Relationship Id="rId110" Type="http://schemas.openxmlformats.org/officeDocument/2006/relationships/image" Target="media/image44.wmf"/><Relationship Id="rId131" Type="http://schemas.openxmlformats.org/officeDocument/2006/relationships/oleObject" Target="embeddings/oleObject62.bin"/><Relationship Id="rId152" Type="http://schemas.openxmlformats.org/officeDocument/2006/relationships/image" Target="media/image61.wmf"/><Relationship Id="rId173" Type="http://schemas.openxmlformats.org/officeDocument/2006/relationships/oleObject" Target="embeddings/oleObject84.bin"/><Relationship Id="rId194" Type="http://schemas.openxmlformats.org/officeDocument/2006/relationships/image" Target="media/image81.wmf"/><Relationship Id="rId208" Type="http://schemas.openxmlformats.org/officeDocument/2006/relationships/oleObject" Target="embeddings/oleObject105.bin"/><Relationship Id="rId229" Type="http://schemas.openxmlformats.org/officeDocument/2006/relationships/hyperlink" Target="https://slge.org/wp-content/uploads/2022/01/greatresignationinfographic.pdf" TargetMode="External"/><Relationship Id="rId240" Type="http://schemas.openxmlformats.org/officeDocument/2006/relationships/hyperlink" Target="https://www.census.gov/housing/hvs/files/currenthvspress.pdf" TargetMode="External"/><Relationship Id="rId14" Type="http://schemas.openxmlformats.org/officeDocument/2006/relationships/footer" Target="footer1.xml"/><Relationship Id="rId35" Type="http://schemas.openxmlformats.org/officeDocument/2006/relationships/image" Target="media/image10.wmf"/><Relationship Id="rId56" Type="http://schemas.openxmlformats.org/officeDocument/2006/relationships/oleObject" Target="embeddings/oleObject19.bin"/><Relationship Id="rId77" Type="http://schemas.openxmlformats.org/officeDocument/2006/relationships/image" Target="media/image29.wmf"/><Relationship Id="rId100" Type="http://schemas.openxmlformats.org/officeDocument/2006/relationships/image" Target="media/image39.wmf"/><Relationship Id="rId8" Type="http://schemas.openxmlformats.org/officeDocument/2006/relationships/hyperlink" Target="mailto:samanders@utexas.edu" TargetMode="External"/><Relationship Id="rId98" Type="http://schemas.openxmlformats.org/officeDocument/2006/relationships/image" Target="media/image38.wmf"/><Relationship Id="rId121" Type="http://schemas.openxmlformats.org/officeDocument/2006/relationships/oleObject" Target="embeddings/oleObject54.bin"/><Relationship Id="rId142" Type="http://schemas.openxmlformats.org/officeDocument/2006/relationships/image" Target="media/image56.wmf"/><Relationship Id="rId163" Type="http://schemas.openxmlformats.org/officeDocument/2006/relationships/oleObject" Target="embeddings/oleObject79.bin"/><Relationship Id="rId184" Type="http://schemas.openxmlformats.org/officeDocument/2006/relationships/image" Target="media/image77.wmf"/><Relationship Id="rId219" Type="http://schemas.openxmlformats.org/officeDocument/2006/relationships/hyperlink" Target="https://doi.org/10.32866/001c.13489" TargetMode="External"/><Relationship Id="rId230" Type="http://schemas.openxmlformats.org/officeDocument/2006/relationships/hyperlink" Target="https://doi.org/10.51685/jqd.2021.004" TargetMode="External"/><Relationship Id="rId25" Type="http://schemas.openxmlformats.org/officeDocument/2006/relationships/image" Target="media/image5.wmf"/><Relationship Id="rId46" Type="http://schemas.openxmlformats.org/officeDocument/2006/relationships/image" Target="media/image16.wmf"/><Relationship Id="rId67" Type="http://schemas.openxmlformats.org/officeDocument/2006/relationships/image" Target="media/image24.wmf"/><Relationship Id="rId88" Type="http://schemas.openxmlformats.org/officeDocument/2006/relationships/image" Target="media/image34.wmf"/><Relationship Id="rId111" Type="http://schemas.openxmlformats.org/officeDocument/2006/relationships/oleObject" Target="embeddings/oleObject49.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72.wmf"/><Relationship Id="rId195" Type="http://schemas.openxmlformats.org/officeDocument/2006/relationships/oleObject" Target="embeddings/oleObject96.bin"/><Relationship Id="rId209" Type="http://schemas.openxmlformats.org/officeDocument/2006/relationships/image" Target="media/image86.wmf"/><Relationship Id="rId220" Type="http://schemas.openxmlformats.org/officeDocument/2006/relationships/hyperlink" Target="https://doi.org/10.1016/j.amar.2018.09.003" TargetMode="External"/><Relationship Id="rId241" Type="http://schemas.openxmlformats.org/officeDocument/2006/relationships/hyperlink" Target="https://www.census.gov/popclock/print.php?component=growth&amp;image=//www.census.gov/popclock/share/images/growth_1561939200.png" TargetMode="External"/><Relationship Id="rId15" Type="http://schemas.openxmlformats.org/officeDocument/2006/relationships/image" Target="media/image1.png"/><Relationship Id="rId36" Type="http://schemas.openxmlformats.org/officeDocument/2006/relationships/oleObject" Target="embeddings/oleObject8.bin"/><Relationship Id="rId57" Type="http://schemas.openxmlformats.org/officeDocument/2006/relationships/image" Target="media/image20.wmf"/><Relationship Id="rId10" Type="http://schemas.openxmlformats.org/officeDocument/2006/relationships/hyperlink" Target="mailto:shobhit.saxena@austin.utexas.edu" TargetMode="External"/><Relationship Id="rId31" Type="http://schemas.openxmlformats.org/officeDocument/2006/relationships/image" Target="media/image8.wmf"/><Relationship Id="rId52" Type="http://schemas.openxmlformats.org/officeDocument/2006/relationships/oleObject" Target="embeddings/oleObject16.bin"/><Relationship Id="rId73" Type="http://schemas.openxmlformats.org/officeDocument/2006/relationships/image" Target="media/image27.wmf"/><Relationship Id="rId78" Type="http://schemas.openxmlformats.org/officeDocument/2006/relationships/oleObject" Target="embeddings/oleObject31.bin"/><Relationship Id="rId94" Type="http://schemas.openxmlformats.org/officeDocument/2006/relationships/image" Target="media/image37.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0.wmf"/><Relationship Id="rId143" Type="http://schemas.openxmlformats.org/officeDocument/2006/relationships/oleObject" Target="embeddings/oleObject69.bin"/><Relationship Id="rId148" Type="http://schemas.openxmlformats.org/officeDocument/2006/relationships/image" Target="media/image59.wmf"/><Relationship Id="rId164" Type="http://schemas.openxmlformats.org/officeDocument/2006/relationships/image" Target="media/image67.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hyperlink" Target="mailto:kasmussen29@utexas.edu" TargetMode="External"/><Relationship Id="rId180" Type="http://schemas.openxmlformats.org/officeDocument/2006/relationships/image" Target="media/image75.wmf"/><Relationship Id="rId210" Type="http://schemas.openxmlformats.org/officeDocument/2006/relationships/oleObject" Target="embeddings/oleObject106.bin"/><Relationship Id="rId215" Type="http://schemas.openxmlformats.org/officeDocument/2006/relationships/image" Target="media/image89.wmf"/><Relationship Id="rId236" Type="http://schemas.openxmlformats.org/officeDocument/2006/relationships/hyperlink" Target="https://doi.org/10.48349/ASU/9O5TIA" TargetMode="External"/><Relationship Id="rId26" Type="http://schemas.openxmlformats.org/officeDocument/2006/relationships/oleObject" Target="embeddings/oleObject3.bin"/><Relationship Id="rId231" Type="http://schemas.openxmlformats.org/officeDocument/2006/relationships/hyperlink" Target="https://owllabs.com/state-of-remote-work/2022" TargetMode="External"/><Relationship Id="rId47" Type="http://schemas.openxmlformats.org/officeDocument/2006/relationships/oleObject" Target="embeddings/oleObject13.bin"/><Relationship Id="rId68" Type="http://schemas.openxmlformats.org/officeDocument/2006/relationships/oleObject" Target="embeddings/oleObject26.bin"/><Relationship Id="rId89" Type="http://schemas.openxmlformats.org/officeDocument/2006/relationships/oleObject" Target="embeddings/oleObject37.bin"/><Relationship Id="rId112" Type="http://schemas.openxmlformats.org/officeDocument/2006/relationships/image" Target="media/image45.wmf"/><Relationship Id="rId133" Type="http://schemas.openxmlformats.org/officeDocument/2006/relationships/image" Target="media/image52.wmf"/><Relationship Id="rId154" Type="http://schemas.openxmlformats.org/officeDocument/2006/relationships/image" Target="media/image62.wmf"/><Relationship Id="rId175" Type="http://schemas.openxmlformats.org/officeDocument/2006/relationships/oleObject" Target="embeddings/oleObject85.bin"/><Relationship Id="rId196" Type="http://schemas.openxmlformats.org/officeDocument/2006/relationships/image" Target="media/image82.wmf"/><Relationship Id="rId200" Type="http://schemas.openxmlformats.org/officeDocument/2006/relationships/oleObject" Target="embeddings/oleObject99.bin"/><Relationship Id="rId16" Type="http://schemas.openxmlformats.org/officeDocument/2006/relationships/footer" Target="footer2.xml"/><Relationship Id="rId221" Type="http://schemas.openxmlformats.org/officeDocument/2006/relationships/hyperlink" Target="https://doi.org/10.3389/fsoc.2021.642277" TargetMode="External"/><Relationship Id="rId242" Type="http://schemas.openxmlformats.org/officeDocument/2006/relationships/hyperlink" Target="https://www.census.gov/programs-%09surveys/economic-census/guidance-geographies/levels.html" TargetMode="External"/><Relationship Id="rId37" Type="http://schemas.openxmlformats.org/officeDocument/2006/relationships/image" Target="media/image11.wmf"/><Relationship Id="rId58" Type="http://schemas.openxmlformats.org/officeDocument/2006/relationships/oleObject" Target="embeddings/oleObject20.bin"/><Relationship Id="rId79" Type="http://schemas.openxmlformats.org/officeDocument/2006/relationships/image" Target="media/image30.wmf"/><Relationship Id="rId102" Type="http://schemas.openxmlformats.org/officeDocument/2006/relationships/image" Target="media/image40.wmf"/><Relationship Id="rId123" Type="http://schemas.openxmlformats.org/officeDocument/2006/relationships/oleObject" Target="embeddings/oleObject55.bin"/><Relationship Id="rId144" Type="http://schemas.openxmlformats.org/officeDocument/2006/relationships/image" Target="media/image57.wmf"/><Relationship Id="rId90" Type="http://schemas.openxmlformats.org/officeDocument/2006/relationships/image" Target="media/image35.wmf"/><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87.wmf"/><Relationship Id="rId232" Type="http://schemas.openxmlformats.org/officeDocument/2006/relationships/hyperlink" Target="https://owllabs.com/state-of-remote-work/2021" TargetMode="External"/><Relationship Id="rId27" Type="http://schemas.openxmlformats.org/officeDocument/2006/relationships/image" Target="media/image6.wmf"/><Relationship Id="rId48" Type="http://schemas.openxmlformats.org/officeDocument/2006/relationships/image" Target="media/image17.wmf"/><Relationship Id="rId69" Type="http://schemas.openxmlformats.org/officeDocument/2006/relationships/image" Target="media/image25.wmf"/><Relationship Id="rId113" Type="http://schemas.openxmlformats.org/officeDocument/2006/relationships/oleObject" Target="embeddings/oleObject50.bin"/><Relationship Id="rId134" Type="http://schemas.openxmlformats.org/officeDocument/2006/relationships/oleObject" Target="embeddings/oleObject64.bin"/><Relationship Id="rId80" Type="http://schemas.openxmlformats.org/officeDocument/2006/relationships/oleObject" Target="embeddings/oleObject32.bin"/><Relationship Id="rId155" Type="http://schemas.openxmlformats.org/officeDocument/2006/relationships/oleObject" Target="embeddings/oleObject75.bin"/><Relationship Id="rId176" Type="http://schemas.openxmlformats.org/officeDocument/2006/relationships/image" Target="media/image73.wmf"/><Relationship Id="rId197" Type="http://schemas.openxmlformats.org/officeDocument/2006/relationships/oleObject" Target="embeddings/oleObject97.bin"/><Relationship Id="rId201" Type="http://schemas.openxmlformats.org/officeDocument/2006/relationships/oleObject" Target="embeddings/oleObject100.bin"/><Relationship Id="rId222" Type="http://schemas.openxmlformats.org/officeDocument/2006/relationships/hyperlink" Target="https://www.bucknell.edu/sites/default/files/college_of_management/covid-19_telework_study_report.pdf" TargetMode="External"/><Relationship Id="rId243" Type="http://schemas.openxmlformats.org/officeDocument/2006/relationships/hyperlink" Target="https://www.census.gov/programs-%09surveys/geography/guidance/geo-areas/urban-rural/2020-ua-facts.html" TargetMode="External"/><Relationship Id="rId17" Type="http://schemas.openxmlformats.org/officeDocument/2006/relationships/footer" Target="footer3.xml"/><Relationship Id="rId38" Type="http://schemas.openxmlformats.org/officeDocument/2006/relationships/oleObject" Target="embeddings/oleObject9.bin"/><Relationship Id="rId59" Type="http://schemas.openxmlformats.org/officeDocument/2006/relationships/oleObject" Target="embeddings/oleObject21.bin"/><Relationship Id="rId103" Type="http://schemas.openxmlformats.org/officeDocument/2006/relationships/oleObject" Target="embeddings/oleObject45.bin"/><Relationship Id="rId124" Type="http://schemas.openxmlformats.org/officeDocument/2006/relationships/oleObject" Target="embeddings/oleObject56.bin"/><Relationship Id="rId70" Type="http://schemas.openxmlformats.org/officeDocument/2006/relationships/oleObject" Target="embeddings/oleObject27.bin"/><Relationship Id="rId91" Type="http://schemas.openxmlformats.org/officeDocument/2006/relationships/oleObject" Target="embeddings/oleObject38.bin"/><Relationship Id="rId145" Type="http://schemas.openxmlformats.org/officeDocument/2006/relationships/oleObject" Target="embeddings/oleObject70.bin"/><Relationship Id="rId166" Type="http://schemas.openxmlformats.org/officeDocument/2006/relationships/image" Target="media/image68.wmf"/><Relationship Id="rId187" Type="http://schemas.openxmlformats.org/officeDocument/2006/relationships/image" Target="media/image78.wmf"/><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hyperlink" Target="https://eig.org/the-uneven-geography-of-remote-work/" TargetMode="External"/><Relationship Id="rId28" Type="http://schemas.openxmlformats.org/officeDocument/2006/relationships/oleObject" Target="embeddings/oleObject4.bin"/><Relationship Id="rId49" Type="http://schemas.openxmlformats.org/officeDocument/2006/relationships/oleObject" Target="embeddings/oleObject14.bin"/><Relationship Id="rId114" Type="http://schemas.openxmlformats.org/officeDocument/2006/relationships/image" Target="media/image46.wmf"/><Relationship Id="rId60" Type="http://schemas.openxmlformats.org/officeDocument/2006/relationships/oleObject" Target="embeddings/oleObject22.bin"/><Relationship Id="rId81" Type="http://schemas.openxmlformats.org/officeDocument/2006/relationships/oleObject" Target="embeddings/oleObject33.bin"/><Relationship Id="rId135" Type="http://schemas.openxmlformats.org/officeDocument/2006/relationships/image" Target="media/image53.wmf"/><Relationship Id="rId156" Type="http://schemas.openxmlformats.org/officeDocument/2006/relationships/image" Target="media/image63.wmf"/><Relationship Id="rId177" Type="http://schemas.openxmlformats.org/officeDocument/2006/relationships/oleObject" Target="embeddings/oleObject86.bin"/><Relationship Id="rId198" Type="http://schemas.openxmlformats.org/officeDocument/2006/relationships/image" Target="media/image83.wmf"/><Relationship Id="rId202" Type="http://schemas.openxmlformats.org/officeDocument/2006/relationships/oleObject" Target="embeddings/oleObject101.bin"/><Relationship Id="rId223" Type="http://schemas.openxmlformats.org/officeDocument/2006/relationships/hyperlink" Target="https://www.bls.gov/opub/mlr/2020/article/ability-to-work-from-home.htm" TargetMode="External"/><Relationship Id="rId244" Type="http://schemas.openxmlformats.org/officeDocument/2006/relationships/hyperlink" Target="https://www.census.gov/library/stories/2017/08/more-adults-living-without-children.html" TargetMode="External"/><Relationship Id="rId18" Type="http://schemas.openxmlformats.org/officeDocument/2006/relationships/footer" Target="footer4.xml"/><Relationship Id="rId39" Type="http://schemas.openxmlformats.org/officeDocument/2006/relationships/image" Target="media/image12.wmf"/><Relationship Id="rId50" Type="http://schemas.openxmlformats.org/officeDocument/2006/relationships/image" Target="media/image18.wmf"/><Relationship Id="rId104" Type="http://schemas.openxmlformats.org/officeDocument/2006/relationships/image" Target="media/image41.wmf"/><Relationship Id="rId125" Type="http://schemas.openxmlformats.org/officeDocument/2006/relationships/oleObject" Target="embeddings/oleObject57.bin"/><Relationship Id="rId146" Type="http://schemas.openxmlformats.org/officeDocument/2006/relationships/image" Target="media/image58.wmf"/><Relationship Id="rId167" Type="http://schemas.openxmlformats.org/officeDocument/2006/relationships/oleObject" Target="embeddings/oleObject81.bin"/><Relationship Id="rId188" Type="http://schemas.openxmlformats.org/officeDocument/2006/relationships/oleObject" Target="embeddings/oleObject92.bin"/><Relationship Id="rId71" Type="http://schemas.openxmlformats.org/officeDocument/2006/relationships/image" Target="media/image26.wmf"/><Relationship Id="rId92" Type="http://schemas.openxmlformats.org/officeDocument/2006/relationships/image" Target="media/image36.wmf"/><Relationship Id="rId213" Type="http://schemas.openxmlformats.org/officeDocument/2006/relationships/image" Target="media/image88.wmf"/><Relationship Id="rId234" Type="http://schemas.openxmlformats.org/officeDocument/2006/relationships/hyperlink" Target="https://www.pwc.com/us/en/services/consulting/business-transformation/library/covid-19-us-remote-work-survey.html" TargetMode="External"/><Relationship Id="rId2" Type="http://schemas.openxmlformats.org/officeDocument/2006/relationships/numbering" Target="numbering.xml"/><Relationship Id="rId29" Type="http://schemas.openxmlformats.org/officeDocument/2006/relationships/image" Target="media/image7.wmf"/><Relationship Id="rId40" Type="http://schemas.openxmlformats.org/officeDocument/2006/relationships/oleObject" Target="embeddings/oleObject10.bin"/><Relationship Id="rId115" Type="http://schemas.openxmlformats.org/officeDocument/2006/relationships/oleObject" Target="embeddings/oleObject51.bin"/><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74.wmf"/><Relationship Id="rId61" Type="http://schemas.openxmlformats.org/officeDocument/2006/relationships/image" Target="media/image21.wmf"/><Relationship Id="rId82" Type="http://schemas.openxmlformats.org/officeDocument/2006/relationships/image" Target="media/image31.wmf"/><Relationship Id="rId199" Type="http://schemas.openxmlformats.org/officeDocument/2006/relationships/oleObject" Target="embeddings/oleObject98.bin"/><Relationship Id="rId203" Type="http://schemas.openxmlformats.org/officeDocument/2006/relationships/oleObject" Target="embeddings/oleObject102.bin"/><Relationship Id="rId19" Type="http://schemas.openxmlformats.org/officeDocument/2006/relationships/footer" Target="footer5.xml"/><Relationship Id="rId224" Type="http://schemas.openxmlformats.org/officeDocument/2006/relationships/hyperlink" Target="https://www.mckinsey.com/capabilities/people-and-organizational-performance/our-insights/hybrid-work-making-it-fit-with-your-diversity-equity-and-inclusion-strategy" TargetMode="External"/><Relationship Id="rId245" Type="http://schemas.openxmlformats.org/officeDocument/2006/relationships/hyperlink" Target="https://www.gallup.com/workplace/390632/future-hybrid-work-key-questions-answered-data.aspx" TargetMode="External"/><Relationship Id="rId30" Type="http://schemas.openxmlformats.org/officeDocument/2006/relationships/oleObject" Target="embeddings/oleObject5.bin"/><Relationship Id="rId105" Type="http://schemas.openxmlformats.org/officeDocument/2006/relationships/oleObject" Target="embeddings/oleObject46.bin"/><Relationship Id="rId126" Type="http://schemas.openxmlformats.org/officeDocument/2006/relationships/oleObject" Target="embeddings/oleObject58.bin"/><Relationship Id="rId147" Type="http://schemas.openxmlformats.org/officeDocument/2006/relationships/oleObject" Target="embeddings/oleObject71.bin"/><Relationship Id="rId168" Type="http://schemas.openxmlformats.org/officeDocument/2006/relationships/image" Target="media/image69.wmf"/><Relationship Id="rId51" Type="http://schemas.openxmlformats.org/officeDocument/2006/relationships/oleObject" Target="embeddings/oleObject15.bin"/><Relationship Id="rId72" Type="http://schemas.openxmlformats.org/officeDocument/2006/relationships/oleObject" Target="embeddings/oleObject28.bin"/><Relationship Id="rId93" Type="http://schemas.openxmlformats.org/officeDocument/2006/relationships/oleObject" Target="embeddings/oleObject39.bin"/><Relationship Id="rId189" Type="http://schemas.openxmlformats.org/officeDocument/2006/relationships/image" Target="media/image79.wmf"/><Relationship Id="rId3" Type="http://schemas.openxmlformats.org/officeDocument/2006/relationships/styles" Target="styles.xml"/><Relationship Id="rId214" Type="http://schemas.openxmlformats.org/officeDocument/2006/relationships/oleObject" Target="embeddings/oleObject108.bin"/><Relationship Id="rId235" Type="http://schemas.openxmlformats.org/officeDocument/2006/relationships/hyperlink" Target="https://ruralinnovation.us/wp-content/uploads/2022/01/Remote-Work_122721.pdf" TargetMode="External"/><Relationship Id="rId116" Type="http://schemas.openxmlformats.org/officeDocument/2006/relationships/image" Target="media/image47.wmf"/><Relationship Id="rId137" Type="http://schemas.openxmlformats.org/officeDocument/2006/relationships/oleObject" Target="embeddings/oleObject66.bin"/><Relationship Id="rId158" Type="http://schemas.openxmlformats.org/officeDocument/2006/relationships/image" Target="media/image64.wmf"/><Relationship Id="rId20" Type="http://schemas.openxmlformats.org/officeDocument/2006/relationships/image" Target="media/image2.png"/><Relationship Id="rId41" Type="http://schemas.openxmlformats.org/officeDocument/2006/relationships/image" Target="media/image13.emf"/><Relationship Id="rId62" Type="http://schemas.openxmlformats.org/officeDocument/2006/relationships/oleObject" Target="embeddings/oleObject23.bin"/><Relationship Id="rId83" Type="http://schemas.openxmlformats.org/officeDocument/2006/relationships/oleObject" Target="embeddings/oleObject34.bin"/><Relationship Id="rId179" Type="http://schemas.openxmlformats.org/officeDocument/2006/relationships/oleObject" Target="embeddings/oleObject87.bin"/><Relationship Id="rId190" Type="http://schemas.openxmlformats.org/officeDocument/2006/relationships/oleObject" Target="embeddings/oleObject93.bin"/><Relationship Id="rId204" Type="http://schemas.openxmlformats.org/officeDocument/2006/relationships/oleObject" Target="embeddings/oleObject103.bin"/><Relationship Id="rId225" Type="http://schemas.openxmlformats.org/officeDocument/2006/relationships/hyperlink" Target="https://www.forbes.com/sites/jackkelly/2023/06/26/loud-quitting-is-the-next-step-from-quit-quitting-bare-minimum-mondays-and-acting-your-wage/?sh=7dbdea377295" TargetMode="External"/><Relationship Id="rId246" Type="http://schemas.openxmlformats.org/officeDocument/2006/relationships/fontTable" Target="fontTable.xml"/><Relationship Id="rId106" Type="http://schemas.openxmlformats.org/officeDocument/2006/relationships/image" Target="media/image42.wmf"/><Relationship Id="rId127" Type="http://schemas.openxmlformats.org/officeDocument/2006/relationships/oleObject" Target="embeddings/oleObject59.bin"/></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bstatistics/183648/average-size-of-households-in-th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6E94E-78CD-4D95-A591-61B6A792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20240</Words>
  <Characters>115369</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Anderson</dc:creator>
  <cp:keywords/>
  <dc:description/>
  <cp:lastModifiedBy>Macias, Lisa J</cp:lastModifiedBy>
  <cp:revision>2</cp:revision>
  <cp:lastPrinted>2024-01-31T17:35:00Z</cp:lastPrinted>
  <dcterms:created xsi:type="dcterms:W3CDTF">2024-05-31T22:19:00Z</dcterms:created>
  <dcterms:modified xsi:type="dcterms:W3CDTF">2024-05-31T22:19:00Z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