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99E7B" w14:textId="3727B50C" w:rsidR="004D0A64" w:rsidRDefault="004D0A64" w:rsidP="00807DF8">
      <w:pPr>
        <w:pStyle w:val="Heading1"/>
        <w:jc w:val="both"/>
        <w:rPr>
          <w:caps w:val="0"/>
          <w:sz w:val="24"/>
          <w:szCs w:val="24"/>
        </w:rPr>
      </w:pPr>
      <w:bookmarkStart w:id="0" w:name="_Hlk77634612"/>
      <w:bookmarkStart w:id="1" w:name="_Hlk78208071"/>
      <w:bookmarkStart w:id="2" w:name="_Hlk77631062"/>
    </w:p>
    <w:p w14:paraId="3DD8FAD9" w14:textId="77777777" w:rsidR="004D0A64" w:rsidRDefault="004D0A64" w:rsidP="00807DF8">
      <w:pPr>
        <w:pStyle w:val="Heading1"/>
        <w:jc w:val="both"/>
        <w:rPr>
          <w:caps w:val="0"/>
          <w:sz w:val="24"/>
          <w:szCs w:val="24"/>
        </w:rPr>
      </w:pPr>
    </w:p>
    <w:p w14:paraId="1FFC4F92" w14:textId="4AA1D79A" w:rsidR="00DA4E1D" w:rsidRPr="0016455F" w:rsidRDefault="00DA4E1D" w:rsidP="00807DF8">
      <w:pPr>
        <w:pStyle w:val="Heading1"/>
        <w:jc w:val="both"/>
        <w:rPr>
          <w:sz w:val="24"/>
          <w:szCs w:val="24"/>
        </w:rPr>
      </w:pPr>
      <w:r w:rsidRPr="0016455F">
        <w:rPr>
          <w:caps w:val="0"/>
          <w:sz w:val="24"/>
          <w:szCs w:val="24"/>
        </w:rPr>
        <w:t>Multi-Criteria Evaluation for Transportation Funding and Financing Alternatives</w:t>
      </w:r>
    </w:p>
    <w:p w14:paraId="4FEF2311" w14:textId="2C75CDDE" w:rsidR="00176E20" w:rsidRDefault="00176E20" w:rsidP="00807DF8">
      <w:pPr>
        <w:spacing w:after="0" w:line="240" w:lineRule="auto"/>
        <w:jc w:val="both"/>
        <w:rPr>
          <w:rFonts w:cs="Times New Roman"/>
          <w:b/>
          <w:color w:val="000000" w:themeColor="text1"/>
          <w:sz w:val="24"/>
          <w:szCs w:val="18"/>
        </w:rPr>
      </w:pPr>
    </w:p>
    <w:p w14:paraId="3E679637" w14:textId="198E0389" w:rsidR="004D0A64" w:rsidRDefault="004D0A64" w:rsidP="00807DF8">
      <w:pPr>
        <w:spacing w:after="0" w:line="240" w:lineRule="auto"/>
        <w:jc w:val="both"/>
        <w:rPr>
          <w:rFonts w:cs="Times New Roman"/>
          <w:b/>
          <w:color w:val="000000" w:themeColor="text1"/>
          <w:sz w:val="24"/>
          <w:szCs w:val="18"/>
        </w:rPr>
      </w:pPr>
    </w:p>
    <w:p w14:paraId="782A5623" w14:textId="77777777" w:rsidR="004D0A64" w:rsidRDefault="004D0A64" w:rsidP="00807DF8">
      <w:pPr>
        <w:spacing w:after="0" w:line="240" w:lineRule="auto"/>
        <w:jc w:val="both"/>
        <w:rPr>
          <w:rFonts w:cs="Times New Roman"/>
          <w:b/>
          <w:color w:val="000000" w:themeColor="text1"/>
          <w:sz w:val="24"/>
          <w:szCs w:val="18"/>
        </w:rPr>
      </w:pPr>
    </w:p>
    <w:p w14:paraId="763367F0" w14:textId="77777777" w:rsidR="00BF5586" w:rsidRPr="005617FF" w:rsidRDefault="00BF5586" w:rsidP="00807DF8">
      <w:pPr>
        <w:spacing w:after="0" w:line="240" w:lineRule="auto"/>
        <w:jc w:val="both"/>
        <w:rPr>
          <w:rFonts w:cs="Times New Roman"/>
          <w:b/>
          <w:color w:val="000000" w:themeColor="text1"/>
          <w:sz w:val="24"/>
          <w:szCs w:val="18"/>
        </w:rPr>
      </w:pPr>
    </w:p>
    <w:p w14:paraId="600FAABF" w14:textId="308E5118" w:rsidR="003E5C87" w:rsidRPr="003E5C87" w:rsidRDefault="003E5C87" w:rsidP="00807DF8">
      <w:pPr>
        <w:spacing w:after="0" w:line="240" w:lineRule="auto"/>
        <w:jc w:val="both"/>
        <w:rPr>
          <w:rFonts w:cs="Times New Roman"/>
          <w:b/>
          <w:sz w:val="24"/>
        </w:rPr>
      </w:pPr>
      <w:r w:rsidRPr="003E5C87">
        <w:rPr>
          <w:rFonts w:cs="Times New Roman"/>
          <w:b/>
          <w:sz w:val="24"/>
        </w:rPr>
        <w:t>Angela J. Haddad</w:t>
      </w:r>
      <w:r w:rsidR="00BF37F1" w:rsidDel="00BF37F1">
        <w:rPr>
          <w:rFonts w:cs="Times New Roman"/>
          <w:b/>
          <w:sz w:val="24"/>
        </w:rPr>
        <w:t xml:space="preserve"> </w:t>
      </w:r>
    </w:p>
    <w:p w14:paraId="783AC014" w14:textId="77777777" w:rsidR="003E5C87" w:rsidRPr="003E5C87" w:rsidRDefault="003E5C87" w:rsidP="00807DF8">
      <w:pPr>
        <w:spacing w:after="0" w:line="240" w:lineRule="auto"/>
        <w:jc w:val="both"/>
        <w:rPr>
          <w:rFonts w:cs="Times New Roman"/>
          <w:sz w:val="24"/>
        </w:rPr>
      </w:pPr>
      <w:r w:rsidRPr="003E5C87">
        <w:rPr>
          <w:rFonts w:cs="Times New Roman"/>
          <w:sz w:val="24"/>
        </w:rPr>
        <w:t>The University of Texas at Austin</w:t>
      </w:r>
    </w:p>
    <w:p w14:paraId="00E7B56F" w14:textId="77777777" w:rsidR="003E5C87" w:rsidRPr="003E5C87" w:rsidRDefault="003E5C87" w:rsidP="00807DF8">
      <w:pPr>
        <w:spacing w:after="0" w:line="240" w:lineRule="auto"/>
        <w:jc w:val="both"/>
        <w:rPr>
          <w:rFonts w:cs="Times New Roman"/>
          <w:sz w:val="24"/>
        </w:rPr>
      </w:pPr>
      <w:r w:rsidRPr="003E5C87">
        <w:rPr>
          <w:rFonts w:cs="Times New Roman"/>
          <w:sz w:val="24"/>
        </w:rPr>
        <w:t>Department of Civil, Architectural and Environmental Engineering</w:t>
      </w:r>
    </w:p>
    <w:p w14:paraId="542801AB" w14:textId="77777777" w:rsidR="003E5C87" w:rsidRPr="003E5C87" w:rsidRDefault="003E5C87" w:rsidP="00807DF8">
      <w:pPr>
        <w:spacing w:after="0" w:line="240" w:lineRule="auto"/>
        <w:jc w:val="both"/>
        <w:rPr>
          <w:rFonts w:cs="Times New Roman"/>
          <w:sz w:val="24"/>
        </w:rPr>
      </w:pPr>
      <w:r w:rsidRPr="003E5C87">
        <w:rPr>
          <w:rFonts w:cs="Times New Roman"/>
          <w:sz w:val="24"/>
        </w:rPr>
        <w:t>301 E. Dean Keeton St. Stop C1761, Austin TX 78712, USA</w:t>
      </w:r>
    </w:p>
    <w:p w14:paraId="1DD4EC9E" w14:textId="77777777" w:rsidR="003E5C87" w:rsidRPr="003E5C87" w:rsidRDefault="003E5C87" w:rsidP="00807DF8">
      <w:pPr>
        <w:spacing w:after="0" w:line="240" w:lineRule="auto"/>
        <w:jc w:val="both"/>
        <w:rPr>
          <w:rFonts w:cs="Times New Roman"/>
          <w:sz w:val="24"/>
        </w:rPr>
      </w:pPr>
      <w:r w:rsidRPr="003E5C87">
        <w:rPr>
          <w:rFonts w:cs="Times New Roman"/>
          <w:sz w:val="24"/>
        </w:rPr>
        <w:t xml:space="preserve">Email: </w:t>
      </w:r>
      <w:hyperlink r:id="rId9" w:history="1">
        <w:r w:rsidRPr="003E5C87">
          <w:rPr>
            <w:rFonts w:cs="Times New Roman"/>
            <w:color w:val="0563C1" w:themeColor="hyperlink"/>
            <w:sz w:val="24"/>
            <w:u w:val="single"/>
          </w:rPr>
          <w:t>angela.haddad@utexas.edu</w:t>
        </w:r>
      </w:hyperlink>
      <w:r w:rsidRPr="003E5C87">
        <w:rPr>
          <w:rFonts w:cs="Times New Roman"/>
          <w:sz w:val="24"/>
        </w:rPr>
        <w:t xml:space="preserve"> </w:t>
      </w:r>
    </w:p>
    <w:p w14:paraId="0C863322" w14:textId="77777777" w:rsidR="003E5C87" w:rsidRPr="003E5C87" w:rsidRDefault="003E5C87" w:rsidP="00807DF8">
      <w:pPr>
        <w:spacing w:after="0" w:line="240" w:lineRule="auto"/>
        <w:jc w:val="both"/>
        <w:rPr>
          <w:rFonts w:cs="Times New Roman"/>
          <w:sz w:val="24"/>
        </w:rPr>
      </w:pPr>
    </w:p>
    <w:p w14:paraId="136448A4" w14:textId="77777777" w:rsidR="003E5C87" w:rsidRPr="003E5C87" w:rsidRDefault="003E5C87" w:rsidP="00807DF8">
      <w:pPr>
        <w:spacing w:after="0" w:line="240" w:lineRule="auto"/>
        <w:jc w:val="both"/>
        <w:rPr>
          <w:rFonts w:cs="Times New Roman"/>
          <w:b/>
          <w:sz w:val="24"/>
        </w:rPr>
      </w:pPr>
      <w:r w:rsidRPr="003E5C87">
        <w:rPr>
          <w:rFonts w:cs="Times New Roman"/>
          <w:b/>
          <w:sz w:val="24"/>
        </w:rPr>
        <w:t>Gina Blazanin</w:t>
      </w:r>
    </w:p>
    <w:p w14:paraId="0E1A995D" w14:textId="5621D917" w:rsidR="00DD38A1" w:rsidRPr="003E5C87" w:rsidRDefault="00DD38A1" w:rsidP="00807DF8">
      <w:pPr>
        <w:spacing w:after="0" w:line="240" w:lineRule="auto"/>
        <w:jc w:val="both"/>
        <w:rPr>
          <w:rFonts w:cs="Times New Roman"/>
          <w:sz w:val="24"/>
        </w:rPr>
      </w:pPr>
      <w:r w:rsidRPr="003E5C87">
        <w:rPr>
          <w:rFonts w:cs="Times New Roman"/>
          <w:sz w:val="24"/>
        </w:rPr>
        <w:t>The University of Texas at Austin</w:t>
      </w:r>
    </w:p>
    <w:p w14:paraId="7B83D832" w14:textId="77777777" w:rsidR="003E5C87" w:rsidRPr="003E5C87" w:rsidRDefault="003E5C87" w:rsidP="00807DF8">
      <w:pPr>
        <w:spacing w:after="0" w:line="240" w:lineRule="auto"/>
        <w:jc w:val="both"/>
        <w:rPr>
          <w:rFonts w:cs="Times New Roman"/>
          <w:sz w:val="24"/>
        </w:rPr>
      </w:pPr>
      <w:r w:rsidRPr="003E5C87">
        <w:rPr>
          <w:rFonts w:cs="Times New Roman"/>
          <w:sz w:val="24"/>
        </w:rPr>
        <w:t>Department of Civil, Architectural and Environmental Engineering</w:t>
      </w:r>
    </w:p>
    <w:p w14:paraId="0C09DE2B" w14:textId="77777777" w:rsidR="003E5C87" w:rsidRPr="003E5C87" w:rsidRDefault="003E5C87" w:rsidP="00807DF8">
      <w:pPr>
        <w:spacing w:after="0" w:line="240" w:lineRule="auto"/>
        <w:jc w:val="both"/>
        <w:rPr>
          <w:rFonts w:cs="Times New Roman"/>
          <w:sz w:val="24"/>
        </w:rPr>
      </w:pPr>
      <w:r w:rsidRPr="003E5C87">
        <w:rPr>
          <w:rFonts w:cs="Times New Roman"/>
          <w:sz w:val="24"/>
        </w:rPr>
        <w:t>301 E. Dean Keeton St. Stop C1761, Austin TX 78712, USA</w:t>
      </w:r>
    </w:p>
    <w:p w14:paraId="719CCF97" w14:textId="77777777" w:rsidR="003E5C87" w:rsidRPr="003E5C87" w:rsidRDefault="003E5C87" w:rsidP="00807DF8">
      <w:pPr>
        <w:spacing w:after="0" w:line="240" w:lineRule="auto"/>
        <w:jc w:val="both"/>
        <w:rPr>
          <w:rFonts w:cs="Times New Roman"/>
          <w:sz w:val="24"/>
        </w:rPr>
      </w:pPr>
      <w:r w:rsidRPr="003E5C87">
        <w:rPr>
          <w:rFonts w:cs="Times New Roman"/>
          <w:sz w:val="24"/>
        </w:rPr>
        <w:t xml:space="preserve">Email: </w:t>
      </w:r>
      <w:hyperlink r:id="rId10" w:history="1">
        <w:r w:rsidRPr="003E5C87">
          <w:rPr>
            <w:rFonts w:cs="Times New Roman"/>
            <w:color w:val="0563C1" w:themeColor="hyperlink"/>
            <w:sz w:val="24"/>
            <w:u w:val="single"/>
          </w:rPr>
          <w:t>ginablazanin@utexas.edu</w:t>
        </w:r>
      </w:hyperlink>
      <w:r w:rsidRPr="003E5C87">
        <w:rPr>
          <w:rFonts w:cs="Times New Roman"/>
          <w:sz w:val="24"/>
        </w:rPr>
        <w:t xml:space="preserve"> </w:t>
      </w:r>
    </w:p>
    <w:p w14:paraId="27D4C7FF" w14:textId="77777777" w:rsidR="003E5C87" w:rsidRPr="003E5C87" w:rsidRDefault="003E5C87" w:rsidP="00807DF8">
      <w:pPr>
        <w:spacing w:after="0" w:line="240" w:lineRule="auto"/>
        <w:jc w:val="both"/>
        <w:rPr>
          <w:rFonts w:cs="Times New Roman"/>
          <w:sz w:val="24"/>
        </w:rPr>
      </w:pPr>
      <w:r w:rsidRPr="003E5C87">
        <w:rPr>
          <w:rFonts w:cs="Times New Roman"/>
          <w:sz w:val="24"/>
        </w:rPr>
        <w:t xml:space="preserve"> </w:t>
      </w:r>
    </w:p>
    <w:p w14:paraId="29094A18" w14:textId="1621876D" w:rsidR="003E5C87" w:rsidRPr="00BF37F1" w:rsidRDefault="2E3C2595" w:rsidP="2E3C2595">
      <w:pPr>
        <w:spacing w:after="0" w:line="240" w:lineRule="auto"/>
        <w:jc w:val="both"/>
        <w:rPr>
          <w:rFonts w:cs="Times New Roman"/>
          <w:sz w:val="24"/>
          <w:szCs w:val="24"/>
        </w:rPr>
      </w:pPr>
      <w:r w:rsidRPr="2E3C2595">
        <w:rPr>
          <w:rFonts w:cs="Times New Roman"/>
          <w:b/>
          <w:bCs/>
          <w:sz w:val="24"/>
          <w:szCs w:val="24"/>
        </w:rPr>
        <w:t>Kenneth A. Perrine</w:t>
      </w:r>
      <w:r w:rsidRPr="2E3C2595">
        <w:rPr>
          <w:rFonts w:cs="Times New Roman"/>
          <w:sz w:val="24"/>
          <w:szCs w:val="24"/>
        </w:rPr>
        <w:t xml:space="preserve"> </w:t>
      </w:r>
    </w:p>
    <w:p w14:paraId="244AD9F1" w14:textId="1F653597" w:rsidR="004D0A64" w:rsidRDefault="004D0A64" w:rsidP="00807DF8">
      <w:pPr>
        <w:spacing w:after="0" w:line="240" w:lineRule="auto"/>
        <w:jc w:val="both"/>
        <w:rPr>
          <w:rFonts w:cs="Times New Roman"/>
          <w:sz w:val="24"/>
        </w:rPr>
      </w:pPr>
      <w:r w:rsidRPr="003E5C87">
        <w:rPr>
          <w:rFonts w:cs="Times New Roman"/>
          <w:sz w:val="24"/>
        </w:rPr>
        <w:t>The University of Texas at Austin</w:t>
      </w:r>
    </w:p>
    <w:p w14:paraId="2621E459" w14:textId="77777777" w:rsidR="004D0A64" w:rsidRDefault="003E5C87" w:rsidP="00807DF8">
      <w:pPr>
        <w:spacing w:after="0" w:line="240" w:lineRule="auto"/>
        <w:jc w:val="both"/>
        <w:rPr>
          <w:rFonts w:cs="Times New Roman"/>
          <w:sz w:val="24"/>
        </w:rPr>
      </w:pPr>
      <w:r w:rsidRPr="0016455F">
        <w:rPr>
          <w:rFonts w:cs="Times New Roman"/>
          <w:sz w:val="24"/>
        </w:rPr>
        <w:t>Network Modeling Center</w:t>
      </w:r>
      <w:r w:rsidRPr="003E5C87">
        <w:rPr>
          <w:rFonts w:cs="Times New Roman"/>
          <w:sz w:val="24"/>
        </w:rPr>
        <w:t>, Center for Transportation Research</w:t>
      </w:r>
    </w:p>
    <w:p w14:paraId="28EC7B08" w14:textId="1534D025" w:rsidR="003E5C87" w:rsidRPr="003E5C87" w:rsidRDefault="003E5C87" w:rsidP="00807DF8">
      <w:pPr>
        <w:spacing w:after="0" w:line="240" w:lineRule="auto"/>
        <w:jc w:val="both"/>
        <w:rPr>
          <w:rFonts w:cs="Times New Roman"/>
          <w:sz w:val="24"/>
        </w:rPr>
      </w:pPr>
      <w:r w:rsidRPr="003E5C87">
        <w:rPr>
          <w:rFonts w:cs="Times New Roman"/>
          <w:sz w:val="24"/>
        </w:rPr>
        <w:t xml:space="preserve">3925 W. </w:t>
      </w:r>
      <w:proofErr w:type="spellStart"/>
      <w:r w:rsidRPr="003E5C87">
        <w:rPr>
          <w:rFonts w:cs="Times New Roman"/>
          <w:sz w:val="24"/>
        </w:rPr>
        <w:t>Braker</w:t>
      </w:r>
      <w:proofErr w:type="spellEnd"/>
      <w:r w:rsidRPr="003E5C87">
        <w:rPr>
          <w:rFonts w:cs="Times New Roman"/>
          <w:sz w:val="24"/>
        </w:rPr>
        <w:t xml:space="preserve"> Ln., Stop D9300, Austin, TX 78759, USA</w:t>
      </w:r>
    </w:p>
    <w:p w14:paraId="1338A5F2" w14:textId="77777777" w:rsidR="003E5C87" w:rsidRPr="003E5C87" w:rsidRDefault="003E5C87" w:rsidP="00807DF8">
      <w:pPr>
        <w:spacing w:after="0" w:line="240" w:lineRule="auto"/>
        <w:jc w:val="both"/>
        <w:rPr>
          <w:rFonts w:cs="Times New Roman"/>
          <w:sz w:val="24"/>
        </w:rPr>
      </w:pPr>
      <w:r w:rsidRPr="003E5C87">
        <w:rPr>
          <w:rFonts w:cs="Times New Roman"/>
          <w:sz w:val="24"/>
        </w:rPr>
        <w:t xml:space="preserve">Email: </w:t>
      </w:r>
      <w:hyperlink r:id="rId11" w:history="1">
        <w:r w:rsidRPr="003E5C87">
          <w:rPr>
            <w:rFonts w:cs="Times New Roman"/>
            <w:color w:val="0563C1" w:themeColor="hyperlink"/>
            <w:sz w:val="24"/>
            <w:u w:val="single"/>
          </w:rPr>
          <w:t>kperrine@utexas.edu</w:t>
        </w:r>
      </w:hyperlink>
      <w:r w:rsidRPr="003E5C87">
        <w:rPr>
          <w:rFonts w:cs="Times New Roman"/>
          <w:sz w:val="24"/>
        </w:rPr>
        <w:t xml:space="preserve"> </w:t>
      </w:r>
    </w:p>
    <w:p w14:paraId="7F42E5B0" w14:textId="77777777" w:rsidR="003E5C87" w:rsidRPr="003E5C87" w:rsidRDefault="003E5C87" w:rsidP="00807DF8">
      <w:pPr>
        <w:spacing w:after="0" w:line="240" w:lineRule="auto"/>
        <w:jc w:val="both"/>
        <w:rPr>
          <w:rFonts w:cs="Times New Roman"/>
          <w:sz w:val="24"/>
        </w:rPr>
      </w:pPr>
    </w:p>
    <w:p w14:paraId="44729AA8" w14:textId="402640E4" w:rsidR="003E5C87" w:rsidRPr="003E5C87" w:rsidRDefault="2E3C2595" w:rsidP="2E3C2595">
      <w:pPr>
        <w:spacing w:after="0" w:line="240" w:lineRule="auto"/>
        <w:jc w:val="both"/>
        <w:rPr>
          <w:rFonts w:eastAsia="Calibri"/>
          <w:sz w:val="24"/>
          <w:szCs w:val="24"/>
        </w:rPr>
      </w:pPr>
      <w:r w:rsidRPr="2E3C2595">
        <w:rPr>
          <w:rFonts w:cs="Times New Roman"/>
          <w:b/>
          <w:bCs/>
          <w:sz w:val="24"/>
          <w:szCs w:val="24"/>
        </w:rPr>
        <w:t>Chandra R. Bhat</w:t>
      </w:r>
      <w:r w:rsidR="004D0A64">
        <w:rPr>
          <w:rFonts w:cs="Times New Roman"/>
          <w:b/>
          <w:bCs/>
          <w:sz w:val="24"/>
          <w:szCs w:val="24"/>
        </w:rPr>
        <w:t xml:space="preserve"> </w:t>
      </w:r>
      <w:r w:rsidRPr="004D0A64">
        <w:rPr>
          <w:rFonts w:cs="Times New Roman"/>
          <w:b/>
          <w:sz w:val="24"/>
          <w:szCs w:val="24"/>
        </w:rPr>
        <w:t>(Corresponding Author)</w:t>
      </w:r>
    </w:p>
    <w:p w14:paraId="5BC05DFE" w14:textId="77777777" w:rsidR="003E5C87" w:rsidRPr="003E5C87" w:rsidRDefault="003E5C87" w:rsidP="00807DF8">
      <w:pPr>
        <w:spacing w:after="0" w:line="240" w:lineRule="auto"/>
        <w:jc w:val="both"/>
        <w:rPr>
          <w:rFonts w:cs="Times New Roman"/>
          <w:sz w:val="24"/>
        </w:rPr>
      </w:pPr>
      <w:r w:rsidRPr="003E5C87">
        <w:rPr>
          <w:rFonts w:cs="Times New Roman"/>
          <w:sz w:val="24"/>
        </w:rPr>
        <w:t>The University of Texas at Austin</w:t>
      </w:r>
    </w:p>
    <w:p w14:paraId="7DE2CEFB" w14:textId="77777777" w:rsidR="003E5C87" w:rsidRPr="003E5C87" w:rsidRDefault="003E5C87" w:rsidP="00807DF8">
      <w:pPr>
        <w:spacing w:after="0" w:line="240" w:lineRule="auto"/>
        <w:jc w:val="both"/>
        <w:rPr>
          <w:rFonts w:cs="Times New Roman"/>
          <w:sz w:val="24"/>
        </w:rPr>
      </w:pPr>
      <w:r w:rsidRPr="003E5C87">
        <w:rPr>
          <w:rFonts w:cs="Times New Roman"/>
          <w:sz w:val="24"/>
        </w:rPr>
        <w:t>Department of Civil, Architectural and Environmental Engineering</w:t>
      </w:r>
    </w:p>
    <w:p w14:paraId="012B811A" w14:textId="77777777" w:rsidR="003E5C87" w:rsidRPr="003E5C87" w:rsidRDefault="003E5C87" w:rsidP="00807DF8">
      <w:pPr>
        <w:spacing w:after="0" w:line="240" w:lineRule="auto"/>
        <w:jc w:val="both"/>
        <w:rPr>
          <w:rFonts w:cs="Times New Roman"/>
          <w:sz w:val="24"/>
        </w:rPr>
      </w:pPr>
      <w:r w:rsidRPr="003E5C87">
        <w:rPr>
          <w:rFonts w:cs="Times New Roman"/>
          <w:sz w:val="24"/>
        </w:rPr>
        <w:t>301 E. Dean Keeton St. Stop C1761, Austin TX 78712, USA</w:t>
      </w:r>
    </w:p>
    <w:p w14:paraId="7D04771E" w14:textId="77777777" w:rsidR="003E5C87" w:rsidRPr="003E5C87" w:rsidRDefault="003E5C87" w:rsidP="00807DF8">
      <w:pPr>
        <w:spacing w:after="0" w:line="240" w:lineRule="auto"/>
        <w:jc w:val="both"/>
        <w:rPr>
          <w:sz w:val="24"/>
        </w:rPr>
      </w:pPr>
      <w:r w:rsidRPr="003E5C87">
        <w:rPr>
          <w:rFonts w:cs="Times New Roman"/>
          <w:sz w:val="24"/>
        </w:rPr>
        <w:t xml:space="preserve">Email: </w:t>
      </w:r>
      <w:hyperlink r:id="rId12" w:history="1">
        <w:r w:rsidRPr="003E5C87">
          <w:rPr>
            <w:color w:val="0563C1" w:themeColor="hyperlink"/>
            <w:sz w:val="24"/>
            <w:u w:val="single"/>
          </w:rPr>
          <w:t>bhat@mail.utexas.edu</w:t>
        </w:r>
      </w:hyperlink>
      <w:r w:rsidRPr="003E5C87">
        <w:rPr>
          <w:sz w:val="24"/>
        </w:rPr>
        <w:t xml:space="preserve"> </w:t>
      </w:r>
    </w:p>
    <w:p w14:paraId="2F5AAE57" w14:textId="77777777" w:rsidR="003E5C87" w:rsidRPr="003E5C87" w:rsidRDefault="003E5C87" w:rsidP="00807DF8">
      <w:pPr>
        <w:spacing w:after="0" w:line="240" w:lineRule="auto"/>
        <w:jc w:val="both"/>
        <w:rPr>
          <w:sz w:val="24"/>
        </w:rPr>
      </w:pPr>
      <w:r w:rsidRPr="003E5C87">
        <w:rPr>
          <w:sz w:val="24"/>
        </w:rPr>
        <w:t>and</w:t>
      </w:r>
    </w:p>
    <w:p w14:paraId="44DF08F6" w14:textId="77777777" w:rsidR="003E5C87" w:rsidRPr="003E5C87" w:rsidRDefault="003E5C87" w:rsidP="00807DF8">
      <w:pPr>
        <w:spacing w:after="0" w:line="240" w:lineRule="auto"/>
        <w:jc w:val="both"/>
        <w:rPr>
          <w:sz w:val="24"/>
        </w:rPr>
      </w:pPr>
      <w:r w:rsidRPr="003E5C87">
        <w:rPr>
          <w:sz w:val="24"/>
        </w:rPr>
        <w:t xml:space="preserve">The Hong Kong Polytechnic University, Hung </w:t>
      </w:r>
      <w:proofErr w:type="spellStart"/>
      <w:r w:rsidRPr="003E5C87">
        <w:rPr>
          <w:sz w:val="24"/>
        </w:rPr>
        <w:t>Hom</w:t>
      </w:r>
      <w:proofErr w:type="spellEnd"/>
      <w:r w:rsidRPr="003E5C87">
        <w:rPr>
          <w:sz w:val="24"/>
        </w:rPr>
        <w:t>, Kowloon, Hong Kong</w:t>
      </w:r>
    </w:p>
    <w:p w14:paraId="044C0C62" w14:textId="77777777" w:rsidR="00DD38A1" w:rsidRPr="005617FF" w:rsidRDefault="00DD38A1" w:rsidP="00807DF8">
      <w:pPr>
        <w:spacing w:after="0" w:line="240" w:lineRule="auto"/>
        <w:jc w:val="both"/>
        <w:rPr>
          <w:rFonts w:cs="Times New Roman"/>
          <w:color w:val="000000" w:themeColor="text1"/>
          <w:sz w:val="18"/>
          <w:szCs w:val="18"/>
        </w:rPr>
      </w:pPr>
    </w:p>
    <w:p w14:paraId="11D09DB4" w14:textId="77777777" w:rsidR="00C71206" w:rsidRDefault="00C71206" w:rsidP="00807DF8">
      <w:pPr>
        <w:spacing w:after="0" w:line="240" w:lineRule="auto"/>
        <w:jc w:val="both"/>
        <w:rPr>
          <w:rFonts w:cs="Times New Roman"/>
          <w:color w:val="000000" w:themeColor="text1"/>
          <w:sz w:val="20"/>
          <w:szCs w:val="20"/>
        </w:rPr>
      </w:pPr>
    </w:p>
    <w:p w14:paraId="37E6EF89" w14:textId="45BA1858" w:rsidR="00176E20" w:rsidRPr="00655897" w:rsidRDefault="00176E20" w:rsidP="00807DF8">
      <w:pPr>
        <w:spacing w:after="0" w:line="240" w:lineRule="auto"/>
        <w:jc w:val="both"/>
        <w:rPr>
          <w:rFonts w:cs="Times New Roman"/>
          <w:i/>
          <w:color w:val="000000"/>
          <w:sz w:val="20"/>
          <w:szCs w:val="20"/>
        </w:rPr>
      </w:pPr>
      <w:r w:rsidRPr="005617FF">
        <w:rPr>
          <w:rFonts w:cs="Times New Roman"/>
          <w:b/>
          <w:color w:val="000000" w:themeColor="text1"/>
          <w:sz w:val="24"/>
          <w:szCs w:val="24"/>
        </w:rPr>
        <w:br w:type="page"/>
      </w:r>
    </w:p>
    <w:p w14:paraId="28AA3FC9" w14:textId="77777777" w:rsidR="00511271" w:rsidRPr="005617FF" w:rsidRDefault="001B0EDB" w:rsidP="00807DF8">
      <w:pPr>
        <w:spacing w:after="0" w:line="240" w:lineRule="auto"/>
        <w:jc w:val="both"/>
        <w:rPr>
          <w:rFonts w:cs="Times New Roman"/>
          <w:b/>
          <w:color w:val="000000" w:themeColor="text1"/>
          <w:sz w:val="24"/>
          <w:szCs w:val="24"/>
        </w:rPr>
      </w:pPr>
      <w:bookmarkStart w:id="3" w:name="_Hlk78193203"/>
      <w:bookmarkEnd w:id="2"/>
      <w:r w:rsidRPr="005617FF">
        <w:rPr>
          <w:rFonts w:cs="Times New Roman"/>
          <w:b/>
          <w:color w:val="000000" w:themeColor="text1"/>
          <w:sz w:val="24"/>
          <w:szCs w:val="24"/>
        </w:rPr>
        <w:lastRenderedPageBreak/>
        <w:t>ABSTR</w:t>
      </w:r>
      <w:r w:rsidR="003F7D46" w:rsidRPr="005617FF">
        <w:rPr>
          <w:rFonts w:cs="Times New Roman"/>
          <w:b/>
          <w:color w:val="000000" w:themeColor="text1"/>
          <w:sz w:val="24"/>
          <w:szCs w:val="24"/>
        </w:rPr>
        <w:t>A</w:t>
      </w:r>
      <w:r w:rsidRPr="005617FF">
        <w:rPr>
          <w:rFonts w:cs="Times New Roman"/>
          <w:b/>
          <w:color w:val="000000" w:themeColor="text1"/>
          <w:sz w:val="24"/>
          <w:szCs w:val="24"/>
        </w:rPr>
        <w:t>CT</w:t>
      </w:r>
    </w:p>
    <w:p w14:paraId="70A89F58" w14:textId="66602016" w:rsidR="003E5C87" w:rsidRPr="003E5C87" w:rsidRDefault="003E5C87" w:rsidP="00807DF8">
      <w:pPr>
        <w:spacing w:line="240" w:lineRule="auto"/>
        <w:jc w:val="both"/>
        <w:rPr>
          <w:rFonts w:cs="Times New Roman"/>
          <w:szCs w:val="24"/>
        </w:rPr>
      </w:pPr>
      <w:r w:rsidRPr="003E5C87">
        <w:rPr>
          <w:rFonts w:cs="Times New Roman"/>
          <w:szCs w:val="24"/>
        </w:rPr>
        <w:t>Amid aging infrastructure and declining utility of traditional funding sources, it is vital that states secure innovative funding</w:t>
      </w:r>
      <w:r w:rsidR="0017046B">
        <w:rPr>
          <w:rFonts w:cs="Times New Roman"/>
          <w:szCs w:val="24"/>
        </w:rPr>
        <w:t>.</w:t>
      </w:r>
      <w:r w:rsidRPr="003E5C87">
        <w:rPr>
          <w:rFonts w:cs="Times New Roman"/>
          <w:szCs w:val="24"/>
        </w:rPr>
        <w:t xml:space="preserve"> This research analyzes the present and future funding landscape for the United States and specifically Texas, including </w:t>
      </w:r>
      <w:r w:rsidR="0016455F">
        <w:rPr>
          <w:rFonts w:cs="Times New Roman"/>
          <w:szCs w:val="24"/>
        </w:rPr>
        <w:t>the</w:t>
      </w:r>
      <w:r w:rsidRPr="003E5C87">
        <w:rPr>
          <w:rFonts w:cs="Times New Roman"/>
          <w:szCs w:val="24"/>
        </w:rPr>
        <w:t xml:space="preserve"> reliance on diminishing motor fuel tax and resistance to increasing it. Outcomes of this analysis are realized </w:t>
      </w:r>
      <w:r w:rsidR="0017046B">
        <w:rPr>
          <w:rFonts w:cs="Times New Roman"/>
          <w:szCs w:val="24"/>
        </w:rPr>
        <w:t xml:space="preserve">in an </w:t>
      </w:r>
      <w:r w:rsidRPr="003E5C87">
        <w:rPr>
          <w:rFonts w:cs="Times New Roman"/>
          <w:szCs w:val="24"/>
        </w:rPr>
        <w:t xml:space="preserve">application that uses the Analytic Hierarchy Process to match </w:t>
      </w:r>
      <w:r w:rsidR="00DD38A1">
        <w:rPr>
          <w:rFonts w:cs="Times New Roman"/>
          <w:szCs w:val="24"/>
        </w:rPr>
        <w:t>infrastructure</w:t>
      </w:r>
      <w:r w:rsidRPr="003E5C87">
        <w:rPr>
          <w:rFonts w:cs="Times New Roman"/>
          <w:szCs w:val="24"/>
        </w:rPr>
        <w:t xml:space="preserve"> projects with the</w:t>
      </w:r>
      <w:r w:rsidR="00DD38A1">
        <w:rPr>
          <w:rFonts w:cs="Times New Roman"/>
          <w:szCs w:val="24"/>
        </w:rPr>
        <w:t xml:space="preserve"> </w:t>
      </w:r>
      <w:r w:rsidRPr="003E5C87">
        <w:rPr>
          <w:rFonts w:cs="Times New Roman"/>
          <w:szCs w:val="24"/>
        </w:rPr>
        <w:t>appropriate funding</w:t>
      </w:r>
      <w:r w:rsidR="0017046B">
        <w:rPr>
          <w:rFonts w:cs="Times New Roman"/>
          <w:szCs w:val="24"/>
        </w:rPr>
        <w:t>/</w:t>
      </w:r>
      <w:r w:rsidRPr="003E5C87">
        <w:rPr>
          <w:rFonts w:cs="Times New Roman"/>
          <w:szCs w:val="24"/>
        </w:rPr>
        <w:t xml:space="preserve">financing mechanisms. These mechanisms and project characteristics are ranked according to academic and government sources. To the authors’ knowledge, this level of comprehensiveness has not been </w:t>
      </w:r>
      <w:r w:rsidR="00DD38A1">
        <w:rPr>
          <w:rFonts w:cs="Times New Roman"/>
          <w:szCs w:val="24"/>
        </w:rPr>
        <w:t xml:space="preserve">previously </w:t>
      </w:r>
      <w:r w:rsidRPr="003E5C87">
        <w:rPr>
          <w:rFonts w:cs="Times New Roman"/>
          <w:szCs w:val="24"/>
        </w:rPr>
        <w:t>implemented. Functions also exist for creating financial projections based upon user</w:t>
      </w:r>
      <w:r w:rsidR="00DD38A1">
        <w:rPr>
          <w:rFonts w:cs="Times New Roman"/>
          <w:szCs w:val="24"/>
        </w:rPr>
        <w:t xml:space="preserve"> </w:t>
      </w:r>
      <w:r w:rsidRPr="003E5C87">
        <w:rPr>
          <w:rFonts w:cs="Times New Roman"/>
          <w:szCs w:val="24"/>
        </w:rPr>
        <w:t>input</w:t>
      </w:r>
      <w:r w:rsidR="00DD38A1">
        <w:rPr>
          <w:rFonts w:cs="Times New Roman"/>
          <w:szCs w:val="24"/>
        </w:rPr>
        <w:t xml:space="preserve">s and </w:t>
      </w:r>
      <w:r w:rsidRPr="003E5C87">
        <w:rPr>
          <w:rFonts w:cs="Times New Roman"/>
          <w:szCs w:val="24"/>
        </w:rPr>
        <w:t>utilizing models from similar sources. While this database help</w:t>
      </w:r>
      <w:r w:rsidR="00DD38A1">
        <w:rPr>
          <w:rFonts w:cs="Times New Roman"/>
          <w:szCs w:val="24"/>
        </w:rPr>
        <w:t>s</w:t>
      </w:r>
      <w:r w:rsidRPr="003E5C87">
        <w:rPr>
          <w:rFonts w:cs="Times New Roman"/>
          <w:szCs w:val="24"/>
        </w:rPr>
        <w:t xml:space="preserve"> educate policymakers on use cases around innovative concepts, it </w:t>
      </w:r>
      <w:r w:rsidR="00DD38A1">
        <w:rPr>
          <w:rFonts w:cs="Times New Roman"/>
          <w:szCs w:val="24"/>
        </w:rPr>
        <w:t xml:space="preserve">can </w:t>
      </w:r>
      <w:r w:rsidRPr="003E5C87">
        <w:rPr>
          <w:rFonts w:cs="Times New Roman"/>
          <w:szCs w:val="24"/>
        </w:rPr>
        <w:t xml:space="preserve">also </w:t>
      </w:r>
      <w:r w:rsidR="00DD38A1">
        <w:rPr>
          <w:rFonts w:cs="Times New Roman"/>
          <w:szCs w:val="24"/>
        </w:rPr>
        <w:t>assist in</w:t>
      </w:r>
      <w:r w:rsidRPr="003E5C87">
        <w:rPr>
          <w:rFonts w:cs="Times New Roman"/>
          <w:szCs w:val="24"/>
        </w:rPr>
        <w:t xml:space="preserve"> decision-making. </w:t>
      </w:r>
    </w:p>
    <w:p w14:paraId="66AADF6C" w14:textId="77777777" w:rsidR="004D0A64" w:rsidRDefault="00C86856" w:rsidP="004D0A64">
      <w:pPr>
        <w:spacing w:after="0" w:line="240" w:lineRule="auto"/>
        <w:jc w:val="both"/>
        <w:rPr>
          <w:rFonts w:cs="Times New Roman"/>
          <w:b/>
          <w:color w:val="000000" w:themeColor="text1"/>
          <w:szCs w:val="24"/>
        </w:rPr>
      </w:pPr>
      <w:bookmarkStart w:id="4" w:name="_Hlk77631536"/>
      <w:r w:rsidRPr="005617FF">
        <w:rPr>
          <w:rFonts w:cs="Times New Roman"/>
          <w:b/>
          <w:bCs/>
          <w:szCs w:val="24"/>
        </w:rPr>
        <w:t xml:space="preserve">Keywords: </w:t>
      </w:r>
      <w:r w:rsidR="00DA4E1D" w:rsidRPr="00DA4E1D">
        <w:rPr>
          <w:rFonts w:cs="Times New Roman"/>
          <w:bCs/>
          <w:szCs w:val="24"/>
        </w:rPr>
        <w:t>Transportation funding, multi</w:t>
      </w:r>
      <w:r w:rsidR="0016455F">
        <w:rPr>
          <w:rFonts w:cs="Times New Roman"/>
          <w:bCs/>
          <w:szCs w:val="24"/>
        </w:rPr>
        <w:t>-</w:t>
      </w:r>
      <w:r w:rsidR="00DA4E1D" w:rsidRPr="00DA4E1D">
        <w:rPr>
          <w:rFonts w:cs="Times New Roman"/>
          <w:bCs/>
          <w:szCs w:val="24"/>
        </w:rPr>
        <w:t xml:space="preserve">criteria analysis, </w:t>
      </w:r>
      <w:r w:rsidR="0016455F">
        <w:rPr>
          <w:rFonts w:cs="Times New Roman"/>
          <w:bCs/>
          <w:szCs w:val="24"/>
        </w:rPr>
        <w:t>A</w:t>
      </w:r>
      <w:r w:rsidR="00DA4E1D" w:rsidRPr="00DA4E1D">
        <w:rPr>
          <w:rFonts w:cs="Times New Roman"/>
          <w:bCs/>
          <w:szCs w:val="24"/>
        </w:rPr>
        <w:t xml:space="preserve">nalytic </w:t>
      </w:r>
      <w:r w:rsidR="0016455F">
        <w:rPr>
          <w:rFonts w:cs="Times New Roman"/>
          <w:bCs/>
          <w:szCs w:val="24"/>
        </w:rPr>
        <w:t>H</w:t>
      </w:r>
      <w:r w:rsidR="00DA4E1D" w:rsidRPr="00DA4E1D">
        <w:rPr>
          <w:rFonts w:cs="Times New Roman"/>
          <w:bCs/>
          <w:szCs w:val="24"/>
        </w:rPr>
        <w:t xml:space="preserve">ierarchy </w:t>
      </w:r>
      <w:r w:rsidR="0016455F">
        <w:rPr>
          <w:rFonts w:cs="Times New Roman"/>
          <w:bCs/>
          <w:szCs w:val="24"/>
        </w:rPr>
        <w:t>P</w:t>
      </w:r>
      <w:r w:rsidR="00DA4E1D" w:rsidRPr="00DA4E1D">
        <w:rPr>
          <w:rFonts w:cs="Times New Roman"/>
          <w:bCs/>
          <w:szCs w:val="24"/>
        </w:rPr>
        <w:t>rocess, innovative financing, revenue projection</w:t>
      </w:r>
      <w:bookmarkEnd w:id="4"/>
      <w:r w:rsidR="00DA4E1D" w:rsidRPr="00DA4E1D">
        <w:rPr>
          <w:rFonts w:cs="Times New Roman"/>
          <w:bCs/>
          <w:szCs w:val="24"/>
        </w:rPr>
        <w:t>s</w:t>
      </w:r>
      <w:bookmarkEnd w:id="3"/>
    </w:p>
    <w:p w14:paraId="653F6EC1" w14:textId="77777777" w:rsidR="004D0A64" w:rsidRDefault="004D0A64" w:rsidP="004D0A64">
      <w:pPr>
        <w:spacing w:after="0" w:line="240" w:lineRule="auto"/>
        <w:jc w:val="both"/>
        <w:sectPr w:rsidR="004D0A64" w:rsidSect="00F642E4">
          <w:headerReference w:type="default" r:id="rId13"/>
          <w:footerReference w:type="default" r:id="rId14"/>
          <w:footerReference w:type="first" r:id="rId15"/>
          <w:type w:val="continuous"/>
          <w:pgSz w:w="12240" w:h="15840"/>
          <w:pgMar w:top="1440" w:right="1440" w:bottom="1440" w:left="1440" w:header="720" w:footer="720" w:gutter="0"/>
          <w:cols w:space="720"/>
          <w:titlePg/>
          <w:docGrid w:linePitch="360"/>
        </w:sectPr>
      </w:pPr>
    </w:p>
    <w:p w14:paraId="27A98AA0" w14:textId="2180CCD9" w:rsidR="007A2A95" w:rsidRPr="004D0A64" w:rsidRDefault="00B16E6F" w:rsidP="004D0A64">
      <w:pPr>
        <w:spacing w:after="0" w:line="240" w:lineRule="auto"/>
        <w:jc w:val="both"/>
        <w:rPr>
          <w:rFonts w:cs="Times New Roman"/>
          <w:b/>
          <w:color w:val="000000" w:themeColor="text1"/>
          <w:szCs w:val="24"/>
        </w:rPr>
      </w:pPr>
      <w:r w:rsidRPr="004D0A64">
        <w:rPr>
          <w:b/>
        </w:rPr>
        <w:lastRenderedPageBreak/>
        <w:t>INTRODUCTION</w:t>
      </w:r>
    </w:p>
    <w:p w14:paraId="0825D6F3" w14:textId="2EBB65C3" w:rsidR="009427E3" w:rsidRDefault="003B4ECA" w:rsidP="004D0A64">
      <w:pPr>
        <w:spacing w:after="0" w:line="240" w:lineRule="auto"/>
        <w:jc w:val="both"/>
        <w:rPr>
          <w:rFonts w:eastAsia="Times New Roman" w:cs="Times New Roman"/>
          <w:color w:val="000000" w:themeColor="text1"/>
        </w:rPr>
      </w:pPr>
      <w:r>
        <w:rPr>
          <w:rFonts w:eastAsia="Times New Roman" w:cs="Times New Roman"/>
          <w:color w:val="000000" w:themeColor="text1"/>
        </w:rPr>
        <w:t xml:space="preserve">Over </w:t>
      </w:r>
      <w:r w:rsidR="009427E3" w:rsidRPr="009427E3">
        <w:rPr>
          <w:rFonts w:eastAsia="Times New Roman" w:cs="Times New Roman"/>
          <w:color w:val="000000" w:themeColor="text1"/>
        </w:rPr>
        <w:t xml:space="preserve">the past 60 years, the U.S. population has doubled, yet much of the infrastructure that was built </w:t>
      </w:r>
      <w:r w:rsidR="00632BBC">
        <w:rPr>
          <w:rFonts w:eastAsia="Times New Roman" w:cs="Times New Roman"/>
          <w:color w:val="000000" w:themeColor="text1"/>
        </w:rPr>
        <w:t>then</w:t>
      </w:r>
      <w:r w:rsidR="00CD0565">
        <w:rPr>
          <w:rFonts w:eastAsia="Times New Roman" w:cs="Times New Roman"/>
          <w:color w:val="000000" w:themeColor="text1"/>
        </w:rPr>
        <w:t xml:space="preserve"> </w:t>
      </w:r>
      <w:r w:rsidR="009427E3" w:rsidRPr="009427E3">
        <w:rPr>
          <w:rFonts w:eastAsia="Times New Roman" w:cs="Times New Roman"/>
          <w:color w:val="000000" w:themeColor="text1"/>
        </w:rPr>
        <w:t xml:space="preserve">still stands today, in </w:t>
      </w:r>
      <w:r>
        <w:rPr>
          <w:rFonts w:eastAsia="Times New Roman" w:cs="Times New Roman"/>
          <w:color w:val="000000" w:themeColor="text1"/>
        </w:rPr>
        <w:t xml:space="preserve">relatively dilapidated </w:t>
      </w:r>
      <w:r w:rsidR="009427E3" w:rsidRPr="009427E3">
        <w:rPr>
          <w:rFonts w:eastAsia="Times New Roman" w:cs="Times New Roman"/>
        </w:rPr>
        <w:t xml:space="preserve">condition. </w:t>
      </w:r>
      <w:r>
        <w:rPr>
          <w:rFonts w:eastAsia="Times New Roman" w:cs="Times New Roman"/>
        </w:rPr>
        <w:t xml:space="preserve">In particular, according to an American Society of Civil Engineers report </w:t>
      </w:r>
      <w:r w:rsidRPr="009427E3">
        <w:rPr>
          <w:rFonts w:eastAsia="Times New Roman" w:cs="Times New Roman"/>
          <w:color w:val="000000" w:themeColor="text1"/>
        </w:rPr>
        <w:fldChar w:fldCharType="begin" w:fldLock="1"/>
      </w:r>
      <w:r w:rsidRPr="009427E3">
        <w:rPr>
          <w:rFonts w:eastAsia="Times New Roman" w:cs="Times New Roman"/>
          <w:color w:val="000000" w:themeColor="text1"/>
        </w:rPr>
        <w:instrText>ADDIN CSL_CITATION {"citationItems":[{"id":"ITEM-1","itemData":{"URL":"https://www.asce.org/infrastructure/","accessed":{"date-parts":[["2021","7","15"]]},"author":[{"dropping-particle":"","family":"ASCE","given":"","non-dropping-particle":"","parse-names":false,"suffix":""}],"id":"ITEM-1","issued":{"date-parts":[["2021"]]},"title":"Report Card for America's Infrastructure","type":"webpage"},"uris":["http://www.mendeley.com/documents/?uuid=95f21aac-bd14-30da-9570-47bb24442ea0"]}],"mendeley":{"formattedCitation":"(&lt;i&gt;1&lt;/i&gt;)","plainTextFormattedCitation":"(1)","previouslyFormattedCitation":"(&lt;i&gt;1&lt;/i&gt;)"},"properties":{"noteIndex":0},"schema":"https://github.com/citation-style-language/schema/raw/master/csl-citation.json"}</w:instrText>
      </w:r>
      <w:r w:rsidRPr="009427E3">
        <w:rPr>
          <w:rFonts w:eastAsia="Times New Roman" w:cs="Times New Roman"/>
          <w:color w:val="000000" w:themeColor="text1"/>
        </w:rPr>
        <w:fldChar w:fldCharType="separate"/>
      </w:r>
      <w:r w:rsidRPr="009427E3">
        <w:rPr>
          <w:rFonts w:eastAsia="Times New Roman" w:cs="Times New Roman"/>
          <w:noProof/>
          <w:color w:val="000000" w:themeColor="text1"/>
        </w:rPr>
        <w:t>(</w:t>
      </w:r>
      <w:r w:rsidRPr="009427E3">
        <w:rPr>
          <w:rFonts w:eastAsia="Times New Roman" w:cs="Times New Roman"/>
          <w:i/>
          <w:iCs/>
          <w:noProof/>
          <w:color w:val="000000" w:themeColor="text1"/>
        </w:rPr>
        <w:t>1</w:t>
      </w:r>
      <w:r w:rsidRPr="009427E3">
        <w:rPr>
          <w:rFonts w:eastAsia="Times New Roman" w:cs="Times New Roman"/>
          <w:noProof/>
          <w:color w:val="000000" w:themeColor="text1"/>
        </w:rPr>
        <w:t>)</w:t>
      </w:r>
      <w:r w:rsidRPr="009427E3">
        <w:rPr>
          <w:rFonts w:eastAsia="Times New Roman" w:cs="Times New Roman"/>
          <w:color w:val="000000" w:themeColor="text1"/>
        </w:rPr>
        <w:fldChar w:fldCharType="end"/>
      </w:r>
      <w:r>
        <w:rPr>
          <w:rFonts w:eastAsia="Times New Roman" w:cs="Times New Roman"/>
        </w:rPr>
        <w:t>, a</w:t>
      </w:r>
      <w:r w:rsidR="009427E3" w:rsidRPr="009427E3">
        <w:rPr>
          <w:rFonts w:eastAsia="Times New Roman" w:cs="Times New Roman"/>
        </w:rPr>
        <w:t>bout 43% of our roadways are in poor or mediocre condition and need major maintenance. Nonetheless</w:t>
      </w:r>
      <w:r w:rsidR="009427E3" w:rsidRPr="009427E3">
        <w:rPr>
          <w:rFonts w:eastAsia="Times New Roman" w:cs="Times New Roman"/>
          <w:color w:val="000000" w:themeColor="text1"/>
        </w:rPr>
        <w:t xml:space="preserve">, state and local governments are </w:t>
      </w:r>
      <w:r w:rsidR="009427E3" w:rsidRPr="009427E3">
        <w:rPr>
          <w:rFonts w:eastAsia="Times New Roman" w:cs="Times New Roman"/>
        </w:rPr>
        <w:t xml:space="preserve">hesitant to pass legislation to increase funding for the transportation sector, even if only to keep up with inflation rates. </w:t>
      </w:r>
      <w:r w:rsidR="00E032EB">
        <w:rPr>
          <w:rFonts w:eastAsia="Times New Roman" w:cs="Times New Roman"/>
        </w:rPr>
        <w:t xml:space="preserve">At the same time, </w:t>
      </w:r>
      <w:r w:rsidR="009427E3" w:rsidRPr="009427E3">
        <w:rPr>
          <w:rFonts w:eastAsia="Times New Roman" w:cs="Times New Roman"/>
          <w:color w:val="000000" w:themeColor="text1"/>
        </w:rPr>
        <w:t xml:space="preserve">states have the unique ability to create funding revenues that would work best for their populations. </w:t>
      </w:r>
      <w:r w:rsidR="00E032EB">
        <w:rPr>
          <w:rFonts w:eastAsia="Times New Roman" w:cs="Times New Roman"/>
          <w:color w:val="000000" w:themeColor="text1"/>
        </w:rPr>
        <w:t>But, to do so, states need to have information on what</w:t>
      </w:r>
      <w:r w:rsidR="00CD0565">
        <w:rPr>
          <w:rFonts w:eastAsia="Times New Roman" w:cs="Times New Roman"/>
          <w:color w:val="000000" w:themeColor="text1"/>
        </w:rPr>
        <w:t xml:space="preserve"> </w:t>
      </w:r>
      <w:r w:rsidR="009427E3" w:rsidRPr="009427E3">
        <w:rPr>
          <w:rFonts w:eastAsia="Times New Roman" w:cs="Times New Roman"/>
          <w:color w:val="000000" w:themeColor="text1"/>
        </w:rPr>
        <w:t>mechanisms</w:t>
      </w:r>
      <w:r w:rsidR="00E032EB">
        <w:rPr>
          <w:rFonts w:eastAsia="Times New Roman" w:cs="Times New Roman"/>
          <w:color w:val="000000" w:themeColor="text1"/>
        </w:rPr>
        <w:t xml:space="preserve"> </w:t>
      </w:r>
      <w:r w:rsidR="009427E3" w:rsidRPr="009427E3">
        <w:rPr>
          <w:rFonts w:eastAsia="Times New Roman" w:cs="Times New Roman"/>
          <w:color w:val="000000" w:themeColor="text1"/>
        </w:rPr>
        <w:t xml:space="preserve">work best for </w:t>
      </w:r>
      <w:r w:rsidR="00E032EB">
        <w:rPr>
          <w:rFonts w:eastAsia="Times New Roman" w:cs="Times New Roman"/>
          <w:color w:val="000000" w:themeColor="text1"/>
        </w:rPr>
        <w:t>their contexts and project considerations, which itself requires a more basic understanding of the factors that characterize these contexts and consider</w:t>
      </w:r>
      <w:r w:rsidR="009427E3" w:rsidRPr="009427E3">
        <w:rPr>
          <w:rFonts w:eastAsia="Times New Roman" w:cs="Times New Roman"/>
          <w:color w:val="000000" w:themeColor="text1"/>
        </w:rPr>
        <w:t>a</w:t>
      </w:r>
      <w:r w:rsidR="00E032EB">
        <w:rPr>
          <w:rFonts w:eastAsia="Times New Roman" w:cs="Times New Roman"/>
          <w:color w:val="000000" w:themeColor="text1"/>
        </w:rPr>
        <w:t>tions. In this paper, we identify these factors and translate the</w:t>
      </w:r>
      <w:r w:rsidR="009427E3" w:rsidRPr="009427E3">
        <w:rPr>
          <w:rFonts w:eastAsia="Times New Roman" w:cs="Times New Roman"/>
          <w:color w:val="000000" w:themeColor="text1"/>
        </w:rPr>
        <w:t xml:space="preserve"> </w:t>
      </w:r>
      <w:r w:rsidR="00E032EB">
        <w:rPr>
          <w:rFonts w:eastAsia="Times New Roman" w:cs="Times New Roman"/>
          <w:color w:val="000000" w:themeColor="text1"/>
        </w:rPr>
        <w:t xml:space="preserve">findings </w:t>
      </w:r>
      <w:r w:rsidR="0096155F">
        <w:rPr>
          <w:rFonts w:eastAsia="Times New Roman" w:cs="Times New Roman"/>
          <w:color w:val="000000" w:themeColor="text1"/>
        </w:rPr>
        <w:t xml:space="preserve">related to these underpinning factors </w:t>
      </w:r>
      <w:r w:rsidR="00E032EB">
        <w:rPr>
          <w:rFonts w:eastAsia="Times New Roman" w:cs="Times New Roman"/>
          <w:color w:val="000000" w:themeColor="text1"/>
        </w:rPr>
        <w:t xml:space="preserve">into </w:t>
      </w:r>
      <w:r w:rsidR="009427E3" w:rsidRPr="009427E3">
        <w:rPr>
          <w:rFonts w:eastAsia="Times New Roman" w:cs="Times New Roman"/>
          <w:color w:val="000000" w:themeColor="text1"/>
        </w:rPr>
        <w:t xml:space="preserve">an interactive database that </w:t>
      </w:r>
      <w:r w:rsidR="0096155F">
        <w:rPr>
          <w:rFonts w:eastAsia="Times New Roman" w:cs="Times New Roman"/>
          <w:color w:val="000000" w:themeColor="text1"/>
        </w:rPr>
        <w:t>can allow states to identify funding</w:t>
      </w:r>
      <w:r w:rsidR="00807DF8">
        <w:rPr>
          <w:rFonts w:eastAsia="Times New Roman" w:cs="Times New Roman"/>
          <w:color w:val="000000" w:themeColor="text1"/>
        </w:rPr>
        <w:t>/</w:t>
      </w:r>
      <w:r w:rsidR="0096155F">
        <w:rPr>
          <w:rFonts w:eastAsia="Times New Roman" w:cs="Times New Roman"/>
          <w:color w:val="000000" w:themeColor="text1"/>
        </w:rPr>
        <w:t xml:space="preserve">financing </w:t>
      </w:r>
      <w:r w:rsidR="009427E3" w:rsidRPr="009427E3">
        <w:rPr>
          <w:rFonts w:eastAsia="Times New Roman" w:cs="Times New Roman"/>
          <w:color w:val="000000" w:themeColor="text1"/>
        </w:rPr>
        <w:t>mechanisms that may</w:t>
      </w:r>
      <w:r w:rsidR="0096155F">
        <w:rPr>
          <w:rFonts w:eastAsia="Times New Roman" w:cs="Times New Roman"/>
          <w:color w:val="000000" w:themeColor="text1"/>
        </w:rPr>
        <w:t xml:space="preserve"> be most suitable for </w:t>
      </w:r>
      <w:r w:rsidR="009427E3" w:rsidRPr="009427E3">
        <w:rPr>
          <w:rFonts w:eastAsia="Times New Roman" w:cs="Times New Roman"/>
          <w:color w:val="000000" w:themeColor="text1"/>
        </w:rPr>
        <w:t xml:space="preserve">specific project scenarios. </w:t>
      </w:r>
      <w:r w:rsidR="0096155F">
        <w:rPr>
          <w:rFonts w:eastAsia="Times New Roman" w:cs="Times New Roman"/>
          <w:color w:val="000000" w:themeColor="text1"/>
        </w:rPr>
        <w:t xml:space="preserve">While the database development itself </w:t>
      </w:r>
      <w:r w:rsidR="009427E3" w:rsidRPr="009427E3">
        <w:rPr>
          <w:rFonts w:eastAsia="Times New Roman" w:cs="Times New Roman"/>
          <w:color w:val="000000" w:themeColor="text1"/>
        </w:rPr>
        <w:t>focuses on existing or potential Texas revenue sources, the revenue sources overlap well with those available in other states</w:t>
      </w:r>
      <w:r w:rsidR="0096155F">
        <w:rPr>
          <w:rFonts w:eastAsia="Times New Roman" w:cs="Times New Roman"/>
          <w:color w:val="000000" w:themeColor="text1"/>
        </w:rPr>
        <w:t>,</w:t>
      </w:r>
      <w:r w:rsidR="009427E3" w:rsidRPr="009427E3">
        <w:rPr>
          <w:rFonts w:eastAsia="Times New Roman" w:cs="Times New Roman"/>
          <w:color w:val="000000" w:themeColor="text1"/>
        </w:rPr>
        <w:t xml:space="preserve"> </w:t>
      </w:r>
      <w:r w:rsidR="00D62F30">
        <w:rPr>
          <w:rFonts w:eastAsia="Times New Roman" w:cs="Times New Roman"/>
          <w:color w:val="000000" w:themeColor="text1"/>
        </w:rPr>
        <w:t>making</w:t>
      </w:r>
      <w:r w:rsidR="00D62F30" w:rsidRPr="009427E3">
        <w:rPr>
          <w:rFonts w:eastAsia="Times New Roman" w:cs="Times New Roman"/>
          <w:color w:val="000000" w:themeColor="text1"/>
        </w:rPr>
        <w:t xml:space="preserve"> </w:t>
      </w:r>
      <w:r w:rsidR="009427E3" w:rsidRPr="009427E3">
        <w:rPr>
          <w:rFonts w:eastAsia="Times New Roman" w:cs="Times New Roman"/>
          <w:color w:val="000000" w:themeColor="text1"/>
        </w:rPr>
        <w:t xml:space="preserve">the database </w:t>
      </w:r>
      <w:r w:rsidR="0096155F">
        <w:rPr>
          <w:rFonts w:eastAsia="Times New Roman" w:cs="Times New Roman"/>
          <w:color w:val="000000" w:themeColor="text1"/>
        </w:rPr>
        <w:t>easily transferable</w:t>
      </w:r>
      <w:r w:rsidR="009427E3" w:rsidRPr="009427E3">
        <w:rPr>
          <w:rFonts w:eastAsia="Times New Roman" w:cs="Times New Roman"/>
          <w:color w:val="000000" w:themeColor="text1"/>
        </w:rPr>
        <w:t xml:space="preserve">. This database not only </w:t>
      </w:r>
      <w:r w:rsidR="0096155F">
        <w:rPr>
          <w:rFonts w:eastAsia="Times New Roman" w:cs="Times New Roman"/>
          <w:color w:val="000000" w:themeColor="text1"/>
        </w:rPr>
        <w:t xml:space="preserve">provides insights to </w:t>
      </w:r>
      <w:r w:rsidR="009427E3" w:rsidRPr="009427E3">
        <w:rPr>
          <w:rFonts w:eastAsia="Times New Roman" w:cs="Times New Roman"/>
          <w:color w:val="000000" w:themeColor="text1"/>
        </w:rPr>
        <w:t xml:space="preserve">legislators about funding possibilities, but also informs department of transportation (DOT) personnel </w:t>
      </w:r>
      <w:r w:rsidR="0096155F">
        <w:rPr>
          <w:rFonts w:eastAsia="Times New Roman" w:cs="Times New Roman"/>
          <w:color w:val="000000" w:themeColor="text1"/>
        </w:rPr>
        <w:t>about</w:t>
      </w:r>
      <w:r w:rsidR="009427E3" w:rsidRPr="009427E3">
        <w:rPr>
          <w:rFonts w:eastAsia="Times New Roman" w:cs="Times New Roman"/>
          <w:color w:val="000000" w:themeColor="text1"/>
        </w:rPr>
        <w:t xml:space="preserve"> potential </w:t>
      </w:r>
      <w:r w:rsidR="0096155F">
        <w:rPr>
          <w:rFonts w:eastAsia="Times New Roman" w:cs="Times New Roman"/>
          <w:color w:val="000000" w:themeColor="text1"/>
        </w:rPr>
        <w:t xml:space="preserve">innovative financing mechanisms (including </w:t>
      </w:r>
      <w:r w:rsidR="0096155F" w:rsidRPr="009427E3">
        <w:rPr>
          <w:rFonts w:eastAsia="Times New Roman" w:cs="Times New Roman"/>
        </w:rPr>
        <w:t xml:space="preserve">vehicle-miles-traveled </w:t>
      </w:r>
      <w:r w:rsidR="0096155F">
        <w:rPr>
          <w:rFonts w:eastAsia="Times New Roman" w:cs="Times New Roman"/>
        </w:rPr>
        <w:t xml:space="preserve">or </w:t>
      </w:r>
      <w:r w:rsidR="0096155F" w:rsidRPr="009427E3">
        <w:rPr>
          <w:rFonts w:eastAsia="Times New Roman" w:cs="Times New Roman"/>
        </w:rPr>
        <w:t>VMT fees, congestion pricing, credit enhancement tools, and fixed-income financing instruments such as bonds</w:t>
      </w:r>
      <w:r w:rsidR="00154269">
        <w:rPr>
          <w:rFonts w:eastAsia="Times New Roman" w:cs="Times New Roman"/>
        </w:rPr>
        <w:t xml:space="preserve"> </w:t>
      </w:r>
      <w:r w:rsidR="0096155F" w:rsidRPr="009427E3">
        <w:fldChar w:fldCharType="begin" w:fldLock="1"/>
      </w:r>
      <w:r w:rsidR="00CD0565">
        <w:instrText>ADDIN CSL_CITATION {"citationItems":[{"id":"ITEM-1","itemData":{"DOI":"doi:10.1061/9780784412329.227","ISBN":"9780784412329","abstract":"Traditional financing approaches, such as federal and state grants funded by taxation, are no longer sufficient to address the ever-growing need for sustaining and restoring the civil infrastructure in the U.S. Innovative financing approaches (such as novel public private partnership models, credit enhancement tools, and new bond instruments) have emerged to complement traditional approaches in sustaining and improving civil infrastructures. However, public support is critical to the success of innovative financing approaches, and thus an assessment of public perceptions is an essential consideration in the implementation of sustainable infrastructure financing policies. The objective of this paper is to analyze the four dimensions of public perceptions and their implications for policymaking as they relate to innovative financing of civil infrastructure. The factors affecting public perceptions include: economic conditions such as the gross domestic product and the unemployment rate; infrastructure conditions such as the percentage of infrastructure facilities in structurally deficient condition; and personal characteristics such as income, gender, and education. In this paper we assess how these factors affect the knowledge, awareness, and perceptions of the public regarding infrastructure development and financing. Statistical models are estimated using data collected from the general public in all 50 states in the U.S. through a web-based survey, data obtained from the scorecard of the U.S. infrastructure developed by the American Society of Civil Engineers and economic data obtained from the Bureau of Economic Analysis. Based on the findings of the statistical analysis, recommendations are provided to infrastructure sponsor organizations relating to educating the public to enhance public knowledge and awareness and designing financing structures that are consistent with the prevailing public perceptions.","author":[{"dropping-particle":"","family":"Ali","given":"Mostafavi","non-dropping-particle":"","parse-names":false,"suffix":""},{"dropping-particle":"","family":"Dulcy","given":"Abraham","non-dropping-particle":"","parse-names":false,"suffix":""},{"dropping-particle":"","family":"Fred","given":"Mannering","non-dropping-particle":"","parse-names":false,"suffix":""},{"dropping-particle":"","family":"Antonio","given":"Vives","non-dropping-particle":"","parse-names":false,"suffix":""},{"dropping-particle":"","family":"Vanessa","given":"Valentin","non-dropping-particle":"","parse-names":false,"suffix":""}],"collection-title":"Proceedings","container-title":"Construction Research Congress 2012","id":"ITEM-1","issued":{"date-parts":[["2021","7","12"]]},"note":"doi:10.1061/9780784412329.227","page":"2260-2269","title":"Assessment of Public Perceptions of Innovative Financing for Infrastructure","type":"article"},"uris":["http://www.mendeley.com/documents/?uuid=7adea119-7f16-47c8-a867-7469144d22af"]}],"mendeley":{"formattedCitation":"(&lt;i&gt;2&lt;/i&gt;)","plainTextFormattedCitation":"(2)","previouslyFormattedCitation":"(&lt;i&gt;2&lt;/i&gt;)"},"properties":{"noteIndex":0},"schema":"https://github.com/citation-style-language/schema/raw/master/csl-citation.json"}</w:instrText>
      </w:r>
      <w:r w:rsidR="0096155F" w:rsidRPr="009427E3">
        <w:fldChar w:fldCharType="separate"/>
      </w:r>
      <w:r w:rsidR="00CD0565" w:rsidRPr="00CD0565">
        <w:rPr>
          <w:noProof/>
        </w:rPr>
        <w:t>(</w:t>
      </w:r>
      <w:r w:rsidR="00CD0565" w:rsidRPr="00CD0565">
        <w:rPr>
          <w:i/>
          <w:noProof/>
        </w:rPr>
        <w:t>2</w:t>
      </w:r>
      <w:r w:rsidR="00CD0565" w:rsidRPr="00CD0565">
        <w:rPr>
          <w:noProof/>
        </w:rPr>
        <w:t>)</w:t>
      </w:r>
      <w:r w:rsidR="0096155F" w:rsidRPr="009427E3">
        <w:fldChar w:fldCharType="end"/>
      </w:r>
      <w:r w:rsidR="00154269">
        <w:t>)</w:t>
      </w:r>
      <w:r w:rsidR="0096155F">
        <w:rPr>
          <w:rFonts w:eastAsia="Times New Roman" w:cs="Times New Roman"/>
        </w:rPr>
        <w:t xml:space="preserve"> that can complement traditional funding mechanisms</w:t>
      </w:r>
      <w:r w:rsidR="00D62F30">
        <w:rPr>
          <w:rFonts w:eastAsia="Times New Roman" w:cs="Times New Roman"/>
        </w:rPr>
        <w:t>.</w:t>
      </w:r>
      <w:r w:rsidR="0096155F">
        <w:rPr>
          <w:rFonts w:eastAsia="Times New Roman" w:cs="Times New Roman"/>
        </w:rPr>
        <w:t xml:space="preserve"> (</w:t>
      </w:r>
      <w:r w:rsidR="00D62F30">
        <w:rPr>
          <w:rFonts w:eastAsia="Times New Roman" w:cs="Times New Roman"/>
          <w:color w:val="000000" w:themeColor="text1"/>
        </w:rPr>
        <w:t>A</w:t>
      </w:r>
      <w:r w:rsidR="009427E3" w:rsidRPr="009427E3">
        <w:rPr>
          <w:rFonts w:eastAsia="Times New Roman" w:cs="Times New Roman"/>
          <w:color w:val="000000" w:themeColor="text1"/>
        </w:rPr>
        <w:t>lthough the</w:t>
      </w:r>
      <w:r w:rsidR="0096155F">
        <w:rPr>
          <w:rFonts w:eastAsia="Times New Roman" w:cs="Times New Roman"/>
          <w:color w:val="000000" w:themeColor="text1"/>
        </w:rPr>
        <w:t xml:space="preserve"> </w:t>
      </w:r>
      <w:r w:rsidR="009427E3" w:rsidRPr="009427E3">
        <w:rPr>
          <w:rFonts w:eastAsia="Times New Roman" w:cs="Times New Roman"/>
          <w:color w:val="000000" w:themeColor="text1"/>
        </w:rPr>
        <w:t>terms</w:t>
      </w:r>
      <w:r w:rsidR="00655897">
        <w:rPr>
          <w:rFonts w:eastAsia="Times New Roman" w:cs="Times New Roman"/>
          <w:color w:val="000000" w:themeColor="text1"/>
        </w:rPr>
        <w:t xml:space="preserve"> </w:t>
      </w:r>
      <w:r w:rsidR="009427E3" w:rsidRPr="009427E3">
        <w:rPr>
          <w:rFonts w:eastAsia="Times New Roman" w:cs="Times New Roman"/>
          <w:i/>
          <w:iCs/>
        </w:rPr>
        <w:t>fundin</w:t>
      </w:r>
      <w:r w:rsidR="00655897">
        <w:rPr>
          <w:rFonts w:eastAsia="Times New Roman" w:cs="Times New Roman"/>
          <w:i/>
          <w:iCs/>
        </w:rPr>
        <w:t xml:space="preserve">g </w:t>
      </w:r>
      <w:r w:rsidR="009427E3" w:rsidRPr="009427E3">
        <w:rPr>
          <w:rFonts w:eastAsia="Times New Roman" w:cs="Times New Roman"/>
        </w:rPr>
        <w:t>and</w:t>
      </w:r>
      <w:r w:rsidR="00655897">
        <w:rPr>
          <w:rFonts w:eastAsia="Times New Roman" w:cs="Times New Roman"/>
        </w:rPr>
        <w:t xml:space="preserve"> </w:t>
      </w:r>
      <w:r w:rsidR="009427E3" w:rsidRPr="009427E3">
        <w:rPr>
          <w:rFonts w:eastAsia="Times New Roman" w:cs="Times New Roman"/>
          <w:i/>
          <w:iCs/>
        </w:rPr>
        <w:t>financing</w:t>
      </w:r>
      <w:r w:rsidR="00655897">
        <w:rPr>
          <w:rFonts w:eastAsia="Times New Roman" w:cs="Times New Roman"/>
        </w:rPr>
        <w:t xml:space="preserve"> </w:t>
      </w:r>
      <w:r w:rsidR="009427E3" w:rsidRPr="009427E3">
        <w:rPr>
          <w:rFonts w:eastAsia="Times New Roman" w:cs="Times New Roman"/>
        </w:rPr>
        <w:t>are often used interchangeably, they are separate concepts</w:t>
      </w:r>
      <w:r w:rsidR="0096155F">
        <w:rPr>
          <w:rFonts w:eastAsia="Times New Roman" w:cs="Times New Roman"/>
        </w:rPr>
        <w:t>; t</w:t>
      </w:r>
      <w:r w:rsidR="009427E3" w:rsidRPr="009427E3">
        <w:rPr>
          <w:rFonts w:eastAsia="Times New Roman" w:cs="Times New Roman"/>
        </w:rPr>
        <w:t>he USDOT states that funding and financing are distinguished by whether the money paid for the project is revenue-based or debt-based</w:t>
      </w:r>
      <w:r w:rsidR="0096155F">
        <w:rPr>
          <w:rFonts w:eastAsia="Times New Roman" w:cs="Times New Roman"/>
        </w:rPr>
        <w:t>.)</w:t>
      </w:r>
      <w:r w:rsidR="00F67B05" w:rsidRPr="009427E3" w:rsidDel="00F67B05">
        <w:rPr>
          <w:rFonts w:eastAsia="Times New Roman" w:cs="Times New Roman"/>
          <w:i/>
          <w:iCs/>
        </w:rPr>
        <w:t xml:space="preserve"> </w:t>
      </w:r>
    </w:p>
    <w:p w14:paraId="24AAE3CA" w14:textId="77777777" w:rsidR="009427E3" w:rsidRPr="009427E3" w:rsidRDefault="009427E3" w:rsidP="004D0A64">
      <w:pPr>
        <w:spacing w:after="0" w:line="240" w:lineRule="auto"/>
        <w:ind w:firstLine="720"/>
        <w:jc w:val="both"/>
        <w:rPr>
          <w:rFonts w:eastAsia="Times New Roman" w:cs="Times New Roman"/>
          <w:color w:val="000000" w:themeColor="text1"/>
        </w:rPr>
      </w:pPr>
    </w:p>
    <w:p w14:paraId="50207B96" w14:textId="61C5E78B" w:rsidR="009427E3" w:rsidRPr="00FE4F76" w:rsidRDefault="009427E3" w:rsidP="004D0A64">
      <w:pPr>
        <w:pStyle w:val="Heading2"/>
        <w:jc w:val="both"/>
      </w:pPr>
      <w:r w:rsidRPr="41EE3476">
        <w:t>Historical Funding</w:t>
      </w:r>
      <w:r w:rsidR="00632BBC">
        <w:t>/</w:t>
      </w:r>
      <w:r w:rsidRPr="41EE3476">
        <w:t>Financing in the Transportation Sector</w:t>
      </w:r>
    </w:p>
    <w:p w14:paraId="71D6B0DB" w14:textId="102010B2" w:rsidR="009427E3" w:rsidRPr="009427E3" w:rsidRDefault="009427E3" w:rsidP="004D0A64">
      <w:pPr>
        <w:spacing w:after="0" w:line="240" w:lineRule="auto"/>
        <w:jc w:val="both"/>
        <w:rPr>
          <w:rFonts w:eastAsia="Times New Roman" w:cs="Times New Roman"/>
          <w:color w:val="000000" w:themeColor="text1"/>
        </w:rPr>
      </w:pPr>
      <w:r w:rsidRPr="009427E3">
        <w:rPr>
          <w:rFonts w:eastAsia="Times New Roman" w:cs="Times New Roman"/>
          <w:color w:val="000000" w:themeColor="text1"/>
        </w:rPr>
        <w:t xml:space="preserve">For decades, DOTs have relied heavily on raising the motor fuel tax (MFT) to ensure sufficient revenue to fund the growing transportation infrastructure needs and overcome inflation and the improvement </w:t>
      </w:r>
      <w:r w:rsidR="0096155F">
        <w:rPr>
          <w:rFonts w:eastAsia="Times New Roman" w:cs="Times New Roman"/>
          <w:color w:val="000000" w:themeColor="text1"/>
        </w:rPr>
        <w:t>in</w:t>
      </w:r>
      <w:r w:rsidRPr="009427E3">
        <w:rPr>
          <w:rFonts w:eastAsia="Times New Roman" w:cs="Times New Roman"/>
          <w:color w:val="000000" w:themeColor="text1"/>
        </w:rPr>
        <w:t xml:space="preserve"> </w:t>
      </w:r>
      <w:r w:rsidR="00576CCE">
        <w:rPr>
          <w:rFonts w:eastAsia="Times New Roman" w:cs="Times New Roman"/>
          <w:color w:val="000000" w:themeColor="text1"/>
        </w:rPr>
        <w:t xml:space="preserve">vehicles’ </w:t>
      </w:r>
      <w:r w:rsidRPr="009427E3">
        <w:rPr>
          <w:rFonts w:eastAsia="Times New Roman" w:cs="Times New Roman"/>
          <w:color w:val="000000" w:themeColor="text1"/>
        </w:rPr>
        <w:t xml:space="preserve">fuel </w:t>
      </w:r>
      <w:r w:rsidR="00576CCE" w:rsidRPr="009427E3">
        <w:rPr>
          <w:rFonts w:eastAsia="Times New Roman" w:cs="Times New Roman"/>
          <w:color w:val="000000" w:themeColor="text1"/>
        </w:rPr>
        <w:t>e</w:t>
      </w:r>
      <w:r w:rsidR="00576CCE">
        <w:rPr>
          <w:rFonts w:eastAsia="Times New Roman" w:cs="Times New Roman"/>
          <w:color w:val="000000" w:themeColor="text1"/>
        </w:rPr>
        <w:t>fficiency</w:t>
      </w:r>
      <w:r w:rsidRPr="009427E3">
        <w:rPr>
          <w:rFonts w:eastAsia="Times New Roman" w:cs="Times New Roman"/>
          <w:color w:val="000000" w:themeColor="text1"/>
        </w:rPr>
        <w:t>. However, some</w:t>
      </w:r>
      <w:r w:rsidRPr="009427E3">
        <w:rPr>
          <w:rFonts w:eastAsia="Times New Roman" w:cs="Times New Roman"/>
        </w:rPr>
        <w:t xml:space="preserve"> states have kept rates constant for years. For example, Texas’ MFT has remained at 20¢</w:t>
      </w:r>
      <w:r w:rsidR="00632BBC">
        <w:rPr>
          <w:rFonts w:eastAsia="Times New Roman" w:cs="Times New Roman"/>
        </w:rPr>
        <w:t>/</w:t>
      </w:r>
      <w:r w:rsidRPr="009427E3">
        <w:rPr>
          <w:rFonts w:eastAsia="Times New Roman" w:cs="Times New Roman"/>
        </w:rPr>
        <w:t xml:space="preserve">gallon since 1991 </w:t>
      </w:r>
      <w:r w:rsidRPr="009427E3">
        <w:rPr>
          <w:rFonts w:eastAsia="Times New Roman" w:cs="Times New Roman"/>
        </w:rPr>
        <w:fldChar w:fldCharType="begin" w:fldLock="1"/>
      </w:r>
      <w:r w:rsidR="00CD0565">
        <w:rPr>
          <w:rFonts w:eastAsia="Times New Roman" w:cs="Times New Roman"/>
        </w:rPr>
        <w:instrText>ADDIN CSL_CITATION {"citationItems":[{"id":"ITEM-1","itemData":{"author":[{"dropping-particle":"","family":"Heleman","given":"John","non-dropping-particle":"","parse-names":false,"suffix":""},{"dropping-particle":"","family":"Wright","given":"Bruce","non-dropping-particle":"","parse-names":false,"suffix":""}],"id":"ITEM-1","issued":{"date-parts":[["2016"]]},"title":"Texas' Motor Fuels Taxes","type":"report"},"uris":["http://www.mendeley.com/documents/?uuid=7a8aa33b-fee7-4f00-ba21-7d28284c6d59"]}],"mendeley":{"formattedCitation":"(&lt;i&gt;3&lt;/i&gt;)","plainTextFormattedCitation":"(3)","previouslyFormattedCitation":"(&lt;i&gt;3&lt;/i&gt;)"},"properties":{"noteIndex":0},"schema":"https://github.com/citation-style-language/schema/raw/master/csl-citation.json"}</w:instrText>
      </w:r>
      <w:r w:rsidRPr="009427E3">
        <w:rPr>
          <w:rFonts w:eastAsia="Times New Roman" w:cs="Times New Roman"/>
        </w:rPr>
        <w:fldChar w:fldCharType="separate"/>
      </w:r>
      <w:r w:rsidR="00CD0565" w:rsidRPr="00CD0565">
        <w:rPr>
          <w:rFonts w:eastAsia="Times New Roman" w:cs="Times New Roman"/>
          <w:noProof/>
        </w:rPr>
        <w:t>(</w:t>
      </w:r>
      <w:r w:rsidR="00CD0565" w:rsidRPr="00CD0565">
        <w:rPr>
          <w:rFonts w:eastAsia="Times New Roman" w:cs="Times New Roman"/>
          <w:i/>
          <w:noProof/>
        </w:rPr>
        <w:t>3</w:t>
      </w:r>
      <w:r w:rsidR="00CD0565" w:rsidRPr="00CD0565">
        <w:rPr>
          <w:rFonts w:eastAsia="Times New Roman" w:cs="Times New Roman"/>
          <w:noProof/>
        </w:rPr>
        <w:t>)</w:t>
      </w:r>
      <w:r w:rsidRPr="009427E3">
        <w:rPr>
          <w:rFonts w:eastAsia="Times New Roman" w:cs="Times New Roman"/>
        </w:rPr>
        <w:fldChar w:fldCharType="end"/>
      </w:r>
      <w:r w:rsidRPr="009427E3">
        <w:rPr>
          <w:rFonts w:eastAsia="Times New Roman" w:cs="Times New Roman"/>
        </w:rPr>
        <w:t xml:space="preserve">, leading to an MFT revenue decline of 6% when accounting for inflation, despite a 49% increase in gasoline consumption between 1997 and 2016 </w:t>
      </w:r>
      <w:r w:rsidRPr="009427E3">
        <w:rPr>
          <w:rFonts w:eastAsia="Times New Roman" w:cs="Times New Roman"/>
        </w:rPr>
        <w:fldChar w:fldCharType="begin" w:fldLock="1"/>
      </w:r>
      <w:r w:rsidR="00CD0565">
        <w:rPr>
          <w:rFonts w:eastAsia="Times New Roman" w:cs="Times New Roman"/>
        </w:rPr>
        <w:instrText>ADDIN CSL_CITATION {"citationItems":[{"id":"ITEM-1","itemData":{"author":[{"dropping-particle":"","family":"Halbrook","given":"Shannon","non-dropping-particle":"","parse-names":false,"suffix":""},{"dropping-particle":"","family":"Donald","given":"Jess","non-dropping-particle":"","parse-names":false,"suffix":""}],"id":"ITEM-1","issued":{"date-parts":[["2019"]]},"title":"Motor Fuels Taxes in a Changing Texas Transportation Scene","type":"report"},"uris":["http://www.mendeley.com/documents/?uuid=f14ea1dd-465a-4b96-8279-15a1069a820c"]}],"mendeley":{"formattedCitation":"(&lt;i&gt;4&lt;/i&gt;)","plainTextFormattedCitation":"(4)","previouslyFormattedCitation":"(&lt;i&gt;4&lt;/i&gt;)"},"properties":{"noteIndex":0},"schema":"https://github.com/citation-style-language/schema/raw/master/csl-citation.json"}</w:instrText>
      </w:r>
      <w:r w:rsidRPr="009427E3">
        <w:rPr>
          <w:rFonts w:eastAsia="Times New Roman" w:cs="Times New Roman"/>
        </w:rPr>
        <w:fldChar w:fldCharType="separate"/>
      </w:r>
      <w:r w:rsidR="00CD0565" w:rsidRPr="00CD0565">
        <w:rPr>
          <w:rFonts w:eastAsia="Times New Roman" w:cs="Times New Roman"/>
          <w:noProof/>
        </w:rPr>
        <w:t>(</w:t>
      </w:r>
      <w:r w:rsidR="00CD0565" w:rsidRPr="00CD0565">
        <w:rPr>
          <w:rFonts w:eastAsia="Times New Roman" w:cs="Times New Roman"/>
          <w:i/>
          <w:noProof/>
        </w:rPr>
        <w:t>4</w:t>
      </w:r>
      <w:r w:rsidR="00CD0565" w:rsidRPr="00CD0565">
        <w:rPr>
          <w:rFonts w:eastAsia="Times New Roman" w:cs="Times New Roman"/>
          <w:noProof/>
        </w:rPr>
        <w:t>)</w:t>
      </w:r>
      <w:r w:rsidRPr="009427E3">
        <w:rPr>
          <w:rFonts w:eastAsia="Times New Roman" w:cs="Times New Roman"/>
        </w:rPr>
        <w:fldChar w:fldCharType="end"/>
      </w:r>
      <w:r w:rsidRPr="009427E3">
        <w:rPr>
          <w:rFonts w:eastAsia="Times New Roman" w:cs="Times New Roman"/>
        </w:rPr>
        <w:t>. Texas legislators face severe public opposition to an MFT increase</w:t>
      </w:r>
      <w:r w:rsidR="00CD0565">
        <w:rPr>
          <w:rFonts w:eastAsia="Times New Roman" w:cs="Times New Roman"/>
        </w:rPr>
        <w:t xml:space="preserve"> </w:t>
      </w:r>
      <w:r w:rsidR="00CD0565">
        <w:rPr>
          <w:rFonts w:eastAsia="Times New Roman" w:cs="Times New Roman"/>
        </w:rPr>
        <w:fldChar w:fldCharType="begin" w:fldLock="1"/>
      </w:r>
      <w:r w:rsidR="00CD0565">
        <w:rPr>
          <w:rFonts w:eastAsia="Times New Roman" w:cs="Times New Roman"/>
        </w:rPr>
        <w:instrText>ADDIN CSL_CITATION {"citationItems":[{"id":"ITEM-1","itemData":{"author":[{"dropping-particle":"","family":"Board","given":"Transportation Research","non-dropping-particle":"","parse-names":false,"suffix":""}],"container-title":"Special Report 285, Washington, DC: The National Academies of Press","id":"ITEM-1","issued":{"date-parts":[["2006"]]},"title":"The fuel tax and alternatives for transportation funding","type":"article-journal"},"uris":["http://www.mendeley.com/documents/?uuid=4b46e459-79ab-4472-9f19-cf39b2fb70bc"]}],"mendeley":{"formattedCitation":"(&lt;i&gt;5&lt;/i&gt;)","plainTextFormattedCitation":"(5)","previouslyFormattedCitation":"(&lt;i&gt;5&lt;/i&gt;)"},"properties":{"noteIndex":0},"schema":"https://github.com/citation-style-language/schema/raw/master/csl-citation.json"}</w:instrText>
      </w:r>
      <w:r w:rsidR="00CD0565">
        <w:rPr>
          <w:rFonts w:eastAsia="Times New Roman" w:cs="Times New Roman"/>
        </w:rPr>
        <w:fldChar w:fldCharType="separate"/>
      </w:r>
      <w:r w:rsidR="00CD0565" w:rsidRPr="00CD0565">
        <w:rPr>
          <w:rFonts w:eastAsia="Times New Roman" w:cs="Times New Roman"/>
          <w:noProof/>
        </w:rPr>
        <w:t>(</w:t>
      </w:r>
      <w:r w:rsidR="00CD0565" w:rsidRPr="00CD0565">
        <w:rPr>
          <w:rFonts w:eastAsia="Times New Roman" w:cs="Times New Roman"/>
          <w:i/>
          <w:noProof/>
        </w:rPr>
        <w:t>5</w:t>
      </w:r>
      <w:r w:rsidR="00CD0565" w:rsidRPr="00CD0565">
        <w:rPr>
          <w:rFonts w:eastAsia="Times New Roman" w:cs="Times New Roman"/>
          <w:noProof/>
        </w:rPr>
        <w:t>)</w:t>
      </w:r>
      <w:r w:rsidR="00CD0565">
        <w:rPr>
          <w:rFonts w:eastAsia="Times New Roman" w:cs="Times New Roman"/>
        </w:rPr>
        <w:fldChar w:fldCharType="end"/>
      </w:r>
      <w:r w:rsidRPr="009427E3">
        <w:rPr>
          <w:rFonts w:eastAsia="Times New Roman" w:cs="Times New Roman"/>
        </w:rPr>
        <w:t xml:space="preserve">, a challenge faced in other states as well. Thus, the search for alternative funding sources has been an ongoing effort nationwide </w:t>
      </w:r>
      <w:r w:rsidRPr="009427E3">
        <w:rPr>
          <w:rFonts w:eastAsia="Times New Roman" w:cs="Times New Roman"/>
        </w:rPr>
        <w:fldChar w:fldCharType="begin" w:fldLock="1"/>
      </w:r>
      <w:r w:rsidR="00CD0565">
        <w:rPr>
          <w:rFonts w:eastAsia="Times New Roman" w:cs="Times New Roman"/>
        </w:rPr>
        <w:instrText>ADDIN CSL_CITATION {"citationItems":[{"id":"ITEM-1","itemData":{"DOI":"10.1007/BF01098639","ISSN":"1572-9435","abstract":"The economic theory behind congestion pricing relies on using the revenues to help compensate highway users. But can practical methods of using revenues come close to achieving this compensation, and still have salient appeal to important political groups? This paper investigates the possibilities for designing a package of revenue uses that can achieve these twin goals. The suggested approach returns two-thirds of the revenues to travelers through travel allowances and tax reductions, and uses the rest to improve transportation throughout the area, including affected business centers. By replacing regressive sales and fuel taxes, this approach offsets the tendency of the prices alone to have a regressive distributional impact. By lowering taxes, funding new highways, improving transit, and upgrading business centers, the package provides inducements for support from several key interest groups. The potential amounts of money involved are discussed using nationwide data, and in more detail using a case study of ubiquitous facility pricing throughout the Los Angeles region. Illustrative calculations of the effects on various individuals confirm that such a package can create net benefits for a wide spectrum of people and interest groups.","author":[{"dropping-particle":"","family":"Small","given":"Kenneth A","non-dropping-particle":"","parse-names":false,"suffix":""}],"container-title":"Transportation","id":"ITEM-1","issue":"4","issued":{"date-parts":[["1992"]]},"page":"359-381","title":"Using the revenues from congestion pricing","type":"article-journal","volume":"19"},"uris":["http://www.mendeley.com/documents/?uuid=8cdb2d90-01de-4e3b-94cb-18123f452c53"]},{"id":"ITEM-2","itemData":{"DOI":"10.18757/ejtir.2001.1.1.2629","abstract":"&amp;lt;p&amp;gt;Public transport traditionally has been, and still is, heavily subsidised by local or national governments, which have been motivated by declining average cost arguments, social considerations, and the desire to offer an alternative to private car use. Conventional sources for funding, including general taxes on labour, in many occasions have become harder to sustain for various reasons. This paper explores alternative, increasingly implemented, sources of funding, i.e., local charges or taxes that are hypothecated to support (urban) public transport (such as local sales taxes, parking charges etc.). Based on an overview of several case-studies all over the world, it is found that there is a large potential for applying unconventional charging mechanisms. Not only as means of raising financial support for public transport systems, but also as a method of sending appropriate (from a sustainable point of view) pricing signals to transport use.&amp;lt;/p&amp;gt;","author":[{"dropping-particle":"","family":"Ubbels","given":"Barry","non-dropping-particle":"","parse-names":false,"suffix":""},{"dropping-particle":"","family":"Nijkamp","given":"Peter","non-dropping-particle":"","parse-names":false,"suffix":""},{"dropping-particle":"","family":"Verhoef","given":"Erik","non-dropping-particle":"","parse-names":false,"suffix":""},{"dropping-particle":"","family":"Potter","given":"Steve","non-dropping-particle":"","parse-names":false,"suffix":""},{"dropping-particle":"","family":"Enoch","given":"Marcus","non-dropping-particle":"","parse-names":false,"suffix":""}],"container-title":"European Journal of Transport and Infrastructure Research","id":"ITEM-2","issue":"1 SE  -","issued":{"date-parts":[["2001","3","1"]]},"page":"73-89","title":"Alternative Ways of Funding Public Transport: A Case Study Assessment","type":"article-journal","volume":"1"},"uris":["http://www.mendeley.com/documents/?uuid=43cd3c18-c0d6-47fb-a492-c55ccf7b9e87"]},{"id":"ITEM-3","itemData":{"DOI":"https://doi.org/10.1016/j.cstp.2018.01.004","ISSN":"2213-624X","abstract":"Despite numerous theoretical studies, practical implementation of congestion pricing is limited mainly due to the low public acceptance. Existing studies in this respect generally focus on a few selected cases where the results need to be further generalized. With the objective of improving public acceptance of congestion pricing, this paper provides a comprehensive overview of the area-based congestion pricing practices. An in-depth analysis of public acceptance is presented using a qualitative case study approach. Results show that for the successful implementation of congestion pricing, a trial and a referendum are valuable but not necessary, and that an interaction-oriented political process may be more desirable. Four influencing factors, i.e. privacy, equity, complexity and uncertainty, are identified to be critical in establishing strong public support. Taking into account these implementation factors, an extended three-step approach is proposed for further improvement of public acceptance toward congestion pricing.","author":[{"dropping-particle":"","family":"Gu","given":"Ziyuan","non-dropping-particle":"","parse-names":false,"suffix":""},{"dropping-particle":"","family":"Liu","given":"Zhiyuan","non-dropping-particle":"","parse-names":false,"suffix":""},{"dropping-particle":"","family":"Cheng","given":"Qixiu","non-dropping-particle":"","parse-names":false,"suffix":""},{"dropping-particle":"","family":"Saberi","given":"Meead","non-dropping-particle":"","parse-names":false,"suffix":""}],"container-title":"Case Studies on Transport Policy","id":"ITEM-3","issue":"1","issued":{"date-parts":[["2018"]]},"page":"94-101","title":"Congestion pricing practices and public acceptance: A review of evidence","type":"article-journal","volume":"6"},"uris":["http://www.mendeley.com/documents/?uuid=de74cca8-265c-4878-ad6e-b4afd4a98f0b"]}],"mendeley":{"formattedCitation":"(&lt;i&gt;6&lt;/i&gt;–&lt;i&gt;8&lt;/i&gt;)","plainTextFormattedCitation":"(6–8)","previouslyFormattedCitation":"(&lt;i&gt;6&lt;/i&gt;–&lt;i&gt;8&lt;/i&gt;)"},"properties":{"noteIndex":0},"schema":"https://github.com/citation-style-language/schema/raw/master/csl-citation.json"}</w:instrText>
      </w:r>
      <w:r w:rsidRPr="009427E3">
        <w:rPr>
          <w:rFonts w:eastAsia="Times New Roman" w:cs="Times New Roman"/>
        </w:rPr>
        <w:fldChar w:fldCharType="separate"/>
      </w:r>
      <w:r w:rsidR="00CD0565" w:rsidRPr="00CD0565">
        <w:rPr>
          <w:rFonts w:eastAsia="Times New Roman" w:cs="Times New Roman"/>
          <w:noProof/>
        </w:rPr>
        <w:t>(</w:t>
      </w:r>
      <w:r w:rsidR="00CD0565" w:rsidRPr="00CD0565">
        <w:rPr>
          <w:rFonts w:eastAsia="Times New Roman" w:cs="Times New Roman"/>
          <w:i/>
          <w:noProof/>
        </w:rPr>
        <w:t>6</w:t>
      </w:r>
      <w:r w:rsidR="00CD0565" w:rsidRPr="00CD0565">
        <w:rPr>
          <w:rFonts w:eastAsia="Times New Roman" w:cs="Times New Roman"/>
          <w:noProof/>
        </w:rPr>
        <w:t>–</w:t>
      </w:r>
      <w:r w:rsidR="00CD0565" w:rsidRPr="00CD0565">
        <w:rPr>
          <w:rFonts w:eastAsia="Times New Roman" w:cs="Times New Roman"/>
          <w:i/>
          <w:noProof/>
        </w:rPr>
        <w:t>8</w:t>
      </w:r>
      <w:r w:rsidR="00CD0565" w:rsidRPr="00CD0565">
        <w:rPr>
          <w:rFonts w:eastAsia="Times New Roman" w:cs="Times New Roman"/>
          <w:noProof/>
        </w:rPr>
        <w:t>)</w:t>
      </w:r>
      <w:r w:rsidRPr="009427E3">
        <w:rPr>
          <w:rFonts w:eastAsia="Times New Roman" w:cs="Times New Roman"/>
        </w:rPr>
        <w:fldChar w:fldCharType="end"/>
      </w:r>
      <w:r w:rsidRPr="009427E3">
        <w:rPr>
          <w:rFonts w:eastAsia="Times New Roman" w:cs="Times New Roman"/>
        </w:rPr>
        <w:t xml:space="preserve">; many reports and committees have been created to introduce </w:t>
      </w:r>
      <w:r w:rsidR="00DD38A1">
        <w:rPr>
          <w:rFonts w:eastAsia="Times New Roman" w:cs="Times New Roman"/>
        </w:rPr>
        <w:t xml:space="preserve">alternatives </w:t>
      </w:r>
      <w:r w:rsidRPr="009427E3">
        <w:rPr>
          <w:rFonts w:eastAsia="Times New Roman" w:cs="Times New Roman"/>
        </w:rPr>
        <w:t>to the</w:t>
      </w:r>
      <w:r w:rsidR="00DD38A1">
        <w:rPr>
          <w:rFonts w:eastAsia="Times New Roman" w:cs="Times New Roman"/>
        </w:rPr>
        <w:t xml:space="preserve"> </w:t>
      </w:r>
      <w:r w:rsidRPr="009427E3">
        <w:rPr>
          <w:rFonts w:eastAsia="Times New Roman" w:cs="Times New Roman"/>
        </w:rPr>
        <w:t xml:space="preserve">legislatures </w:t>
      </w:r>
      <w:r w:rsidRPr="009427E3">
        <w:rPr>
          <w:rFonts w:eastAsia="Times New Roman" w:cs="Times New Roman"/>
        </w:rPr>
        <w:fldChar w:fldCharType="begin" w:fldLock="1"/>
      </w:r>
      <w:r w:rsidR="00F462E4">
        <w:rPr>
          <w:rFonts w:eastAsia="Times New Roman" w:cs="Times New Roman"/>
        </w:rPr>
        <w:instrText>ADDIN CSL_CITATION {"citationItems":[{"id":"ITEM-1","itemData":{"URL":"https://www.fhwa.dot.gov/ipd/finance/resources/general/if_quarterly/","accessed":{"date-parts":[["2021","7","13"]]},"author":[{"dropping-particle":"","family":"FHWA Center for Innovative Finance Support","given":"","non-dropping-particle":"","parse-names":false,"suffix":""}],"id":"ITEM-1","issued":{"date-parts":[["0"]]},"title":"Innovative Finance Quarterly","type":"webpage"},"uris":["http://www.mendeley.com/documents/?uuid=b7a85f3c-364f-3829-8d24-3a08b26833b4"]},{"id":"ITEM-2","itemData":{"author":[{"dropping-particle":"","family":"Varn","given":"Jake","non-dropping-particle":"","parse-names":false,"suffix":""},{"dropping-particle":"","family":"Eucalitto","given":"Garrett","non-dropping-particle":"","parse-names":false,"suffix":""},{"dropping-particle":"","family":"Gander","given":"Sue","non-dropping-particle":"","parse-names":false,"suffix":""}],"id":"ITEM-2","issued":{"date-parts":[["2020"]]},"publisher":"National Governors Association Center for Best Practices","publisher-place":"Washington, DC","title":"Planning for state transportation revenue in a coming era of electric vehicles","type":"book"},"uris":["http://www.mendeley.com/documents/?uuid=d06f96df-23f4-4e3e-b5fe-4b2e8b6d86cf"]}],"mendeley":{"formattedCitation":"(&lt;i&gt;9&lt;/i&gt;, &lt;i&gt;10&lt;/i&gt;)","plainTextFormattedCitation":"(9, 10)","previouslyFormattedCitation":"(&lt;i&gt;9&lt;/i&gt;, &lt;i&gt;10&lt;/i&gt;)"},"properties":{"noteIndex":0},"schema":"https://github.com/citation-style-language/schema/raw/master/csl-citation.json"}</w:instrText>
      </w:r>
      <w:r w:rsidRPr="009427E3">
        <w:rPr>
          <w:rFonts w:eastAsia="Times New Roman" w:cs="Times New Roman"/>
        </w:rPr>
        <w:fldChar w:fldCharType="separate"/>
      </w:r>
      <w:r w:rsidR="00DD38A1" w:rsidRPr="00DD38A1">
        <w:rPr>
          <w:rFonts w:eastAsia="Times New Roman" w:cs="Times New Roman"/>
          <w:noProof/>
        </w:rPr>
        <w:t>(</w:t>
      </w:r>
      <w:r w:rsidR="00DD38A1" w:rsidRPr="00DD38A1">
        <w:rPr>
          <w:rFonts w:eastAsia="Times New Roman" w:cs="Times New Roman"/>
          <w:i/>
          <w:noProof/>
        </w:rPr>
        <w:t>9</w:t>
      </w:r>
      <w:r w:rsidR="00DD38A1" w:rsidRPr="00DD38A1">
        <w:rPr>
          <w:rFonts w:eastAsia="Times New Roman" w:cs="Times New Roman"/>
          <w:noProof/>
        </w:rPr>
        <w:t xml:space="preserve">, </w:t>
      </w:r>
      <w:r w:rsidR="00DD38A1" w:rsidRPr="00DD38A1">
        <w:rPr>
          <w:rFonts w:eastAsia="Times New Roman" w:cs="Times New Roman"/>
          <w:i/>
          <w:noProof/>
        </w:rPr>
        <w:t>10</w:t>
      </w:r>
      <w:r w:rsidR="00DD38A1" w:rsidRPr="00DD38A1">
        <w:rPr>
          <w:rFonts w:eastAsia="Times New Roman" w:cs="Times New Roman"/>
          <w:noProof/>
        </w:rPr>
        <w:t>)</w:t>
      </w:r>
      <w:r w:rsidRPr="009427E3">
        <w:rPr>
          <w:rFonts w:eastAsia="Times New Roman" w:cs="Times New Roman"/>
        </w:rPr>
        <w:fldChar w:fldCharType="end"/>
      </w:r>
      <w:r w:rsidRPr="009427E3">
        <w:rPr>
          <w:rFonts w:eastAsia="Times New Roman" w:cs="Times New Roman"/>
        </w:rPr>
        <w:t>. Additionally, DOTs are developing transportation finance workforces to tackle these funding</w:t>
      </w:r>
      <w:r w:rsidR="00807DF8">
        <w:rPr>
          <w:rFonts w:eastAsia="Times New Roman" w:cs="Times New Roman"/>
        </w:rPr>
        <w:t>/</w:t>
      </w:r>
      <w:r w:rsidRPr="009427E3">
        <w:rPr>
          <w:rFonts w:eastAsia="Times New Roman" w:cs="Times New Roman"/>
        </w:rPr>
        <w:t xml:space="preserve">financing challenges. Almost 30 states have established commissions for investigating funding gaps and suggesting mitigating strategies </w:t>
      </w:r>
      <w:r w:rsidRPr="009427E3">
        <w:rPr>
          <w:rFonts w:eastAsia="Times New Roman" w:cs="Times New Roman"/>
        </w:rPr>
        <w:fldChar w:fldCharType="begin" w:fldLock="1"/>
      </w:r>
      <w:r w:rsidR="00F462E4">
        <w:rPr>
          <w:rFonts w:eastAsia="Times New Roman" w:cs="Times New Roman"/>
        </w:rPr>
        <w:instrText>ADDIN CSL_CITATION {"citationItems":[{"id":"ITEM-1","itemData":{"author":[{"dropping-particle":"","family":"FHWA Center for Innovative Finance Support","given":"","non-dropping-particle":"","parse-names":false,"suffix":""}],"id":"ITEM-1","issued":{"date-parts":[["2019"]]},"title":"Value Capture Resources","type":"report"},"uris":["http://www.mendeley.com/documents/?uuid=eb67be90-fb69-44bb-a748-6544915931a7"]}],"mendeley":{"formattedCitation":"(&lt;i&gt;11&lt;/i&gt;)","plainTextFormattedCitation":"(11)","previouslyFormattedCitation":"(&lt;i&gt;11&lt;/i&gt;)"},"properties":{"noteIndex":0},"schema":"https://github.com/citation-style-language/schema/raw/master/csl-citation.json"}</w:instrText>
      </w:r>
      <w:r w:rsidRPr="009427E3">
        <w:rPr>
          <w:rFonts w:eastAsia="Times New Roman" w:cs="Times New Roman"/>
        </w:rPr>
        <w:fldChar w:fldCharType="separate"/>
      </w:r>
      <w:r w:rsidR="00DD38A1" w:rsidRPr="00DD38A1">
        <w:rPr>
          <w:rFonts w:eastAsia="Times New Roman" w:cs="Times New Roman"/>
          <w:noProof/>
        </w:rPr>
        <w:t>(</w:t>
      </w:r>
      <w:r w:rsidR="00DD38A1" w:rsidRPr="00DD38A1">
        <w:rPr>
          <w:rFonts w:eastAsia="Times New Roman" w:cs="Times New Roman"/>
          <w:i/>
          <w:noProof/>
        </w:rPr>
        <w:t>11</w:t>
      </w:r>
      <w:r w:rsidR="00DD38A1" w:rsidRPr="00DD38A1">
        <w:rPr>
          <w:rFonts w:eastAsia="Times New Roman" w:cs="Times New Roman"/>
          <w:noProof/>
        </w:rPr>
        <w:t>)</w:t>
      </w:r>
      <w:r w:rsidRPr="009427E3">
        <w:rPr>
          <w:rFonts w:eastAsia="Times New Roman" w:cs="Times New Roman"/>
        </w:rPr>
        <w:fldChar w:fldCharType="end"/>
      </w:r>
      <w:r w:rsidRPr="009427E3">
        <w:rPr>
          <w:rFonts w:eastAsia="Times New Roman" w:cs="Times New Roman"/>
        </w:rPr>
        <w:t>.</w:t>
      </w:r>
      <w:r w:rsidRPr="009427E3">
        <w:rPr>
          <w:rFonts w:eastAsia="Times New Roman" w:cs="Times New Roman"/>
          <w:color w:val="000000" w:themeColor="text1"/>
        </w:rPr>
        <w:t xml:space="preserve"> </w:t>
      </w:r>
    </w:p>
    <w:p w14:paraId="544BC4FB" w14:textId="392D3589" w:rsidR="009427E3" w:rsidRPr="009427E3" w:rsidRDefault="009427E3" w:rsidP="004D0A64">
      <w:pPr>
        <w:spacing w:after="0" w:line="240" w:lineRule="auto"/>
        <w:ind w:firstLine="720"/>
        <w:jc w:val="both"/>
        <w:rPr>
          <w:rFonts w:eastAsia="Times New Roman" w:cs="Times New Roman"/>
          <w:color w:val="000000" w:themeColor="text1"/>
        </w:rPr>
      </w:pPr>
      <w:r w:rsidRPr="009427E3">
        <w:rPr>
          <w:rFonts w:eastAsia="Times New Roman" w:cs="Times New Roman"/>
          <w:color w:val="000000" w:themeColor="text1"/>
        </w:rPr>
        <w:t xml:space="preserve">Despite the increased efforts to investigate innovative funding alternatives and the dire need for more sustainable revenue sources, state legislation statistics indicate that 60% of funding proposals are rejected. Furthermore, an increased </w:t>
      </w:r>
      <w:r w:rsidR="00DD38A1">
        <w:rPr>
          <w:rFonts w:eastAsia="Times New Roman" w:cs="Times New Roman"/>
          <w:color w:val="000000" w:themeColor="text1"/>
        </w:rPr>
        <w:t>MFT</w:t>
      </w:r>
      <w:r w:rsidRPr="009427E3">
        <w:rPr>
          <w:rFonts w:eastAsia="Times New Roman" w:cs="Times New Roman"/>
          <w:color w:val="000000" w:themeColor="text1"/>
        </w:rPr>
        <w:t xml:space="preserve"> remains the most popular revenue source in the U.S., corresponding to 40% of all the legislative funding proposals—but only six states </w:t>
      </w:r>
      <w:r w:rsidR="00577BFE">
        <w:rPr>
          <w:rFonts w:eastAsia="Times New Roman" w:cs="Times New Roman"/>
          <w:color w:val="000000" w:themeColor="text1"/>
        </w:rPr>
        <w:t xml:space="preserve">have thus far </w:t>
      </w:r>
      <w:r w:rsidRPr="009427E3">
        <w:rPr>
          <w:rFonts w:eastAsia="Times New Roman" w:cs="Times New Roman"/>
          <w:color w:val="000000" w:themeColor="text1"/>
        </w:rPr>
        <w:t xml:space="preserve">approved indexed MFT increases. The growing popularity of electric vehicles </w:t>
      </w:r>
      <w:r w:rsidR="00154269">
        <w:rPr>
          <w:rFonts w:eastAsia="Times New Roman" w:cs="Times New Roman"/>
          <w:color w:val="000000" w:themeColor="text1"/>
        </w:rPr>
        <w:t xml:space="preserve">(EV) </w:t>
      </w:r>
      <w:r w:rsidRPr="009427E3">
        <w:rPr>
          <w:rFonts w:eastAsia="Times New Roman" w:cs="Times New Roman"/>
          <w:color w:val="000000" w:themeColor="text1"/>
        </w:rPr>
        <w:t xml:space="preserve">has encouraged legislators to investigate </w:t>
      </w:r>
      <w:r w:rsidR="00154269">
        <w:rPr>
          <w:rFonts w:eastAsia="Times New Roman" w:cs="Times New Roman"/>
          <w:color w:val="000000" w:themeColor="text1"/>
        </w:rPr>
        <w:t>EV</w:t>
      </w:r>
      <w:r w:rsidRPr="009427E3">
        <w:rPr>
          <w:rFonts w:eastAsia="Times New Roman" w:cs="Times New Roman"/>
          <w:color w:val="000000" w:themeColor="text1"/>
        </w:rPr>
        <w:t xml:space="preserve"> fees, with </w:t>
      </w:r>
      <w:r w:rsidR="00577BFE">
        <w:rPr>
          <w:rFonts w:eastAsia="Times New Roman" w:cs="Times New Roman"/>
          <w:color w:val="000000" w:themeColor="text1"/>
        </w:rPr>
        <w:t>eight</w:t>
      </w:r>
      <w:r w:rsidRPr="009427E3">
        <w:rPr>
          <w:rFonts w:eastAsia="Times New Roman" w:cs="Times New Roman"/>
          <w:color w:val="000000" w:themeColor="text1"/>
        </w:rPr>
        <w:t xml:space="preserve"> </w:t>
      </w:r>
      <w:r w:rsidR="00577BFE">
        <w:rPr>
          <w:rFonts w:eastAsia="Times New Roman" w:cs="Times New Roman"/>
          <w:color w:val="000000" w:themeColor="text1"/>
        </w:rPr>
        <w:t>successful</w:t>
      </w:r>
      <w:r w:rsidRPr="009427E3">
        <w:rPr>
          <w:rFonts w:eastAsia="Times New Roman" w:cs="Times New Roman"/>
          <w:color w:val="000000" w:themeColor="text1"/>
        </w:rPr>
        <w:t xml:space="preserve"> and </w:t>
      </w:r>
      <w:r w:rsidR="00EB5157">
        <w:rPr>
          <w:rFonts w:eastAsia="Times New Roman" w:cs="Times New Roman"/>
          <w:color w:val="000000" w:themeColor="text1"/>
        </w:rPr>
        <w:t>thirteen</w:t>
      </w:r>
      <w:r w:rsidR="00EB5157" w:rsidRPr="009427E3">
        <w:rPr>
          <w:rFonts w:eastAsia="Times New Roman" w:cs="Times New Roman"/>
          <w:color w:val="000000" w:themeColor="text1"/>
        </w:rPr>
        <w:t xml:space="preserve"> </w:t>
      </w:r>
      <w:r w:rsidRPr="009427E3">
        <w:rPr>
          <w:rFonts w:eastAsia="Times New Roman" w:cs="Times New Roman"/>
          <w:color w:val="000000" w:themeColor="text1"/>
        </w:rPr>
        <w:t xml:space="preserve">rejected attempts at legislation since 2015 </w:t>
      </w:r>
      <w:r w:rsidRPr="009427E3">
        <w:rPr>
          <w:rFonts w:eastAsia="Times New Roman" w:cs="Times New Roman"/>
          <w:color w:val="000000" w:themeColor="text1"/>
        </w:rPr>
        <w:fldChar w:fldCharType="begin" w:fldLock="1"/>
      </w:r>
      <w:r w:rsidR="00F462E4">
        <w:rPr>
          <w:rFonts w:eastAsia="Times New Roman" w:cs="Times New Roman"/>
          <w:color w:val="000000" w:themeColor="text1"/>
        </w:rPr>
        <w:instrText>ADDIN CSL_CITATION {"citationItems":[{"id":"ITEM-1","itemData":{"author":[{"dropping-particle":"","family":"Clegg","given":"Alex","non-dropping-particle":"","parse-names":false,"suffix":""}],"id":"ITEM-1","issued":{"date-parts":[["2019"]]},"title":"State Transportation Funding Proposals","type":"report"},"uris":["http://www.mendeley.com/documents/?uuid=35c59347-7a39-4191-9bfc-d1882ab9ed58"]}],"mendeley":{"formattedCitation":"(&lt;i&gt;12&lt;/i&gt;)","plainTextFormattedCitation":"(12)","previouslyFormattedCitation":"(&lt;i&gt;12&lt;/i&gt;)"},"properties":{"noteIndex":0},"schema":"https://github.com/citation-style-language/schema/raw/master/csl-citation.json"}</w:instrText>
      </w:r>
      <w:r w:rsidRPr="009427E3">
        <w:rPr>
          <w:rFonts w:eastAsia="Times New Roman" w:cs="Times New Roman"/>
          <w:color w:val="000000" w:themeColor="text1"/>
        </w:rPr>
        <w:fldChar w:fldCharType="separate"/>
      </w:r>
      <w:r w:rsidR="00DD38A1" w:rsidRPr="00DD38A1">
        <w:rPr>
          <w:rFonts w:eastAsia="Times New Roman" w:cs="Times New Roman"/>
          <w:noProof/>
          <w:color w:val="000000" w:themeColor="text1"/>
        </w:rPr>
        <w:t>(</w:t>
      </w:r>
      <w:r w:rsidR="00DD38A1" w:rsidRPr="00DD38A1">
        <w:rPr>
          <w:rFonts w:eastAsia="Times New Roman" w:cs="Times New Roman"/>
          <w:i/>
          <w:noProof/>
          <w:color w:val="000000" w:themeColor="text1"/>
        </w:rPr>
        <w:t>12</w:t>
      </w:r>
      <w:r w:rsidR="00DD38A1" w:rsidRPr="00DD38A1">
        <w:rPr>
          <w:rFonts w:eastAsia="Times New Roman" w:cs="Times New Roman"/>
          <w:noProof/>
          <w:color w:val="000000" w:themeColor="text1"/>
        </w:rPr>
        <w:t>)</w:t>
      </w:r>
      <w:r w:rsidRPr="009427E3">
        <w:rPr>
          <w:rFonts w:eastAsia="Times New Roman" w:cs="Times New Roman"/>
          <w:color w:val="000000" w:themeColor="text1"/>
        </w:rPr>
        <w:fldChar w:fldCharType="end"/>
      </w:r>
      <w:r w:rsidRPr="009427E3">
        <w:rPr>
          <w:rFonts w:eastAsia="Times New Roman" w:cs="Times New Roman"/>
        </w:rPr>
        <w:t xml:space="preserve">. The resistance to mileage-based user fees remains significant, with only two instances of </w:t>
      </w:r>
      <w:r w:rsidR="00577BFE">
        <w:rPr>
          <w:rFonts w:eastAsia="Times New Roman" w:cs="Times New Roman"/>
        </w:rPr>
        <w:t>successful</w:t>
      </w:r>
      <w:r w:rsidRPr="009427E3">
        <w:rPr>
          <w:rFonts w:eastAsia="Times New Roman" w:cs="Times New Roman"/>
        </w:rPr>
        <w:t xml:space="preserve"> </w:t>
      </w:r>
      <w:r w:rsidRPr="009427E3">
        <w:rPr>
          <w:rFonts w:eastAsia="Times New Roman" w:cs="Times New Roman"/>
          <w:color w:val="000000" w:themeColor="text1"/>
        </w:rPr>
        <w:t xml:space="preserve">legislation in the </w:t>
      </w:r>
      <w:r w:rsidR="00577BFE">
        <w:rPr>
          <w:rFonts w:eastAsia="Times New Roman" w:cs="Times New Roman"/>
          <w:color w:val="000000" w:themeColor="text1"/>
        </w:rPr>
        <w:t>p</w:t>
      </w:r>
      <w:r w:rsidRPr="009427E3">
        <w:rPr>
          <w:rFonts w:eastAsia="Times New Roman" w:cs="Times New Roman"/>
          <w:color w:val="000000" w:themeColor="text1"/>
        </w:rPr>
        <w:t xml:space="preserve">ast </w:t>
      </w:r>
      <w:r w:rsidR="00577BFE">
        <w:rPr>
          <w:rFonts w:eastAsia="Times New Roman" w:cs="Times New Roman"/>
          <w:color w:val="000000" w:themeColor="text1"/>
        </w:rPr>
        <w:t>seven</w:t>
      </w:r>
      <w:r w:rsidRPr="009427E3">
        <w:rPr>
          <w:rFonts w:eastAsia="Times New Roman" w:cs="Times New Roman"/>
          <w:color w:val="000000" w:themeColor="text1"/>
        </w:rPr>
        <w:t xml:space="preserve"> years. Meanwhile, VMT in the U.S. has risen from 2.57 trillion miles in 1998 to 3.2 trillion miles in 2018 </w:t>
      </w:r>
      <w:r w:rsidRPr="009427E3">
        <w:rPr>
          <w:rFonts w:eastAsia="Times New Roman" w:cs="Times New Roman"/>
          <w:color w:val="000000" w:themeColor="text1"/>
        </w:rPr>
        <w:fldChar w:fldCharType="begin" w:fldLock="1"/>
      </w:r>
      <w:r w:rsidR="00F462E4">
        <w:rPr>
          <w:rFonts w:eastAsia="Times New Roman" w:cs="Times New Roman"/>
          <w:color w:val="000000" w:themeColor="text1"/>
        </w:rPr>
        <w:instrText>ADDIN CSL_CITATION {"citationItems":[{"id":"ITEM-1","itemData":{"author":[{"dropping-particle":"","family":"Varn","given":"Jake","non-dropping-particle":"","parse-names":false,"suffix":""},{"dropping-particle":"","family":"Eucalitto","given":"Garrett","non-dropping-particle":"","parse-names":false,"suffix":""},{"dropping-particle":"","family":"Gander","given":"Sue","non-dropping-particle":"","parse-names":false,"suffix":""}],"id":"ITEM-1","issued":{"date-parts":[["2020"]]},"publisher":"National Governors Association Center for Best Practices","publisher-place":"Washington, DC","title":"Planning for state transportation revenue in a coming era of electric vehicles","type":"book"},"uris":["http://www.mendeley.com/documents/?uuid=d06f96df-23f4-4e3e-b5fe-4b2e8b6d86cf"]}],"mendeley":{"formattedCitation":"(&lt;i&gt;10&lt;/i&gt;)","plainTextFormattedCitation":"(10)","previouslyFormattedCitation":"(&lt;i&gt;10&lt;/i&gt;)"},"properties":{"noteIndex":0},"schema":"https://github.com/citation-style-language/schema/raw/master/csl-citation.json"}</w:instrText>
      </w:r>
      <w:r w:rsidRPr="009427E3">
        <w:rPr>
          <w:rFonts w:eastAsia="Times New Roman" w:cs="Times New Roman"/>
          <w:color w:val="000000" w:themeColor="text1"/>
        </w:rPr>
        <w:fldChar w:fldCharType="separate"/>
      </w:r>
      <w:r w:rsidR="00DD38A1" w:rsidRPr="00DD38A1">
        <w:rPr>
          <w:rFonts w:eastAsia="Times New Roman" w:cs="Times New Roman"/>
          <w:noProof/>
          <w:color w:val="000000" w:themeColor="text1"/>
        </w:rPr>
        <w:t>(</w:t>
      </w:r>
      <w:r w:rsidR="00DD38A1" w:rsidRPr="00DD38A1">
        <w:rPr>
          <w:rFonts w:eastAsia="Times New Roman" w:cs="Times New Roman"/>
          <w:i/>
          <w:noProof/>
          <w:color w:val="000000" w:themeColor="text1"/>
        </w:rPr>
        <w:t>10</w:t>
      </w:r>
      <w:r w:rsidR="00DD38A1" w:rsidRPr="00DD38A1">
        <w:rPr>
          <w:rFonts w:eastAsia="Times New Roman" w:cs="Times New Roman"/>
          <w:noProof/>
          <w:color w:val="000000" w:themeColor="text1"/>
        </w:rPr>
        <w:t>)</w:t>
      </w:r>
      <w:r w:rsidRPr="009427E3">
        <w:rPr>
          <w:rFonts w:eastAsia="Times New Roman" w:cs="Times New Roman"/>
          <w:color w:val="000000" w:themeColor="text1"/>
        </w:rPr>
        <w:fldChar w:fldCharType="end"/>
      </w:r>
      <w:r w:rsidRPr="009427E3">
        <w:rPr>
          <w:rFonts w:eastAsia="Times New Roman" w:cs="Times New Roman"/>
        </w:rPr>
        <w:t>.</w:t>
      </w:r>
    </w:p>
    <w:p w14:paraId="4129670B" w14:textId="10763C3C" w:rsidR="00DD38A1" w:rsidRDefault="009427E3" w:rsidP="00746F0F">
      <w:pPr>
        <w:spacing w:after="0" w:line="240" w:lineRule="auto"/>
        <w:ind w:firstLine="720"/>
        <w:jc w:val="both"/>
        <w:rPr>
          <w:rFonts w:eastAsia="Times New Roman" w:cs="Times New Roman"/>
          <w:color w:val="222222"/>
        </w:rPr>
      </w:pPr>
      <w:r w:rsidRPr="009427E3">
        <w:rPr>
          <w:rFonts w:eastAsia="Times New Roman" w:cs="Times New Roman"/>
          <w:color w:val="000000" w:themeColor="text1"/>
        </w:rPr>
        <w:t>Evidently, implementing new fee structures pose</w:t>
      </w:r>
      <w:r w:rsidR="00DD38A1">
        <w:rPr>
          <w:rFonts w:eastAsia="Times New Roman" w:cs="Times New Roman"/>
          <w:color w:val="000000" w:themeColor="text1"/>
        </w:rPr>
        <w:t>s</w:t>
      </w:r>
      <w:r w:rsidRPr="009427E3">
        <w:rPr>
          <w:rFonts w:eastAsia="Times New Roman" w:cs="Times New Roman"/>
          <w:color w:val="000000" w:themeColor="text1"/>
        </w:rPr>
        <w:t xml:space="preserve"> insurmountable obstacles for legislatures attempting to</w:t>
      </w:r>
      <w:r w:rsidR="00577BFE">
        <w:rPr>
          <w:rFonts w:eastAsia="Times New Roman" w:cs="Times New Roman"/>
          <w:color w:val="000000" w:themeColor="text1"/>
        </w:rPr>
        <w:t xml:space="preserve"> address</w:t>
      </w:r>
      <w:r w:rsidRPr="009427E3">
        <w:rPr>
          <w:rFonts w:eastAsia="Times New Roman" w:cs="Times New Roman"/>
          <w:color w:val="000000" w:themeColor="text1"/>
        </w:rPr>
        <w:t xml:space="preserve"> the transportation infrastructure funding problem. Therefore, it is valuable to investigate </w:t>
      </w:r>
      <w:r w:rsidRPr="009427E3">
        <w:rPr>
          <w:rFonts w:eastAsia="Times New Roman" w:cs="Times New Roman"/>
        </w:rPr>
        <w:t>alternative</w:t>
      </w:r>
      <w:r w:rsidR="00DD38A1">
        <w:rPr>
          <w:rFonts w:eastAsia="Times New Roman" w:cs="Times New Roman"/>
        </w:rPr>
        <w:t>s</w:t>
      </w:r>
      <w:r w:rsidRPr="009427E3">
        <w:rPr>
          <w:rFonts w:eastAsia="Times New Roman" w:cs="Times New Roman"/>
        </w:rPr>
        <w:t xml:space="preserve"> and select </w:t>
      </w:r>
      <w:r w:rsidR="00632BBC">
        <w:rPr>
          <w:rFonts w:eastAsia="Times New Roman" w:cs="Times New Roman"/>
        </w:rPr>
        <w:t>ones</w:t>
      </w:r>
      <w:r w:rsidRPr="009427E3">
        <w:rPr>
          <w:rFonts w:eastAsia="Times New Roman" w:cs="Times New Roman"/>
        </w:rPr>
        <w:t xml:space="preserve"> that provide the most benefit for the least cost, while still considering the </w:t>
      </w:r>
      <w:r w:rsidRPr="009427E3">
        <w:rPr>
          <w:rFonts w:eastAsia="Times New Roman" w:cs="Times New Roman"/>
          <w:color w:val="222222"/>
        </w:rPr>
        <w:t xml:space="preserve">applicable values and goals of the government agency—as well as the plausibility of obtaining legislative approval of such a funding source. While prior research efforts have begun to address this problem, this research contributes to the identification of appropriate funding solutions </w:t>
      </w:r>
      <w:r w:rsidR="0094541E">
        <w:rPr>
          <w:rFonts w:eastAsia="Times New Roman" w:cs="Times New Roman"/>
          <w:color w:val="222222"/>
        </w:rPr>
        <w:t>using</w:t>
      </w:r>
      <w:r w:rsidRPr="009427E3">
        <w:rPr>
          <w:rFonts w:eastAsia="Times New Roman" w:cs="Times New Roman"/>
          <w:color w:val="222222"/>
        </w:rPr>
        <w:t xml:space="preserve"> the Analytic Hierarchy Process (AHP) </w:t>
      </w:r>
      <w:r w:rsidR="0094541E">
        <w:rPr>
          <w:rFonts w:eastAsia="Times New Roman" w:cs="Times New Roman"/>
          <w:color w:val="222222"/>
        </w:rPr>
        <w:t xml:space="preserve">which </w:t>
      </w:r>
      <w:r w:rsidR="00577BFE">
        <w:rPr>
          <w:rFonts w:eastAsia="Times New Roman" w:cs="Times New Roman"/>
          <w:color w:val="222222"/>
        </w:rPr>
        <w:t>is then embedded</w:t>
      </w:r>
      <w:r w:rsidRPr="009427E3">
        <w:rPr>
          <w:rFonts w:eastAsia="Times New Roman" w:cs="Times New Roman"/>
          <w:color w:val="222222"/>
        </w:rPr>
        <w:t xml:space="preserve"> within a decision-making</w:t>
      </w:r>
      <w:r w:rsidR="00CD0565">
        <w:rPr>
          <w:rFonts w:eastAsia="Times New Roman" w:cs="Times New Roman"/>
          <w:color w:val="222222"/>
        </w:rPr>
        <w:t xml:space="preserve"> </w:t>
      </w:r>
      <w:r w:rsidRPr="009427E3">
        <w:rPr>
          <w:rFonts w:eastAsia="Times New Roman" w:cs="Times New Roman"/>
          <w:color w:val="222222"/>
        </w:rPr>
        <w:t>tool.</w:t>
      </w:r>
    </w:p>
    <w:p w14:paraId="7F764F0F" w14:textId="77777777" w:rsidR="00367513" w:rsidRDefault="00367513" w:rsidP="004D0A64">
      <w:pPr>
        <w:spacing w:after="0" w:line="240" w:lineRule="auto"/>
        <w:rPr>
          <w:rFonts w:cs="Times New Roman"/>
          <w:b/>
          <w:caps/>
          <w:color w:val="000000" w:themeColor="text1"/>
        </w:rPr>
      </w:pPr>
      <w:r>
        <w:br w:type="page"/>
      </w:r>
    </w:p>
    <w:p w14:paraId="4A7F34C6" w14:textId="01DFBD85" w:rsidR="0012418B" w:rsidRPr="00926420" w:rsidRDefault="0012418B" w:rsidP="004D0A64">
      <w:pPr>
        <w:pStyle w:val="Heading1"/>
        <w:jc w:val="both"/>
      </w:pPr>
      <w:r w:rsidRPr="00926420">
        <w:lastRenderedPageBreak/>
        <w:t>Literature Review</w:t>
      </w:r>
    </w:p>
    <w:p w14:paraId="2B0A76D0" w14:textId="0B1A1B48" w:rsidR="0012418B" w:rsidRPr="00DC03C3" w:rsidRDefault="0094541E" w:rsidP="004D0A64">
      <w:pPr>
        <w:spacing w:after="0" w:line="240" w:lineRule="auto"/>
        <w:jc w:val="both"/>
        <w:rPr>
          <w:rFonts w:cs="Times New Roman"/>
        </w:rPr>
      </w:pPr>
      <w:r>
        <w:rPr>
          <w:rFonts w:eastAsia="Times New Roman" w:cs="Times New Roman"/>
        </w:rPr>
        <w:t>E</w:t>
      </w:r>
      <w:r w:rsidR="00577BFE">
        <w:rPr>
          <w:rFonts w:eastAsia="Times New Roman" w:cs="Times New Roman"/>
        </w:rPr>
        <w:t xml:space="preserve">arlier literature </w:t>
      </w:r>
      <w:r w:rsidR="0012418B" w:rsidRPr="0012418B">
        <w:rPr>
          <w:rFonts w:eastAsia="Times New Roman" w:cs="Times New Roman"/>
        </w:rPr>
        <w:t xml:space="preserve">focuses on </w:t>
      </w:r>
      <w:r w:rsidR="00577BFE">
        <w:rPr>
          <w:rFonts w:eastAsia="Times New Roman" w:cs="Times New Roman"/>
        </w:rPr>
        <w:t xml:space="preserve">characterizing </w:t>
      </w:r>
      <w:r w:rsidR="0012418B" w:rsidRPr="0012418B">
        <w:rPr>
          <w:rFonts w:eastAsia="Times New Roman" w:cs="Times New Roman"/>
        </w:rPr>
        <w:t>funding methods in the context of their advantages and disadvantages</w:t>
      </w:r>
      <w:r w:rsidR="00577BFE">
        <w:rPr>
          <w:rFonts w:eastAsia="Times New Roman" w:cs="Times New Roman"/>
        </w:rPr>
        <w:t xml:space="preserve">, but these have been rather </w:t>
      </w:r>
      <w:r w:rsidR="008C5488">
        <w:rPr>
          <w:rFonts w:eastAsia="Times New Roman" w:cs="Times New Roman"/>
        </w:rPr>
        <w:t>qualitative</w:t>
      </w:r>
      <w:r w:rsidR="00577BFE">
        <w:rPr>
          <w:rFonts w:eastAsia="Times New Roman" w:cs="Times New Roman"/>
        </w:rPr>
        <w:t xml:space="preserve"> and </w:t>
      </w:r>
      <w:r w:rsidR="00577BFE" w:rsidRPr="001C0537">
        <w:rPr>
          <w:rFonts w:eastAsia="Times New Roman" w:cs="Times New Roman"/>
          <w:i/>
        </w:rPr>
        <w:t>ad hoc</w:t>
      </w:r>
      <w:r w:rsidR="00577BFE">
        <w:rPr>
          <w:rFonts w:eastAsia="Times New Roman" w:cs="Times New Roman"/>
          <w:i/>
        </w:rPr>
        <w:t xml:space="preserve"> </w:t>
      </w:r>
      <w:r w:rsidR="0012418B" w:rsidRPr="0012418B">
        <w:rPr>
          <w:rFonts w:eastAsia="Times New Roman" w:cs="Times New Roman"/>
        </w:rPr>
        <w:t xml:space="preserve">without a structured evaluation framework </w:t>
      </w:r>
      <w:r w:rsidR="0012418B" w:rsidRPr="0012418B">
        <w:rPr>
          <w:rFonts w:eastAsia="Times New Roman" w:cs="Times New Roman"/>
        </w:rPr>
        <w:fldChar w:fldCharType="begin" w:fldLock="1"/>
      </w:r>
      <w:r w:rsidR="00F462E4">
        <w:rPr>
          <w:rFonts w:eastAsia="Times New Roman" w:cs="Times New Roman"/>
        </w:rPr>
        <w:instrText>ADDIN CSL_CITATION {"citationItems":[{"id":"ITEM-1","itemData":{"DOI":"https://doi.org/10.1016/j.cstp.2017.06.002","ISSN":"2213-624X","abstract":"Numerous studies have investigated the state of transportation funding in US states and forecasted a significant funding deficiency. Reasons for this include the lack of political will to increase the rates of fuel taxes, the loss in purchasing power of the fuel tax due to inflation, and the reduction in revenue due to increased use of alternative fuel vehicles. Possible options to generate the additional revenue to fill this funding gap range from modifying existing taxes and fees to implementing new revenue sources. However, determining what to do and offering policy recommendations can be challenging and may vary from jurisdiction to jurisdiction. The authors’ critical review of the methods used by earlier studies that evaluate revenue generation strategies at the state level reveals a lack of systematic analysis. In response, the authors propose the use of a systematic multi-criteria analysis (MCA) as a better decision support tool. The MCA is argued to be an improvement over current methods because the best funding strategy depends not only on revenue generation but also on other parameters such as fairness and ease of implementation. To support the argument, the authors conduct a comprehensive multi-criteria evaluation of transportation revenue generation alternatives for the State of Texas. The authors’ criteria system provides a better platform for including the priorities of stakeholders and policy makers at different levels. Including an outranking method such as PROMETHEE and a scenario analysis, the evaluation becomes more objective and more transparent. This enables the decision makers to more effectively compare the competing objectives of different alternatives. The authors discuss the drawbacks of the recent transportation funding decisions made by the Texas Legislature and highlight how the systematic evaluation can improve decision making. The authors recommend that states follow the systematic evaluation of funding options described in this paper, which can provide policy makers and the public a better understanding of the pros and cons of the funding options thereby helping them to select the most suitable funding strategy.","author":[{"dropping-particle":"","family":"Pulipati","given":"Sasanka Bhushan","non-dropping-particle":"","parse-names":false,"suffix":""},{"dropping-particle":"","family":"Mattingly","given":"Stephen P","non-dropping-particle":"","parse-names":false,"suffix":""},{"dropping-particle":"","family":"Casey","given":"Colleen","non-dropping-particle":"","parse-names":false,"suffix":""}],"container-title":"Case Studies on Transport Policy","id":"ITEM-1","issue":"3","issued":{"date-parts":[["2017"]]},"page":"467-482","title":"Evaluating state level transportation revenue alternatives","type":"article-journal","volume":"5"},"uris":["http://www.mendeley.com/documents/?uuid=ce5c021c-e5b3-493f-bc63-a4fd94d70f59"]}],"mendeley":{"formattedCitation":"(&lt;i&gt;13&lt;/i&gt;)","plainTextFormattedCitation":"(13)","previouslyFormattedCitation":"(&lt;i&gt;13&lt;/i&gt;)"},"properties":{"noteIndex":0},"schema":"https://github.com/citation-style-language/schema/raw/master/csl-citation.json"}</w:instrText>
      </w:r>
      <w:r w:rsidR="0012418B" w:rsidRPr="0012418B">
        <w:rPr>
          <w:rFonts w:eastAsia="Times New Roman" w:cs="Times New Roman"/>
        </w:rPr>
        <w:fldChar w:fldCharType="separate"/>
      </w:r>
      <w:r w:rsidR="00DD38A1" w:rsidRPr="00DD38A1">
        <w:rPr>
          <w:rFonts w:eastAsia="Times New Roman" w:cs="Times New Roman"/>
          <w:noProof/>
        </w:rPr>
        <w:t>(</w:t>
      </w:r>
      <w:r w:rsidR="00DD38A1" w:rsidRPr="00DD38A1">
        <w:rPr>
          <w:rFonts w:eastAsia="Times New Roman" w:cs="Times New Roman"/>
          <w:i/>
          <w:noProof/>
        </w:rPr>
        <w:t>13</w:t>
      </w:r>
      <w:r w:rsidR="00DD38A1" w:rsidRPr="00DD38A1">
        <w:rPr>
          <w:rFonts w:eastAsia="Times New Roman" w:cs="Times New Roman"/>
          <w:noProof/>
        </w:rPr>
        <w:t>)</w:t>
      </w:r>
      <w:r w:rsidR="0012418B" w:rsidRPr="0012418B">
        <w:rPr>
          <w:rFonts w:eastAsia="Times New Roman" w:cs="Times New Roman"/>
        </w:rPr>
        <w:fldChar w:fldCharType="end"/>
      </w:r>
      <w:r w:rsidR="0012418B" w:rsidRPr="0012418B">
        <w:rPr>
          <w:rFonts w:eastAsia="Times New Roman" w:cs="Times New Roman"/>
        </w:rPr>
        <w:t>. An example of such a</w:t>
      </w:r>
      <w:r w:rsidR="0044249D">
        <w:rPr>
          <w:rFonts w:eastAsia="Times New Roman" w:cs="Times New Roman"/>
        </w:rPr>
        <w:t xml:space="preserve"> </w:t>
      </w:r>
      <w:r w:rsidR="008C5488">
        <w:rPr>
          <w:rFonts w:eastAsia="Times New Roman" w:cs="Times New Roman"/>
        </w:rPr>
        <w:t>qualitative</w:t>
      </w:r>
      <w:r w:rsidR="0044249D">
        <w:rPr>
          <w:rFonts w:eastAsia="Times New Roman" w:cs="Times New Roman"/>
        </w:rPr>
        <w:t xml:space="preserve"> </w:t>
      </w:r>
      <w:r w:rsidR="0012418B" w:rsidRPr="0012418B">
        <w:rPr>
          <w:rFonts w:eastAsia="Times New Roman" w:cs="Times New Roman"/>
        </w:rPr>
        <w:t xml:space="preserve">approach was implemented in 2004 in a round table of participants representing </w:t>
      </w:r>
      <w:r w:rsidR="000B5180">
        <w:rPr>
          <w:rFonts w:eastAsia="Times New Roman" w:cs="Times New Roman"/>
        </w:rPr>
        <w:t xml:space="preserve">prominent transportation agencies </w:t>
      </w:r>
      <w:r w:rsidR="0012418B" w:rsidRPr="0012418B">
        <w:rPr>
          <w:rFonts w:eastAsia="Times New Roman" w:cs="Times New Roman"/>
        </w:rPr>
        <w:t>with expertise in highway finance. They convened to reexamine long-term options for highway financing and found that general taxes are poor revenue sources to finance highway construction because they bear no direct relationship to highway use. The panel</w:t>
      </w:r>
      <w:r w:rsidR="002B0240">
        <w:rPr>
          <w:rFonts w:eastAsia="Times New Roman" w:cs="Times New Roman"/>
        </w:rPr>
        <w:t xml:space="preserve"> proceeded to identify alternative funding mechanisms</w:t>
      </w:r>
      <w:r>
        <w:rPr>
          <w:rFonts w:eastAsia="Times New Roman" w:cs="Times New Roman"/>
        </w:rPr>
        <w:t>’</w:t>
      </w:r>
      <w:r w:rsidR="00DD38A1">
        <w:rPr>
          <w:rFonts w:eastAsia="Times New Roman" w:cs="Times New Roman"/>
        </w:rPr>
        <w:t xml:space="preserve"> </w:t>
      </w:r>
      <w:r w:rsidR="002B0240">
        <w:rPr>
          <w:rFonts w:eastAsia="Times New Roman" w:cs="Times New Roman"/>
        </w:rPr>
        <w:t>strengths and limitations</w:t>
      </w:r>
      <w:r w:rsidR="0012418B" w:rsidRPr="0012418B">
        <w:rPr>
          <w:rFonts w:eastAsia="Times New Roman" w:cs="Times New Roman"/>
        </w:rPr>
        <w:t xml:space="preserve"> but </w:t>
      </w:r>
      <w:r w:rsidR="002B0240">
        <w:rPr>
          <w:rFonts w:eastAsia="Times New Roman" w:cs="Times New Roman"/>
        </w:rPr>
        <w:t xml:space="preserve">did not include </w:t>
      </w:r>
      <w:r w:rsidR="0012418B" w:rsidRPr="0012418B">
        <w:rPr>
          <w:rFonts w:eastAsia="Times New Roman" w:cs="Times New Roman"/>
        </w:rPr>
        <w:t xml:space="preserve">any standardized </w:t>
      </w:r>
      <w:r w:rsidR="00632BBC">
        <w:rPr>
          <w:rFonts w:eastAsia="Times New Roman" w:cs="Times New Roman"/>
        </w:rPr>
        <w:t xml:space="preserve">evaluation </w:t>
      </w:r>
      <w:r w:rsidR="0012418B" w:rsidRPr="0012418B">
        <w:rPr>
          <w:rFonts w:eastAsia="Times New Roman" w:cs="Times New Roman"/>
        </w:rPr>
        <w:t xml:space="preserve">criteria. </w:t>
      </w:r>
      <w:r>
        <w:rPr>
          <w:rFonts w:eastAsia="Times New Roman" w:cs="Times New Roman"/>
        </w:rPr>
        <w:t>The panel’s approach was also employed in some studies</w:t>
      </w:r>
      <w:r w:rsidR="0012418B" w:rsidRPr="0012418B">
        <w:rPr>
          <w:rFonts w:eastAsia="Times New Roman" w:cs="Times New Roman"/>
        </w:rPr>
        <w:t xml:space="preserve"> </w:t>
      </w:r>
      <w:r w:rsidR="0012418B" w:rsidRPr="0012418B">
        <w:rPr>
          <w:rFonts w:eastAsia="Times New Roman" w:cs="Times New Roman"/>
        </w:rPr>
        <w:fldChar w:fldCharType="begin" w:fldLock="1"/>
      </w:r>
      <w:r w:rsidR="00F462E4">
        <w:rPr>
          <w:rFonts w:eastAsia="Times New Roman" w:cs="Times New Roman"/>
        </w:rPr>
        <w:instrText>ADDIN CSL_CITATION {"citationItems":[{"id":"ITEM-1","itemData":{"author":[{"dropping-particle":"","family":"Weinstein","given":"Asha","non-dropping-particle":"","parse-names":false,"suffix":""},{"dropping-particle":"","family":"Dill","given":"Jennifer","non-dropping-particle":"","parse-names":false,"suffix":""},{"dropping-particle":"","family":"Goldman","given":"Todd","non-dropping-particle":"","parse-names":false,"suffix":""},{"dropping-particle":"","family":"Hall","given":"John","non-dropping-particle":"","parse-names":false,"suffix":""},{"dropping-particle":"","family":"Holtzman","given":"Franziska","non-dropping-particle":"","parse-names":false,"suffix":""},{"dropping-particle":"","family":"Recker","given":"Joe","non-dropping-particle":"","parse-names":false,"suffix":""}],"id":"ITEM-1","issued":{"date-parts":[["2006"]]},"title":"Transportation Financing Opportunities for the State of California","type":"report"},"uris":["http://www.mendeley.com/documents/?uuid=cc775f9c-f96a-4fbb-a0e0-c42e5290f599"]},{"id":"ITEM-2","itemData":{"author":[{"dropping-particle":"","family":"AASHTO","given":"","non-dropping-particle":"","parse-names":false,"suffix":""}],"id":"ITEM-2","issued":{"date-parts":[["2019"]]},"title":"Matrix of Illustrative Surface Transportation Revenue Options","type":"report"},"uris":["http://www.mendeley.com/documents/?uuid=c41049b2-09ea-4262-afde-ea19f050ee2f"]},{"id":"ITEM-3","itemData":{"author":[{"dropping-particle":"","family":"Dye Management Group","given":"","non-dropping-particle":"","parse-names":false,"suffix":""}],"id":"ITEM-3","issued":{"date-parts":[["2009"]]},"title":"Texas Transportation Funding Challenge: Findings and Analysis","type":"report"},"uris":["http://www.mendeley.com/documents/?uuid=4da65777-7376-406a-8aa8-ee4ce68a1b05"]},{"id":"ITEM-4","itemData":{"author":[{"dropping-particle":"","family":"Varn","given":"Jake","non-dropping-particle":"","parse-names":false,"suffix":""},{"dropping-particle":"","family":"Eucalitto","given":"Garrett","non-dropping-particle":"","parse-names":false,"suffix":""},{"dropping-particle":"","family":"Gander","given":"Sue","non-dropping-particle":"","parse-names":false,"suffix":""}],"id":"ITEM-4","issued":{"date-parts":[["2020"]]},"publisher":"National Governors Association Center for Best Practices","publisher-place":"Washington, DC","title":"Planning for state transportation revenue in a coming era of electric vehicles","type":"book"},"uris":["http://www.mendeley.com/documents/?uuid=d06f96df-23f4-4e3e-b5fe-4b2e8b6d86cf"]}],"mendeley":{"formattedCitation":"(&lt;i&gt;10&lt;/i&gt;, &lt;i&gt;14&lt;/i&gt;–&lt;i&gt;16&lt;/i&gt;)","plainTextFormattedCitation":"(10, 14–16)","previouslyFormattedCitation":"(&lt;i&gt;10&lt;/i&gt;, &lt;i&gt;14&lt;/i&gt;–&lt;i&gt;16&lt;/i&gt;)"},"properties":{"noteIndex":0},"schema":"https://github.com/citation-style-language/schema/raw/master/csl-citation.json"}</w:instrText>
      </w:r>
      <w:r w:rsidR="0012418B" w:rsidRPr="0012418B">
        <w:rPr>
          <w:rFonts w:eastAsia="Times New Roman" w:cs="Times New Roman"/>
        </w:rPr>
        <w:fldChar w:fldCharType="separate"/>
      </w:r>
      <w:r w:rsidR="00DD38A1" w:rsidRPr="00DD38A1">
        <w:rPr>
          <w:rFonts w:eastAsia="Times New Roman" w:cs="Times New Roman"/>
          <w:noProof/>
        </w:rPr>
        <w:t>(</w:t>
      </w:r>
      <w:r w:rsidR="00DD38A1" w:rsidRPr="00DD38A1">
        <w:rPr>
          <w:rFonts w:eastAsia="Times New Roman" w:cs="Times New Roman"/>
          <w:i/>
          <w:noProof/>
        </w:rPr>
        <w:t>10</w:t>
      </w:r>
      <w:r w:rsidR="00DD38A1" w:rsidRPr="00DD38A1">
        <w:rPr>
          <w:rFonts w:eastAsia="Times New Roman" w:cs="Times New Roman"/>
          <w:noProof/>
        </w:rPr>
        <w:t xml:space="preserve">, </w:t>
      </w:r>
      <w:r w:rsidR="00DD38A1" w:rsidRPr="00DD38A1">
        <w:rPr>
          <w:rFonts w:eastAsia="Times New Roman" w:cs="Times New Roman"/>
          <w:i/>
          <w:noProof/>
        </w:rPr>
        <w:t>14</w:t>
      </w:r>
      <w:r w:rsidR="00DD38A1" w:rsidRPr="00DD38A1">
        <w:rPr>
          <w:rFonts w:eastAsia="Times New Roman" w:cs="Times New Roman"/>
          <w:noProof/>
        </w:rPr>
        <w:t>–</w:t>
      </w:r>
      <w:r w:rsidR="00DD38A1" w:rsidRPr="00DD38A1">
        <w:rPr>
          <w:rFonts w:eastAsia="Times New Roman" w:cs="Times New Roman"/>
          <w:i/>
          <w:noProof/>
        </w:rPr>
        <w:t>16</w:t>
      </w:r>
      <w:r w:rsidR="00DD38A1" w:rsidRPr="00DD38A1">
        <w:rPr>
          <w:rFonts w:eastAsia="Times New Roman" w:cs="Times New Roman"/>
          <w:noProof/>
        </w:rPr>
        <w:t>)</w:t>
      </w:r>
      <w:r w:rsidR="0012418B" w:rsidRPr="0012418B">
        <w:rPr>
          <w:rFonts w:eastAsia="Times New Roman" w:cs="Times New Roman"/>
        </w:rPr>
        <w:fldChar w:fldCharType="end"/>
      </w:r>
      <w:r w:rsidR="002248AA">
        <w:rPr>
          <w:rFonts w:eastAsia="Times New Roman" w:cs="Times New Roman"/>
        </w:rPr>
        <w:t>. These studies</w:t>
      </w:r>
      <w:r w:rsidR="0012418B" w:rsidRPr="0012418B">
        <w:rPr>
          <w:rFonts w:eastAsia="Times New Roman" w:cs="Times New Roman"/>
        </w:rPr>
        <w:t xml:space="preserve"> </w:t>
      </w:r>
      <w:r w:rsidR="002B0240">
        <w:rPr>
          <w:rFonts w:eastAsia="Times New Roman" w:cs="Times New Roman"/>
        </w:rPr>
        <w:t xml:space="preserve">consider alternative </w:t>
      </w:r>
      <w:r w:rsidR="0012418B" w:rsidRPr="0012418B">
        <w:rPr>
          <w:rFonts w:eastAsia="Times New Roman" w:cs="Times New Roman"/>
        </w:rPr>
        <w:t xml:space="preserve">mechanisms’ pros and cons in the context of </w:t>
      </w:r>
      <w:r w:rsidR="002248AA">
        <w:rPr>
          <w:rFonts w:eastAsia="Times New Roman" w:cs="Times New Roman"/>
        </w:rPr>
        <w:t xml:space="preserve">sustainable funding </w:t>
      </w:r>
      <w:r w:rsidR="0012418B" w:rsidRPr="0012418B">
        <w:rPr>
          <w:rFonts w:eastAsia="Times New Roman" w:cs="Times New Roman"/>
        </w:rPr>
        <w:t xml:space="preserve">generation, </w:t>
      </w:r>
      <w:r w:rsidR="002248AA">
        <w:rPr>
          <w:rFonts w:eastAsia="Times New Roman" w:cs="Times New Roman"/>
        </w:rPr>
        <w:t xml:space="preserve">revenue potential, political viability, </w:t>
      </w:r>
      <w:r w:rsidR="0012418B" w:rsidRPr="0012418B">
        <w:rPr>
          <w:rFonts w:eastAsia="Times New Roman" w:cs="Times New Roman"/>
        </w:rPr>
        <w:t xml:space="preserve">implementation, equity, and system impact considerations. However, </w:t>
      </w:r>
      <w:r w:rsidR="002248AA">
        <w:rPr>
          <w:rFonts w:eastAsia="Times New Roman" w:cs="Times New Roman"/>
        </w:rPr>
        <w:t>the</w:t>
      </w:r>
      <w:r w:rsidR="0012418B" w:rsidRPr="0012418B">
        <w:rPr>
          <w:rFonts w:eastAsia="Times New Roman" w:cs="Times New Roman"/>
        </w:rPr>
        <w:t xml:space="preserve"> </w:t>
      </w:r>
      <w:r w:rsidR="0044249D">
        <w:rPr>
          <w:rFonts w:eastAsia="Times New Roman" w:cs="Times New Roman"/>
        </w:rPr>
        <w:t xml:space="preserve">pure-qualitative </w:t>
      </w:r>
      <w:r w:rsidR="0012418B" w:rsidRPr="0012418B">
        <w:rPr>
          <w:rFonts w:eastAsia="Times New Roman" w:cs="Times New Roman"/>
        </w:rPr>
        <w:t>approach</w:t>
      </w:r>
      <w:r w:rsidR="002248AA">
        <w:rPr>
          <w:rFonts w:eastAsia="Times New Roman" w:cs="Times New Roman"/>
        </w:rPr>
        <w:t xml:space="preserve">, while accommodating important subjective elements, can also make </w:t>
      </w:r>
      <w:r w:rsidR="0012418B" w:rsidRPr="0012418B">
        <w:rPr>
          <w:rFonts w:eastAsia="Times New Roman" w:cs="Times New Roman"/>
        </w:rPr>
        <w:t>decision-making</w:t>
      </w:r>
      <w:r w:rsidR="002248AA">
        <w:rPr>
          <w:rFonts w:eastAsia="Times New Roman" w:cs="Times New Roman"/>
        </w:rPr>
        <w:t xml:space="preserve"> </w:t>
      </w:r>
      <w:r w:rsidR="0012418B" w:rsidRPr="0012418B">
        <w:rPr>
          <w:rFonts w:eastAsia="Times New Roman" w:cs="Times New Roman"/>
        </w:rPr>
        <w:t xml:space="preserve">challenging, especially given that the scholarly literature, as well as national and state-level reports, agree that </w:t>
      </w:r>
      <w:r w:rsidR="002248AA">
        <w:rPr>
          <w:rFonts w:eastAsia="Times New Roman" w:cs="Times New Roman"/>
        </w:rPr>
        <w:t>decisions regarding</w:t>
      </w:r>
      <w:r w:rsidR="0012418B" w:rsidRPr="0012418B">
        <w:rPr>
          <w:rFonts w:eastAsia="Times New Roman" w:cs="Times New Roman"/>
        </w:rPr>
        <w:t xml:space="preserve"> funding alternatives </w:t>
      </w:r>
      <w:r w:rsidR="002248AA">
        <w:rPr>
          <w:rFonts w:eastAsia="Times New Roman" w:cs="Times New Roman"/>
        </w:rPr>
        <w:t xml:space="preserve">constitute </w:t>
      </w:r>
      <w:r w:rsidR="0012418B" w:rsidRPr="0012418B">
        <w:rPr>
          <w:rFonts w:eastAsia="Times New Roman" w:cs="Times New Roman"/>
        </w:rPr>
        <w:t xml:space="preserve">a complex multi-criteria problem </w:t>
      </w:r>
      <w:r w:rsidR="0012418B" w:rsidRPr="0012418B">
        <w:rPr>
          <w:rFonts w:eastAsia="Times New Roman" w:cs="Times New Roman"/>
        </w:rPr>
        <w:fldChar w:fldCharType="begin" w:fldLock="1"/>
      </w:r>
      <w:r w:rsidR="00F462E4">
        <w:rPr>
          <w:rFonts w:eastAsia="Times New Roman" w:cs="Times New Roman"/>
        </w:rPr>
        <w:instrText>ADDIN CSL_CITATION {"citationItems":[{"id":"ITEM-1","itemData":{"DOI":"https://doi.org/10.1016/j.cstp.2017.06.002","ISSN":"2213-624X","abstract":"Numerous studies have investigated the state of transportation funding in US states and forecasted a significant funding deficiency. Reasons for this include the lack of political will to increase the rates of fuel taxes, the loss in purchasing power of the fuel tax due to inflation, and the reduction in revenue due to increased use of alternative fuel vehicles. Possible options to generate the additional revenue to fill this funding gap range from modifying existing taxes and fees to implementing new revenue sources. However, determining what to do and offering policy recommendations can be challenging and may vary from jurisdiction to jurisdiction. The authors’ critical review of the methods used by earlier studies that evaluate revenue generation strategies at the state level reveals a lack of systematic analysis. In response, the authors propose the use of a systematic multi-criteria analysis (MCA) as a better decision support tool. The MCA is argued to be an improvement over current methods because the best funding strategy depends not only on revenue generation but also on other parameters such as fairness and ease of implementation. To support the argument, the authors conduct a comprehensive multi-criteria evaluation of transportation revenue generation alternatives for the State of Texas. The authors’ criteria system provides a better platform for including the priorities of stakeholders and policy makers at different levels. Including an outranking method such as PROMETHEE and a scenario analysis, the evaluation becomes more objective and more transparent. This enables the decision makers to more effectively compare the competing objectives of different alternatives. The authors discuss the drawbacks of the recent transportation funding decisions made by the Texas Legislature and highlight how the systematic evaluation can improve decision making. The authors recommend that states follow the systematic evaluation of funding options described in this paper, which can provide policy makers and the public a better understanding of the pros and cons of the funding options thereby helping them to select the most suitable funding strategy.","author":[{"dropping-particle":"","family":"Pulipati","given":"Sasanka Bhushan","non-dropping-particle":"","parse-names":false,"suffix":""},{"dropping-particle":"","family":"Mattingly","given":"Stephen P","non-dropping-particle":"","parse-names":false,"suffix":""},{"dropping-particle":"","family":"Casey","given":"Colleen","non-dropping-particle":"","parse-names":false,"suffix":""}],"container-title":"Case Studies on Transport Policy","id":"ITEM-1","issue":"3","issued":{"date-parts":[["2017"]]},"page":"467-482","title":"Evaluating state level transportation revenue alternatives","type":"article-journal","volume":"5"},"uris":["http://www.mendeley.com/documents/?uuid=ce5c021c-e5b3-493f-bc63-a4fd94d70f59"]}],"mendeley":{"formattedCitation":"(&lt;i&gt;13&lt;/i&gt;)","plainTextFormattedCitation":"(13)","previouslyFormattedCitation":"(&lt;i&gt;13&lt;/i&gt;)"},"properties":{"noteIndex":0},"schema":"https://github.com/citation-style-language/schema/raw/master/csl-citation.json"}</w:instrText>
      </w:r>
      <w:r w:rsidR="0012418B" w:rsidRPr="0012418B">
        <w:rPr>
          <w:rFonts w:eastAsia="Times New Roman" w:cs="Times New Roman"/>
        </w:rPr>
        <w:fldChar w:fldCharType="separate"/>
      </w:r>
      <w:r w:rsidR="00DD38A1" w:rsidRPr="00DD38A1">
        <w:rPr>
          <w:rFonts w:eastAsia="Times New Roman" w:cs="Times New Roman"/>
          <w:noProof/>
        </w:rPr>
        <w:t>(</w:t>
      </w:r>
      <w:r w:rsidR="00DD38A1" w:rsidRPr="00DD38A1">
        <w:rPr>
          <w:rFonts w:eastAsia="Times New Roman" w:cs="Times New Roman"/>
          <w:i/>
          <w:noProof/>
        </w:rPr>
        <w:t>13</w:t>
      </w:r>
      <w:r w:rsidR="00DD38A1" w:rsidRPr="00DD38A1">
        <w:rPr>
          <w:rFonts w:eastAsia="Times New Roman" w:cs="Times New Roman"/>
          <w:noProof/>
        </w:rPr>
        <w:t>)</w:t>
      </w:r>
      <w:r w:rsidR="0012418B" w:rsidRPr="0012418B">
        <w:rPr>
          <w:rFonts w:eastAsia="Times New Roman" w:cs="Times New Roman"/>
        </w:rPr>
        <w:fldChar w:fldCharType="end"/>
      </w:r>
      <w:r w:rsidR="0012418B" w:rsidRPr="0012418B">
        <w:rPr>
          <w:rFonts w:eastAsia="Times New Roman" w:cs="Times New Roman"/>
        </w:rPr>
        <w:t xml:space="preserve">. </w:t>
      </w:r>
      <w:r w:rsidR="002248AA">
        <w:rPr>
          <w:rFonts w:eastAsia="Times New Roman" w:cs="Times New Roman"/>
        </w:rPr>
        <w:t>In this regard, m</w:t>
      </w:r>
      <w:r w:rsidR="0012418B" w:rsidRPr="0012418B">
        <w:rPr>
          <w:rFonts w:eastAsia="Times New Roman" w:cs="Times New Roman"/>
        </w:rPr>
        <w:t>any researchers have found that quantitative methods</w:t>
      </w:r>
      <w:r w:rsidR="002248AA">
        <w:rPr>
          <w:rFonts w:eastAsia="Times New Roman" w:cs="Times New Roman"/>
        </w:rPr>
        <w:t xml:space="preserve"> can provide important insights in</w:t>
      </w:r>
      <w:r w:rsidR="0044249D">
        <w:rPr>
          <w:rFonts w:eastAsia="Times New Roman" w:cs="Times New Roman"/>
        </w:rPr>
        <w:t>to</w:t>
      </w:r>
      <w:r w:rsidR="002248AA">
        <w:rPr>
          <w:rFonts w:eastAsia="Times New Roman" w:cs="Times New Roman"/>
        </w:rPr>
        <w:t xml:space="preserve"> th</w:t>
      </w:r>
      <w:r w:rsidR="0044249D">
        <w:rPr>
          <w:rFonts w:eastAsia="Times New Roman" w:cs="Times New Roman"/>
        </w:rPr>
        <w:t>e</w:t>
      </w:r>
      <w:r w:rsidR="002248AA">
        <w:rPr>
          <w:rFonts w:eastAsia="Times New Roman" w:cs="Times New Roman"/>
        </w:rPr>
        <w:t xml:space="preserve"> decision-making process, which can </w:t>
      </w:r>
      <w:r w:rsidR="004C1703">
        <w:rPr>
          <w:rFonts w:eastAsia="Times New Roman" w:cs="Times New Roman"/>
        </w:rPr>
        <w:t xml:space="preserve">then </w:t>
      </w:r>
      <w:r w:rsidR="002248AA">
        <w:rPr>
          <w:rFonts w:eastAsia="Times New Roman" w:cs="Times New Roman"/>
        </w:rPr>
        <w:t xml:space="preserve">be supplemented appropriately by subjective </w:t>
      </w:r>
      <w:r w:rsidR="0044249D">
        <w:rPr>
          <w:rFonts w:eastAsia="Times New Roman" w:cs="Times New Roman"/>
        </w:rPr>
        <w:t xml:space="preserve">considerations. </w:t>
      </w:r>
      <w:r w:rsidR="00283656">
        <w:rPr>
          <w:rFonts w:eastAsia="Times New Roman" w:cs="Times New Roman"/>
        </w:rPr>
        <w:t>Toward this end,</w:t>
      </w:r>
      <w:r w:rsidR="004C1703">
        <w:rPr>
          <w:rFonts w:cs="Times New Roman"/>
        </w:rPr>
        <w:t xml:space="preserve"> </w:t>
      </w:r>
      <w:r w:rsidR="0012418B" w:rsidRPr="00283656">
        <w:rPr>
          <w:rFonts w:cs="Times New Roman"/>
        </w:rPr>
        <w:t>Indiana DOT (INDOT) used five criteria to assess potential funding mechanisms—revenue yield, ease of implementation, revenue predictability, public support, and business climate friendliness—</w:t>
      </w:r>
      <w:r w:rsidR="0044249D" w:rsidRPr="00125F92">
        <w:rPr>
          <w:rFonts w:cs="Times New Roman"/>
        </w:rPr>
        <w:t xml:space="preserve">each </w:t>
      </w:r>
      <w:r w:rsidR="0012418B" w:rsidRPr="00125F92">
        <w:rPr>
          <w:rFonts w:cs="Times New Roman"/>
        </w:rPr>
        <w:t>ranked on a three-</w:t>
      </w:r>
      <w:r w:rsidR="00283656">
        <w:rPr>
          <w:rFonts w:cs="Times New Roman"/>
        </w:rPr>
        <w:t>point</w:t>
      </w:r>
      <w:r w:rsidR="0012418B" w:rsidRPr="00611A23">
        <w:rPr>
          <w:rFonts w:cs="Times New Roman"/>
        </w:rPr>
        <w:t xml:space="preserve"> scale </w:t>
      </w:r>
      <w:r w:rsidR="0012418B" w:rsidRPr="00283656">
        <w:rPr>
          <w:rFonts w:cs="Times New Roman"/>
        </w:rPr>
        <w:fldChar w:fldCharType="begin" w:fldLock="1"/>
      </w:r>
      <w:r w:rsidR="00F462E4">
        <w:rPr>
          <w:rFonts w:cs="Times New Roman"/>
        </w:rPr>
        <w:instrText>ADDIN CSL_CITATION {"citationItems":[{"id":"ITEM-1","itemData":{"author":[{"dropping-particle":"","family":"Cambridge Systematics","given":"","non-dropping-particle":"","parse-names":false,"suffix":""}],"id":"ITEM-1","issued":{"date-parts":[["2015"]]},"title":"Study of Indiana Transportation Infrastructure Funding Mechanisms","type":"report"},"uris":["http://www.mendeley.com/documents/?uuid=4fb0ad7e-fbb1-498d-985f-faf09a1e908c"]}],"mendeley":{"formattedCitation":"(&lt;i&gt;17&lt;/i&gt;)","plainTextFormattedCitation":"(17)","previouslyFormattedCitation":"(&lt;i&gt;17&lt;/i&gt;)"},"properties":{"noteIndex":0},"schema":"https://github.com/citation-style-language/schema/raw/master/csl-citation.json"}</w:instrText>
      </w:r>
      <w:r w:rsidR="0012418B" w:rsidRPr="00283656">
        <w:rPr>
          <w:rFonts w:cs="Times New Roman"/>
        </w:rPr>
        <w:fldChar w:fldCharType="separate"/>
      </w:r>
      <w:r w:rsidR="00DD38A1" w:rsidRPr="00DD38A1">
        <w:rPr>
          <w:rFonts w:cs="Times New Roman"/>
          <w:noProof/>
        </w:rPr>
        <w:t>(</w:t>
      </w:r>
      <w:r w:rsidR="00DD38A1" w:rsidRPr="00DD38A1">
        <w:rPr>
          <w:rFonts w:cs="Times New Roman"/>
          <w:i/>
          <w:noProof/>
        </w:rPr>
        <w:t>17</w:t>
      </w:r>
      <w:r w:rsidR="00DD38A1" w:rsidRPr="00DD38A1">
        <w:rPr>
          <w:rFonts w:cs="Times New Roman"/>
          <w:noProof/>
        </w:rPr>
        <w:t>)</w:t>
      </w:r>
      <w:r w:rsidR="0012418B" w:rsidRPr="00283656">
        <w:rPr>
          <w:rFonts w:cs="Times New Roman"/>
        </w:rPr>
        <w:fldChar w:fldCharType="end"/>
      </w:r>
      <w:r w:rsidR="0012418B" w:rsidRPr="00283656">
        <w:rPr>
          <w:rFonts w:cs="Times New Roman"/>
        </w:rPr>
        <w:t xml:space="preserve">. Similarly, the Texas A&amp;M Transportation Institute (TTI) </w:t>
      </w:r>
      <w:r w:rsidR="00DD38A1">
        <w:rPr>
          <w:rFonts w:cs="Times New Roman"/>
        </w:rPr>
        <w:t xml:space="preserve">relied on </w:t>
      </w:r>
      <w:r w:rsidR="00283656">
        <w:rPr>
          <w:rFonts w:cs="Times New Roman"/>
        </w:rPr>
        <w:t>three-point based criteria,</w:t>
      </w:r>
      <w:r w:rsidR="0012418B" w:rsidRPr="00283656">
        <w:rPr>
          <w:rFonts w:cs="Times New Roman"/>
        </w:rPr>
        <w:t xml:space="preserve"> to inform policy decisions and determine how best </w:t>
      </w:r>
      <w:r w:rsidR="0044249D" w:rsidRPr="00125F92">
        <w:rPr>
          <w:rFonts w:cs="Times New Roman"/>
        </w:rPr>
        <w:t xml:space="preserve">to </w:t>
      </w:r>
      <w:r w:rsidR="0012418B" w:rsidRPr="001C0537">
        <w:rPr>
          <w:rFonts w:cs="Times New Roman"/>
        </w:rPr>
        <w:t>fund transportation infrastructure</w:t>
      </w:r>
      <w:r w:rsidR="00CD0565">
        <w:rPr>
          <w:rFonts w:cs="Times New Roman"/>
        </w:rPr>
        <w:t xml:space="preserve"> </w:t>
      </w:r>
      <w:r w:rsidR="00CD0565">
        <w:rPr>
          <w:rFonts w:cs="Times New Roman"/>
        </w:rPr>
        <w:fldChar w:fldCharType="begin" w:fldLock="1"/>
      </w:r>
      <w:r w:rsidR="00F462E4">
        <w:rPr>
          <w:rFonts w:cs="Times New Roman"/>
        </w:rPr>
        <w:instrText>ADDIN CSL_CITATION {"citationItems":[{"id":"ITEM-1","itemData":{"author":[{"dropping-particle":"","family":"TTI","given":"","non-dropping-particle":"","parse-names":false,"suffix":""}],"id":"ITEM-1","issued":{"date-parts":[["2019"]]},"title":"How to Fund Transportation","type":"report"},"uris":["http://www.mendeley.com/documents/?uuid=620e82e0-9a40-484b-a9e8-649c019d8cd3"]}],"mendeley":{"formattedCitation":"(&lt;i&gt;18&lt;/i&gt;)","plainTextFormattedCitation":"(18)","previouslyFormattedCitation":"(&lt;i&gt;18&lt;/i&gt;)"},"properties":{"noteIndex":0},"schema":"https://github.com/citation-style-language/schema/raw/master/csl-citation.json"}</w:instrText>
      </w:r>
      <w:r w:rsidR="00CD0565">
        <w:rPr>
          <w:rFonts w:cs="Times New Roman"/>
        </w:rPr>
        <w:fldChar w:fldCharType="separate"/>
      </w:r>
      <w:r w:rsidR="00DD38A1" w:rsidRPr="00DD38A1">
        <w:rPr>
          <w:rFonts w:cs="Times New Roman"/>
          <w:noProof/>
        </w:rPr>
        <w:t>(</w:t>
      </w:r>
      <w:r w:rsidR="00DD38A1" w:rsidRPr="00DD38A1">
        <w:rPr>
          <w:rFonts w:cs="Times New Roman"/>
          <w:i/>
          <w:noProof/>
        </w:rPr>
        <w:t>18</w:t>
      </w:r>
      <w:r w:rsidR="00DD38A1" w:rsidRPr="00DD38A1">
        <w:rPr>
          <w:rFonts w:cs="Times New Roman"/>
          <w:noProof/>
        </w:rPr>
        <w:t>)</w:t>
      </w:r>
      <w:r w:rsidR="00CD0565">
        <w:rPr>
          <w:rFonts w:cs="Times New Roman"/>
        </w:rPr>
        <w:fldChar w:fldCharType="end"/>
      </w:r>
      <w:r w:rsidR="0012418B" w:rsidRPr="001C0537">
        <w:rPr>
          <w:rFonts w:cs="Times New Roman"/>
        </w:rPr>
        <w:t>.</w:t>
      </w:r>
      <w:r w:rsidR="00283656">
        <w:rPr>
          <w:rFonts w:cs="Times New Roman"/>
        </w:rPr>
        <w:t xml:space="preserve"> </w:t>
      </w:r>
      <w:r w:rsidR="0012418B" w:rsidRPr="00283656">
        <w:rPr>
          <w:rFonts w:cs="Times New Roman"/>
        </w:rPr>
        <w:t xml:space="preserve">Later NCHRP reports </w:t>
      </w:r>
      <w:r w:rsidR="000E0E87" w:rsidRPr="00283656">
        <w:rPr>
          <w:rFonts w:cs="Times New Roman"/>
        </w:rPr>
        <w:t xml:space="preserve">also </w:t>
      </w:r>
      <w:r w:rsidR="0012418B" w:rsidRPr="00283656">
        <w:rPr>
          <w:rFonts w:cs="Times New Roman"/>
        </w:rPr>
        <w:t>evaluated revenue sources for public transportation investmen</w:t>
      </w:r>
      <w:r w:rsidR="0012418B" w:rsidRPr="00125F92">
        <w:rPr>
          <w:rFonts w:cs="Times New Roman"/>
        </w:rPr>
        <w:t xml:space="preserve">ts using similar criteria and scores </w:t>
      </w:r>
      <w:r w:rsidR="0012418B" w:rsidRPr="00283656">
        <w:rPr>
          <w:rFonts w:cs="Times New Roman"/>
        </w:rPr>
        <w:fldChar w:fldCharType="begin" w:fldLock="1"/>
      </w:r>
      <w:r w:rsidR="00F462E4">
        <w:rPr>
          <w:rFonts w:cs="Times New Roman"/>
        </w:rPr>
        <w:instrText>ADDIN CSL_CITATION {"citationItems":[{"id":"ITEM-1","itemData":{"ISBN":"0309117712","author":[{"dropping-particle":"","family":"Program","given":"Transit Cooperative Research","non-dropping-particle":"","parse-names":false,"suffix":""},{"dropping-particle":"","family":"Systematics","given":"Cambridge","non-dropping-particle":"","parse-names":false,"suffix":""},{"dropping-particle":"","family":"Administration","given":"United States. Federal Transit","non-dropping-particle":"","parse-names":false,"suffix":""},{"dropping-particle":"","family":"Corporation","given":"Transit Development","non-dropping-particle":"","parse-names":false,"suffix":""}],"id":"ITEM-1","issued":{"date-parts":[["2009"]]},"publisher":"Transportation Research Board","title":"Local and Regional Funding Mechanisms for Public Transportation","type":"book","volume":"129"},"uris":["http://www.mendeley.com/documents/?uuid=52366770-eac4-4a8b-a02d-7941363263a6"]},{"id":"ITEM-2","itemData":{"author":[{"dropping-particle":"","family":"Maring","given":"Gary","non-dropping-particle":"","parse-names":false,"suffix":""},{"dropping-particle":"","family":"Ortiz","given":"Iris","non-dropping-particle":"","parse-names":false,"suffix":""},{"dropping-particle":"","family":"Reno","given":"Arlee","non-dropping-particle":"","parse-names":false,"suffix":""},{"dropping-particle":"","family":"Grenzeback","given":"Lance","non-dropping-particle":"","parse-names":false,"suffix":""},{"dropping-particle":"","family":"Grote","given":"Bryan","non-dropping-particle":"","parse-names":false,"suffix":""},{"dropping-particle":"","family":"Taylor","given":"James","non-dropping-particle":"","parse-names":false,"suffix":""},{"dropping-particle":"","family":"Seltzer","given":"David","non-dropping-particle":"","parse-names":false,"suffix":""},{"dropping-particle":"","family":"Pisarski","given":"Alan","non-dropping-particle":"","parse-names":false,"suffix":""},{"dropping-particle":"","family":"Wachs","given":"Martin","non-dropping-particle":"","parse-names":false,"suffix":""}],"id":"ITEM-2","issued":{"date-parts":[["2009"]]},"title":"Future Financing Options to Meet Highway and Transit Needs","type":"article-journal"},"uris":["http://www.mendeley.com/documents/?uuid=79623687-ea16-4fc6-bfc1-b27da440f34b"]}],"mendeley":{"formattedCitation":"(&lt;i&gt;19&lt;/i&gt;, &lt;i&gt;20&lt;/i&gt;)","plainTextFormattedCitation":"(19, 20)","previouslyFormattedCitation":"(&lt;i&gt;19&lt;/i&gt;, &lt;i&gt;20&lt;/i&gt;)"},"properties":{"noteIndex":0},"schema":"https://github.com/citation-style-language/schema/raw/master/csl-citation.json"}</w:instrText>
      </w:r>
      <w:r w:rsidR="0012418B" w:rsidRPr="00283656">
        <w:rPr>
          <w:rFonts w:cs="Times New Roman"/>
        </w:rPr>
        <w:fldChar w:fldCharType="separate"/>
      </w:r>
      <w:r w:rsidR="00DD38A1" w:rsidRPr="00DD38A1">
        <w:rPr>
          <w:rFonts w:cs="Times New Roman"/>
          <w:noProof/>
        </w:rPr>
        <w:t>(</w:t>
      </w:r>
      <w:r w:rsidR="00DD38A1" w:rsidRPr="00DD38A1">
        <w:rPr>
          <w:rFonts w:cs="Times New Roman"/>
          <w:i/>
          <w:noProof/>
        </w:rPr>
        <w:t>19</w:t>
      </w:r>
      <w:r w:rsidR="00DD38A1" w:rsidRPr="00DD38A1">
        <w:rPr>
          <w:rFonts w:cs="Times New Roman"/>
          <w:noProof/>
        </w:rPr>
        <w:t xml:space="preserve">, </w:t>
      </w:r>
      <w:r w:rsidR="00DD38A1" w:rsidRPr="00DD38A1">
        <w:rPr>
          <w:rFonts w:cs="Times New Roman"/>
          <w:i/>
          <w:noProof/>
        </w:rPr>
        <w:t>20</w:t>
      </w:r>
      <w:r w:rsidR="00DD38A1" w:rsidRPr="00DD38A1">
        <w:rPr>
          <w:rFonts w:cs="Times New Roman"/>
          <w:noProof/>
        </w:rPr>
        <w:t>)</w:t>
      </w:r>
      <w:r w:rsidR="0012418B" w:rsidRPr="00283656">
        <w:rPr>
          <w:rFonts w:cs="Times New Roman"/>
        </w:rPr>
        <w:fldChar w:fldCharType="end"/>
      </w:r>
      <w:r w:rsidR="0012418B" w:rsidRPr="00283656">
        <w:rPr>
          <w:rFonts w:cs="Times New Roman"/>
        </w:rPr>
        <w:t xml:space="preserve">. </w:t>
      </w:r>
      <w:r w:rsidR="004C1703">
        <w:rPr>
          <w:rFonts w:cs="Times New Roman"/>
        </w:rPr>
        <w:t>W</w:t>
      </w:r>
      <w:r w:rsidR="003838BC" w:rsidRPr="00125F92">
        <w:rPr>
          <w:rFonts w:cs="Times New Roman"/>
        </w:rPr>
        <w:t xml:space="preserve">hile such efforts do provide a useful general guidance platform, they do not provide adequate and specific insights for selecting mechanisms based on agency needs </w:t>
      </w:r>
      <w:r w:rsidR="003838BC" w:rsidRPr="00283656">
        <w:rPr>
          <w:rFonts w:cs="Times New Roman"/>
        </w:rPr>
        <w:fldChar w:fldCharType="begin" w:fldLock="1"/>
      </w:r>
      <w:r w:rsidR="00F462E4">
        <w:rPr>
          <w:rFonts w:cs="Times New Roman"/>
        </w:rPr>
        <w:instrText>ADDIN CSL_CITATION {"citationItems":[{"id":"ITEM-1","itemData":{"author":[{"dropping-particle":"","family":"TTI","given":"","non-dropping-particle":"","parse-names":false,"suffix":""}],"id":"ITEM-1","issued":{"date-parts":[["2019"]]},"title":"How to Fund Transportation","type":"report"},"uris":["http://www.mendeley.com/documents/?uuid=620e82e0-9a40-484b-a9e8-649c019d8cd3"]}],"mendeley":{"formattedCitation":"(&lt;i&gt;18&lt;/i&gt;)","plainTextFormattedCitation":"(18)","previouslyFormattedCitation":"(&lt;i&gt;18&lt;/i&gt;)"},"properties":{"noteIndex":0},"schema":"https://github.com/citation-style-language/schema/raw/master/csl-citation.json"}</w:instrText>
      </w:r>
      <w:r w:rsidR="003838BC" w:rsidRPr="00283656">
        <w:rPr>
          <w:rFonts w:cs="Times New Roman"/>
        </w:rPr>
        <w:fldChar w:fldCharType="separate"/>
      </w:r>
      <w:r w:rsidR="00DD38A1" w:rsidRPr="00DD38A1">
        <w:rPr>
          <w:rFonts w:cs="Times New Roman"/>
          <w:noProof/>
        </w:rPr>
        <w:t>(</w:t>
      </w:r>
      <w:r w:rsidR="00DD38A1" w:rsidRPr="00DD38A1">
        <w:rPr>
          <w:rFonts w:cs="Times New Roman"/>
          <w:i/>
          <w:noProof/>
        </w:rPr>
        <w:t>18</w:t>
      </w:r>
      <w:r w:rsidR="00DD38A1" w:rsidRPr="00DD38A1">
        <w:rPr>
          <w:rFonts w:cs="Times New Roman"/>
          <w:noProof/>
        </w:rPr>
        <w:t>)</w:t>
      </w:r>
      <w:r w:rsidR="003838BC" w:rsidRPr="00283656">
        <w:rPr>
          <w:rFonts w:cs="Times New Roman"/>
        </w:rPr>
        <w:fldChar w:fldCharType="end"/>
      </w:r>
      <w:r w:rsidR="003838BC" w:rsidRPr="00283656">
        <w:rPr>
          <w:rFonts w:cs="Times New Roman"/>
        </w:rPr>
        <w:t xml:space="preserve">. </w:t>
      </w:r>
      <w:r w:rsidR="003838BC" w:rsidRPr="00125F92">
        <w:rPr>
          <w:rFonts w:cs="Times New Roman"/>
          <w:color w:val="000000" w:themeColor="text1"/>
        </w:rPr>
        <w:t xml:space="preserve">Besides, </w:t>
      </w:r>
      <w:r w:rsidR="0012418B" w:rsidRPr="00125F92">
        <w:rPr>
          <w:rFonts w:cs="Times New Roman"/>
          <w:color w:val="000000" w:themeColor="text1"/>
        </w:rPr>
        <w:t>t</w:t>
      </w:r>
      <w:r w:rsidR="0012418B" w:rsidRPr="00125F92">
        <w:rPr>
          <w:rFonts w:cs="Times New Roman"/>
        </w:rPr>
        <w:t xml:space="preserve">hese criteria-based analyses </w:t>
      </w:r>
      <w:r w:rsidR="0012418B" w:rsidRPr="00DC03C3">
        <w:rPr>
          <w:rFonts w:cs="Times New Roman"/>
        </w:rPr>
        <w:t xml:space="preserve">do not go as far </w:t>
      </w:r>
      <w:r w:rsidR="003838BC" w:rsidRPr="00DC03C3">
        <w:rPr>
          <w:rFonts w:cs="Times New Roman"/>
        </w:rPr>
        <w:t xml:space="preserve">as </w:t>
      </w:r>
      <w:r w:rsidR="0012418B" w:rsidRPr="00DC03C3">
        <w:rPr>
          <w:rFonts w:cs="Times New Roman"/>
        </w:rPr>
        <w:t xml:space="preserve">to </w:t>
      </w:r>
      <w:r w:rsidR="003838BC" w:rsidRPr="00DC03C3">
        <w:rPr>
          <w:rFonts w:cs="Times New Roman"/>
        </w:rPr>
        <w:t>project</w:t>
      </w:r>
      <w:r w:rsidR="00632BBC">
        <w:rPr>
          <w:rFonts w:cs="Times New Roman"/>
        </w:rPr>
        <w:t xml:space="preserve"> future</w:t>
      </w:r>
      <w:r w:rsidR="003838BC" w:rsidRPr="00DC03C3">
        <w:rPr>
          <w:rFonts w:cs="Times New Roman"/>
        </w:rPr>
        <w:t xml:space="preserve"> revenue, such as </w:t>
      </w:r>
      <w:r w:rsidR="00BC5C5D" w:rsidRPr="00DC03C3">
        <w:rPr>
          <w:rFonts w:cs="Times New Roman"/>
        </w:rPr>
        <w:t xml:space="preserve">accomplished by </w:t>
      </w:r>
      <w:r w:rsidR="003838BC" w:rsidRPr="00DC03C3">
        <w:rPr>
          <w:rFonts w:cs="Times New Roman"/>
        </w:rPr>
        <w:t xml:space="preserve">the Joint Analysis using the Combined Knowledge (J.A.C.K.) </w:t>
      </w:r>
      <w:r w:rsidR="00BC5C5D" w:rsidRPr="00283656">
        <w:rPr>
          <w:rFonts w:cs="Times New Roman"/>
        </w:rPr>
        <w:t>mode</w:t>
      </w:r>
      <w:r w:rsidR="00BC5C5D" w:rsidRPr="00125F92">
        <w:rPr>
          <w:rFonts w:cs="Times New Roman"/>
        </w:rPr>
        <w:t xml:space="preserve">l, the </w:t>
      </w:r>
      <w:r w:rsidR="00BC5C5D" w:rsidRPr="00DC03C3">
        <w:rPr>
          <w:rFonts w:cs="Times New Roman"/>
        </w:rPr>
        <w:t>Transportation Revenue Estimator and Needs Determination System (</w:t>
      </w:r>
      <w:r w:rsidR="0012418B" w:rsidRPr="00283656">
        <w:rPr>
          <w:rFonts w:cs="Times New Roman"/>
        </w:rPr>
        <w:t>TRENDS</w:t>
      </w:r>
      <w:r w:rsidR="00BC5C5D" w:rsidRPr="00283656">
        <w:rPr>
          <w:rFonts w:cs="Times New Roman"/>
        </w:rPr>
        <w:t>) m</w:t>
      </w:r>
      <w:r w:rsidR="00BC5C5D" w:rsidRPr="00125F92">
        <w:rPr>
          <w:rFonts w:cs="Times New Roman"/>
        </w:rPr>
        <w:t>odel</w:t>
      </w:r>
      <w:r w:rsidR="0012418B" w:rsidRPr="00125F92">
        <w:rPr>
          <w:rFonts w:cs="Times New Roman"/>
        </w:rPr>
        <w:t xml:space="preserve">, and </w:t>
      </w:r>
      <w:r w:rsidR="00BC5C5D" w:rsidRPr="00125F92">
        <w:rPr>
          <w:rFonts w:cs="Times New Roman"/>
        </w:rPr>
        <w:t xml:space="preserve">the </w:t>
      </w:r>
      <w:r w:rsidR="0012418B" w:rsidRPr="00125F92">
        <w:rPr>
          <w:rFonts w:cs="Times New Roman"/>
        </w:rPr>
        <w:t xml:space="preserve">INDOT </w:t>
      </w:r>
      <w:r w:rsidR="00BC5C5D" w:rsidRPr="00125F92">
        <w:rPr>
          <w:rFonts w:cs="Times New Roman"/>
        </w:rPr>
        <w:t xml:space="preserve">revenue cost </w:t>
      </w:r>
      <w:r w:rsidR="0012418B" w:rsidRPr="00125F92">
        <w:rPr>
          <w:rFonts w:cs="Times New Roman"/>
        </w:rPr>
        <w:t>model</w:t>
      </w:r>
      <w:r w:rsidR="00BC5C5D" w:rsidRPr="00DC03C3">
        <w:rPr>
          <w:rFonts w:cs="Times New Roman"/>
        </w:rPr>
        <w:t>, all described next</w:t>
      </w:r>
      <w:r w:rsidR="0012418B" w:rsidRPr="00DC03C3">
        <w:rPr>
          <w:rFonts w:cs="Times New Roman"/>
        </w:rPr>
        <w:t>.</w:t>
      </w:r>
    </w:p>
    <w:p w14:paraId="4B7CC2E2" w14:textId="656A8439" w:rsidR="0012418B" w:rsidRPr="0012418B" w:rsidRDefault="0012418B" w:rsidP="004D0A64">
      <w:pPr>
        <w:spacing w:after="0" w:line="240" w:lineRule="auto"/>
        <w:ind w:firstLine="720"/>
        <w:jc w:val="both"/>
        <w:rPr>
          <w:rFonts w:eastAsia="Times New Roman" w:cs="Times New Roman"/>
        </w:rPr>
      </w:pPr>
      <w:r w:rsidRPr="0012418B">
        <w:rPr>
          <w:rFonts w:eastAsia="Times New Roman" w:cs="Times New Roman"/>
        </w:rPr>
        <w:t xml:space="preserve">The J.A.C.K. and TRENDS models are Texas-specific tools </w:t>
      </w:r>
      <w:r w:rsidR="00F55307">
        <w:rPr>
          <w:rFonts w:eastAsia="Times New Roman" w:cs="Times New Roman"/>
        </w:rPr>
        <w:t xml:space="preserve">that </w:t>
      </w:r>
      <w:r w:rsidR="0057208F">
        <w:rPr>
          <w:rFonts w:eastAsia="Times New Roman" w:cs="Times New Roman"/>
        </w:rPr>
        <w:t>were</w:t>
      </w:r>
      <w:r w:rsidRPr="0012418B">
        <w:rPr>
          <w:rFonts w:eastAsia="Times New Roman" w:cs="Times New Roman"/>
        </w:rPr>
        <w:t xml:space="preserve"> developed to perform revenue projections. The J.A.C.K. model combines revenue predictions and “what-if” scenarios related to vehicle registration fees, MFTs, proposition bonds, </w:t>
      </w:r>
      <w:r w:rsidR="00632BBC">
        <w:rPr>
          <w:rFonts w:eastAsia="Times New Roman" w:cs="Times New Roman"/>
        </w:rPr>
        <w:t xml:space="preserve">and </w:t>
      </w:r>
      <w:r w:rsidRPr="0012418B">
        <w:rPr>
          <w:rFonts w:eastAsia="Times New Roman" w:cs="Times New Roman"/>
        </w:rPr>
        <w:t>other agency revenues</w:t>
      </w:r>
      <w:r w:rsidR="0057208F">
        <w:rPr>
          <w:rFonts w:eastAsia="Times New Roman" w:cs="Times New Roman"/>
        </w:rPr>
        <w:t xml:space="preserve"> </w:t>
      </w:r>
      <w:r w:rsidR="0057208F" w:rsidRPr="0012418B">
        <w:fldChar w:fldCharType="begin" w:fldLock="1"/>
      </w:r>
      <w:r w:rsidR="00F462E4">
        <w:instrText>ADDIN CSL_CITATION {"citationItems":[{"id":"ITEM-1","itemData":{"author":[{"dropping-particle":"","family":"Persad","given":"Khali","non-dropping-particle":"","parse-names":false,"suffix":""},{"dropping-particle":"","family":"Loftus-Otway","given":"Lisa","non-dropping-particle":"","parse-names":false,"suffix":""},{"dropping-particle":"","family":"Harrison","given":"Robert","non-dropping-particle":"","parse-names":false,"suffix":""},{"dropping-particle":"","family":"Cruz-Ross","given":"Alejandra","non-dropping-particle":"","parse-names":false,"suffix":""},{"dropping-particle":"","family":"Singh","given":"Prakash","non-dropping-particle":"","parse-names":false,"suffix":""},{"dropping-particle":"","family":"Chi","given":"Seokho","non-dropping-particle":"","parse-names":false,"suffix":""},{"dropping-particle":"","family":"Franco","given":"Patricia","non-dropping-particle":"","parse-names":false,"suffix":""}],"id":"ITEM-1","issued":{"date-parts":[["2009"]]},"publisher":"Center for Transportation Research, The University of Texas at Austin","title":"Evaluation of TxDOT's JACK model for revenue and expenditure projections","type":"article-journal"},"uris":["http://www.mendeley.com/documents/?uuid=eefa1ce1-18e7-455d-a0df-4962d24abfd5"]}],"mendeley":{"formattedCitation":"(&lt;i&gt;21&lt;/i&gt;)","plainTextFormattedCitation":"(21)","previouslyFormattedCitation":"(&lt;i&gt;21&lt;/i&gt;)"},"properties":{"noteIndex":0},"schema":"https://github.com/citation-style-language/schema/raw/master/csl-citation.json"}</w:instrText>
      </w:r>
      <w:r w:rsidR="0057208F" w:rsidRPr="0012418B">
        <w:fldChar w:fldCharType="separate"/>
      </w:r>
      <w:r w:rsidR="00DD38A1" w:rsidRPr="00DD38A1">
        <w:rPr>
          <w:noProof/>
        </w:rPr>
        <w:t>(</w:t>
      </w:r>
      <w:r w:rsidR="00DD38A1" w:rsidRPr="00DD38A1">
        <w:rPr>
          <w:i/>
          <w:noProof/>
        </w:rPr>
        <w:t>21</w:t>
      </w:r>
      <w:r w:rsidR="00DD38A1" w:rsidRPr="00DD38A1">
        <w:rPr>
          <w:noProof/>
        </w:rPr>
        <w:t>)</w:t>
      </w:r>
      <w:r w:rsidR="0057208F" w:rsidRPr="0012418B">
        <w:fldChar w:fldCharType="end"/>
      </w:r>
      <w:r w:rsidRPr="0012418B">
        <w:rPr>
          <w:rFonts w:eastAsia="Times New Roman" w:cs="Times New Roman"/>
        </w:rPr>
        <w:t xml:space="preserve">. The </w:t>
      </w:r>
      <w:r w:rsidR="001B210F">
        <w:rPr>
          <w:rFonts w:eastAsia="Times New Roman" w:cs="Times New Roman"/>
        </w:rPr>
        <w:t>model</w:t>
      </w:r>
      <w:r w:rsidRPr="0012418B">
        <w:rPr>
          <w:rFonts w:eastAsia="Times New Roman" w:cs="Times New Roman"/>
        </w:rPr>
        <w:t xml:space="preserve"> inputs and</w:t>
      </w:r>
      <w:r w:rsidR="001B210F">
        <w:rPr>
          <w:rFonts w:eastAsia="Times New Roman" w:cs="Times New Roman"/>
        </w:rPr>
        <w:t xml:space="preserve"> </w:t>
      </w:r>
      <w:r w:rsidRPr="0012418B">
        <w:rPr>
          <w:rFonts w:eastAsia="Times New Roman" w:cs="Times New Roman"/>
        </w:rPr>
        <w:t>assumptions include population, vehicle registration, fuel e</w:t>
      </w:r>
      <w:r w:rsidR="00DD38A1">
        <w:rPr>
          <w:rFonts w:eastAsia="Times New Roman" w:cs="Times New Roman"/>
        </w:rPr>
        <w:t>conomy</w:t>
      </w:r>
      <w:r w:rsidRPr="0012418B">
        <w:rPr>
          <w:rFonts w:eastAsia="Times New Roman" w:cs="Times New Roman"/>
        </w:rPr>
        <w:t>, inflation, and tax rates. The evaluation of this model concluded that revenue projections are most sensitive to the accuracy of the population and fuel e</w:t>
      </w:r>
      <w:r w:rsidR="00DD38A1">
        <w:rPr>
          <w:rFonts w:eastAsia="Times New Roman" w:cs="Times New Roman"/>
        </w:rPr>
        <w:t xml:space="preserve">conomy </w:t>
      </w:r>
      <w:r w:rsidRPr="0012418B">
        <w:rPr>
          <w:rFonts w:eastAsia="Times New Roman" w:cs="Times New Roman"/>
        </w:rPr>
        <w:t xml:space="preserve">estimates </w:t>
      </w:r>
      <w:r w:rsidRPr="0012418B">
        <w:fldChar w:fldCharType="begin" w:fldLock="1"/>
      </w:r>
      <w:r w:rsidR="00F462E4">
        <w:instrText>ADDIN CSL_CITATION {"citationItems":[{"id":"ITEM-1","itemData":{"author":[{"dropping-particle":"","family":"Persad","given":"Khali","non-dropping-particle":"","parse-names":false,"suffix":""},{"dropping-particle":"","family":"Loftus-Otway","given":"Lisa","non-dropping-particle":"","parse-names":false,"suffix":""},{"dropping-particle":"","family":"Harrison","given":"Robert","non-dropping-particle":"","parse-names":false,"suffix":""},{"dropping-particle":"","family":"Cruz-Ross","given":"Alejandra","non-dropping-particle":"","parse-names":false,"suffix":""},{"dropping-particle":"","family":"Singh","given":"Prakash","non-dropping-particle":"","parse-names":false,"suffix":""},{"dropping-particle":"","family":"Chi","given":"Seokho","non-dropping-particle":"","parse-names":false,"suffix":""},{"dropping-particle":"","family":"Franco","given":"Patricia","non-dropping-particle":"","parse-names":false,"suffix":""}],"id":"ITEM-1","issued":{"date-parts":[["2009"]]},"publisher":"Center for Transportation Research, The University of Texas at Austin","title":"Evaluation of TxDOT's JACK model for revenue and expenditure projections","type":"article-journal"},"uris":["http://www.mendeley.com/documents/?uuid=eefa1ce1-18e7-455d-a0df-4962d24abfd5"]}],"mendeley":{"formattedCitation":"(&lt;i&gt;21&lt;/i&gt;)","plainTextFormattedCitation":"(21)","previouslyFormattedCitation":"(&lt;i&gt;21&lt;/i&gt;)"},"properties":{"noteIndex":0},"schema":"https://github.com/citation-style-language/schema/raw/master/csl-citation.json"}</w:instrText>
      </w:r>
      <w:r w:rsidRPr="0012418B">
        <w:fldChar w:fldCharType="separate"/>
      </w:r>
      <w:r w:rsidR="00DD38A1" w:rsidRPr="00DD38A1">
        <w:rPr>
          <w:noProof/>
        </w:rPr>
        <w:t>(</w:t>
      </w:r>
      <w:r w:rsidR="00DD38A1" w:rsidRPr="00DD38A1">
        <w:rPr>
          <w:i/>
          <w:noProof/>
        </w:rPr>
        <w:t>21</w:t>
      </w:r>
      <w:r w:rsidR="00DD38A1" w:rsidRPr="00DD38A1">
        <w:rPr>
          <w:noProof/>
        </w:rPr>
        <w:t>)</w:t>
      </w:r>
      <w:r w:rsidRPr="0012418B">
        <w:fldChar w:fldCharType="end"/>
      </w:r>
      <w:r w:rsidRPr="0012418B">
        <w:rPr>
          <w:rFonts w:eastAsia="Times New Roman" w:cs="Times New Roman"/>
        </w:rPr>
        <w:t xml:space="preserve">. TRENDS is another web-based tool developed by TTI in 2012 </w:t>
      </w:r>
      <w:r w:rsidR="001B210F">
        <w:t>to</w:t>
      </w:r>
      <w:r w:rsidRPr="0012418B">
        <w:rPr>
          <w:rFonts w:eastAsia="Times New Roman" w:cs="Times New Roman"/>
        </w:rPr>
        <w:t xml:space="preserve"> provide a comprehensive financial forecasting tool for Texas transportation agencies</w:t>
      </w:r>
      <w:r w:rsidR="001B210F">
        <w:rPr>
          <w:rFonts w:eastAsia="Times New Roman" w:cs="Times New Roman"/>
        </w:rPr>
        <w:t xml:space="preserve"> </w:t>
      </w:r>
      <w:r w:rsidR="001B210F" w:rsidRPr="0012418B">
        <w:fldChar w:fldCharType="begin" w:fldLock="1"/>
      </w:r>
      <w:r w:rsidR="00F462E4">
        <w:instrText>ADDIN CSL_CITATION {"citationItems":[{"id":"ITEM-1","itemData":{"author":[{"dropping-particle":"","family":"Castiglione","given":"J","non-dropping-particle":"","parse-names":false,"suffix":""},{"dropping-particle":"","family":"Ellis","given":"R D","non-dropping-particle":"","parse-names":false,"suffix":""},{"dropping-particle":"","family":"Glover","given":"B","non-dropping-particle":"","parse-names":false,"suffix":""}],"id":"ITEM-1","issued":{"date-parts":[["2011"]]},"publisher":"Texas A&amp;M Transportation Institute, College Station, Texas","title":"The Transportation Revenue Estimator and Needs Determination System (TRENDS) Model","type":"article"},"uris":["http://www.mendeley.com/documents/?uuid=33aab501-e08e-49fd-a0c6-345011a2eedb"]}],"mendeley":{"formattedCitation":"(&lt;i&gt;22&lt;/i&gt;)","plainTextFormattedCitation":"(22)","previouslyFormattedCitation":"(&lt;i&gt;22&lt;/i&gt;)"},"properties":{"noteIndex":0},"schema":"https://github.com/citation-style-language/schema/raw/master/csl-citation.json"}</w:instrText>
      </w:r>
      <w:r w:rsidR="001B210F" w:rsidRPr="0012418B">
        <w:fldChar w:fldCharType="separate"/>
      </w:r>
      <w:r w:rsidR="00DD38A1" w:rsidRPr="00DD38A1">
        <w:rPr>
          <w:noProof/>
        </w:rPr>
        <w:t>(</w:t>
      </w:r>
      <w:r w:rsidR="00DD38A1" w:rsidRPr="00DD38A1">
        <w:rPr>
          <w:i/>
          <w:noProof/>
        </w:rPr>
        <w:t>22</w:t>
      </w:r>
      <w:r w:rsidR="00DD38A1" w:rsidRPr="00DD38A1">
        <w:rPr>
          <w:noProof/>
        </w:rPr>
        <w:t>)</w:t>
      </w:r>
      <w:r w:rsidR="001B210F" w:rsidRPr="0012418B">
        <w:fldChar w:fldCharType="end"/>
      </w:r>
      <w:r w:rsidRPr="0012418B">
        <w:rPr>
          <w:rFonts w:eastAsia="Times New Roman" w:cs="Times New Roman"/>
        </w:rPr>
        <w:t xml:space="preserve">. The tool </w:t>
      </w:r>
      <w:r w:rsidR="00BC5C5D">
        <w:rPr>
          <w:rFonts w:eastAsia="Times New Roman" w:cs="Times New Roman"/>
        </w:rPr>
        <w:t xml:space="preserve">makes </w:t>
      </w:r>
      <w:r w:rsidRPr="0012418B">
        <w:rPr>
          <w:rFonts w:eastAsia="Times New Roman" w:cs="Times New Roman"/>
        </w:rPr>
        <w:t>assumptions regarding transportation needs, population growth, fuel efficiency, inflatio</w:t>
      </w:r>
      <w:r w:rsidR="00E37004">
        <w:rPr>
          <w:rFonts w:eastAsia="Times New Roman" w:cs="Times New Roman"/>
        </w:rPr>
        <w:t>n</w:t>
      </w:r>
      <w:r w:rsidRPr="0012418B">
        <w:rPr>
          <w:rFonts w:eastAsia="Times New Roman" w:cs="Times New Roman"/>
        </w:rPr>
        <w:t xml:space="preserve">, </w:t>
      </w:r>
      <w:r w:rsidR="00BC5C5D">
        <w:rPr>
          <w:rFonts w:eastAsia="Times New Roman" w:cs="Times New Roman"/>
        </w:rPr>
        <w:t xml:space="preserve">and gas </w:t>
      </w:r>
      <w:r w:rsidRPr="0012418B">
        <w:rPr>
          <w:rFonts w:eastAsia="Times New Roman" w:cs="Times New Roman"/>
        </w:rPr>
        <w:t>taxes. User inputs include the selection of population growth and fuel efficiency scenarios, as well a</w:t>
      </w:r>
      <w:r w:rsidR="00632BBC">
        <w:rPr>
          <w:rFonts w:eastAsia="Times New Roman" w:cs="Times New Roman"/>
        </w:rPr>
        <w:t>s</w:t>
      </w:r>
      <w:r w:rsidR="00BC5C5D">
        <w:rPr>
          <w:rFonts w:eastAsia="Times New Roman" w:cs="Times New Roman"/>
        </w:rPr>
        <w:t xml:space="preserve"> </w:t>
      </w:r>
      <w:r w:rsidRPr="0012418B">
        <w:rPr>
          <w:rFonts w:eastAsia="Times New Roman" w:cs="Times New Roman"/>
        </w:rPr>
        <w:t>fee</w:t>
      </w:r>
      <w:r w:rsidR="00BC5C5D">
        <w:rPr>
          <w:rFonts w:eastAsia="Times New Roman" w:cs="Times New Roman"/>
        </w:rPr>
        <w:t>s</w:t>
      </w:r>
      <w:r w:rsidRPr="0012418B">
        <w:rPr>
          <w:rFonts w:eastAsia="Times New Roman" w:cs="Times New Roman"/>
        </w:rPr>
        <w:t xml:space="preserve"> and tax increases</w:t>
      </w:r>
      <w:r w:rsidR="00632BBC">
        <w:rPr>
          <w:rFonts w:eastAsia="Times New Roman" w:cs="Times New Roman"/>
        </w:rPr>
        <w:t>.</w:t>
      </w:r>
      <w:r w:rsidRPr="0012418B">
        <w:rPr>
          <w:rFonts w:eastAsia="Times New Roman" w:cs="Times New Roman"/>
        </w:rPr>
        <w:t xml:space="preserve"> Then, the model outputs tables and graphs of forecasted revenues and expenditures throughout the analysis period. The revenue sources considered in this tool include </w:t>
      </w:r>
      <w:r w:rsidR="00FE6E31">
        <w:rPr>
          <w:rFonts w:eastAsia="Times New Roman" w:cs="Times New Roman"/>
        </w:rPr>
        <w:t>MFT</w:t>
      </w:r>
      <w:r w:rsidRPr="0012418B">
        <w:rPr>
          <w:rFonts w:eastAsia="Times New Roman" w:cs="Times New Roman"/>
        </w:rPr>
        <w:t>, indexed MFT, vehicle registration fee, alternative fuel fee, and VMT fee</w:t>
      </w:r>
      <w:r w:rsidR="00CD0565">
        <w:rPr>
          <w:rFonts w:eastAsia="Times New Roman" w:cs="Times New Roman"/>
        </w:rPr>
        <w:t xml:space="preserve"> </w:t>
      </w:r>
      <w:r w:rsidR="00CD0565" w:rsidRPr="0012418B">
        <w:fldChar w:fldCharType="begin" w:fldLock="1"/>
      </w:r>
      <w:r w:rsidR="00F462E4">
        <w:instrText>ADDIN CSL_CITATION {"citationItems":[{"id":"ITEM-1","itemData":{"author":[{"dropping-particle":"","family":"Castiglione","given":"J","non-dropping-particle":"","parse-names":false,"suffix":""},{"dropping-particle":"","family":"Ellis","given":"R D","non-dropping-particle":"","parse-names":false,"suffix":""},{"dropping-particle":"","family":"Glover","given":"B","non-dropping-particle":"","parse-names":false,"suffix":""}],"id":"ITEM-1","issued":{"date-parts":[["2011"]]},"publisher":"Texas A&amp;M Transportation Institute, College Station, Texas","title":"The Transportation Revenue Estimator and Needs Determination System (TRENDS) Model","type":"article"},"uris":["http://www.mendeley.com/documents/?uuid=33aab501-e08e-49fd-a0c6-345011a2eedb"]}],"mendeley":{"formattedCitation":"(&lt;i&gt;22&lt;/i&gt;)","plainTextFormattedCitation":"(22)","previouslyFormattedCitation":"(&lt;i&gt;22&lt;/i&gt;)"},"properties":{"noteIndex":0},"schema":"https://github.com/citation-style-language/schema/raw/master/csl-citation.json"}</w:instrText>
      </w:r>
      <w:r w:rsidR="00CD0565" w:rsidRPr="0012418B">
        <w:fldChar w:fldCharType="separate"/>
      </w:r>
      <w:r w:rsidR="00DD38A1" w:rsidRPr="00DD38A1">
        <w:rPr>
          <w:noProof/>
        </w:rPr>
        <w:t>(</w:t>
      </w:r>
      <w:r w:rsidR="00DD38A1" w:rsidRPr="00DD38A1">
        <w:rPr>
          <w:i/>
          <w:noProof/>
        </w:rPr>
        <w:t>22</w:t>
      </w:r>
      <w:r w:rsidR="00DD38A1" w:rsidRPr="00DD38A1">
        <w:rPr>
          <w:noProof/>
        </w:rPr>
        <w:t>)</w:t>
      </w:r>
      <w:r w:rsidR="00CD0565" w:rsidRPr="0012418B">
        <w:fldChar w:fldCharType="end"/>
      </w:r>
      <w:r w:rsidRPr="0012418B">
        <w:rPr>
          <w:rFonts w:eastAsia="Times New Roman" w:cs="Times New Roman"/>
        </w:rPr>
        <w:t>. Another state-specific tool is INDOT’s framework that projects revenues while considering evasion rates and implementation costs. The outcome is a comprehensive cash flow diagram presenting the estimated net revenue that each mechanism</w:t>
      </w:r>
      <w:r w:rsidR="00233CA9">
        <w:rPr>
          <w:rFonts w:eastAsia="Times New Roman" w:cs="Times New Roman"/>
        </w:rPr>
        <w:t xml:space="preserve"> </w:t>
      </w:r>
      <w:r w:rsidRPr="0012418B">
        <w:rPr>
          <w:rFonts w:eastAsia="Times New Roman" w:cs="Times New Roman"/>
        </w:rPr>
        <w:t>generate</w:t>
      </w:r>
      <w:r w:rsidR="00233CA9">
        <w:rPr>
          <w:rFonts w:eastAsia="Times New Roman" w:cs="Times New Roman"/>
        </w:rPr>
        <w:t>s</w:t>
      </w:r>
      <w:r w:rsidRPr="0012418B">
        <w:rPr>
          <w:rFonts w:eastAsia="Times New Roman" w:cs="Times New Roman"/>
        </w:rPr>
        <w:t xml:space="preserve">. The framework is publicly available as an Excel-based tool, allowing users to test different </w:t>
      </w:r>
      <w:r w:rsidRPr="0016455F">
        <w:rPr>
          <w:rFonts w:eastAsia="Times New Roman" w:cs="Times New Roman"/>
        </w:rPr>
        <w:t>scenarios and the effect</w:t>
      </w:r>
      <w:r w:rsidR="00BC5C5D" w:rsidRPr="0016455F">
        <w:rPr>
          <w:rFonts w:eastAsia="Times New Roman" w:cs="Times New Roman"/>
        </w:rPr>
        <w:t>s</w:t>
      </w:r>
      <w:r w:rsidRPr="0016455F">
        <w:rPr>
          <w:rFonts w:eastAsia="Times New Roman" w:cs="Times New Roman"/>
        </w:rPr>
        <w:t xml:space="preserve"> of the various inputs on revenues </w:t>
      </w:r>
      <w:r w:rsidRPr="0016455F">
        <w:fldChar w:fldCharType="begin" w:fldLock="1"/>
      </w:r>
      <w:r w:rsidR="00F462E4">
        <w:instrText>ADDIN CSL_CITATION {"citationItems":[{"id":"ITEM-1","itemData":{"URL":"https://www.in.gov/indot/3410.htm","accessed":{"date-parts":[["2021","7","13"]]},"author":[{"dropping-particle":"","family":"Cambridge Systematics","given":"Inc.","non-dropping-particle":"","parse-names":false,"suffix":""},{"dropping-particle":"","family":"D’Artagnan Consulting","given":"LLP","non-dropping-particle":"","parse-names":false,"suffix":""},{"dropping-particle":"","family":"Indiana University","given":"","non-dropping-particle":"","parse-names":false,"suffix":""}],"id":"ITEM-1","issued":{"date-parts":[["2015"]]},"title":"INDOT Revenue Cost Model","type":"webpage"},"uris":["http://www.mendeley.com/documents/?uuid=a6b3b709-b062-3ecd-b376-9731628f6255"]}],"mendeley":{"formattedCitation":"(&lt;i&gt;23&lt;/i&gt;)","plainTextFormattedCitation":"(23)","previouslyFormattedCitation":"(&lt;i&gt;23&lt;/i&gt;)"},"properties":{"noteIndex":0},"schema":"https://github.com/citation-style-language/schema/raw/master/csl-citation.json"}</w:instrText>
      </w:r>
      <w:r w:rsidRPr="0016455F">
        <w:fldChar w:fldCharType="separate"/>
      </w:r>
      <w:r w:rsidR="00DD38A1" w:rsidRPr="00DD38A1">
        <w:rPr>
          <w:noProof/>
        </w:rPr>
        <w:t>(</w:t>
      </w:r>
      <w:r w:rsidR="00DD38A1" w:rsidRPr="00DD38A1">
        <w:rPr>
          <w:i/>
          <w:noProof/>
        </w:rPr>
        <w:t>23</w:t>
      </w:r>
      <w:r w:rsidR="00DD38A1" w:rsidRPr="00DD38A1">
        <w:rPr>
          <w:noProof/>
        </w:rPr>
        <w:t>)</w:t>
      </w:r>
      <w:r w:rsidRPr="0016455F">
        <w:fldChar w:fldCharType="end"/>
      </w:r>
      <w:r w:rsidRPr="0016455F">
        <w:rPr>
          <w:rFonts w:eastAsia="Times New Roman" w:cs="Times New Roman"/>
        </w:rPr>
        <w:t xml:space="preserve">. While these three models provide good examples of revenue projection capabilities, they leave out an important piece of the puzzle: the ability to explore other criteria </w:t>
      </w:r>
      <w:r w:rsidR="00632BBC">
        <w:rPr>
          <w:rFonts w:eastAsia="Times New Roman" w:cs="Times New Roman"/>
        </w:rPr>
        <w:t>(</w:t>
      </w:r>
      <w:r w:rsidR="00BC5C5D" w:rsidRPr="0016455F">
        <w:rPr>
          <w:rFonts w:eastAsia="Times New Roman" w:cs="Times New Roman"/>
        </w:rPr>
        <w:t xml:space="preserve">such as </w:t>
      </w:r>
      <w:r w:rsidR="00337C10" w:rsidRPr="0016455F">
        <w:rPr>
          <w:rFonts w:eastAsia="Times New Roman" w:cs="Times New Roman"/>
        </w:rPr>
        <w:t xml:space="preserve">political viability, implementation, </w:t>
      </w:r>
      <w:r w:rsidR="00632BBC">
        <w:rPr>
          <w:rFonts w:eastAsia="Times New Roman" w:cs="Times New Roman"/>
        </w:rPr>
        <w:t xml:space="preserve">equity, </w:t>
      </w:r>
      <w:r w:rsidR="00337C10" w:rsidRPr="0016455F">
        <w:rPr>
          <w:rFonts w:eastAsia="Times New Roman" w:cs="Times New Roman"/>
        </w:rPr>
        <w:t>and revenue predictability</w:t>
      </w:r>
      <w:r w:rsidR="00632BBC">
        <w:rPr>
          <w:rFonts w:eastAsia="Times New Roman" w:cs="Times New Roman"/>
        </w:rPr>
        <w:t>)</w:t>
      </w:r>
      <w:r w:rsidR="00337C10" w:rsidRPr="0016455F">
        <w:rPr>
          <w:rFonts w:eastAsia="Times New Roman" w:cs="Times New Roman"/>
        </w:rPr>
        <w:t xml:space="preserve"> </w:t>
      </w:r>
      <w:r w:rsidRPr="0016455F">
        <w:rPr>
          <w:rFonts w:eastAsia="Times New Roman" w:cs="Times New Roman"/>
        </w:rPr>
        <w:t>that</w:t>
      </w:r>
      <w:r w:rsidRPr="0012418B">
        <w:rPr>
          <w:rFonts w:eastAsia="Times New Roman" w:cs="Times New Roman"/>
        </w:rPr>
        <w:t xml:space="preserve"> affect the viability of an alternative and </w:t>
      </w:r>
      <w:r w:rsidR="00283656">
        <w:rPr>
          <w:rFonts w:eastAsia="Times New Roman" w:cs="Times New Roman"/>
        </w:rPr>
        <w:t xml:space="preserve">develop a transparent methodology that </w:t>
      </w:r>
      <w:r w:rsidRPr="0012418B">
        <w:rPr>
          <w:rFonts w:eastAsia="Times New Roman" w:cs="Times New Roman"/>
        </w:rPr>
        <w:t>assign</w:t>
      </w:r>
      <w:r w:rsidR="00283656">
        <w:rPr>
          <w:rFonts w:eastAsia="Times New Roman" w:cs="Times New Roman"/>
        </w:rPr>
        <w:t>s</w:t>
      </w:r>
      <w:r w:rsidRPr="0012418B">
        <w:rPr>
          <w:rFonts w:eastAsia="Times New Roman" w:cs="Times New Roman"/>
        </w:rPr>
        <w:t xml:space="preserve"> </w:t>
      </w:r>
      <w:r w:rsidR="00283656">
        <w:rPr>
          <w:rFonts w:eastAsia="Times New Roman" w:cs="Times New Roman"/>
        </w:rPr>
        <w:t xml:space="preserve">relative </w:t>
      </w:r>
      <w:r w:rsidRPr="0012418B">
        <w:rPr>
          <w:rFonts w:eastAsia="Times New Roman" w:cs="Times New Roman"/>
        </w:rPr>
        <w:t xml:space="preserve">weights </w:t>
      </w:r>
      <w:r w:rsidR="00283656">
        <w:rPr>
          <w:rFonts w:eastAsia="Times New Roman" w:cs="Times New Roman"/>
        </w:rPr>
        <w:t xml:space="preserve">(priorities) </w:t>
      </w:r>
      <w:r w:rsidRPr="0012418B">
        <w:rPr>
          <w:rFonts w:eastAsia="Times New Roman" w:cs="Times New Roman"/>
        </w:rPr>
        <w:t xml:space="preserve">to the </w:t>
      </w:r>
      <w:r w:rsidR="00283656">
        <w:rPr>
          <w:rFonts w:eastAsia="Times New Roman" w:cs="Times New Roman"/>
        </w:rPr>
        <w:t xml:space="preserve">suite of </w:t>
      </w:r>
      <w:r w:rsidRPr="0012418B">
        <w:rPr>
          <w:rFonts w:eastAsia="Times New Roman" w:cs="Times New Roman"/>
        </w:rPr>
        <w:t>criteria based on importance</w:t>
      </w:r>
      <w:r w:rsidR="00283656">
        <w:rPr>
          <w:rFonts w:eastAsia="Times New Roman" w:cs="Times New Roman"/>
        </w:rPr>
        <w:t xml:space="preserve"> within the context of a multi-criteria decision mechanism</w:t>
      </w:r>
      <w:r w:rsidRPr="0012418B">
        <w:rPr>
          <w:rFonts w:eastAsia="Times New Roman" w:cs="Times New Roman"/>
        </w:rPr>
        <w:t>.</w:t>
      </w:r>
      <w:r w:rsidR="00283656">
        <w:rPr>
          <w:rFonts w:eastAsia="Times New Roman" w:cs="Times New Roman"/>
        </w:rPr>
        <w:t xml:space="preserve"> </w:t>
      </w:r>
    </w:p>
    <w:p w14:paraId="3B2DAA5A" w14:textId="3A774C4A" w:rsidR="00597788" w:rsidRDefault="0012418B" w:rsidP="00746F0F">
      <w:pPr>
        <w:spacing w:after="0" w:line="240" w:lineRule="auto"/>
        <w:ind w:firstLine="720"/>
        <w:jc w:val="both"/>
        <w:rPr>
          <w:rFonts w:eastAsia="Times New Roman" w:cs="Times New Roman"/>
        </w:rPr>
      </w:pPr>
      <w:r w:rsidRPr="0012418B">
        <w:t>Finally, we identified two studies that implement a decision-making framework through assigning importance weights to the criteria, instead of being solely based on numeric or verbal evaluation of each criterion</w:t>
      </w:r>
      <w:r w:rsidR="00B94A55">
        <w:t>.</w:t>
      </w:r>
      <w:r w:rsidR="00233CA9" w:rsidDel="00233CA9">
        <w:t xml:space="preserve"> </w:t>
      </w:r>
      <w:r w:rsidR="00597788">
        <w:t xml:space="preserve">The first </w:t>
      </w:r>
      <w:r w:rsidR="00597788">
        <w:rPr>
          <w:rFonts w:eastAsia="Times New Roman" w:cs="Times New Roman"/>
        </w:rPr>
        <w:t xml:space="preserve">is the </w:t>
      </w:r>
      <w:r w:rsidR="00597788" w:rsidRPr="0012418B">
        <w:rPr>
          <w:rFonts w:eastAsia="Times New Roman" w:cs="Times New Roman"/>
        </w:rPr>
        <w:t xml:space="preserve">numeric scoring </w:t>
      </w:r>
      <w:r w:rsidR="00597788">
        <w:rPr>
          <w:rFonts w:eastAsia="Times New Roman" w:cs="Times New Roman"/>
        </w:rPr>
        <w:t xml:space="preserve">approach proposed by </w:t>
      </w:r>
      <w:r w:rsidR="00597788" w:rsidRPr="0012418B">
        <w:rPr>
          <w:rFonts w:eastAsia="Times New Roman" w:cs="Times New Roman"/>
        </w:rPr>
        <w:t xml:space="preserve">the National Surface Transportation </w:t>
      </w:r>
      <w:r w:rsidR="00597788" w:rsidRPr="0012418B">
        <w:rPr>
          <w:rFonts w:eastAsia="Times New Roman" w:cs="Times New Roman"/>
        </w:rPr>
        <w:lastRenderedPageBreak/>
        <w:t>Infrastructure Financing Commission (NSTIFC) in 2009. The committee developed guiding principles to evaluate future funding</w:t>
      </w:r>
      <w:r w:rsidR="00807DF8">
        <w:rPr>
          <w:rFonts w:eastAsia="Times New Roman" w:cs="Times New Roman"/>
        </w:rPr>
        <w:t>/</w:t>
      </w:r>
      <w:r w:rsidR="00597788" w:rsidRPr="0012418B">
        <w:rPr>
          <w:rFonts w:eastAsia="Times New Roman" w:cs="Times New Roman"/>
        </w:rPr>
        <w:t>financing mechanisms based on five criteria categories</w:t>
      </w:r>
      <w:r w:rsidR="00B94A55">
        <w:rPr>
          <w:rFonts w:eastAsia="Times New Roman" w:cs="Times New Roman"/>
        </w:rPr>
        <w:t xml:space="preserve"> and </w:t>
      </w:r>
      <w:r w:rsidR="00597788" w:rsidRPr="0012418B">
        <w:rPr>
          <w:rFonts w:eastAsia="Times New Roman" w:cs="Times New Roman"/>
        </w:rPr>
        <w:t xml:space="preserve">relevant sub-criteria: </w:t>
      </w:r>
    </w:p>
    <w:p w14:paraId="0DB6865B" w14:textId="77777777" w:rsidR="00B818A5" w:rsidRPr="0012418B" w:rsidRDefault="00B818A5" w:rsidP="004D0A64">
      <w:pPr>
        <w:spacing w:after="0" w:line="240" w:lineRule="auto"/>
        <w:jc w:val="both"/>
        <w:rPr>
          <w:rFonts w:eastAsia="Times New Roman" w:cs="Times New Roman"/>
        </w:rPr>
      </w:pPr>
    </w:p>
    <w:p w14:paraId="61ED0F77" w14:textId="77777777" w:rsidR="00597788" w:rsidRPr="0012418B" w:rsidRDefault="00597788" w:rsidP="004D0A64">
      <w:pPr>
        <w:numPr>
          <w:ilvl w:val="0"/>
          <w:numId w:val="2"/>
        </w:numPr>
        <w:spacing w:after="0" w:line="240" w:lineRule="auto"/>
        <w:ind w:left="810"/>
        <w:contextualSpacing/>
        <w:jc w:val="both"/>
        <w:rPr>
          <w:rFonts w:eastAsia="Times New Roman" w:cs="Times New Roman"/>
        </w:rPr>
      </w:pPr>
      <w:r w:rsidRPr="0012418B">
        <w:rPr>
          <w:rFonts w:eastAsia="Times New Roman" w:cs="Times New Roman"/>
        </w:rPr>
        <w:t>Funding Stream Considerations (the overall revenue-raising potential, sustainability, and flexibility of the funding approach);</w:t>
      </w:r>
    </w:p>
    <w:p w14:paraId="5E774117" w14:textId="77777777" w:rsidR="00597788" w:rsidRPr="0012418B" w:rsidRDefault="00597788" w:rsidP="004D0A64">
      <w:pPr>
        <w:numPr>
          <w:ilvl w:val="0"/>
          <w:numId w:val="2"/>
        </w:numPr>
        <w:spacing w:after="0" w:line="240" w:lineRule="auto"/>
        <w:ind w:left="810"/>
        <w:contextualSpacing/>
        <w:jc w:val="both"/>
        <w:rPr>
          <w:rFonts w:eastAsia="Times New Roman" w:cs="Times New Roman"/>
        </w:rPr>
      </w:pPr>
      <w:r w:rsidRPr="0012418B">
        <w:rPr>
          <w:rFonts w:eastAsia="Times New Roman" w:cs="Times New Roman"/>
        </w:rPr>
        <w:t>Implementation and Administration Considerations (the political and legal viability of a mechanism, the ease and cost of initial implementation, and enforcement requirements);</w:t>
      </w:r>
    </w:p>
    <w:p w14:paraId="2008E8AC" w14:textId="77777777" w:rsidR="00597788" w:rsidRPr="0012418B" w:rsidRDefault="00597788" w:rsidP="004D0A64">
      <w:pPr>
        <w:numPr>
          <w:ilvl w:val="0"/>
          <w:numId w:val="2"/>
        </w:numPr>
        <w:spacing w:after="0" w:line="240" w:lineRule="auto"/>
        <w:ind w:left="810"/>
        <w:contextualSpacing/>
        <w:jc w:val="both"/>
        <w:rPr>
          <w:rFonts w:eastAsia="Times New Roman" w:cs="Times New Roman"/>
        </w:rPr>
      </w:pPr>
      <w:r w:rsidRPr="0012418B">
        <w:rPr>
          <w:rFonts w:eastAsia="Times New Roman" w:cs="Times New Roman"/>
        </w:rPr>
        <w:t>Economic Efficiency and Impact Considerations (the ability of the mechanism to promote efficient use of the transportation system);</w:t>
      </w:r>
    </w:p>
    <w:p w14:paraId="10D2D5BF" w14:textId="5C163B7C" w:rsidR="00597788" w:rsidRPr="0012418B" w:rsidRDefault="00597788" w:rsidP="004D0A64">
      <w:pPr>
        <w:numPr>
          <w:ilvl w:val="0"/>
          <w:numId w:val="2"/>
        </w:numPr>
        <w:spacing w:after="0" w:line="240" w:lineRule="auto"/>
        <w:ind w:left="810"/>
        <w:contextualSpacing/>
        <w:jc w:val="both"/>
        <w:rPr>
          <w:rFonts w:eastAsia="Times New Roman" w:cs="Times New Roman"/>
        </w:rPr>
      </w:pPr>
      <w:r w:rsidRPr="0012418B">
        <w:rPr>
          <w:rFonts w:eastAsia="Times New Roman" w:cs="Times New Roman"/>
        </w:rPr>
        <w:t>Equity Considerations (the user</w:t>
      </w:r>
      <w:r w:rsidR="00B94A55">
        <w:rPr>
          <w:rFonts w:eastAsia="Times New Roman" w:cs="Times New Roman"/>
        </w:rPr>
        <w:t>-</w:t>
      </w:r>
      <w:r w:rsidRPr="0012418B">
        <w:rPr>
          <w:rFonts w:eastAsia="Times New Roman" w:cs="Times New Roman"/>
        </w:rPr>
        <w:t>pay principle and equity across groups); and</w:t>
      </w:r>
    </w:p>
    <w:p w14:paraId="035EA9E7" w14:textId="75039216" w:rsidR="00597788" w:rsidRPr="00B818A5" w:rsidRDefault="00597788" w:rsidP="004D0A64">
      <w:pPr>
        <w:numPr>
          <w:ilvl w:val="0"/>
          <w:numId w:val="2"/>
        </w:numPr>
        <w:spacing w:after="0" w:line="240" w:lineRule="auto"/>
        <w:ind w:left="810"/>
        <w:contextualSpacing/>
        <w:jc w:val="both"/>
        <w:rPr>
          <w:rFonts w:eastAsia="Times New Roman" w:cs="Times New Roman"/>
        </w:rPr>
      </w:pPr>
      <w:r w:rsidRPr="0012418B">
        <w:rPr>
          <w:rFonts w:eastAsia="Times New Roman" w:cs="Times New Roman"/>
        </w:rPr>
        <w:t xml:space="preserve">Applicability to Other Levels of Government (the applicability of particular funding methods to the federal, state, and local government levels) </w:t>
      </w:r>
      <w:r w:rsidRPr="0012418B">
        <w:rPr>
          <w:rFonts w:eastAsia="Times New Roman" w:cs="Times New Roman"/>
        </w:rPr>
        <w:fldChar w:fldCharType="begin" w:fldLock="1"/>
      </w:r>
      <w:r w:rsidR="00F462E4">
        <w:rPr>
          <w:rFonts w:eastAsia="Times New Roman" w:cs="Times New Roman"/>
        </w:rPr>
        <w:instrText>ADDIN CSL_CITATION {"citationItems":[{"id":"ITEM-1","itemData":{"author":[{"dropping-particle":"","family":"Atkinson","given":"Robert D","non-dropping-particle":"","parse-names":false,"suffix":""},{"dropping-particle":"","family":"Commission","given":"National Surface Transportation Infrastructure Financing","non-dropping-particle":"","parse-names":false,"suffix":""}],"id":"ITEM-1","issued":{"date-parts":[["2009"]]},"publisher":"National Surface Transportation Infrastructure Financing Commission (US)","title":"Paying our way: a new framework for transportation finance, final report, February 2009.","type":"article-journal"},"uris":["http://www.mendeley.com/documents/?uuid=4ec2f758-4ee0-4dd4-9cbf-e7643050e12b"]}],"mendeley":{"formattedCitation":"(&lt;i&gt;24&lt;/i&gt;)","plainTextFormattedCitation":"(24)","previouslyFormattedCitation":"(&lt;i&gt;24&lt;/i&gt;)"},"properties":{"noteIndex":0},"schema":"https://github.com/citation-style-language/schema/raw/master/csl-citation.json"}</w:instrText>
      </w:r>
      <w:r w:rsidRPr="0012418B">
        <w:rPr>
          <w:rFonts w:eastAsia="Times New Roman" w:cs="Times New Roman"/>
        </w:rPr>
        <w:fldChar w:fldCharType="separate"/>
      </w:r>
      <w:r w:rsidR="00DD38A1" w:rsidRPr="00DD38A1">
        <w:rPr>
          <w:rFonts w:eastAsia="Times New Roman" w:cs="Times New Roman"/>
          <w:noProof/>
        </w:rPr>
        <w:t>(</w:t>
      </w:r>
      <w:r w:rsidR="00DD38A1" w:rsidRPr="00DD38A1">
        <w:rPr>
          <w:rFonts w:eastAsia="Times New Roman" w:cs="Times New Roman"/>
          <w:i/>
          <w:noProof/>
        </w:rPr>
        <w:t>24</w:t>
      </w:r>
      <w:r w:rsidR="00DD38A1" w:rsidRPr="00DD38A1">
        <w:rPr>
          <w:rFonts w:eastAsia="Times New Roman" w:cs="Times New Roman"/>
          <w:noProof/>
        </w:rPr>
        <w:t>)</w:t>
      </w:r>
      <w:r w:rsidRPr="0012418B">
        <w:rPr>
          <w:rFonts w:eastAsia="Times New Roman" w:cs="Times New Roman"/>
        </w:rPr>
        <w:fldChar w:fldCharType="end"/>
      </w:r>
      <w:r w:rsidRPr="0012418B">
        <w:rPr>
          <w:rFonts w:eastAsia="Times New Roman" w:cs="Times New Roman"/>
          <w:color w:val="000000" w:themeColor="text1"/>
        </w:rPr>
        <w:t>.</w:t>
      </w:r>
    </w:p>
    <w:p w14:paraId="25083D18" w14:textId="77777777" w:rsidR="00B818A5" w:rsidRPr="0012418B" w:rsidRDefault="00B818A5" w:rsidP="004D0A64">
      <w:pPr>
        <w:spacing w:after="0" w:line="240" w:lineRule="auto"/>
        <w:ind w:left="810"/>
        <w:contextualSpacing/>
        <w:jc w:val="both"/>
        <w:rPr>
          <w:rFonts w:eastAsia="Times New Roman" w:cs="Times New Roman"/>
        </w:rPr>
      </w:pPr>
    </w:p>
    <w:p w14:paraId="588C8579" w14:textId="1108627F" w:rsidR="00632BBC" w:rsidRDefault="0012418B" w:rsidP="004D0A64">
      <w:pPr>
        <w:spacing w:after="0" w:line="240" w:lineRule="auto"/>
        <w:jc w:val="both"/>
      </w:pPr>
      <w:r w:rsidRPr="0012418B">
        <w:t>The</w:t>
      </w:r>
      <w:r w:rsidR="00597788">
        <w:t xml:space="preserve"> </w:t>
      </w:r>
      <w:r w:rsidRPr="0012418B">
        <w:t xml:space="preserve">study </w:t>
      </w:r>
      <w:r w:rsidR="00597788">
        <w:t xml:space="preserve">then </w:t>
      </w:r>
      <w:r w:rsidRPr="0012418B">
        <w:t>assign</w:t>
      </w:r>
      <w:r w:rsidR="00597788">
        <w:t>ed</w:t>
      </w:r>
      <w:r w:rsidRPr="0012418B">
        <w:t xml:space="preserve"> quantitative weights to the criteria base</w:t>
      </w:r>
      <w:r w:rsidR="00283656">
        <w:t>d</w:t>
      </w:r>
      <w:r w:rsidRPr="0012418B">
        <w:t xml:space="preserve"> on its members’ opinions about the relative importance of individual criteria </w:t>
      </w:r>
      <w:r w:rsidRPr="0012418B">
        <w:fldChar w:fldCharType="begin" w:fldLock="1"/>
      </w:r>
      <w:r w:rsidR="00F462E4">
        <w:instrText>ADDIN CSL_CITATION {"citationItems":[{"id":"ITEM-1","itemData":{"author":[{"dropping-particle":"","family":"Atkinson","given":"Robert D","non-dropping-particle":"","parse-names":false,"suffix":""},{"dropping-particle":"","family":"Commission","given":"National Surface Transportation Infrastructure Financing","non-dropping-particle":"","parse-names":false,"suffix":""}],"id":"ITEM-1","issued":{"date-parts":[["2009"]]},"publisher":"National Surface Transportation Infrastructure Financing Commission (US)","title":"Paying our way: a new framework for transportation finance, final report, February 2009.","type":"article-journal"},"uris":["http://www.mendeley.com/documents/?uuid=4ec2f758-4ee0-4dd4-9cbf-e7643050e12b"]}],"mendeley":{"formattedCitation":"(&lt;i&gt;24&lt;/i&gt;)","plainTextFormattedCitation":"(24)","previouslyFormattedCitation":"(&lt;i&gt;24&lt;/i&gt;)"},"properties":{"noteIndex":0},"schema":"https://github.com/citation-style-language/schema/raw/master/csl-citation.json"}</w:instrText>
      </w:r>
      <w:r w:rsidRPr="0012418B">
        <w:fldChar w:fldCharType="separate"/>
      </w:r>
      <w:r w:rsidR="00DD38A1" w:rsidRPr="00DD38A1">
        <w:rPr>
          <w:noProof/>
        </w:rPr>
        <w:t>(</w:t>
      </w:r>
      <w:r w:rsidR="00DD38A1" w:rsidRPr="00DD38A1">
        <w:rPr>
          <w:i/>
          <w:noProof/>
        </w:rPr>
        <w:t>24</w:t>
      </w:r>
      <w:r w:rsidR="00DD38A1" w:rsidRPr="00DD38A1">
        <w:rPr>
          <w:noProof/>
        </w:rPr>
        <w:t>)</w:t>
      </w:r>
      <w:r w:rsidRPr="0012418B">
        <w:fldChar w:fldCharType="end"/>
      </w:r>
      <w:r w:rsidRPr="0012418B">
        <w:t xml:space="preserve">. Criteria related to revenue stream considerations had the </w:t>
      </w:r>
      <w:r w:rsidR="00F94C4C">
        <w:t>highest</w:t>
      </w:r>
      <w:r w:rsidRPr="0012418B">
        <w:t xml:space="preserve"> importance and represented 31% of the weight. This was followed by implementation considerations weighing 27.5%, economic efficiency and impact representing 24.5% of the weight, and equity considerations, which were given 17% of the weight </w:t>
      </w:r>
      <w:r w:rsidRPr="0012418B">
        <w:fldChar w:fldCharType="begin" w:fldLock="1"/>
      </w:r>
      <w:r w:rsidR="00F462E4">
        <w:instrText>ADDIN CSL_CITATION {"citationItems":[{"id":"ITEM-1","itemData":{"author":[{"dropping-particle":"","family":"Atkinson","given":"Robert D","non-dropping-particle":"","parse-names":false,"suffix":""},{"dropping-particle":"","family":"Commission","given":"National Surface Transportation Infrastructure Financing","non-dropping-particle":"","parse-names":false,"suffix":""}],"id":"ITEM-1","issued":{"date-parts":[["2009"]]},"publisher":"National Surface Transportation Infrastructure Financing Commission (US)","title":"Paying our way: a new framework for transportation finance, final report, February 2009.","type":"article-journal"},"uris":["http://www.mendeley.com/documents/?uuid=4ec2f758-4ee0-4dd4-9cbf-e7643050e12b"]}],"mendeley":{"formattedCitation":"(&lt;i&gt;24&lt;/i&gt;)","plainTextFormattedCitation":"(24)","previouslyFormattedCitation":"(&lt;i&gt;24&lt;/i&gt;)"},"properties":{"noteIndex":0},"schema":"https://github.com/citation-style-language/schema/raw/master/csl-citation.json"}</w:instrText>
      </w:r>
      <w:r w:rsidRPr="0012418B">
        <w:fldChar w:fldCharType="separate"/>
      </w:r>
      <w:r w:rsidR="00DD38A1" w:rsidRPr="00DD38A1">
        <w:rPr>
          <w:noProof/>
        </w:rPr>
        <w:t>(</w:t>
      </w:r>
      <w:r w:rsidR="00DD38A1" w:rsidRPr="00DD38A1">
        <w:rPr>
          <w:i/>
          <w:noProof/>
        </w:rPr>
        <w:t>24</w:t>
      </w:r>
      <w:r w:rsidR="00DD38A1" w:rsidRPr="00DD38A1">
        <w:rPr>
          <w:noProof/>
        </w:rPr>
        <w:t>)</w:t>
      </w:r>
      <w:r w:rsidRPr="0012418B">
        <w:fldChar w:fldCharType="end"/>
      </w:r>
      <w:r w:rsidRPr="0012418B">
        <w:t xml:space="preserve">. </w:t>
      </w:r>
      <w:proofErr w:type="spellStart"/>
      <w:r w:rsidRPr="0012418B">
        <w:t>Pulipati</w:t>
      </w:r>
      <w:proofErr w:type="spellEnd"/>
      <w:r w:rsidRPr="0012418B">
        <w:t xml:space="preserve"> et al.</w:t>
      </w:r>
      <w:r w:rsidR="00597788">
        <w:t>, the second study to assign importance weights,</w:t>
      </w:r>
      <w:r w:rsidRPr="0012418B">
        <w:t xml:space="preserve"> also conducted a multi-criteria analysis to select transportation revenue strategies for Texas </w:t>
      </w:r>
      <w:r w:rsidRPr="0012418B">
        <w:rPr>
          <w:b/>
          <w:bCs/>
        </w:rPr>
        <w:fldChar w:fldCharType="begin" w:fldLock="1"/>
      </w:r>
      <w:r w:rsidR="00F462E4">
        <w:rPr>
          <w:b/>
          <w:bCs/>
        </w:rPr>
        <w:instrText>ADDIN CSL_CITATION {"citationItems":[{"id":"ITEM-1","itemData":{"DOI":"https://doi.org/10.1016/j.cstp.2017.06.002","ISSN":"2213-624X","abstract":"Numerous studies have investigated the state of transportation funding in US states and forecasted a significant funding deficiency. Reasons for this include the lack of political will to increase the rates of fuel taxes, the loss in purchasing power of the fuel tax due to inflation, and the reduction in revenue due to increased use of alternative fuel vehicles. Possible options to generate the additional revenue to fill this funding gap range from modifying existing taxes and fees to implementing new revenue sources. However, determining what to do and offering policy recommendations can be challenging and may vary from jurisdiction to jurisdiction. The authors’ critical review of the methods used by earlier studies that evaluate revenue generation strategies at the state level reveals a lack of systematic analysis. In response, the authors propose the use of a systematic multi-criteria analysis (MCA) as a better decision support tool. The MCA is argued to be an improvement over current methods because the best funding strategy depends not only on revenue generation but also on other parameters such as fairness and ease of implementation. To support the argument, the authors conduct a comprehensive multi-criteria evaluation of transportation revenue generation alternatives for the State of Texas. The authors’ criteria system provides a better platform for including the priorities of stakeholders and policy makers at different levels. Including an outranking method such as PROMETHEE and a scenario analysis, the evaluation becomes more objective and more transparent. This enables the decision makers to more effectively compare the competing objectives of different alternatives. The authors discuss the drawbacks of the recent transportation funding decisions made by the Texas Legislature and highlight how the systematic evaluation can improve decision making. The authors recommend that states follow the systematic evaluation of funding options described in this paper, which can provide policy makers and the public a better understanding of the pros and cons of the funding options thereby helping them to select the most suitable funding strategy.","author":[{"dropping-particle":"","family":"Pulipati","given":"Sasanka Bhushan","non-dropping-particle":"","parse-names":false,"suffix":""},{"dropping-particle":"","family":"Mattingly","given":"Stephen P","non-dropping-particle":"","parse-names":false,"suffix":""},{"dropping-particle":"","family":"Casey","given":"Colleen","non-dropping-particle":"","parse-names":false,"suffix":""}],"container-title":"Case Studies on Transport Policy","id":"ITEM-1","issue":"3","issued":{"date-parts":[["2017"]]},"page":"467-482","title":"Evaluating state level transportation revenue alternatives","type":"article-journal","volume":"5"},"uris":["http://www.mendeley.com/documents/?uuid=ce5c021c-e5b3-493f-bc63-a4fd94d70f59"]}],"mendeley":{"formattedCitation":"(&lt;i&gt;13&lt;/i&gt;)","plainTextFormattedCitation":"(13)","previouslyFormattedCitation":"(&lt;i&gt;13&lt;/i&gt;)"},"properties":{"noteIndex":0},"schema":"https://github.com/citation-style-language/schema/raw/master/csl-citation.json"}</w:instrText>
      </w:r>
      <w:r w:rsidRPr="0012418B">
        <w:rPr>
          <w:b/>
          <w:bCs/>
        </w:rPr>
        <w:fldChar w:fldCharType="separate"/>
      </w:r>
      <w:r w:rsidR="00DD38A1" w:rsidRPr="00DD38A1">
        <w:rPr>
          <w:noProof/>
        </w:rPr>
        <w:t>(</w:t>
      </w:r>
      <w:r w:rsidR="00DD38A1" w:rsidRPr="00DD38A1">
        <w:rPr>
          <w:i/>
          <w:noProof/>
        </w:rPr>
        <w:t>13</w:t>
      </w:r>
      <w:r w:rsidR="00DD38A1" w:rsidRPr="00DD38A1">
        <w:rPr>
          <w:noProof/>
        </w:rPr>
        <w:t>)</w:t>
      </w:r>
      <w:r w:rsidRPr="0012418B">
        <w:rPr>
          <w:b/>
          <w:bCs/>
        </w:rPr>
        <w:fldChar w:fldCharType="end"/>
      </w:r>
      <w:r w:rsidRPr="0012418B">
        <w:t>.</w:t>
      </w:r>
      <w:r w:rsidRPr="0012418B">
        <w:rPr>
          <w:b/>
          <w:bCs/>
        </w:rPr>
        <w:t xml:space="preserve"> </w:t>
      </w:r>
      <w:r w:rsidRPr="0012418B">
        <w:t xml:space="preserve">This study is the </w:t>
      </w:r>
      <w:r w:rsidRPr="0012418B">
        <w:rPr>
          <w:color w:val="000000" w:themeColor="text1"/>
        </w:rPr>
        <w:t xml:space="preserve">closest to our current effort since the </w:t>
      </w:r>
      <w:r w:rsidRPr="0012418B">
        <w:t>researchers use</w:t>
      </w:r>
      <w:r w:rsidR="00EB5157">
        <w:t>d</w:t>
      </w:r>
      <w:r w:rsidRPr="0012418B">
        <w:t xml:space="preserve"> a multi-criteria decision analysis (MCDA) method called “PROMETHEE” to rank funding alternatives based on criteria weights elicited through Delphi surveys targeting subject matter experts. Compared to the NSTIFC study, the weights corresponding to revenue generation and ease of implementation criteria were reduced to 24% and 18%, respectively. On the other hand, the study gave a higher weight of 25% to equity considerations, as compared to the 17% assigned by the NSTIFC study. Finally, the authors conclude that such a systematic approach can improve the decisions of policymakers and they recommend this methodology to other DOTs </w:t>
      </w:r>
      <w:r w:rsidRPr="0012418B">
        <w:fldChar w:fldCharType="begin" w:fldLock="1"/>
      </w:r>
      <w:r w:rsidR="00F462E4">
        <w:instrText>ADDIN CSL_CITATION {"citationItems":[{"id":"ITEM-1","itemData":{"DOI":"https://doi.org/10.1016/j.cstp.2017.06.002","ISSN":"2213-624X","abstract":"Numerous studies have investigated the state of transportation funding in US states and forecasted a significant funding deficiency. Reasons for this include the lack of political will to increase the rates of fuel taxes, the loss in purchasing power of the fuel tax due to inflation, and the reduction in revenue due to increased use of alternative fuel vehicles. Possible options to generate the additional revenue to fill this funding gap range from modifying existing taxes and fees to implementing new revenue sources. However, determining what to do and offering policy recommendations can be challenging and may vary from jurisdiction to jurisdiction. The authors’ critical review of the methods used by earlier studies that evaluate revenue generation strategies at the state level reveals a lack of systematic analysis. In response, the authors propose the use of a systematic multi-criteria analysis (MCA) as a better decision support tool. The MCA is argued to be an improvement over current methods because the best funding strategy depends not only on revenue generation but also on other parameters such as fairness and ease of implementation. To support the argument, the authors conduct a comprehensive multi-criteria evaluation of transportation revenue generation alternatives for the State of Texas. The authors’ criteria system provides a better platform for including the priorities of stakeholders and policy makers at different levels. Including an outranking method such as PROMETHEE and a scenario analysis, the evaluation becomes more objective and more transparent. This enables the decision makers to more effectively compare the competing objectives of different alternatives. The authors discuss the drawbacks of the recent transportation funding decisions made by the Texas Legislature and highlight how the systematic evaluation can improve decision making. The authors recommend that states follow the systematic evaluation of funding options described in this paper, which can provide policy makers and the public a better understanding of the pros and cons of the funding options thereby helping them to select the most suitable funding strategy.","author":[{"dropping-particle":"","family":"Pulipati","given":"Sasanka Bhushan","non-dropping-particle":"","parse-names":false,"suffix":""},{"dropping-particle":"","family":"Mattingly","given":"Stephen P","non-dropping-particle":"","parse-names":false,"suffix":""},{"dropping-particle":"","family":"Casey","given":"Colleen","non-dropping-particle":"","parse-names":false,"suffix":""}],"container-title":"Case Studies on Transport Policy","id":"ITEM-1","issue":"3","issued":{"date-parts":[["2017"]]},"page":"467-482","title":"Evaluating state level transportation revenue alternatives","type":"article-journal","volume":"5"},"uris":["http://www.mendeley.com/documents/?uuid=ce5c021c-e5b3-493f-bc63-a4fd94d70f59"]}],"mendeley":{"formattedCitation":"(&lt;i&gt;13&lt;/i&gt;)","plainTextFormattedCitation":"(13)","previouslyFormattedCitation":"(&lt;i&gt;13&lt;/i&gt;)"},"properties":{"noteIndex":0},"schema":"https://github.com/citation-style-language/schema/raw/master/csl-citation.json"}</w:instrText>
      </w:r>
      <w:r w:rsidRPr="0012418B">
        <w:fldChar w:fldCharType="separate"/>
      </w:r>
      <w:r w:rsidR="00DD38A1" w:rsidRPr="00DD38A1">
        <w:rPr>
          <w:noProof/>
        </w:rPr>
        <w:t>(</w:t>
      </w:r>
      <w:r w:rsidR="00DD38A1" w:rsidRPr="00DD38A1">
        <w:rPr>
          <w:i/>
          <w:noProof/>
        </w:rPr>
        <w:t>13</w:t>
      </w:r>
      <w:r w:rsidR="00DD38A1" w:rsidRPr="00DD38A1">
        <w:rPr>
          <w:noProof/>
        </w:rPr>
        <w:t>)</w:t>
      </w:r>
      <w:r w:rsidRPr="0012418B">
        <w:fldChar w:fldCharType="end"/>
      </w:r>
      <w:r w:rsidRPr="0012418B">
        <w:t xml:space="preserve">. </w:t>
      </w:r>
    </w:p>
    <w:p w14:paraId="0C4D3039" w14:textId="31376350" w:rsidR="0012418B" w:rsidRDefault="0012418B" w:rsidP="004D0A64">
      <w:pPr>
        <w:spacing w:after="0" w:line="240" w:lineRule="auto"/>
        <w:ind w:firstLine="720"/>
        <w:jc w:val="both"/>
        <w:rPr>
          <w:noProof/>
        </w:rPr>
      </w:pPr>
      <w:r w:rsidRPr="0012418B">
        <w:t xml:space="preserve">Most of the criteria compete for significance and therefore necessitate the establishment of priorities among state officials to </w:t>
      </w:r>
      <w:r w:rsidR="00C06C97">
        <w:t>better</w:t>
      </w:r>
      <w:r w:rsidRPr="0012418B">
        <w:t xml:space="preserve"> inform their decision</w:t>
      </w:r>
      <w:r w:rsidR="00C06C97">
        <w:t>s</w:t>
      </w:r>
      <w:r w:rsidRPr="0012418B">
        <w:t xml:space="preserve"> </w:t>
      </w:r>
      <w:r w:rsidRPr="0012418B">
        <w:fldChar w:fldCharType="begin" w:fldLock="1"/>
      </w:r>
      <w:r w:rsidR="00F462E4">
        <w:instrText>ADDIN CSL_CITATION {"citationItems":[{"id":"ITEM-1","itemData":{"author":[{"dropping-particle":"","family":"Atkinson","given":"Robert D","non-dropping-particle":"","parse-names":false,"suffix":""},{"dropping-particle":"","family":"Commission","given":"National Surface Transportation Infrastructure Financing","non-dropping-particle":"","parse-names":false,"suffix":""}],"id":"ITEM-1","issued":{"date-parts":[["2009"]]},"publisher":"National Surface Transportation Infrastructure Financing Commission (US)","title":"Paying our way: a new framework for transportation finance, final report, February 2009.","type":"article-journal"},"uris":["http://www.mendeley.com/documents/?uuid=4ec2f758-4ee0-4dd4-9cbf-e7643050e12b"]},{"id":"ITEM-2","itemData":{"DOI":"https://doi.org/10.1016/j.cstp.2017.06.002","ISSN":"2213-624X","abstract":"Numerous studies have investigated the state of transportation funding in US states and forecasted a significant funding deficiency. Reasons for this include the lack of political will to increase the rates of fuel taxes, the loss in purchasing power of the fuel tax due to inflation, and the reduction in revenue due to increased use of alternative fuel vehicles. Possible options to generate the additional revenue to fill this funding gap range from modifying existing taxes and fees to implementing new revenue sources. However, determining what to do and offering policy recommendations can be challenging and may vary from jurisdiction to jurisdiction. The authors’ critical review of the methods used by earlier studies that evaluate revenue generation strategies at the state level reveals a lack of systematic analysis. In response, the authors propose the use of a systematic multi-criteria analysis (MCA) as a better decision support tool. The MCA is argued to be an improvement over current methods because the best funding strategy depends not only on revenue generation but also on other parameters such as fairness and ease of implementation. To support the argument, the authors conduct a comprehensive multi-criteria evaluation of transportation revenue generation alternatives for the State of Texas. The authors’ criteria system provides a better platform for including the priorities of stakeholders and policy makers at different levels. Including an outranking method such as PROMETHEE and a scenario analysis, the evaluation becomes more objective and more transparent. This enables the decision makers to more effectively compare the competing objectives of different alternatives. The authors discuss the drawbacks of the recent transportation funding decisions made by the Texas Legislature and highlight how the systematic evaluation can improve decision making. The authors recommend that states follow the systematic evaluation of funding options described in this paper, which can provide policy makers and the public a better understanding of the pros and cons of the funding options thereby helping them to select the most suitable funding strategy.","author":[{"dropping-particle":"","family":"Pulipati","given":"Sasanka Bhushan","non-dropping-particle":"","parse-names":false,"suffix":""},{"dropping-particle":"","family":"Mattingly","given":"Stephen P","non-dropping-particle":"","parse-names":false,"suffix":""},{"dropping-particle":"","family":"Casey","given":"Colleen","non-dropping-particle":"","parse-names":false,"suffix":""}],"container-title":"Case Studies on Transport Policy","id":"ITEM-2","issue":"3","issued":{"date-parts":[["2017"]]},"page":"467-482","title":"Evaluating state level transportation revenue alternatives","type":"article-journal","volume":"5"},"uris":["http://www.mendeley.com/documents/?uuid=ce5c021c-e5b3-493f-bc63-a4fd94d70f59"]}],"mendeley":{"formattedCitation":"(&lt;i&gt;13&lt;/i&gt;, &lt;i&gt;24&lt;/i&gt;)","plainTextFormattedCitation":"(13, 24)","previouslyFormattedCitation":"(&lt;i&gt;13&lt;/i&gt;, &lt;i&gt;24&lt;/i&gt;)"},"properties":{"noteIndex":0},"schema":"https://github.com/citation-style-language/schema/raw/master/csl-citation.json"}</w:instrText>
      </w:r>
      <w:r w:rsidRPr="0012418B">
        <w:fldChar w:fldCharType="separate"/>
      </w:r>
      <w:r w:rsidR="00DD38A1" w:rsidRPr="00DD38A1">
        <w:rPr>
          <w:noProof/>
        </w:rPr>
        <w:t>(</w:t>
      </w:r>
      <w:r w:rsidR="00DD38A1" w:rsidRPr="00DD38A1">
        <w:rPr>
          <w:i/>
          <w:noProof/>
        </w:rPr>
        <w:t>13</w:t>
      </w:r>
      <w:r w:rsidR="00DD38A1" w:rsidRPr="00DD38A1">
        <w:rPr>
          <w:noProof/>
        </w:rPr>
        <w:t xml:space="preserve">, </w:t>
      </w:r>
      <w:r w:rsidR="00DD38A1" w:rsidRPr="00DD38A1">
        <w:rPr>
          <w:i/>
          <w:noProof/>
        </w:rPr>
        <w:t>24</w:t>
      </w:r>
      <w:r w:rsidR="00DD38A1" w:rsidRPr="00DD38A1">
        <w:rPr>
          <w:noProof/>
        </w:rPr>
        <w:t>)</w:t>
      </w:r>
      <w:r w:rsidRPr="0012418B">
        <w:fldChar w:fldCharType="end"/>
      </w:r>
      <w:r w:rsidRPr="0012418B">
        <w:rPr>
          <w:noProof/>
        </w:rPr>
        <w:t>. This concept is further researched</w:t>
      </w:r>
      <w:r w:rsidR="0016455F">
        <w:rPr>
          <w:noProof/>
        </w:rPr>
        <w:t xml:space="preserve"> within</w:t>
      </w:r>
      <w:r w:rsidRPr="0012418B">
        <w:rPr>
          <w:noProof/>
        </w:rPr>
        <w:t xml:space="preserve"> the database application presented by this paper.</w:t>
      </w:r>
      <w:r w:rsidR="00632BBC">
        <w:rPr>
          <w:noProof/>
        </w:rPr>
        <w:t xml:space="preserve"> </w:t>
      </w:r>
      <w:r w:rsidR="00D33C65">
        <w:rPr>
          <w:noProof/>
        </w:rPr>
        <w:t>Unlike earlier studies</w:t>
      </w:r>
      <w:r w:rsidR="00D341BD">
        <w:rPr>
          <w:noProof/>
        </w:rPr>
        <w:t xml:space="preserve"> which require</w:t>
      </w:r>
      <w:r w:rsidR="008C5488">
        <w:rPr>
          <w:noProof/>
        </w:rPr>
        <w:t>d</w:t>
      </w:r>
      <w:r w:rsidR="00D341BD">
        <w:rPr>
          <w:noProof/>
        </w:rPr>
        <w:t xml:space="preserve"> interviewing SMEs to </w:t>
      </w:r>
      <w:r w:rsidR="00357999">
        <w:rPr>
          <w:noProof/>
        </w:rPr>
        <w:t>a</w:t>
      </w:r>
      <w:r w:rsidR="008C5488">
        <w:rPr>
          <w:noProof/>
        </w:rPr>
        <w:t>c</w:t>
      </w:r>
      <w:r w:rsidR="00357999">
        <w:rPr>
          <w:noProof/>
        </w:rPr>
        <w:t xml:space="preserve">quire </w:t>
      </w:r>
      <w:r w:rsidR="00851C54">
        <w:rPr>
          <w:noProof/>
        </w:rPr>
        <w:t>data</w:t>
      </w:r>
      <w:r w:rsidR="00357999">
        <w:rPr>
          <w:noProof/>
        </w:rPr>
        <w:t xml:space="preserve"> </w:t>
      </w:r>
      <w:r w:rsidR="00E6081A">
        <w:rPr>
          <w:noProof/>
        </w:rPr>
        <w:t>on</w:t>
      </w:r>
      <w:r w:rsidR="00357999">
        <w:rPr>
          <w:noProof/>
        </w:rPr>
        <w:t xml:space="preserve"> the weights that should be assigned for each criterion</w:t>
      </w:r>
      <w:r w:rsidR="0068580B">
        <w:rPr>
          <w:noProof/>
        </w:rPr>
        <w:t>,</w:t>
      </w:r>
      <w:r w:rsidR="00D33C65">
        <w:rPr>
          <w:noProof/>
        </w:rPr>
        <w:t xml:space="preserve"> our work</w:t>
      </w:r>
      <w:r w:rsidR="00851C54">
        <w:rPr>
          <w:noProof/>
        </w:rPr>
        <w:t xml:space="preserve"> streamlines this process by assigning importance weights on a project</w:t>
      </w:r>
      <w:r w:rsidR="00012950">
        <w:rPr>
          <w:noProof/>
        </w:rPr>
        <w:t xml:space="preserve">-by-project basis. Additionally, our work allows for </w:t>
      </w:r>
      <w:r w:rsidR="00E6081A">
        <w:rPr>
          <w:noProof/>
        </w:rPr>
        <w:t xml:space="preserve">a </w:t>
      </w:r>
      <w:r w:rsidR="00012950">
        <w:rPr>
          <w:noProof/>
        </w:rPr>
        <w:t xml:space="preserve">versatile approach that </w:t>
      </w:r>
      <w:r w:rsidR="00632BBC">
        <w:rPr>
          <w:noProof/>
        </w:rPr>
        <w:t>dynamically</w:t>
      </w:r>
      <w:r w:rsidR="00841F30">
        <w:rPr>
          <w:noProof/>
        </w:rPr>
        <w:t xml:space="preserve"> updates the decision weights as a function of the project at hand rather than using the constant weights provided in</w:t>
      </w:r>
      <w:r w:rsidR="000F6860">
        <w:rPr>
          <w:noProof/>
        </w:rPr>
        <w:t xml:space="preserve"> </w:t>
      </w:r>
      <w:r w:rsidR="00841F30">
        <w:rPr>
          <w:noProof/>
        </w:rPr>
        <w:t xml:space="preserve">previous studies. </w:t>
      </w:r>
      <w:r w:rsidR="000F6860">
        <w:rPr>
          <w:noProof/>
        </w:rPr>
        <w:t>Furthermore, while previous efforts strictly focus</w:t>
      </w:r>
      <w:r w:rsidR="009347FA">
        <w:rPr>
          <w:noProof/>
        </w:rPr>
        <w:t>ed</w:t>
      </w:r>
      <w:r w:rsidR="000F6860">
        <w:rPr>
          <w:noProof/>
        </w:rPr>
        <w:t xml:space="preserve"> on either implementing a multi-criteria</w:t>
      </w:r>
      <w:r w:rsidR="008C5488">
        <w:rPr>
          <w:noProof/>
        </w:rPr>
        <w:t xml:space="preserve"> approach </w:t>
      </w:r>
      <w:r w:rsidR="000F6860">
        <w:rPr>
          <w:noProof/>
        </w:rPr>
        <w:t xml:space="preserve">or financial </w:t>
      </w:r>
      <w:r w:rsidR="008C5488">
        <w:rPr>
          <w:noProof/>
        </w:rPr>
        <w:t>projections to evaluate new revenue sources</w:t>
      </w:r>
      <w:r w:rsidR="000F6860">
        <w:rPr>
          <w:noProof/>
        </w:rPr>
        <w:t>, this study provides both perspectives simultaneo</w:t>
      </w:r>
      <w:r w:rsidR="008C5488">
        <w:rPr>
          <w:noProof/>
        </w:rPr>
        <w:t>u</w:t>
      </w:r>
      <w:r w:rsidR="000F6860">
        <w:rPr>
          <w:noProof/>
        </w:rPr>
        <w:t xml:space="preserve">sly to ensure a holistic </w:t>
      </w:r>
      <w:r w:rsidR="00E6081A">
        <w:rPr>
          <w:noProof/>
        </w:rPr>
        <w:t>framework.</w:t>
      </w:r>
      <w:r w:rsidR="00D33C65">
        <w:rPr>
          <w:noProof/>
        </w:rPr>
        <w:t xml:space="preserve"> </w:t>
      </w:r>
    </w:p>
    <w:p w14:paraId="6447CF45" w14:textId="27AD7BA3" w:rsidR="0012418B" w:rsidRDefault="0012418B" w:rsidP="004D0A64">
      <w:pPr>
        <w:spacing w:after="0" w:line="240" w:lineRule="auto"/>
        <w:ind w:firstLine="432"/>
        <w:jc w:val="both"/>
        <w:rPr>
          <w:noProof/>
        </w:rPr>
      </w:pPr>
    </w:p>
    <w:p w14:paraId="124B3D10" w14:textId="50B4F6A3" w:rsidR="0012418B" w:rsidRPr="0012418B" w:rsidRDefault="0012418B" w:rsidP="004D0A64">
      <w:pPr>
        <w:pStyle w:val="Heading1"/>
        <w:jc w:val="both"/>
      </w:pPr>
      <w:r w:rsidRPr="0012418B">
        <w:t>Outline of Database Framework</w:t>
      </w:r>
    </w:p>
    <w:p w14:paraId="397B083C" w14:textId="19982B81" w:rsidR="00597788" w:rsidRDefault="0012418B" w:rsidP="004D0A64">
      <w:pPr>
        <w:spacing w:after="0" w:line="240" w:lineRule="auto"/>
        <w:jc w:val="both"/>
        <w:rPr>
          <w:rFonts w:eastAsia="Times New Roman" w:cs="Times New Roman"/>
        </w:rPr>
      </w:pPr>
      <w:r w:rsidRPr="0012418B">
        <w:rPr>
          <w:rFonts w:eastAsia="Times New Roman" w:cs="Times New Roman"/>
          <w:color w:val="000000" w:themeColor="text1"/>
        </w:rPr>
        <w:t>This paper develops a modeling approach, implemented in the form of a database</w:t>
      </w:r>
      <w:r w:rsidR="00BF3A73">
        <w:rPr>
          <w:rFonts w:eastAsia="Times New Roman" w:cs="Times New Roman"/>
          <w:color w:val="000000" w:themeColor="text1"/>
        </w:rPr>
        <w:t xml:space="preserve"> application</w:t>
      </w:r>
      <w:r w:rsidRPr="0012418B">
        <w:rPr>
          <w:rFonts w:eastAsia="Times New Roman" w:cs="Times New Roman"/>
          <w:color w:val="000000" w:themeColor="text1"/>
        </w:rPr>
        <w:t>, to assist transportation agencies</w:t>
      </w:r>
      <w:r w:rsidRPr="0016455F">
        <w:rPr>
          <w:rFonts w:eastAsia="Times New Roman" w:cs="Times New Roman"/>
          <w:color w:val="000000" w:themeColor="text1"/>
        </w:rPr>
        <w:t xml:space="preserve"> with </w:t>
      </w:r>
      <w:r w:rsidR="00BF3A73">
        <w:rPr>
          <w:rFonts w:eastAsia="Times New Roman" w:cs="Times New Roman"/>
          <w:color w:val="000000" w:themeColor="text1"/>
        </w:rPr>
        <w:t>mapping out</w:t>
      </w:r>
      <w:r w:rsidR="00BF3A73" w:rsidRPr="0016455F">
        <w:rPr>
          <w:rFonts w:eastAsia="Times New Roman" w:cs="Times New Roman"/>
          <w:color w:val="000000" w:themeColor="text1"/>
        </w:rPr>
        <w:t xml:space="preserve"> </w:t>
      </w:r>
      <w:r w:rsidRPr="0016455F">
        <w:rPr>
          <w:rFonts w:eastAsia="Times New Roman" w:cs="Times New Roman"/>
          <w:color w:val="000000" w:themeColor="text1"/>
        </w:rPr>
        <w:t>future funding</w:t>
      </w:r>
      <w:r w:rsidR="00807DF8">
        <w:rPr>
          <w:rFonts w:eastAsia="Times New Roman" w:cs="Times New Roman"/>
          <w:color w:val="000000" w:themeColor="text1"/>
        </w:rPr>
        <w:t>/</w:t>
      </w:r>
      <w:r w:rsidRPr="0016455F">
        <w:rPr>
          <w:rFonts w:eastAsia="Times New Roman" w:cs="Times New Roman"/>
          <w:color w:val="000000" w:themeColor="text1"/>
        </w:rPr>
        <w:t>financing plans and effectively communicating their findings with legislators and the public. To our knowledge, no attempts have been made to evaluate the appropriateness of funding</w:t>
      </w:r>
      <w:r w:rsidR="00807DF8">
        <w:rPr>
          <w:rFonts w:eastAsia="Times New Roman" w:cs="Times New Roman"/>
          <w:color w:val="000000" w:themeColor="text1"/>
        </w:rPr>
        <w:t>/</w:t>
      </w:r>
      <w:r w:rsidRPr="0016455F">
        <w:rPr>
          <w:rFonts w:eastAsia="Times New Roman" w:cs="Times New Roman"/>
          <w:color w:val="000000" w:themeColor="text1"/>
        </w:rPr>
        <w:t xml:space="preserve">financing mechanisms </w:t>
      </w:r>
      <w:r w:rsidR="00EA1735">
        <w:rPr>
          <w:rFonts w:eastAsia="Times New Roman" w:cs="Times New Roman"/>
          <w:color w:val="000000" w:themeColor="text1"/>
        </w:rPr>
        <w:t>regarding</w:t>
      </w:r>
      <w:r w:rsidRPr="0016455F">
        <w:rPr>
          <w:rFonts w:eastAsia="Times New Roman" w:cs="Times New Roman"/>
          <w:color w:val="000000" w:themeColor="text1"/>
        </w:rPr>
        <w:t xml:space="preserve"> specific project applications. </w:t>
      </w:r>
      <w:r w:rsidRPr="00CD0565">
        <w:rPr>
          <w:rFonts w:eastAsia="Times New Roman" w:cs="Times New Roman"/>
          <w:color w:val="000000" w:themeColor="text1"/>
        </w:rPr>
        <w:t xml:space="preserve">Providing alternative definitions customized to project characteristics is more desirable than a general concept </w:t>
      </w:r>
      <w:r w:rsidR="00597788" w:rsidRPr="00CD0565">
        <w:rPr>
          <w:rFonts w:eastAsia="Times New Roman" w:cs="Times New Roman"/>
          <w:color w:val="000000" w:themeColor="text1"/>
        </w:rPr>
        <w:t xml:space="preserve">by </w:t>
      </w:r>
      <w:r w:rsidRPr="00CD0565">
        <w:rPr>
          <w:rFonts w:eastAsia="Times New Roman" w:cs="Times New Roman"/>
          <w:color w:val="000000" w:themeColor="text1"/>
        </w:rPr>
        <w:t>support</w:t>
      </w:r>
      <w:r w:rsidR="00597788" w:rsidRPr="00CD0565">
        <w:rPr>
          <w:rFonts w:eastAsia="Times New Roman" w:cs="Times New Roman"/>
          <w:color w:val="000000" w:themeColor="text1"/>
        </w:rPr>
        <w:t>ing</w:t>
      </w:r>
      <w:r w:rsidRPr="00CD0565">
        <w:rPr>
          <w:rFonts w:eastAsia="Times New Roman" w:cs="Times New Roman"/>
          <w:color w:val="000000" w:themeColor="text1"/>
        </w:rPr>
        <w:t xml:space="preserve"> a more consistent and realistic comparison of the alternatives to each of the criteria. </w:t>
      </w:r>
    </w:p>
    <w:p w14:paraId="6B723F70" w14:textId="5A2CE533" w:rsidR="0012418B" w:rsidRPr="0012418B" w:rsidRDefault="0012418B" w:rsidP="004D0A64">
      <w:pPr>
        <w:spacing w:after="0" w:line="240" w:lineRule="auto"/>
        <w:ind w:firstLine="720"/>
        <w:jc w:val="both"/>
        <w:rPr>
          <w:rFonts w:eastAsia="Times New Roman" w:cs="Times New Roman"/>
        </w:rPr>
      </w:pPr>
      <w:r w:rsidRPr="0012418B">
        <w:rPr>
          <w:rFonts w:eastAsia="Times New Roman" w:cs="Times New Roman"/>
        </w:rPr>
        <w:t xml:space="preserve">The study goals are implemented in a database via two modules: (a) Appropriateness and (b) Projections. The Appropriateness module ranks the different strategies based on economic, implementation, equity, and other parameters identified </w:t>
      </w:r>
      <w:r w:rsidR="00B809AB">
        <w:rPr>
          <w:rFonts w:eastAsia="Times New Roman" w:cs="Times New Roman"/>
        </w:rPr>
        <w:t>by</w:t>
      </w:r>
      <w:r w:rsidR="00B809AB" w:rsidRPr="0012418B">
        <w:rPr>
          <w:rFonts w:eastAsia="Times New Roman" w:cs="Times New Roman"/>
        </w:rPr>
        <w:t xml:space="preserve"> </w:t>
      </w:r>
      <w:r w:rsidRPr="0012418B">
        <w:rPr>
          <w:rFonts w:eastAsia="Times New Roman" w:cs="Times New Roman"/>
        </w:rPr>
        <w:t xml:space="preserve">the NSTIFC, INDOT, and TTI. The Projections module </w:t>
      </w:r>
      <w:r w:rsidR="00B809AB">
        <w:rPr>
          <w:rFonts w:eastAsia="Times New Roman" w:cs="Times New Roman"/>
        </w:rPr>
        <w:t>predicts</w:t>
      </w:r>
      <w:r w:rsidRPr="0012418B">
        <w:rPr>
          <w:rFonts w:eastAsia="Times New Roman" w:cs="Times New Roman"/>
        </w:rPr>
        <w:t xml:space="preserve"> revenue streams and test</w:t>
      </w:r>
      <w:r w:rsidR="00B809AB">
        <w:rPr>
          <w:rFonts w:eastAsia="Times New Roman" w:cs="Times New Roman"/>
        </w:rPr>
        <w:t>s</w:t>
      </w:r>
      <w:r w:rsidRPr="0012418B">
        <w:rPr>
          <w:rFonts w:eastAsia="Times New Roman" w:cs="Times New Roman"/>
        </w:rPr>
        <w:t xml:space="preserve"> the revenue generation potential of different policies. The outcomes of the database provide a comprehensive indication of the performance of each alternative as part of specific </w:t>
      </w:r>
      <w:r w:rsidRPr="0012418B">
        <w:rPr>
          <w:rFonts w:eastAsia="Times New Roman" w:cs="Times New Roman"/>
        </w:rPr>
        <w:lastRenderedPageBreak/>
        <w:t xml:space="preserve">project investments, unlike previous studies that tend to limit the evaluation to a specific set of criteria and generalizing the results for all project types. </w:t>
      </w:r>
    </w:p>
    <w:p w14:paraId="18F8A779" w14:textId="36592862" w:rsidR="0012418B" w:rsidRDefault="0012418B" w:rsidP="004D0A64">
      <w:pPr>
        <w:spacing w:after="0" w:line="240" w:lineRule="auto"/>
        <w:ind w:firstLine="720"/>
        <w:jc w:val="both"/>
        <w:rPr>
          <w:rFonts w:eastAsia="Times New Roman" w:cs="Times New Roman"/>
        </w:rPr>
      </w:pPr>
      <w:r w:rsidRPr="0012418B">
        <w:rPr>
          <w:rFonts w:eastAsia="Times New Roman" w:cs="Times New Roman"/>
        </w:rPr>
        <w:t xml:space="preserve">A multi-step methodology was implemented </w:t>
      </w:r>
      <w:r w:rsidR="009F6C61">
        <w:rPr>
          <w:rFonts w:eastAsia="Times New Roman" w:cs="Times New Roman"/>
        </w:rPr>
        <w:t xml:space="preserve">to </w:t>
      </w:r>
      <w:r w:rsidRPr="0012418B">
        <w:rPr>
          <w:rFonts w:eastAsia="Times New Roman" w:cs="Times New Roman"/>
        </w:rPr>
        <w:t>achieve a dynamic</w:t>
      </w:r>
      <w:r w:rsidR="00EA1735">
        <w:rPr>
          <w:rFonts w:eastAsia="Times New Roman" w:cs="Times New Roman"/>
        </w:rPr>
        <w:t xml:space="preserve"> </w:t>
      </w:r>
      <w:r w:rsidR="009F6C61">
        <w:rPr>
          <w:rFonts w:eastAsia="Times New Roman" w:cs="Times New Roman"/>
        </w:rPr>
        <w:t xml:space="preserve">MCDA </w:t>
      </w:r>
      <w:r w:rsidRPr="0012418B">
        <w:rPr>
          <w:rFonts w:eastAsia="Times New Roman" w:cs="Times New Roman"/>
        </w:rPr>
        <w:t>framework whose recommendations are sensitive to changes in the characteristics of the project being funded:</w:t>
      </w:r>
    </w:p>
    <w:p w14:paraId="156F084D" w14:textId="77777777" w:rsidR="00B818A5" w:rsidRPr="0012418B" w:rsidRDefault="00B818A5" w:rsidP="004D0A64">
      <w:pPr>
        <w:spacing w:after="0" w:line="240" w:lineRule="auto"/>
        <w:ind w:firstLine="720"/>
        <w:jc w:val="both"/>
        <w:rPr>
          <w:rFonts w:eastAsia="Times New Roman" w:cs="Times New Roman"/>
        </w:rPr>
      </w:pPr>
    </w:p>
    <w:p w14:paraId="163D8322" w14:textId="36CF5BBE" w:rsidR="0012418B" w:rsidRPr="0012418B" w:rsidRDefault="0012418B" w:rsidP="004D0A64">
      <w:pPr>
        <w:numPr>
          <w:ilvl w:val="0"/>
          <w:numId w:val="3"/>
        </w:numPr>
        <w:spacing w:after="0" w:line="240" w:lineRule="auto"/>
        <w:ind w:left="720"/>
        <w:contextualSpacing/>
        <w:jc w:val="both"/>
        <w:rPr>
          <w:rFonts w:eastAsia="Times New Roman" w:cs="Times New Roman"/>
        </w:rPr>
      </w:pPr>
      <w:r w:rsidRPr="0012418B">
        <w:rPr>
          <w:rFonts w:eastAsia="Times New Roman" w:cs="Times New Roman"/>
        </w:rPr>
        <w:t>Define a set of funding</w:t>
      </w:r>
      <w:r w:rsidR="00807DF8">
        <w:rPr>
          <w:rFonts w:eastAsia="Times New Roman" w:cs="Times New Roman"/>
        </w:rPr>
        <w:t>/</w:t>
      </w:r>
      <w:r w:rsidRPr="0012418B">
        <w:rPr>
          <w:rFonts w:eastAsia="Times New Roman" w:cs="Times New Roman"/>
        </w:rPr>
        <w:t>mechanisms and their</w:t>
      </w:r>
      <w:r w:rsidR="00B809AB">
        <w:rPr>
          <w:rFonts w:eastAsia="Times New Roman" w:cs="Times New Roman"/>
        </w:rPr>
        <w:t xml:space="preserve"> </w:t>
      </w:r>
      <w:r w:rsidRPr="0012418B">
        <w:rPr>
          <w:rFonts w:eastAsia="Times New Roman" w:cs="Times New Roman"/>
        </w:rPr>
        <w:t>evaluation criteria.</w:t>
      </w:r>
    </w:p>
    <w:p w14:paraId="50DC6F57" w14:textId="77777777" w:rsidR="0012418B" w:rsidRPr="0012418B" w:rsidRDefault="0012418B" w:rsidP="004D0A64">
      <w:pPr>
        <w:numPr>
          <w:ilvl w:val="0"/>
          <w:numId w:val="3"/>
        </w:numPr>
        <w:spacing w:after="0" w:line="240" w:lineRule="auto"/>
        <w:ind w:left="720"/>
        <w:contextualSpacing/>
        <w:jc w:val="both"/>
        <w:rPr>
          <w:rFonts w:eastAsia="Times New Roman" w:cs="Times New Roman"/>
        </w:rPr>
      </w:pPr>
      <w:r w:rsidRPr="0012418B">
        <w:rPr>
          <w:rFonts w:eastAsia="Times New Roman" w:cs="Times New Roman"/>
        </w:rPr>
        <w:t>Assign a performance score for each alternative on each criterion using a five-point scale.</w:t>
      </w:r>
    </w:p>
    <w:p w14:paraId="33A83B17" w14:textId="77777777" w:rsidR="0012418B" w:rsidRPr="0012418B" w:rsidRDefault="0012418B" w:rsidP="004D0A64">
      <w:pPr>
        <w:numPr>
          <w:ilvl w:val="0"/>
          <w:numId w:val="3"/>
        </w:numPr>
        <w:spacing w:after="0" w:line="240" w:lineRule="auto"/>
        <w:ind w:left="720"/>
        <w:contextualSpacing/>
        <w:jc w:val="both"/>
        <w:rPr>
          <w:rFonts w:eastAsia="Times New Roman" w:cs="Times New Roman"/>
        </w:rPr>
      </w:pPr>
      <w:r w:rsidRPr="0012418B">
        <w:rPr>
          <w:rFonts w:eastAsia="Times New Roman" w:cs="Times New Roman"/>
        </w:rPr>
        <w:t>Develop a framework to convert a set of project-specific inputs, including budget, significance, construction duration, investment timing, sustainability and equity goals, and business density, into a smaller set of coherent variables, capturing the major features of the project that could be later related to the selection of financing mechanisms.</w:t>
      </w:r>
    </w:p>
    <w:p w14:paraId="57EFBD11" w14:textId="0761CC25" w:rsidR="0012418B" w:rsidRPr="0012418B" w:rsidRDefault="0012418B" w:rsidP="004D0A64">
      <w:pPr>
        <w:numPr>
          <w:ilvl w:val="0"/>
          <w:numId w:val="3"/>
        </w:numPr>
        <w:spacing w:after="0" w:line="240" w:lineRule="auto"/>
        <w:ind w:left="720"/>
        <w:contextualSpacing/>
        <w:jc w:val="both"/>
        <w:rPr>
          <w:rFonts w:eastAsia="Times New Roman" w:cs="Times New Roman"/>
        </w:rPr>
      </w:pPr>
      <w:r w:rsidRPr="0012418B">
        <w:rPr>
          <w:rFonts w:eastAsia="Times New Roman" w:cs="Times New Roman"/>
        </w:rPr>
        <w:t xml:space="preserve">Develop a procedure to translate the effect of project characteristics on the importance of each criterion. This procedure involves eliciting expert opinions regarding the importance of evaluation criteria for four project scenarios corresponding to different characteristics and determining a score for each characteristic. </w:t>
      </w:r>
      <w:r w:rsidR="00B809AB">
        <w:rPr>
          <w:rFonts w:eastAsia="Times New Roman" w:cs="Times New Roman"/>
        </w:rPr>
        <w:t>T</w:t>
      </w:r>
      <w:r w:rsidRPr="0012418B">
        <w:rPr>
          <w:rFonts w:eastAsia="Times New Roman" w:cs="Times New Roman"/>
        </w:rPr>
        <w:t xml:space="preserve">hese opinions are </w:t>
      </w:r>
      <w:r w:rsidR="00B809AB">
        <w:rPr>
          <w:rFonts w:eastAsia="Times New Roman" w:cs="Times New Roman"/>
        </w:rPr>
        <w:t xml:space="preserve">then </w:t>
      </w:r>
      <w:r w:rsidRPr="0012418B">
        <w:rPr>
          <w:rFonts w:eastAsia="Times New Roman" w:cs="Times New Roman"/>
        </w:rPr>
        <w:t>extrapolated for other projects having different characteristics scores by piecewise linear interpolation.</w:t>
      </w:r>
    </w:p>
    <w:p w14:paraId="23351B9B" w14:textId="50A65A22" w:rsidR="0012418B" w:rsidRPr="0012418B" w:rsidRDefault="0012418B" w:rsidP="004D0A64">
      <w:pPr>
        <w:numPr>
          <w:ilvl w:val="0"/>
          <w:numId w:val="3"/>
        </w:numPr>
        <w:spacing w:after="0" w:line="240" w:lineRule="auto"/>
        <w:ind w:left="720"/>
        <w:contextualSpacing/>
        <w:jc w:val="both"/>
        <w:rPr>
          <w:rFonts w:eastAsia="Times New Roman" w:cs="Times New Roman"/>
        </w:rPr>
      </w:pPr>
      <w:r w:rsidRPr="0012418B">
        <w:rPr>
          <w:rFonts w:eastAsia="Times New Roman" w:cs="Times New Roman"/>
        </w:rPr>
        <w:t>Apply AHP to determine the best-performing strategies depending on revenue generation as well as the other parameters previously discussed.</w:t>
      </w:r>
    </w:p>
    <w:p w14:paraId="4770C866" w14:textId="60B7320E" w:rsidR="0012418B" w:rsidRDefault="0012418B" w:rsidP="004D0A64">
      <w:pPr>
        <w:numPr>
          <w:ilvl w:val="0"/>
          <w:numId w:val="3"/>
        </w:numPr>
        <w:spacing w:after="0" w:line="240" w:lineRule="auto"/>
        <w:ind w:left="720"/>
        <w:contextualSpacing/>
        <w:jc w:val="both"/>
        <w:rPr>
          <w:rFonts w:eastAsia="Times New Roman" w:cs="Times New Roman"/>
        </w:rPr>
      </w:pPr>
      <w:r w:rsidRPr="0012418B">
        <w:rPr>
          <w:rFonts w:eastAsia="Times New Roman" w:cs="Times New Roman"/>
        </w:rPr>
        <w:t>Develop revenue projection models to produce revenue stream diagrams. The Projections module considers population, vehicle ownership, employment, inflation, and other relevant economic inputs and assumptions—similar to the efforts previously conducted in TTI’s TRENDS models and INDOT Revenue Cost Model but extended further</w:t>
      </w:r>
      <w:r w:rsidR="00CD6C63">
        <w:rPr>
          <w:rFonts w:eastAsia="Times New Roman" w:cs="Times New Roman"/>
        </w:rPr>
        <w:t>.</w:t>
      </w:r>
    </w:p>
    <w:p w14:paraId="6F08210B" w14:textId="77777777" w:rsidR="00367513" w:rsidRPr="0012418B" w:rsidRDefault="00367513" w:rsidP="004D0A64">
      <w:pPr>
        <w:spacing w:after="0" w:line="240" w:lineRule="auto"/>
        <w:contextualSpacing/>
        <w:jc w:val="both"/>
        <w:rPr>
          <w:rFonts w:eastAsia="Times New Roman" w:cs="Times New Roman"/>
        </w:rPr>
      </w:pPr>
    </w:p>
    <w:p w14:paraId="4CC4C8A5" w14:textId="7BED4391" w:rsidR="0012418B" w:rsidRPr="0012418B" w:rsidRDefault="0012418B" w:rsidP="004D0A64">
      <w:pPr>
        <w:spacing w:after="0" w:line="240" w:lineRule="auto"/>
        <w:ind w:firstLine="720"/>
        <w:jc w:val="both"/>
        <w:rPr>
          <w:rFonts w:eastAsia="Times New Roman" w:cs="Times New Roman"/>
        </w:rPr>
      </w:pPr>
      <w:r w:rsidRPr="0012418B">
        <w:rPr>
          <w:rFonts w:eastAsia="Times New Roman" w:cs="Times New Roman"/>
        </w:rPr>
        <w:t xml:space="preserve">The Appropriateness and Projections modules are integrated into the </w:t>
      </w:r>
      <w:proofErr w:type="spellStart"/>
      <w:r w:rsidR="006C6784">
        <w:rPr>
          <w:rFonts w:eastAsia="Times New Roman" w:cs="Times New Roman"/>
        </w:rPr>
        <w:t>FUNding</w:t>
      </w:r>
      <w:proofErr w:type="spellEnd"/>
      <w:r w:rsidR="006C6784">
        <w:rPr>
          <w:rFonts w:eastAsia="Times New Roman" w:cs="Times New Roman"/>
        </w:rPr>
        <w:t xml:space="preserve"> Decision (FUND) </w:t>
      </w:r>
      <w:r w:rsidRPr="0012418B">
        <w:rPr>
          <w:rFonts w:eastAsia="Times New Roman" w:cs="Times New Roman"/>
        </w:rPr>
        <w:t xml:space="preserve">database—an Access-based application developed to support the selection of funding mechanisms for specific projects. Using that framework, </w:t>
      </w:r>
      <w:r w:rsidR="006C6784">
        <w:rPr>
          <w:rFonts w:eastAsia="Times New Roman" w:cs="Times New Roman"/>
        </w:rPr>
        <w:t>FUND</w:t>
      </w:r>
      <w:r w:rsidRPr="0012418B">
        <w:rPr>
          <w:rFonts w:eastAsia="Times New Roman" w:cs="Times New Roman"/>
        </w:rPr>
        <w:t xml:space="preserve"> ranks funding</w:t>
      </w:r>
      <w:r w:rsidR="00807DF8">
        <w:rPr>
          <w:rFonts w:eastAsia="Times New Roman" w:cs="Times New Roman"/>
        </w:rPr>
        <w:t>/</w:t>
      </w:r>
      <w:r w:rsidRPr="0012418B">
        <w:rPr>
          <w:rFonts w:eastAsia="Times New Roman" w:cs="Times New Roman"/>
        </w:rPr>
        <w:t>financing mechanisms based on characteristics of a hypothetical project as provided through a series of questions. The methodology of the process and the AHP calculations are further explained in the next section. While this methodology is designed to be implemented by any DOT, this study focuses on the case of TxDOT for whom th</w:t>
      </w:r>
      <w:r w:rsidR="006C6784">
        <w:rPr>
          <w:rFonts w:eastAsia="Times New Roman" w:cs="Times New Roman"/>
        </w:rPr>
        <w:t xml:space="preserve">e FUND </w:t>
      </w:r>
      <w:r w:rsidRPr="0012418B">
        <w:rPr>
          <w:rFonts w:eastAsia="Times New Roman" w:cs="Times New Roman"/>
        </w:rPr>
        <w:t>database was developed.</w:t>
      </w:r>
    </w:p>
    <w:p w14:paraId="268DCD65" w14:textId="77777777" w:rsidR="00BA7557" w:rsidRPr="005617FF" w:rsidRDefault="00BA7557" w:rsidP="004D0A64">
      <w:pPr>
        <w:spacing w:after="0" w:line="240" w:lineRule="auto"/>
        <w:jc w:val="both"/>
        <w:rPr>
          <w:rFonts w:cs="Times New Roman"/>
          <w:b/>
          <w:color w:val="000000" w:themeColor="text1"/>
        </w:rPr>
      </w:pPr>
    </w:p>
    <w:p w14:paraId="65BC6239" w14:textId="7C1F1CAA" w:rsidR="008E12AF" w:rsidRDefault="00502D17" w:rsidP="004D0A64">
      <w:pPr>
        <w:spacing w:after="0" w:line="240" w:lineRule="auto"/>
        <w:jc w:val="both"/>
        <w:rPr>
          <w:rFonts w:cs="Times New Roman"/>
          <w:b/>
          <w:color w:val="000000" w:themeColor="text1"/>
        </w:rPr>
      </w:pPr>
      <w:r w:rsidRPr="005617FF">
        <w:rPr>
          <w:rFonts w:cs="Times New Roman"/>
          <w:b/>
          <w:color w:val="000000" w:themeColor="text1"/>
        </w:rPr>
        <w:t>METHOD</w:t>
      </w:r>
      <w:r w:rsidR="00926420">
        <w:rPr>
          <w:rFonts w:cs="Times New Roman"/>
          <w:b/>
          <w:color w:val="000000" w:themeColor="text1"/>
        </w:rPr>
        <w:t>OLOGY</w:t>
      </w:r>
    </w:p>
    <w:p w14:paraId="3A9EBDA4" w14:textId="77777777" w:rsidR="0012418B" w:rsidRPr="0039707D" w:rsidRDefault="0012418B" w:rsidP="004D0A64">
      <w:pPr>
        <w:pStyle w:val="Heading2"/>
        <w:jc w:val="both"/>
      </w:pPr>
      <w:bookmarkStart w:id="5" w:name="_Ref77258847"/>
      <w:r w:rsidRPr="0012418B">
        <w:t>MCDA</w:t>
      </w:r>
      <w:r w:rsidRPr="0039707D">
        <w:t xml:space="preserve"> and AHP Concept</w:t>
      </w:r>
      <w:bookmarkEnd w:id="5"/>
    </w:p>
    <w:p w14:paraId="579D18A9" w14:textId="57035D44" w:rsidR="0012418B" w:rsidRPr="0012418B" w:rsidRDefault="0012418B" w:rsidP="004D0A64">
      <w:pPr>
        <w:spacing w:after="0" w:line="240" w:lineRule="auto"/>
        <w:jc w:val="both"/>
        <w:rPr>
          <w:rFonts w:eastAsia="Times New Roman" w:cs="Times New Roman"/>
          <w:color w:val="000000" w:themeColor="text1"/>
        </w:rPr>
      </w:pPr>
      <w:r w:rsidRPr="0012418B">
        <w:rPr>
          <w:rFonts w:eastAsia="Times New Roman" w:cs="Times New Roman"/>
        </w:rPr>
        <w:t>MCDA methods have been developed to support decisions that involve conflicting criteria</w:t>
      </w:r>
      <w:r w:rsidR="006C6784">
        <w:rPr>
          <w:rFonts w:eastAsia="Times New Roman" w:cs="Times New Roman"/>
        </w:rPr>
        <w:t xml:space="preserve">, and </w:t>
      </w:r>
      <w:r w:rsidRPr="0012418B">
        <w:rPr>
          <w:rFonts w:eastAsia="Times New Roman" w:cs="Times New Roman"/>
        </w:rPr>
        <w:t xml:space="preserve">provide a systematic evaluation process that </w:t>
      </w:r>
      <w:r w:rsidRPr="0012418B">
        <w:rPr>
          <w:rFonts w:eastAsia="Times New Roman" w:cs="Times New Roman"/>
          <w:color w:val="000000" w:themeColor="text1"/>
        </w:rPr>
        <w:t xml:space="preserve">is transparent and repeatable, capable of eliciting expert opinions, and better understood by the public and policymakers. </w:t>
      </w:r>
      <w:proofErr w:type="spellStart"/>
      <w:r w:rsidRPr="0012418B">
        <w:rPr>
          <w:rFonts w:eastAsia="Times New Roman" w:cs="Times New Roman"/>
          <w:color w:val="000000" w:themeColor="text1"/>
        </w:rPr>
        <w:t>Br</w:t>
      </w:r>
      <w:r w:rsidR="00634965">
        <w:rPr>
          <w:rFonts w:eastAsia="Times New Roman" w:cs="Times New Roman"/>
          <w:color w:val="000000" w:themeColor="text1"/>
        </w:rPr>
        <w:t>o</w:t>
      </w:r>
      <w:r w:rsidRPr="0012418B">
        <w:rPr>
          <w:rFonts w:eastAsia="Times New Roman" w:cs="Times New Roman"/>
          <w:color w:val="000000" w:themeColor="text1"/>
        </w:rPr>
        <w:t>niewicz</w:t>
      </w:r>
      <w:proofErr w:type="spellEnd"/>
      <w:r w:rsidRPr="0012418B">
        <w:rPr>
          <w:rFonts w:eastAsia="Times New Roman" w:cs="Times New Roman"/>
          <w:color w:val="000000" w:themeColor="text1"/>
        </w:rPr>
        <w:t xml:space="preserve"> and </w:t>
      </w:r>
      <w:proofErr w:type="spellStart"/>
      <w:r w:rsidRPr="0012418B">
        <w:rPr>
          <w:rFonts w:eastAsia="Times New Roman" w:cs="Times New Roman"/>
          <w:color w:val="000000" w:themeColor="text1"/>
        </w:rPr>
        <w:t>Ogrodnik</w:t>
      </w:r>
      <w:proofErr w:type="spellEnd"/>
      <w:r w:rsidRPr="0012418B">
        <w:rPr>
          <w:rFonts w:eastAsia="Times New Roman" w:cs="Times New Roman"/>
          <w:color w:val="000000" w:themeColor="text1"/>
        </w:rPr>
        <w:t xml:space="preserve"> (2020) recognized over 58 articles that employ MCDA</w:t>
      </w:r>
      <w:r w:rsidR="00EA1735">
        <w:rPr>
          <w:rFonts w:eastAsia="Times New Roman" w:cs="Times New Roman"/>
          <w:color w:val="000000" w:themeColor="text1"/>
        </w:rPr>
        <w:t xml:space="preserve"> </w:t>
      </w:r>
      <w:r w:rsidRPr="0012418B">
        <w:rPr>
          <w:rFonts w:eastAsia="Times New Roman" w:cs="Times New Roman"/>
          <w:color w:val="000000" w:themeColor="text1"/>
        </w:rPr>
        <w:t xml:space="preserve">in the field of transportation over the last 20 years </w:t>
      </w:r>
      <w:r w:rsidRPr="0012418B">
        <w:rPr>
          <w:rFonts w:eastAsia="Times New Roman" w:cs="Times New Roman"/>
          <w:color w:val="000000" w:themeColor="text1"/>
        </w:rPr>
        <w:fldChar w:fldCharType="begin" w:fldLock="1"/>
      </w:r>
      <w:r w:rsidR="00E00D60">
        <w:rPr>
          <w:rFonts w:eastAsia="Times New Roman" w:cs="Times New Roman"/>
          <w:color w:val="000000" w:themeColor="text1"/>
        </w:rPr>
        <w:instrText>ADDIN CSL_CITATION {"citationItems":[{"id":"ITEM-1","itemData":{"DOI":"https://doi.org/10.1016/j.trd.2020.102351","ISSN":"1361-9209","abstract":"Planning, construction and operation of transport infrastructure are associated with a multitude of adverse effects on the environment. The Strategic Environmental Assessment (SEA) and Environmental Impact Assessment (EIA) are important legal instruments of the European Union's environmental policy that allows for identifying, predicting, preventing, and mitigating and or compensating for these adverse effects. As part of the environmental impact assessment, variants of planned activities and investment projects are considered in order to select the option, which is the most favourable from the environmental point of view. The primary goal of this work is to examine the possibility of using multi-criteria methods in order to select the route variant most favourable for the environment. In the first stage, a review of global literature from 2010 to 2019 was conducted on the subject of MCDM/MCDA (Multi-Criteria Decision Making/Multi-Criteria Decision Analysis) methods used in transportation. Based on the review, it was proven that the most popular methods used to solve multi-criteria decision problems in the field of transport are respectively: AHP with modifications, TOPSIS, DEMATEL, as well as methods encompassed in the so-called European trend, i.e. PROMETHEE and ELECTRE. Four selected methods were used in the empirical part of this work. They were used to select the variant of the expressway section in north-eastern Poland and compare the result of the analysis with the choice made in the analyzed environmental impact report.","author":[{"dropping-particle":"","family":"Broniewicz","given":"Elzbieta","non-dropping-particle":"","parse-names":false,"suffix":""},{"dropping-particle":"","family":"Ogrodnik","given":"Karolina","non-dropping-particle":"","parse-names":false,"suffix":""}],"container-title":"Transportation Research Part D: Transport and Environment","id":"ITEM-1","issued":{"date-parts":[["2020"]]},"page":"102351","title":"Multi-criteria analysis of transport infrastructure projects","type":"article-journal","volume":"83"},"uris":["http://www.mendeley.com/documents/?uuid=4aa29287-e7d6-436e-8c51-c140c30016d9"]}],"mendeley":{"formattedCitation":"(&lt;i&gt;25&lt;/i&gt;)","plainTextFormattedCitation":"(25)","previouslyFormattedCitation":"(&lt;i&gt;25&lt;/i&gt;)"},"properties":{"noteIndex":0},"schema":"https://github.com/citation-style-language/schema/raw/master/csl-citation.json"}</w:instrText>
      </w:r>
      <w:r w:rsidRPr="0012418B">
        <w:rPr>
          <w:rFonts w:eastAsia="Times New Roman" w:cs="Times New Roman"/>
          <w:color w:val="000000" w:themeColor="text1"/>
        </w:rPr>
        <w:fldChar w:fldCharType="separate"/>
      </w:r>
      <w:r w:rsidR="00F462E4" w:rsidRPr="00F462E4">
        <w:rPr>
          <w:rFonts w:eastAsia="Times New Roman" w:cs="Times New Roman"/>
          <w:noProof/>
          <w:color w:val="000000" w:themeColor="text1"/>
        </w:rPr>
        <w:t>(</w:t>
      </w:r>
      <w:r w:rsidR="00F462E4" w:rsidRPr="00F462E4">
        <w:rPr>
          <w:rFonts w:eastAsia="Times New Roman" w:cs="Times New Roman"/>
          <w:i/>
          <w:noProof/>
          <w:color w:val="000000" w:themeColor="text1"/>
        </w:rPr>
        <w:t>25</w:t>
      </w:r>
      <w:r w:rsidR="00F462E4" w:rsidRPr="00F462E4">
        <w:rPr>
          <w:rFonts w:eastAsia="Times New Roman" w:cs="Times New Roman"/>
          <w:noProof/>
          <w:color w:val="000000" w:themeColor="text1"/>
        </w:rPr>
        <w:t>)</w:t>
      </w:r>
      <w:r w:rsidRPr="0012418B">
        <w:rPr>
          <w:rFonts w:eastAsia="Times New Roman" w:cs="Times New Roman"/>
          <w:color w:val="000000" w:themeColor="text1"/>
        </w:rPr>
        <w:fldChar w:fldCharType="end"/>
      </w:r>
      <w:r w:rsidRPr="0012418B">
        <w:rPr>
          <w:rFonts w:eastAsia="Times New Roman" w:cs="Times New Roman"/>
          <w:color w:val="000000" w:themeColor="text1"/>
        </w:rPr>
        <w:t>. Based on their</w:t>
      </w:r>
      <w:r w:rsidR="00EA1735">
        <w:rPr>
          <w:rFonts w:eastAsia="Times New Roman" w:cs="Times New Roman"/>
          <w:color w:val="000000" w:themeColor="text1"/>
        </w:rPr>
        <w:t xml:space="preserve"> </w:t>
      </w:r>
      <w:r w:rsidRPr="0012418B">
        <w:rPr>
          <w:rFonts w:eastAsia="Times New Roman" w:cs="Times New Roman"/>
          <w:color w:val="000000" w:themeColor="text1"/>
        </w:rPr>
        <w:t>review, they concluded that the AHP is the most popular MCDA method for solving complex and unstructured problems through a systematic logical analysi</w:t>
      </w:r>
      <w:r w:rsidR="006C6784">
        <w:rPr>
          <w:rFonts w:eastAsia="Times New Roman" w:cs="Times New Roman"/>
        </w:rPr>
        <w:t>s.</w:t>
      </w:r>
    </w:p>
    <w:p w14:paraId="0C2513C6" w14:textId="210D4C51" w:rsidR="0012418B" w:rsidRPr="00DA4E1D" w:rsidRDefault="0012418B" w:rsidP="004D0A64">
      <w:pPr>
        <w:spacing w:after="0" w:line="240" w:lineRule="auto"/>
        <w:ind w:firstLine="720"/>
        <w:jc w:val="both"/>
        <w:rPr>
          <w:rFonts w:eastAsia="Times New Roman" w:cs="Times New Roman"/>
          <w:color w:val="000000" w:themeColor="text1"/>
        </w:rPr>
      </w:pPr>
      <w:r w:rsidRPr="0012418B">
        <w:rPr>
          <w:rFonts w:eastAsia="Times New Roman" w:cs="Times New Roman"/>
          <w:color w:val="000000" w:themeColor="text1"/>
        </w:rPr>
        <w:t xml:space="preserve">AHP involves pairwise comparisons between criteria </w:t>
      </w:r>
      <w:r w:rsidRPr="0012418B">
        <w:rPr>
          <w:rFonts w:eastAsia="Times New Roman" w:cs="Times New Roman"/>
        </w:rPr>
        <w:t xml:space="preserve">and options to facilitate the selection of the best alternative </w:t>
      </w:r>
      <w:r w:rsidRPr="0012418B">
        <w:rPr>
          <w:rFonts w:cs="Times New Roman"/>
        </w:rPr>
        <w:fldChar w:fldCharType="begin" w:fldLock="1"/>
      </w:r>
      <w:r w:rsidR="00E00D60">
        <w:rPr>
          <w:rFonts w:cs="Times New Roman"/>
        </w:rPr>
        <w:instrText>ADDIN CSL_CITATION {"citationItems":[{"id":"ITEM-1","itemData":{"ISBN":"1118644913","author":[{"dropping-particle":"","family":"Ishizaka","given":"Alessio","non-dropping-particle":"","parse-names":false,"suffix":""},{"dropping-particle":"","family":"Nemery","given":"Philippe","non-dropping-particle":"","parse-names":false,"suffix":""}],"id":"ITEM-1","issued":{"date-parts":[["2013"]]},"publisher":"John Wiley &amp; Sons","title":"Multi-criteria decision analysis: methods and software","type":"book"},"uris":["http://www.mendeley.com/documents/?uuid=42bf7166-cfbf-4040-b133-7afca50153b6"]}],"mendeley":{"formattedCitation":"(&lt;i&gt;26&lt;/i&gt;)","plainTextFormattedCitation":"(26)","previouslyFormattedCitation":"(&lt;i&gt;26&lt;/i&gt;)"},"properties":{"noteIndex":0},"schema":"https://github.com/citation-style-language/schema/raw/master/csl-citation.json"}</w:instrText>
      </w:r>
      <w:r w:rsidRPr="0012418B">
        <w:rPr>
          <w:rFonts w:cs="Times New Roman"/>
        </w:rPr>
        <w:fldChar w:fldCharType="separate"/>
      </w:r>
      <w:r w:rsidR="00F462E4" w:rsidRPr="00F462E4">
        <w:rPr>
          <w:rFonts w:cs="Times New Roman"/>
          <w:noProof/>
        </w:rPr>
        <w:t>(</w:t>
      </w:r>
      <w:r w:rsidR="00F462E4" w:rsidRPr="00F462E4">
        <w:rPr>
          <w:rFonts w:cs="Times New Roman"/>
          <w:i/>
          <w:noProof/>
        </w:rPr>
        <w:t>26</w:t>
      </w:r>
      <w:r w:rsidR="00F462E4" w:rsidRPr="00F462E4">
        <w:rPr>
          <w:rFonts w:cs="Times New Roman"/>
          <w:noProof/>
        </w:rPr>
        <w:t>)</w:t>
      </w:r>
      <w:r w:rsidRPr="0012418B">
        <w:rPr>
          <w:rFonts w:cs="Times New Roman"/>
        </w:rPr>
        <w:fldChar w:fldCharType="end"/>
      </w:r>
      <w:r w:rsidRPr="0012418B">
        <w:rPr>
          <w:rFonts w:eastAsia="Times New Roman" w:cs="Times New Roman"/>
        </w:rPr>
        <w:t>. It provides a mathematical framework for decomposing and structuring complex problems and involves six main steps: (a) structuring, (b) prioritizing through pairwise comparisons, (c) obtaining a priority vector for decision criteria, (d) computing the matrix of option (alternative) scores, (e) checking for consistency in the preference judgments, and (f) ranking the options.</w:t>
      </w:r>
      <w:r w:rsidR="00AE6068">
        <w:rPr>
          <w:rFonts w:eastAsia="Times New Roman" w:cs="Times New Roman"/>
        </w:rPr>
        <w:t xml:space="preserve"> AHP is explained in detail in several </w:t>
      </w:r>
      <w:r w:rsidR="00AE6068" w:rsidRPr="00DA4E1D">
        <w:rPr>
          <w:rFonts w:eastAsia="Times New Roman" w:cs="Times New Roman"/>
          <w:color w:val="000000" w:themeColor="text1"/>
        </w:rPr>
        <w:t xml:space="preserve">MCDA books such as </w:t>
      </w:r>
      <w:r w:rsidRPr="00DA4E1D">
        <w:rPr>
          <w:rFonts w:cs="Times New Roman"/>
          <w:color w:val="000000" w:themeColor="text1"/>
        </w:rPr>
        <w:fldChar w:fldCharType="begin" w:fldLock="1"/>
      </w:r>
      <w:r w:rsidR="00E00D60">
        <w:rPr>
          <w:rFonts w:cs="Times New Roman"/>
          <w:color w:val="000000" w:themeColor="text1"/>
        </w:rPr>
        <w:instrText>ADDIN CSL_CITATION {"citationItems":[{"id":"ITEM-1","itemData":{"ISBN":"1118644913","author":[{"dropping-particle":"","family":"Ishizaka","given":"Alessio","non-dropping-particle":"","parse-names":false,"suffix":""},{"dropping-particle":"","family":"Nemery","given":"Philippe","non-dropping-particle":"","parse-names":false,"suffix":""}],"id":"ITEM-1","issued":{"date-parts":[["2013"]]},"publisher":"John Wiley &amp; Sons","title":"Multi-criteria decision analysis: methods and software","type":"book"},"uris":["http://www.mendeley.com/documents/?uuid=42bf7166-cfbf-4040-b133-7afca50153b6"]}],"mendeley":{"formattedCitation":"(&lt;i&gt;26&lt;/i&gt;)","plainTextFormattedCitation":"(26)","previouslyFormattedCitation":"(&lt;i&gt;26&lt;/i&gt;)"},"properties":{"noteIndex":0},"schema":"https://github.com/citation-style-language/schema/raw/master/csl-citation.json"}</w:instrText>
      </w:r>
      <w:r w:rsidRPr="00DA4E1D">
        <w:rPr>
          <w:rFonts w:cs="Times New Roman"/>
          <w:color w:val="000000" w:themeColor="text1"/>
        </w:rPr>
        <w:fldChar w:fldCharType="separate"/>
      </w:r>
      <w:r w:rsidR="00F462E4" w:rsidRPr="00F462E4">
        <w:rPr>
          <w:rFonts w:cs="Times New Roman"/>
          <w:noProof/>
          <w:color w:val="000000" w:themeColor="text1"/>
        </w:rPr>
        <w:t>(</w:t>
      </w:r>
      <w:r w:rsidR="00F462E4" w:rsidRPr="00F462E4">
        <w:rPr>
          <w:rFonts w:cs="Times New Roman"/>
          <w:i/>
          <w:noProof/>
          <w:color w:val="000000" w:themeColor="text1"/>
        </w:rPr>
        <w:t>26</w:t>
      </w:r>
      <w:r w:rsidR="00F462E4" w:rsidRPr="00F462E4">
        <w:rPr>
          <w:rFonts w:cs="Times New Roman"/>
          <w:noProof/>
          <w:color w:val="000000" w:themeColor="text1"/>
        </w:rPr>
        <w:t>)</w:t>
      </w:r>
      <w:r w:rsidRPr="00DA4E1D">
        <w:rPr>
          <w:rFonts w:cs="Times New Roman"/>
          <w:color w:val="000000" w:themeColor="text1"/>
        </w:rPr>
        <w:fldChar w:fldCharType="end"/>
      </w:r>
      <w:r w:rsidRPr="00DA4E1D">
        <w:rPr>
          <w:rFonts w:eastAsia="Times New Roman" w:cs="Times New Roman"/>
          <w:color w:val="000000" w:themeColor="text1"/>
        </w:rPr>
        <w:t xml:space="preserve">.  </w:t>
      </w:r>
    </w:p>
    <w:p w14:paraId="4AB90764" w14:textId="1B9C92E0" w:rsidR="0012418B" w:rsidRDefault="0012418B" w:rsidP="004D0A64">
      <w:pPr>
        <w:spacing w:after="0" w:line="240" w:lineRule="auto"/>
        <w:jc w:val="both"/>
      </w:pPr>
    </w:p>
    <w:p w14:paraId="0DB0675E" w14:textId="2FC3EA05" w:rsidR="00301805" w:rsidRDefault="00301805" w:rsidP="004D0A64">
      <w:pPr>
        <w:pStyle w:val="Heading2"/>
        <w:jc w:val="both"/>
      </w:pPr>
      <w:r w:rsidRPr="0039707D">
        <w:t xml:space="preserve">Implementation of the Appropriateness Module </w:t>
      </w:r>
    </w:p>
    <w:p w14:paraId="308B4900" w14:textId="66BA07FA" w:rsidR="009347FA" w:rsidRDefault="00301805" w:rsidP="004D0A64">
      <w:pPr>
        <w:spacing w:after="0" w:line="240" w:lineRule="auto"/>
        <w:jc w:val="both"/>
        <w:rPr>
          <w:rFonts w:eastAsia="Times New Roman" w:cs="Times New Roman"/>
          <w:szCs w:val="20"/>
        </w:rPr>
      </w:pPr>
      <w:bookmarkStart w:id="6" w:name="_Hlk77103746"/>
      <w:r w:rsidRPr="00301805">
        <w:rPr>
          <w:rFonts w:eastAsia="Times New Roman" w:cs="Times New Roman"/>
          <w:szCs w:val="20"/>
        </w:rPr>
        <w:t>One of the main objectives of this study is to implement AHP within a decision-making framework that rank</w:t>
      </w:r>
      <w:r w:rsidR="00EA1735">
        <w:rPr>
          <w:rFonts w:eastAsia="Times New Roman" w:cs="Times New Roman"/>
          <w:szCs w:val="20"/>
        </w:rPr>
        <w:t>s</w:t>
      </w:r>
      <w:r w:rsidRPr="00301805">
        <w:rPr>
          <w:rFonts w:eastAsia="Times New Roman" w:cs="Times New Roman"/>
          <w:szCs w:val="20"/>
        </w:rPr>
        <w:t xml:space="preserve"> funding</w:t>
      </w:r>
      <w:r w:rsidR="00807DF8">
        <w:rPr>
          <w:rFonts w:eastAsia="Times New Roman" w:cs="Times New Roman"/>
          <w:szCs w:val="20"/>
        </w:rPr>
        <w:t>/</w:t>
      </w:r>
      <w:r w:rsidRPr="00301805">
        <w:rPr>
          <w:rFonts w:eastAsia="Times New Roman" w:cs="Times New Roman"/>
          <w:szCs w:val="20"/>
        </w:rPr>
        <w:t xml:space="preserve">financing mechanisms according to their appropriateness to fund user-specified projects with </w:t>
      </w:r>
      <w:r w:rsidR="000A31A3">
        <w:rPr>
          <w:rFonts w:eastAsia="Times New Roman" w:cs="Times New Roman"/>
          <w:szCs w:val="20"/>
        </w:rPr>
        <w:t>specific</w:t>
      </w:r>
      <w:r w:rsidRPr="00301805">
        <w:rPr>
          <w:rFonts w:eastAsia="Times New Roman" w:cs="Times New Roman"/>
          <w:szCs w:val="20"/>
        </w:rPr>
        <w:t xml:space="preserve"> characteristics. This objective is achieved through a three-component framework that captures the characteristics of the transportation infrastructure project at hand through a set of questions, conveys the </w:t>
      </w:r>
      <w:r w:rsidRPr="00301805">
        <w:rPr>
          <w:rFonts w:eastAsia="Times New Roman" w:cs="Times New Roman"/>
          <w:szCs w:val="20"/>
        </w:rPr>
        <w:lastRenderedPageBreak/>
        <w:t xml:space="preserve">AHP problem structuring, and combines project characteristics and AHP definitions through a computational process to determine the appropriateness score of each mechanism.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sidR="00EA1735">
        <w:rPr>
          <w:rFonts w:eastAsia="Times New Roman" w:cs="Times New Roman"/>
          <w:szCs w:val="20"/>
        </w:rPr>
        <w:t xml:space="preserve"> </w:t>
      </w:r>
      <w:r w:rsidRPr="00301805">
        <w:rPr>
          <w:rFonts w:eastAsia="Times New Roman" w:cs="Times New Roman"/>
          <w:szCs w:val="20"/>
        </w:rPr>
        <w:t>provides an overview of the major components of the framework developed in this study to rank financing mechanisms using AHP</w:t>
      </w:r>
      <w:r w:rsidR="000A31A3">
        <w:rPr>
          <w:rFonts w:eastAsia="Times New Roman" w:cs="Times New Roman"/>
          <w:szCs w:val="20"/>
        </w:rPr>
        <w:t xml:space="preserve">; each component is </w:t>
      </w:r>
      <w:r w:rsidRPr="00301805">
        <w:rPr>
          <w:rFonts w:eastAsia="Times New Roman" w:cs="Times New Roman"/>
          <w:szCs w:val="20"/>
        </w:rPr>
        <w:t>discus</w:t>
      </w:r>
      <w:r w:rsidR="000A31A3">
        <w:rPr>
          <w:rFonts w:eastAsia="Times New Roman" w:cs="Times New Roman"/>
          <w:szCs w:val="20"/>
        </w:rPr>
        <w:t>sed in detail in the next sections</w:t>
      </w:r>
      <w:r w:rsidRPr="00301805">
        <w:rPr>
          <w:rFonts w:eastAsia="Times New Roman" w:cs="Times New Roman"/>
          <w:szCs w:val="20"/>
        </w:rPr>
        <w:t xml:space="preserve">. </w:t>
      </w:r>
      <w:r w:rsidR="000B7074">
        <w:rPr>
          <w:rFonts w:eastAsia="Times New Roman" w:cs="Times New Roman"/>
          <w:szCs w:val="20"/>
        </w:rPr>
        <w:t>The solid</w:t>
      </w:r>
      <w:r w:rsidR="00EA1735">
        <w:rPr>
          <w:rFonts w:eastAsia="Times New Roman" w:cs="Times New Roman"/>
          <w:szCs w:val="20"/>
        </w:rPr>
        <w:t>-</w:t>
      </w:r>
      <w:r w:rsidR="000B7074">
        <w:rPr>
          <w:rFonts w:eastAsia="Times New Roman" w:cs="Times New Roman"/>
          <w:szCs w:val="20"/>
        </w:rPr>
        <w:t xml:space="preserve">colored boxes in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sidR="00EA1735">
        <w:rPr>
          <w:rFonts w:eastAsia="Times New Roman" w:cs="Times New Roman"/>
          <w:szCs w:val="20"/>
        </w:rPr>
        <w:t xml:space="preserve"> </w:t>
      </w:r>
      <w:r w:rsidR="000B7074">
        <w:rPr>
          <w:rFonts w:eastAsia="Times New Roman" w:cs="Times New Roman"/>
          <w:szCs w:val="20"/>
        </w:rPr>
        <w:t xml:space="preserve">represent the main outcome of each component. </w:t>
      </w:r>
      <w:bookmarkEnd w:id="6"/>
    </w:p>
    <w:p w14:paraId="41F11CDF" w14:textId="1BCB81FB" w:rsidR="009B4EA2" w:rsidRDefault="009B4EA2" w:rsidP="009347FA">
      <w:pPr>
        <w:spacing w:after="0" w:line="240" w:lineRule="auto"/>
        <w:jc w:val="both"/>
        <w:rPr>
          <w:rFonts w:eastAsia="Times New Roman" w:cs="Times New Roman"/>
          <w:szCs w:val="20"/>
        </w:rPr>
      </w:pPr>
      <w:r>
        <w:rPr>
          <w:rFonts w:eastAsia="Times New Roman" w:cs="Times New Roman"/>
          <w:noProof/>
          <w:szCs w:val="20"/>
        </w:rPr>
        <w:drawing>
          <wp:inline distT="0" distB="0" distL="0" distR="0" wp14:anchorId="566DC4B3" wp14:editId="6584157E">
            <wp:extent cx="6236841" cy="2486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6258128" cy="2494510"/>
                    </a:xfrm>
                    <a:prstGeom prst="rect">
                      <a:avLst/>
                    </a:prstGeom>
                    <a:noFill/>
                  </pic:spPr>
                </pic:pic>
              </a:graphicData>
            </a:graphic>
          </wp:inline>
        </w:drawing>
      </w:r>
    </w:p>
    <w:p w14:paraId="15F412CD" w14:textId="4598D3CE" w:rsidR="009B4EA2" w:rsidRPr="009B4EA2" w:rsidRDefault="009B4EA2" w:rsidP="009347FA">
      <w:pPr>
        <w:spacing w:after="0" w:line="240" w:lineRule="auto"/>
        <w:jc w:val="both"/>
        <w:rPr>
          <w:rFonts w:eastAsia="Times New Roman" w:cs="Times New Roman"/>
          <w:b/>
          <w:bCs/>
          <w:szCs w:val="20"/>
        </w:rPr>
      </w:pPr>
    </w:p>
    <w:p w14:paraId="776EFF99" w14:textId="08616A4F" w:rsidR="00301805" w:rsidRDefault="00301805" w:rsidP="00CD0565">
      <w:pPr>
        <w:keepNext/>
        <w:spacing w:after="60" w:line="240" w:lineRule="auto"/>
        <w:jc w:val="both"/>
        <w:rPr>
          <w:rFonts w:cs="Times New Roman"/>
          <w:b/>
          <w:color w:val="000000" w:themeColor="text1"/>
        </w:rPr>
      </w:pPr>
      <w:bookmarkStart w:id="7" w:name="_Ref77256743"/>
      <w:r w:rsidRPr="00301805">
        <w:rPr>
          <w:rFonts w:cs="Times New Roman"/>
          <w:b/>
          <w:color w:val="000000" w:themeColor="text1"/>
        </w:rPr>
        <w:t xml:space="preserve">Figure </w:t>
      </w:r>
      <w:r w:rsidRPr="00301805">
        <w:rPr>
          <w:rFonts w:cs="Times New Roman"/>
          <w:b/>
          <w:color w:val="000000" w:themeColor="text1"/>
        </w:rPr>
        <w:fldChar w:fldCharType="begin"/>
      </w:r>
      <w:r w:rsidRPr="00301805">
        <w:rPr>
          <w:rFonts w:cs="Times New Roman"/>
          <w:b/>
          <w:color w:val="000000" w:themeColor="text1"/>
        </w:rPr>
        <w:instrText>SEQ Figure \* ARABIC</w:instrText>
      </w:r>
      <w:r w:rsidRPr="00301805">
        <w:rPr>
          <w:rFonts w:cs="Times New Roman"/>
          <w:b/>
          <w:color w:val="000000" w:themeColor="text1"/>
        </w:rPr>
        <w:fldChar w:fldCharType="separate"/>
      </w:r>
      <w:r w:rsidR="00210285">
        <w:rPr>
          <w:rFonts w:cs="Times New Roman"/>
          <w:b/>
          <w:noProof/>
          <w:color w:val="000000" w:themeColor="text1"/>
        </w:rPr>
        <w:t>1</w:t>
      </w:r>
      <w:r w:rsidRPr="00301805">
        <w:rPr>
          <w:rFonts w:cs="Times New Roman"/>
          <w:b/>
          <w:color w:val="000000" w:themeColor="text1"/>
        </w:rPr>
        <w:fldChar w:fldCharType="end"/>
      </w:r>
      <w:bookmarkEnd w:id="7"/>
      <w:r w:rsidRPr="00301805">
        <w:rPr>
          <w:rFonts w:cs="Times New Roman"/>
          <w:b/>
          <w:color w:val="000000" w:themeColor="text1"/>
        </w:rPr>
        <w:t xml:space="preserve"> AHP Framework for </w:t>
      </w:r>
      <w:r w:rsidR="00807DF8">
        <w:rPr>
          <w:rFonts w:cs="Times New Roman"/>
          <w:b/>
          <w:color w:val="000000" w:themeColor="text1"/>
        </w:rPr>
        <w:t>Funding/</w:t>
      </w:r>
      <w:r w:rsidRPr="00301805">
        <w:rPr>
          <w:rFonts w:cs="Times New Roman"/>
          <w:b/>
          <w:color w:val="000000" w:themeColor="text1"/>
        </w:rPr>
        <w:t>Financing Mechanisms Appropriateness</w:t>
      </w:r>
    </w:p>
    <w:p w14:paraId="6B6926A6" w14:textId="77777777" w:rsidR="00301805" w:rsidRPr="00301805" w:rsidRDefault="00301805" w:rsidP="009747DE">
      <w:pPr>
        <w:spacing w:after="0" w:line="240" w:lineRule="auto"/>
        <w:jc w:val="both"/>
        <w:rPr>
          <w:rFonts w:cs="Times New Roman"/>
          <w:b/>
          <w:color w:val="000000" w:themeColor="text1"/>
        </w:rPr>
      </w:pPr>
    </w:p>
    <w:p w14:paraId="63B1D883" w14:textId="6C479B4C" w:rsidR="00301805" w:rsidRDefault="00301805" w:rsidP="009747DE">
      <w:pPr>
        <w:pStyle w:val="Heading3"/>
        <w:jc w:val="both"/>
      </w:pPr>
      <w:r w:rsidRPr="0043041B">
        <w:t>Problem Structuring</w:t>
      </w:r>
    </w:p>
    <w:p w14:paraId="39DF0A64" w14:textId="5C3E58DA" w:rsidR="003F680A" w:rsidRDefault="003F680A" w:rsidP="009747DE">
      <w:pPr>
        <w:spacing w:after="0" w:line="240" w:lineRule="auto"/>
        <w:jc w:val="both"/>
        <w:rPr>
          <w:rFonts w:eastAsia="Times New Roman" w:cs="Times New Roman"/>
          <w:szCs w:val="20"/>
        </w:rPr>
      </w:pPr>
      <w:r>
        <w:rPr>
          <w:rFonts w:eastAsia="Times New Roman" w:cs="Times New Roman"/>
          <w:szCs w:val="20"/>
        </w:rPr>
        <w:t>The problem structuring block in</w:t>
      </w:r>
      <w:r w:rsidR="009747DE">
        <w:rPr>
          <w:rFonts w:eastAsia="Times New Roman" w:cs="Times New Roman"/>
          <w:szCs w:val="20"/>
        </w:rPr>
        <w:t xml:space="preserve"> </w:t>
      </w:r>
      <w:r w:rsidR="009747DE" w:rsidRPr="009747DE">
        <w:rPr>
          <w:rFonts w:eastAsia="Times New Roman" w:cs="Times New Roman"/>
          <w:b/>
          <w:szCs w:val="20"/>
        </w:rPr>
        <w:t>Figure 1</w:t>
      </w:r>
      <w:r>
        <w:rPr>
          <w:rFonts w:eastAsia="Times New Roman" w:cs="Times New Roman"/>
          <w:szCs w:val="20"/>
        </w:rPr>
        <w:t xml:space="preserve"> is associated with three definitional considerations, as discussed below. </w:t>
      </w:r>
    </w:p>
    <w:p w14:paraId="3A131CAE" w14:textId="3C21EF54" w:rsidR="00301805" w:rsidRDefault="003F680A" w:rsidP="009747DE">
      <w:pPr>
        <w:spacing w:after="0" w:line="240" w:lineRule="auto"/>
        <w:jc w:val="both"/>
        <w:rPr>
          <w:rFonts w:eastAsia="Times New Roman" w:cs="Times New Roman"/>
          <w:szCs w:val="20"/>
        </w:rPr>
      </w:pPr>
      <w:r>
        <w:rPr>
          <w:rFonts w:eastAsia="Times New Roman" w:cs="Times New Roman"/>
          <w:szCs w:val="20"/>
        </w:rPr>
        <w:tab/>
        <w:t xml:space="preserve">The </w:t>
      </w:r>
      <w:r w:rsidRPr="003B0F6B">
        <w:rPr>
          <w:rFonts w:eastAsia="Times New Roman" w:cs="Times New Roman"/>
          <w:szCs w:val="20"/>
          <w:u w:val="single"/>
        </w:rPr>
        <w:t>AHP hierarchy structure definitions</w:t>
      </w:r>
      <w:r>
        <w:rPr>
          <w:rFonts w:eastAsia="Times New Roman" w:cs="Times New Roman"/>
          <w:szCs w:val="20"/>
        </w:rPr>
        <w:t xml:space="preserve"> (</w:t>
      </w:r>
      <w:r w:rsidR="000B7074">
        <w:rPr>
          <w:rFonts w:eastAsia="Times New Roman" w:cs="Times New Roman"/>
          <w:szCs w:val="20"/>
        </w:rPr>
        <w:t>leftmost</w:t>
      </w:r>
      <w:r>
        <w:rPr>
          <w:rFonts w:eastAsia="Times New Roman" w:cs="Times New Roman"/>
          <w:szCs w:val="20"/>
        </w:rPr>
        <w:t xml:space="preserve"> box within the “Problem Structuring” block in</w:t>
      </w:r>
      <w:r w:rsidR="009747DE">
        <w:rPr>
          <w:rFonts w:eastAsia="Times New Roman" w:cs="Times New Roman"/>
          <w:szCs w:val="20"/>
        </w:rPr>
        <w:t xml:space="preserve"> </w:t>
      </w:r>
      <w:r w:rsidR="009747DE" w:rsidRPr="009747DE">
        <w:rPr>
          <w:rFonts w:eastAsia="Times New Roman" w:cs="Times New Roman"/>
          <w:b/>
          <w:szCs w:val="20"/>
        </w:rPr>
        <w:t>Figure 1</w:t>
      </w:r>
      <w:r>
        <w:rPr>
          <w:rFonts w:eastAsia="Times New Roman" w:cs="Times New Roman"/>
          <w:szCs w:val="20"/>
        </w:rPr>
        <w:t xml:space="preserve">) </w:t>
      </w:r>
      <w:r w:rsidR="00301805" w:rsidRPr="00301805">
        <w:rPr>
          <w:rFonts w:eastAsia="Times New Roman" w:cs="Times New Roman"/>
          <w:szCs w:val="20"/>
        </w:rPr>
        <w:t xml:space="preserve">used for the AHP analysis </w:t>
      </w:r>
      <w:r>
        <w:rPr>
          <w:rFonts w:eastAsia="Times New Roman" w:cs="Times New Roman"/>
          <w:szCs w:val="20"/>
        </w:rPr>
        <w:t>are</w:t>
      </w:r>
      <w:r w:rsidR="00301805" w:rsidRPr="00301805">
        <w:rPr>
          <w:rFonts w:eastAsia="Times New Roman" w:cs="Times New Roman"/>
          <w:szCs w:val="20"/>
        </w:rPr>
        <w:t xml:space="preserve"> designed to address the main goal—selecting the most suitable funding</w:t>
      </w:r>
      <w:r w:rsidR="00807DF8">
        <w:rPr>
          <w:rFonts w:eastAsia="Times New Roman" w:cs="Times New Roman"/>
          <w:szCs w:val="20"/>
        </w:rPr>
        <w:t>/</w:t>
      </w:r>
      <w:r w:rsidR="00301805" w:rsidRPr="00301805">
        <w:rPr>
          <w:rFonts w:eastAsia="Times New Roman" w:cs="Times New Roman"/>
          <w:szCs w:val="20"/>
        </w:rPr>
        <w:t>financing plans for user-specified</w:t>
      </w:r>
      <w:r w:rsidR="00EA1735">
        <w:rPr>
          <w:rFonts w:eastAsia="Times New Roman" w:cs="Times New Roman"/>
          <w:szCs w:val="20"/>
        </w:rPr>
        <w:t xml:space="preserve"> </w:t>
      </w:r>
      <w:r w:rsidR="00301805" w:rsidRPr="00301805">
        <w:rPr>
          <w:rFonts w:eastAsia="Times New Roman" w:cs="Times New Roman"/>
          <w:szCs w:val="20"/>
        </w:rPr>
        <w:t>projects. The overall objective is to rank funding</w:t>
      </w:r>
      <w:r w:rsidR="00807DF8">
        <w:rPr>
          <w:rFonts w:eastAsia="Times New Roman" w:cs="Times New Roman"/>
          <w:szCs w:val="20"/>
        </w:rPr>
        <w:t>/</w:t>
      </w:r>
      <w:r w:rsidR="00301805" w:rsidRPr="00301805">
        <w:rPr>
          <w:rFonts w:eastAsia="Times New Roman" w:cs="Times New Roman"/>
          <w:szCs w:val="20"/>
        </w:rPr>
        <w:t>financing mechanisms</w:t>
      </w:r>
      <w:r>
        <w:rPr>
          <w:rFonts w:eastAsia="Times New Roman" w:cs="Times New Roman"/>
          <w:szCs w:val="20"/>
        </w:rPr>
        <w:t xml:space="preserve">, which </w:t>
      </w:r>
      <w:r w:rsidR="00301805" w:rsidRPr="00301805">
        <w:rPr>
          <w:rFonts w:eastAsia="Times New Roman" w:cs="Times New Roman"/>
          <w:szCs w:val="20"/>
        </w:rPr>
        <w:t>is placed at the top level in the hierarchy (Level 0)</w:t>
      </w:r>
      <w:r>
        <w:rPr>
          <w:rFonts w:eastAsia="Times New Roman" w:cs="Times New Roman"/>
          <w:szCs w:val="20"/>
        </w:rPr>
        <w:t xml:space="preserve"> as shown in </w:t>
      </w:r>
      <w:r w:rsidR="009747DE" w:rsidRPr="009747DE">
        <w:rPr>
          <w:rFonts w:eastAsia="Times New Roman" w:cs="Times New Roman"/>
          <w:b/>
          <w:szCs w:val="20"/>
        </w:rPr>
        <w:t>Figure 2</w:t>
      </w:r>
      <w:r w:rsidR="009747DE">
        <w:rPr>
          <w:rFonts w:eastAsia="Times New Roman" w:cs="Times New Roman"/>
          <w:szCs w:val="20"/>
        </w:rPr>
        <w:t xml:space="preserve">. </w:t>
      </w:r>
      <w:r w:rsidR="00301805" w:rsidRPr="00301805">
        <w:rPr>
          <w:rFonts w:eastAsia="Times New Roman" w:cs="Times New Roman"/>
          <w:szCs w:val="20"/>
        </w:rPr>
        <w:t>Level 1 includes the criteria for evaluating the performance of alternatives</w:t>
      </w:r>
      <w:r>
        <w:rPr>
          <w:rFonts w:eastAsia="Times New Roman" w:cs="Times New Roman"/>
          <w:szCs w:val="20"/>
        </w:rPr>
        <w:t xml:space="preserve">, while the alternatives themselves are </w:t>
      </w:r>
      <w:r w:rsidR="00301805" w:rsidRPr="00301805">
        <w:rPr>
          <w:rFonts w:eastAsia="Times New Roman" w:cs="Times New Roman"/>
          <w:szCs w:val="20"/>
        </w:rPr>
        <w:t xml:space="preserve">placed at the bottom level (Level 2) of the hierarchy. </w:t>
      </w:r>
    </w:p>
    <w:p w14:paraId="2198D1EE" w14:textId="1148413D" w:rsidR="009E1780" w:rsidRDefault="009E1780" w:rsidP="009747DE">
      <w:pPr>
        <w:spacing w:after="0" w:line="240" w:lineRule="auto"/>
        <w:jc w:val="both"/>
        <w:rPr>
          <w:rFonts w:eastAsia="Times New Roman" w:cs="Times New Roman"/>
          <w:szCs w:val="20"/>
        </w:rPr>
      </w:pPr>
    </w:p>
    <w:p w14:paraId="1BFB85B9" w14:textId="178085E7" w:rsidR="00DA2E89" w:rsidRPr="00301805" w:rsidRDefault="00DA2E89" w:rsidP="00807DF8">
      <w:pPr>
        <w:spacing w:after="0" w:line="240" w:lineRule="auto"/>
        <w:jc w:val="both"/>
        <w:rPr>
          <w:rFonts w:eastAsia="Times New Roman" w:cs="Times New Roman"/>
          <w:szCs w:val="20"/>
        </w:rPr>
      </w:pPr>
      <w:r w:rsidRPr="00DA2E89">
        <w:rPr>
          <w:noProof/>
        </w:rPr>
        <w:drawing>
          <wp:inline distT="0" distB="0" distL="0" distR="0" wp14:anchorId="77C7EF76" wp14:editId="31052289">
            <wp:extent cx="6089904" cy="2276856"/>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9904" cy="2276856"/>
                    </a:xfrm>
                    <a:prstGeom prst="rect">
                      <a:avLst/>
                    </a:prstGeom>
                    <a:noFill/>
                    <a:ln>
                      <a:noFill/>
                    </a:ln>
                  </pic:spPr>
                </pic:pic>
              </a:graphicData>
            </a:graphic>
          </wp:inline>
        </w:drawing>
      </w:r>
    </w:p>
    <w:p w14:paraId="150174DA" w14:textId="77777777" w:rsidR="009347FA" w:rsidRDefault="009347FA" w:rsidP="009347FA">
      <w:pPr>
        <w:pStyle w:val="Caption"/>
        <w:spacing w:after="0"/>
        <w:jc w:val="both"/>
        <w:rPr>
          <w:rFonts w:eastAsiaTheme="minorHAnsi"/>
          <w:bCs w:val="0"/>
          <w:sz w:val="22"/>
          <w:szCs w:val="22"/>
        </w:rPr>
      </w:pPr>
      <w:bookmarkStart w:id="8" w:name="_Ref77256761"/>
    </w:p>
    <w:p w14:paraId="30A399CB" w14:textId="13890B33" w:rsidR="00301805" w:rsidRDefault="00301805" w:rsidP="00807DF8">
      <w:pPr>
        <w:pStyle w:val="Caption"/>
        <w:jc w:val="both"/>
        <w:rPr>
          <w:rFonts w:eastAsiaTheme="minorHAnsi"/>
          <w:bCs w:val="0"/>
          <w:sz w:val="22"/>
          <w:szCs w:val="22"/>
        </w:rPr>
      </w:pPr>
      <w:r w:rsidRPr="00301805">
        <w:rPr>
          <w:rFonts w:eastAsiaTheme="minorHAnsi"/>
          <w:bCs w:val="0"/>
          <w:sz w:val="22"/>
          <w:szCs w:val="22"/>
        </w:rPr>
        <w:t xml:space="preserve">Figure </w:t>
      </w:r>
      <w:r w:rsidRPr="00301805">
        <w:rPr>
          <w:rFonts w:eastAsiaTheme="minorHAnsi"/>
          <w:bCs w:val="0"/>
          <w:sz w:val="22"/>
          <w:szCs w:val="22"/>
        </w:rPr>
        <w:fldChar w:fldCharType="begin"/>
      </w:r>
      <w:r w:rsidRPr="00301805">
        <w:rPr>
          <w:rFonts w:eastAsiaTheme="minorHAnsi"/>
          <w:bCs w:val="0"/>
          <w:sz w:val="22"/>
          <w:szCs w:val="22"/>
        </w:rPr>
        <w:instrText>SEQ Figure \* ARABIC</w:instrText>
      </w:r>
      <w:r w:rsidRPr="00301805">
        <w:rPr>
          <w:rFonts w:eastAsiaTheme="minorHAnsi"/>
          <w:bCs w:val="0"/>
          <w:sz w:val="22"/>
          <w:szCs w:val="22"/>
        </w:rPr>
        <w:fldChar w:fldCharType="separate"/>
      </w:r>
      <w:r w:rsidR="00210285">
        <w:rPr>
          <w:rFonts w:eastAsiaTheme="minorHAnsi"/>
          <w:bCs w:val="0"/>
          <w:noProof/>
          <w:sz w:val="22"/>
          <w:szCs w:val="22"/>
        </w:rPr>
        <w:t>2</w:t>
      </w:r>
      <w:r w:rsidRPr="00301805">
        <w:rPr>
          <w:rFonts w:eastAsiaTheme="minorHAnsi"/>
          <w:bCs w:val="0"/>
          <w:sz w:val="22"/>
          <w:szCs w:val="22"/>
        </w:rPr>
        <w:fldChar w:fldCharType="end"/>
      </w:r>
      <w:bookmarkEnd w:id="8"/>
      <w:r w:rsidRPr="00301805">
        <w:rPr>
          <w:rFonts w:eastAsiaTheme="minorHAnsi"/>
          <w:bCs w:val="0"/>
          <w:sz w:val="22"/>
          <w:szCs w:val="22"/>
        </w:rPr>
        <w:t xml:space="preserve"> Hierarchy Structure for AHP Analysis</w:t>
      </w:r>
    </w:p>
    <w:p w14:paraId="66D780C3" w14:textId="04182295" w:rsidR="00690C12" w:rsidRPr="00807DF8" w:rsidRDefault="003F680A" w:rsidP="00CD6B2C">
      <w:pPr>
        <w:spacing w:after="0"/>
        <w:jc w:val="both"/>
        <w:rPr>
          <w:rFonts w:cs="Times New Roman"/>
        </w:rPr>
      </w:pPr>
      <w:r>
        <w:lastRenderedPageBreak/>
        <w:tab/>
      </w:r>
      <w:r w:rsidRPr="00807DF8">
        <w:rPr>
          <w:rFonts w:cs="Times New Roman"/>
        </w:rPr>
        <w:t xml:space="preserve">The </w:t>
      </w:r>
      <w:r w:rsidRPr="00807DF8">
        <w:rPr>
          <w:rFonts w:cs="Times New Roman"/>
          <w:u w:val="single"/>
        </w:rPr>
        <w:t>decision criteria definitions</w:t>
      </w:r>
      <w:r w:rsidRPr="00807DF8">
        <w:rPr>
          <w:rFonts w:cs="Times New Roman"/>
        </w:rPr>
        <w:t xml:space="preserve"> </w:t>
      </w:r>
      <w:r w:rsidR="00E10D28" w:rsidRPr="00807DF8">
        <w:rPr>
          <w:rFonts w:cs="Times New Roman"/>
        </w:rPr>
        <w:t xml:space="preserve">(the </w:t>
      </w:r>
      <w:r w:rsidR="000B7074" w:rsidRPr="00807DF8">
        <w:rPr>
          <w:rFonts w:cs="Times New Roman"/>
        </w:rPr>
        <w:t xml:space="preserve">top-right </w:t>
      </w:r>
      <w:r w:rsidR="00E10D28" w:rsidRPr="00807DF8">
        <w:rPr>
          <w:rFonts w:cs="Times New Roman"/>
        </w:rPr>
        <w:t xml:space="preserve">box within the </w:t>
      </w:r>
      <w:r w:rsidR="00EA1735">
        <w:rPr>
          <w:rFonts w:cs="Times New Roman"/>
        </w:rPr>
        <w:t>“P</w:t>
      </w:r>
      <w:r w:rsidR="00E10D28" w:rsidRPr="00807DF8">
        <w:rPr>
          <w:rFonts w:cs="Times New Roman"/>
        </w:rPr>
        <w:t xml:space="preserve">roblem </w:t>
      </w:r>
      <w:r w:rsidR="00EA1735">
        <w:rPr>
          <w:rFonts w:cs="Times New Roman"/>
        </w:rPr>
        <w:t>S</w:t>
      </w:r>
      <w:r w:rsidR="00E10D28" w:rsidRPr="00807DF8">
        <w:rPr>
          <w:rFonts w:cs="Times New Roman"/>
        </w:rPr>
        <w:t>tructuring</w:t>
      </w:r>
      <w:r w:rsidR="00EA1735">
        <w:rPr>
          <w:rFonts w:cs="Times New Roman"/>
        </w:rPr>
        <w:t>”</w:t>
      </w:r>
      <w:r w:rsidR="00E10D28" w:rsidRPr="00807DF8">
        <w:rPr>
          <w:rFonts w:cs="Times New Roman"/>
        </w:rPr>
        <w:t xml:space="preserve"> </w:t>
      </w:r>
      <w:r w:rsidR="00587298" w:rsidRPr="00807DF8">
        <w:rPr>
          <w:rFonts w:cs="Times New Roman"/>
        </w:rPr>
        <w:t>block</w:t>
      </w:r>
      <w:r w:rsidR="00E10D28" w:rsidRPr="00807DF8">
        <w:rPr>
          <w:rFonts w:cs="Times New Roman"/>
        </w:rPr>
        <w:t xml:space="preserve"> of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sidR="00E10D28" w:rsidRPr="00807DF8">
        <w:rPr>
          <w:rFonts w:cs="Times New Roman"/>
        </w:rPr>
        <w:t xml:space="preserve">) assist in providing a transparent mechanism to support </w:t>
      </w:r>
      <w:r w:rsidR="00AF400D" w:rsidRPr="00807DF8">
        <w:rPr>
          <w:rFonts w:cs="Times New Roman"/>
        </w:rPr>
        <w:t>results and</w:t>
      </w:r>
      <w:r w:rsidR="007119EA" w:rsidRPr="00807DF8">
        <w:rPr>
          <w:rFonts w:cs="Times New Roman"/>
        </w:rPr>
        <w:t xml:space="preserve"> evaluate </w:t>
      </w:r>
      <w:r w:rsidR="00690C12" w:rsidRPr="00807DF8">
        <w:rPr>
          <w:rFonts w:cs="Times New Roman"/>
        </w:rPr>
        <w:t>the appropriateness of funding</w:t>
      </w:r>
      <w:r w:rsidR="00807DF8" w:rsidRPr="00807DF8">
        <w:rPr>
          <w:rFonts w:cs="Times New Roman"/>
        </w:rPr>
        <w:t>/</w:t>
      </w:r>
      <w:r w:rsidR="00690C12" w:rsidRPr="00807DF8">
        <w:rPr>
          <w:rFonts w:cs="Times New Roman"/>
        </w:rPr>
        <w:t xml:space="preserve">financing mechanisms for transportation projects based on a set of criteria </w:t>
      </w:r>
      <w:r w:rsidRPr="00807DF8">
        <w:rPr>
          <w:rFonts w:cs="Times New Roman"/>
        </w:rPr>
        <w:t xml:space="preserve">informed by our </w:t>
      </w:r>
      <w:r w:rsidR="00690C12" w:rsidRPr="00807DF8">
        <w:rPr>
          <w:rFonts w:cs="Times New Roman"/>
        </w:rPr>
        <w:t>literature review. Th</w:t>
      </w:r>
      <w:r w:rsidRPr="00807DF8">
        <w:rPr>
          <w:rFonts w:cs="Times New Roman"/>
        </w:rPr>
        <w:t xml:space="preserve">is list </w:t>
      </w:r>
      <w:r w:rsidR="00690C12" w:rsidRPr="00807DF8">
        <w:rPr>
          <w:rFonts w:cs="Times New Roman"/>
        </w:rPr>
        <w:t>in</w:t>
      </w:r>
      <w:r w:rsidRPr="00807DF8">
        <w:rPr>
          <w:rFonts w:cs="Times New Roman"/>
        </w:rPr>
        <w:t>cludes</w:t>
      </w:r>
      <w:r w:rsidR="00690C12" w:rsidRPr="00807DF8">
        <w:rPr>
          <w:rFonts w:cs="Times New Roman"/>
        </w:rPr>
        <w:t xml:space="preserve"> four main categories</w:t>
      </w:r>
      <w:r w:rsidRPr="00807DF8">
        <w:rPr>
          <w:rFonts w:cs="Times New Roman"/>
        </w:rPr>
        <w:t xml:space="preserve">, with sub-categories, as presented in </w:t>
      </w:r>
      <w:r w:rsidR="00690C12" w:rsidRPr="00EA1735">
        <w:rPr>
          <w:rFonts w:cs="Times New Roman"/>
          <w:b/>
          <w:bCs/>
        </w:rPr>
        <w:fldChar w:fldCharType="begin"/>
      </w:r>
      <w:r w:rsidR="00690C12" w:rsidRPr="00CD0565">
        <w:rPr>
          <w:rFonts w:cs="Times New Roman"/>
          <w:b/>
          <w:bCs/>
        </w:rPr>
        <w:instrText xml:space="preserve"> REF _Ref77257593 \h  \* MERGEFORMAT </w:instrText>
      </w:r>
      <w:r w:rsidR="00690C12" w:rsidRPr="00EA1735">
        <w:rPr>
          <w:rFonts w:cs="Times New Roman"/>
          <w:b/>
          <w:bCs/>
        </w:rPr>
      </w:r>
      <w:r w:rsidR="00690C12" w:rsidRPr="00EA1735">
        <w:rPr>
          <w:rFonts w:cs="Times New Roman"/>
          <w:b/>
          <w:bCs/>
        </w:rPr>
        <w:fldChar w:fldCharType="separate"/>
      </w:r>
      <w:r w:rsidR="00210285" w:rsidRPr="00210285">
        <w:rPr>
          <w:rFonts w:cs="Times New Roman"/>
          <w:b/>
          <w:bCs/>
        </w:rPr>
        <w:t xml:space="preserve">Table </w:t>
      </w:r>
      <w:r w:rsidR="00210285" w:rsidRPr="00210285">
        <w:rPr>
          <w:rFonts w:cs="Times New Roman"/>
          <w:b/>
          <w:bCs/>
          <w:noProof/>
        </w:rPr>
        <w:t>1</w:t>
      </w:r>
      <w:r w:rsidR="00690C12" w:rsidRPr="00EA1735">
        <w:rPr>
          <w:rFonts w:cs="Times New Roman"/>
          <w:b/>
          <w:bCs/>
        </w:rPr>
        <w:fldChar w:fldCharType="end"/>
      </w:r>
      <w:r w:rsidRPr="00807DF8">
        <w:rPr>
          <w:rFonts w:cs="Times New Roman"/>
        </w:rPr>
        <w:t>.</w:t>
      </w:r>
      <w:r w:rsidR="00690C12" w:rsidRPr="00807DF8">
        <w:rPr>
          <w:rFonts w:cs="Times New Roman"/>
        </w:rPr>
        <w:t xml:space="preserve"> </w:t>
      </w:r>
    </w:p>
    <w:p w14:paraId="7473B12C" w14:textId="77777777" w:rsidR="00690C12" w:rsidRPr="00CD6B2C" w:rsidRDefault="00690C12" w:rsidP="00CD6B2C">
      <w:pPr>
        <w:spacing w:after="0" w:line="240" w:lineRule="auto"/>
        <w:jc w:val="both"/>
      </w:pPr>
    </w:p>
    <w:p w14:paraId="1560DA40" w14:textId="22B03A41" w:rsidR="00690C12" w:rsidRPr="00CD6B2C" w:rsidRDefault="00715539" w:rsidP="0063475C">
      <w:pPr>
        <w:spacing w:line="240" w:lineRule="auto"/>
        <w:jc w:val="both"/>
        <w:rPr>
          <w:rFonts w:eastAsia="Times New Roman" w:cs="Times New Roman"/>
          <w:b/>
          <w:bCs/>
          <w:color w:val="000000" w:themeColor="text1"/>
        </w:rPr>
      </w:pPr>
      <w:bookmarkStart w:id="9" w:name="_Ref77257593"/>
      <w:r w:rsidRPr="00CD6B2C">
        <w:rPr>
          <w:rFonts w:eastAsia="Times New Roman" w:cs="Times New Roman"/>
          <w:b/>
          <w:bCs/>
          <w:color w:val="000000" w:themeColor="text1"/>
        </w:rPr>
        <w:t xml:space="preserve">Table </w:t>
      </w:r>
      <w:r w:rsidR="00690C12" w:rsidRPr="00CD6B2C">
        <w:rPr>
          <w:rFonts w:eastAsia="Times New Roman" w:cs="Times New Roman"/>
          <w:b/>
          <w:bCs/>
          <w:color w:val="000000" w:themeColor="text1"/>
        </w:rPr>
        <w:fldChar w:fldCharType="begin"/>
      </w:r>
      <w:r w:rsidR="00690C12" w:rsidRPr="00CD6B2C">
        <w:rPr>
          <w:rFonts w:eastAsia="Times New Roman" w:cs="Times New Roman"/>
          <w:b/>
          <w:bCs/>
          <w:color w:val="000000" w:themeColor="text1"/>
        </w:rPr>
        <w:instrText>SEQ Table \* ARABIC</w:instrText>
      </w:r>
      <w:r w:rsidR="00690C12" w:rsidRPr="00CD6B2C">
        <w:rPr>
          <w:rFonts w:eastAsia="Times New Roman" w:cs="Times New Roman"/>
          <w:b/>
          <w:bCs/>
          <w:color w:val="000000" w:themeColor="text1"/>
        </w:rPr>
        <w:fldChar w:fldCharType="separate"/>
      </w:r>
      <w:r w:rsidR="00210285">
        <w:rPr>
          <w:rFonts w:eastAsia="Times New Roman" w:cs="Times New Roman"/>
          <w:b/>
          <w:bCs/>
          <w:noProof/>
          <w:color w:val="000000" w:themeColor="text1"/>
        </w:rPr>
        <w:t>1</w:t>
      </w:r>
      <w:r w:rsidR="00690C12" w:rsidRPr="00CD6B2C">
        <w:rPr>
          <w:rFonts w:eastAsia="Times New Roman" w:cs="Times New Roman"/>
          <w:b/>
          <w:bCs/>
          <w:color w:val="000000" w:themeColor="text1"/>
        </w:rPr>
        <w:fldChar w:fldCharType="end"/>
      </w:r>
      <w:bookmarkEnd w:id="9"/>
      <w:r w:rsidR="00690C12" w:rsidRPr="00CD6B2C">
        <w:rPr>
          <w:rFonts w:eastAsia="Times New Roman" w:cs="Times New Roman"/>
          <w:b/>
          <w:bCs/>
          <w:color w:val="000000" w:themeColor="text1"/>
        </w:rPr>
        <w:t xml:space="preserve"> Funding</w:t>
      </w:r>
      <w:r w:rsidR="00807DF8" w:rsidRPr="00CD6B2C">
        <w:rPr>
          <w:rFonts w:eastAsia="Times New Roman" w:cs="Times New Roman"/>
          <w:b/>
          <w:bCs/>
          <w:color w:val="000000" w:themeColor="text1"/>
        </w:rPr>
        <w:t>/</w:t>
      </w:r>
      <w:r w:rsidR="00690C12" w:rsidRPr="00CD6B2C">
        <w:rPr>
          <w:rFonts w:eastAsia="Times New Roman" w:cs="Times New Roman"/>
          <w:b/>
          <w:bCs/>
          <w:color w:val="000000" w:themeColor="text1"/>
        </w:rPr>
        <w:t>Financing Criteria Adopted in the Appropriateness Module</w:t>
      </w:r>
    </w:p>
    <w:tbl>
      <w:tblPr>
        <w:tblStyle w:val="TableGrid2"/>
        <w:tblW w:w="9360" w:type="dxa"/>
        <w:tblLayout w:type="fixed"/>
        <w:tblLook w:val="06A0" w:firstRow="1" w:lastRow="0" w:firstColumn="1" w:lastColumn="0" w:noHBand="1" w:noVBand="1"/>
      </w:tblPr>
      <w:tblGrid>
        <w:gridCol w:w="1980"/>
        <w:gridCol w:w="7380"/>
      </w:tblGrid>
      <w:tr w:rsidR="00690C12" w:rsidRPr="004D0A64" w14:paraId="276FE1D4" w14:textId="77777777" w:rsidTr="00807DF8">
        <w:trPr>
          <w:tblHeader/>
        </w:trPr>
        <w:tc>
          <w:tcPr>
            <w:tcW w:w="1980" w:type="dxa"/>
            <w:vAlign w:val="center"/>
          </w:tcPr>
          <w:p w14:paraId="3FA18711" w14:textId="77777777" w:rsidR="00690C12" w:rsidRPr="004D0A64" w:rsidRDefault="00690C12" w:rsidP="00807DF8">
            <w:pPr>
              <w:jc w:val="both"/>
              <w:rPr>
                <w:rFonts w:eastAsia="Times New Roman" w:cs="Times New Roman"/>
                <w:b/>
                <w:bCs/>
                <w:sz w:val="21"/>
                <w:szCs w:val="21"/>
              </w:rPr>
            </w:pPr>
            <w:bookmarkStart w:id="10" w:name="_Hlk77323502"/>
            <w:r w:rsidRPr="004D0A64">
              <w:rPr>
                <w:rFonts w:eastAsia="Times New Roman" w:cs="Times New Roman"/>
                <w:b/>
                <w:bCs/>
                <w:sz w:val="21"/>
                <w:szCs w:val="21"/>
              </w:rPr>
              <w:t>Criteria</w:t>
            </w:r>
          </w:p>
        </w:tc>
        <w:tc>
          <w:tcPr>
            <w:tcW w:w="7380" w:type="dxa"/>
            <w:vAlign w:val="center"/>
          </w:tcPr>
          <w:p w14:paraId="32C76B65" w14:textId="77777777" w:rsidR="00690C12" w:rsidRPr="004D0A64" w:rsidRDefault="00690C12" w:rsidP="00807DF8">
            <w:pPr>
              <w:jc w:val="both"/>
              <w:rPr>
                <w:rFonts w:eastAsia="Times New Roman" w:cs="Times New Roman"/>
                <w:b/>
                <w:bCs/>
                <w:sz w:val="21"/>
                <w:szCs w:val="21"/>
              </w:rPr>
            </w:pPr>
            <w:r w:rsidRPr="004D0A64">
              <w:rPr>
                <w:rFonts w:eastAsia="Times New Roman" w:cs="Times New Roman"/>
                <w:b/>
                <w:bCs/>
                <w:sz w:val="21"/>
                <w:szCs w:val="21"/>
              </w:rPr>
              <w:t>Description</w:t>
            </w:r>
          </w:p>
        </w:tc>
      </w:tr>
      <w:tr w:rsidR="00690C12" w:rsidRPr="004D0A64" w14:paraId="034E117A" w14:textId="77777777" w:rsidTr="00807DF8">
        <w:tc>
          <w:tcPr>
            <w:tcW w:w="9360" w:type="dxa"/>
            <w:gridSpan w:val="2"/>
            <w:vAlign w:val="center"/>
          </w:tcPr>
          <w:p w14:paraId="0A373738" w14:textId="77777777" w:rsidR="00690C12" w:rsidRPr="004D0A64" w:rsidRDefault="00690C12" w:rsidP="00807DF8">
            <w:pPr>
              <w:spacing w:line="257" w:lineRule="auto"/>
              <w:jc w:val="both"/>
              <w:rPr>
                <w:rFonts w:eastAsia="Times New Roman" w:cs="Times New Roman"/>
                <w:b/>
                <w:bCs/>
                <w:sz w:val="21"/>
                <w:szCs w:val="21"/>
              </w:rPr>
            </w:pPr>
            <w:r w:rsidRPr="004D0A64">
              <w:rPr>
                <w:rFonts w:eastAsia="Times New Roman" w:cs="Times New Roman"/>
                <w:b/>
                <w:bCs/>
                <w:sz w:val="21"/>
                <w:szCs w:val="21"/>
              </w:rPr>
              <w:t>Revenue Stream Considerations</w:t>
            </w:r>
          </w:p>
        </w:tc>
      </w:tr>
      <w:tr w:rsidR="00690C12" w:rsidRPr="004D0A64" w14:paraId="05201D0F" w14:textId="77777777" w:rsidTr="00807DF8">
        <w:tc>
          <w:tcPr>
            <w:tcW w:w="1980" w:type="dxa"/>
            <w:vAlign w:val="center"/>
          </w:tcPr>
          <w:p w14:paraId="65011649"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Predictability</w:t>
            </w:r>
          </w:p>
        </w:tc>
        <w:tc>
          <w:tcPr>
            <w:tcW w:w="7380" w:type="dxa"/>
            <w:vAlign w:val="center"/>
          </w:tcPr>
          <w:p w14:paraId="75C0EBB9"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Predictability reflects the presence of sufficient information to make reliable predictions and reliably forecast any possible variations in revenue generation.</w:t>
            </w:r>
          </w:p>
        </w:tc>
      </w:tr>
      <w:tr w:rsidR="00690C12" w:rsidRPr="004D0A64" w14:paraId="482C941D" w14:textId="77777777" w:rsidTr="00807DF8">
        <w:tc>
          <w:tcPr>
            <w:tcW w:w="1980" w:type="dxa"/>
            <w:vAlign w:val="center"/>
          </w:tcPr>
          <w:p w14:paraId="3C077DE0"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Stability</w:t>
            </w:r>
          </w:p>
        </w:tc>
        <w:tc>
          <w:tcPr>
            <w:tcW w:w="7380" w:type="dxa"/>
            <w:vAlign w:val="center"/>
          </w:tcPr>
          <w:p w14:paraId="0674C169"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The stability criterion refers to the level of uncertainty and fluctuation in revenues that can impact an agency’s ability to manage resources. Stable mechanisms are not expected to deviate significantly during periods of economic downturn or changes in travel behavior.</w:t>
            </w:r>
          </w:p>
        </w:tc>
      </w:tr>
      <w:tr w:rsidR="00690C12" w:rsidRPr="004D0A64" w14:paraId="31C4870F" w14:textId="77777777" w:rsidTr="00807DF8">
        <w:tc>
          <w:tcPr>
            <w:tcW w:w="1980" w:type="dxa"/>
            <w:vAlign w:val="center"/>
          </w:tcPr>
          <w:p w14:paraId="713AF480"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Sustainability</w:t>
            </w:r>
          </w:p>
        </w:tc>
        <w:tc>
          <w:tcPr>
            <w:tcW w:w="7380" w:type="dxa"/>
            <w:vAlign w:val="center"/>
          </w:tcPr>
          <w:p w14:paraId="7DC2B5C7"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Sustainability reflects the degree or extent to which a mechanism can be adjusted to keep pace with inflation and funding demand changes. This also involves the scalability to meet funding demands. This measure can also reflect the timeframe during which the mechanism remains a viable revenue source. The authors took these considerations into account while deriving the sustainability of alternative revenue mechanisms.</w:t>
            </w:r>
          </w:p>
        </w:tc>
      </w:tr>
      <w:tr w:rsidR="00690C12" w:rsidRPr="004D0A64" w14:paraId="32B6BD50" w14:textId="77777777" w:rsidTr="00807DF8">
        <w:tc>
          <w:tcPr>
            <w:tcW w:w="1980" w:type="dxa"/>
            <w:vAlign w:val="center"/>
          </w:tcPr>
          <w:p w14:paraId="5B7E165A"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Revenue potential</w:t>
            </w:r>
          </w:p>
        </w:tc>
        <w:tc>
          <w:tcPr>
            <w:tcW w:w="7380" w:type="dxa"/>
            <w:vAlign w:val="center"/>
          </w:tcPr>
          <w:p w14:paraId="0F2C549D"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Revenue potential is a measure of an individual mechanism’s ability to yield significant revenue. For the scope of this study, mechanisms’ revenue potential is considered in the context of funding for the overall surface transportation system. Consequently, mechanisms must generate significant revenue, such as that achieved by the gas tax, to receive a high score.</w:t>
            </w:r>
          </w:p>
        </w:tc>
      </w:tr>
      <w:tr w:rsidR="00690C12" w:rsidRPr="004D0A64" w14:paraId="604D3A7A" w14:textId="77777777" w:rsidTr="00807DF8">
        <w:tc>
          <w:tcPr>
            <w:tcW w:w="9360" w:type="dxa"/>
            <w:gridSpan w:val="2"/>
            <w:vAlign w:val="center"/>
          </w:tcPr>
          <w:p w14:paraId="27897B55" w14:textId="77777777" w:rsidR="00690C12" w:rsidRPr="004D0A64" w:rsidRDefault="00690C12" w:rsidP="00C71206">
            <w:pPr>
              <w:spacing w:line="257" w:lineRule="auto"/>
              <w:rPr>
                <w:rFonts w:eastAsia="Times New Roman" w:cs="Times New Roman"/>
                <w:b/>
                <w:bCs/>
                <w:sz w:val="21"/>
                <w:szCs w:val="21"/>
              </w:rPr>
            </w:pPr>
            <w:r w:rsidRPr="004D0A64">
              <w:rPr>
                <w:rFonts w:eastAsia="Times New Roman" w:cs="Times New Roman"/>
                <w:b/>
                <w:bCs/>
                <w:sz w:val="21"/>
                <w:szCs w:val="21"/>
              </w:rPr>
              <w:t>Implementation and Administration Considerations</w:t>
            </w:r>
          </w:p>
        </w:tc>
      </w:tr>
      <w:tr w:rsidR="00690C12" w:rsidRPr="004D0A64" w14:paraId="3E1859C8" w14:textId="77777777" w:rsidTr="00807DF8">
        <w:tc>
          <w:tcPr>
            <w:tcW w:w="1980" w:type="dxa"/>
            <w:vAlign w:val="center"/>
          </w:tcPr>
          <w:p w14:paraId="0DC948EB"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Current use status</w:t>
            </w:r>
          </w:p>
        </w:tc>
        <w:tc>
          <w:tcPr>
            <w:tcW w:w="7380" w:type="dxa"/>
            <w:vAlign w:val="center"/>
          </w:tcPr>
          <w:p w14:paraId="7DFF16BD"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This criterion reflects whether a mechanism is currently in use at the specific state level, being considered, or completely new.</w:t>
            </w:r>
          </w:p>
        </w:tc>
      </w:tr>
      <w:tr w:rsidR="00690C12" w:rsidRPr="004D0A64" w14:paraId="730093D3" w14:textId="77777777" w:rsidTr="00807DF8">
        <w:tc>
          <w:tcPr>
            <w:tcW w:w="1980" w:type="dxa"/>
            <w:vAlign w:val="center"/>
          </w:tcPr>
          <w:p w14:paraId="473910B8"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Ease of implementation</w:t>
            </w:r>
          </w:p>
        </w:tc>
        <w:tc>
          <w:tcPr>
            <w:tcW w:w="7380" w:type="dxa"/>
            <w:vAlign w:val="center"/>
          </w:tcPr>
          <w:p w14:paraId="73432C1F"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Ease of implementation reflects the complexity and cost of implementing and administering new funding mechanisms.</w:t>
            </w:r>
          </w:p>
        </w:tc>
      </w:tr>
      <w:tr w:rsidR="00690C12" w:rsidRPr="004D0A64" w14:paraId="52729FDB" w14:textId="77777777" w:rsidTr="00807DF8">
        <w:tc>
          <w:tcPr>
            <w:tcW w:w="1980" w:type="dxa"/>
            <w:vAlign w:val="center"/>
          </w:tcPr>
          <w:p w14:paraId="7833FB83"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Ability to enforce</w:t>
            </w:r>
          </w:p>
        </w:tc>
        <w:tc>
          <w:tcPr>
            <w:tcW w:w="7380" w:type="dxa"/>
            <w:vAlign w:val="center"/>
          </w:tcPr>
          <w:p w14:paraId="7D44C626" w14:textId="1D41775E"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The ability to enforce reflects a mechanism’s enforcement complexity and cost—it is a measure of the resources an agency has to invest to minimize payer evasion.</w:t>
            </w:r>
          </w:p>
        </w:tc>
      </w:tr>
      <w:tr w:rsidR="00690C12" w:rsidRPr="004D0A64" w14:paraId="60BFB51F" w14:textId="77777777" w:rsidTr="00807DF8">
        <w:tc>
          <w:tcPr>
            <w:tcW w:w="1980" w:type="dxa"/>
            <w:vAlign w:val="center"/>
          </w:tcPr>
          <w:p w14:paraId="126B7EBC"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Public acceptance (Political viability)</w:t>
            </w:r>
          </w:p>
        </w:tc>
        <w:tc>
          <w:tcPr>
            <w:tcW w:w="7380" w:type="dxa"/>
            <w:vAlign w:val="center"/>
          </w:tcPr>
          <w:p w14:paraId="40E9B489"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This criterion reflects a mechanism’s ability to gain public acceptance, which in turn has a direct impact on the political viability of the mechanism. The level of public acceptance is dynamic and can change depending on technological advances or educational efforts.</w:t>
            </w:r>
          </w:p>
        </w:tc>
      </w:tr>
      <w:tr w:rsidR="00690C12" w:rsidRPr="004D0A64" w14:paraId="182BE06A" w14:textId="77777777" w:rsidTr="00807DF8">
        <w:tc>
          <w:tcPr>
            <w:tcW w:w="9360" w:type="dxa"/>
            <w:gridSpan w:val="2"/>
            <w:vAlign w:val="center"/>
          </w:tcPr>
          <w:p w14:paraId="35945FCC" w14:textId="77777777" w:rsidR="00690C12" w:rsidRPr="004D0A64" w:rsidRDefault="00690C12" w:rsidP="00C71206">
            <w:pPr>
              <w:spacing w:line="257" w:lineRule="auto"/>
              <w:rPr>
                <w:rFonts w:eastAsia="Times New Roman" w:cs="Times New Roman"/>
                <w:b/>
                <w:bCs/>
                <w:sz w:val="21"/>
                <w:szCs w:val="21"/>
              </w:rPr>
            </w:pPr>
            <w:r w:rsidRPr="004D0A64">
              <w:rPr>
                <w:rFonts w:eastAsia="Times New Roman" w:cs="Times New Roman"/>
                <w:b/>
                <w:bCs/>
                <w:sz w:val="21"/>
                <w:szCs w:val="21"/>
              </w:rPr>
              <w:t>Economic Efficiency and Impact Considerations</w:t>
            </w:r>
          </w:p>
        </w:tc>
      </w:tr>
      <w:tr w:rsidR="00690C12" w:rsidRPr="004D0A64" w14:paraId="782AF702" w14:textId="77777777" w:rsidTr="00807DF8">
        <w:tc>
          <w:tcPr>
            <w:tcW w:w="1980" w:type="dxa"/>
            <w:vAlign w:val="center"/>
          </w:tcPr>
          <w:p w14:paraId="664D0B09"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Promotion of efficient use</w:t>
            </w:r>
          </w:p>
        </w:tc>
        <w:tc>
          <w:tcPr>
            <w:tcW w:w="7380" w:type="dxa"/>
            <w:vAlign w:val="center"/>
          </w:tcPr>
          <w:p w14:paraId="34AD51E1"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This criterion reflects the extent to which a mechanism promotes and incentivizes the efficient use of the system by influencing travel choices and behaviors. Efficient system use reduces additional infrastructure investment needs. This criterion is also tied with the mechanism’s ability to reduce the adverse side effects of the transportation investment, such as pollution, noise, and congestion.</w:t>
            </w:r>
          </w:p>
        </w:tc>
      </w:tr>
      <w:tr w:rsidR="00690C12" w:rsidRPr="004D0A64" w14:paraId="402DEC32" w14:textId="77777777" w:rsidTr="00807DF8">
        <w:tc>
          <w:tcPr>
            <w:tcW w:w="9360" w:type="dxa"/>
            <w:gridSpan w:val="2"/>
            <w:vAlign w:val="center"/>
          </w:tcPr>
          <w:p w14:paraId="2352F280" w14:textId="77777777" w:rsidR="00690C12" w:rsidRPr="004D0A64" w:rsidRDefault="00690C12" w:rsidP="00C71206">
            <w:pPr>
              <w:spacing w:line="257" w:lineRule="auto"/>
              <w:rPr>
                <w:rFonts w:eastAsia="Times New Roman" w:cs="Times New Roman"/>
                <w:b/>
                <w:bCs/>
                <w:sz w:val="21"/>
                <w:szCs w:val="21"/>
              </w:rPr>
            </w:pPr>
            <w:r w:rsidRPr="004D0A64">
              <w:rPr>
                <w:rFonts w:eastAsia="Times New Roman" w:cs="Times New Roman"/>
                <w:b/>
                <w:bCs/>
                <w:sz w:val="21"/>
                <w:szCs w:val="21"/>
              </w:rPr>
              <w:t>Equity Considerations</w:t>
            </w:r>
          </w:p>
        </w:tc>
      </w:tr>
      <w:tr w:rsidR="00690C12" w:rsidRPr="004D0A64" w14:paraId="3FAA3EAC" w14:textId="77777777" w:rsidTr="00807DF8">
        <w:tc>
          <w:tcPr>
            <w:tcW w:w="1980" w:type="dxa"/>
            <w:vAlign w:val="center"/>
          </w:tcPr>
          <w:p w14:paraId="3CCB0FE2"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User/beneficiary equity</w:t>
            </w:r>
          </w:p>
        </w:tc>
        <w:tc>
          <w:tcPr>
            <w:tcW w:w="7380" w:type="dxa"/>
            <w:vAlign w:val="center"/>
          </w:tcPr>
          <w:p w14:paraId="552D2326"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User equity reflects the extent to which a mechanism charges those who directly use and benefit from the transportation infrastructure investment.</w:t>
            </w:r>
          </w:p>
        </w:tc>
      </w:tr>
      <w:tr w:rsidR="00690C12" w:rsidRPr="004D0A64" w14:paraId="13C3D615" w14:textId="77777777" w:rsidTr="00807DF8">
        <w:tc>
          <w:tcPr>
            <w:tcW w:w="1980" w:type="dxa"/>
            <w:vAlign w:val="center"/>
          </w:tcPr>
          <w:p w14:paraId="01332C79" w14:textId="77777777" w:rsidR="00690C12" w:rsidRPr="004D0A64" w:rsidRDefault="00690C12" w:rsidP="00C71206">
            <w:pPr>
              <w:rPr>
                <w:rFonts w:eastAsia="Times New Roman" w:cs="Times New Roman"/>
                <w:sz w:val="21"/>
                <w:szCs w:val="21"/>
              </w:rPr>
            </w:pPr>
            <w:r w:rsidRPr="004D0A64">
              <w:rPr>
                <w:rFonts w:eastAsia="Times New Roman" w:cs="Times New Roman"/>
                <w:sz w:val="21"/>
                <w:szCs w:val="21"/>
              </w:rPr>
              <w:t>Promotion of social equity</w:t>
            </w:r>
          </w:p>
        </w:tc>
        <w:tc>
          <w:tcPr>
            <w:tcW w:w="7380" w:type="dxa"/>
            <w:vAlign w:val="center"/>
          </w:tcPr>
          <w:p w14:paraId="233DC539" w14:textId="77777777" w:rsidR="00690C12" w:rsidRPr="004D0A64" w:rsidRDefault="00690C12" w:rsidP="00807DF8">
            <w:pPr>
              <w:spacing w:line="257" w:lineRule="auto"/>
              <w:jc w:val="both"/>
              <w:rPr>
                <w:rFonts w:eastAsia="Times New Roman" w:cs="Times New Roman"/>
                <w:sz w:val="21"/>
                <w:szCs w:val="21"/>
              </w:rPr>
            </w:pPr>
            <w:r w:rsidRPr="004D0A64">
              <w:rPr>
                <w:rFonts w:eastAsia="Times New Roman" w:cs="Times New Roman"/>
                <w:sz w:val="21"/>
                <w:szCs w:val="21"/>
              </w:rPr>
              <w:t>Social equity reflects the fairness of tax or fee burden among different economic groups and geographic locations. Mechanisms that result in a disproportionate burden on lower-income groups would score low on this criterion.</w:t>
            </w:r>
          </w:p>
        </w:tc>
      </w:tr>
      <w:bookmarkEnd w:id="10"/>
    </w:tbl>
    <w:p w14:paraId="062BE780" w14:textId="77777777" w:rsidR="00336350" w:rsidRDefault="00336350" w:rsidP="00807DF8">
      <w:pPr>
        <w:spacing w:after="0" w:line="240" w:lineRule="auto"/>
        <w:jc w:val="both"/>
      </w:pPr>
    </w:p>
    <w:p w14:paraId="096FCB99" w14:textId="08A37A36" w:rsidR="00C30A66" w:rsidRDefault="004404F6" w:rsidP="00807DF8">
      <w:pPr>
        <w:spacing w:after="0" w:line="240" w:lineRule="auto"/>
        <w:jc w:val="both"/>
        <w:rPr>
          <w:rFonts w:eastAsia="Times New Roman" w:cs="Times New Roman"/>
          <w:szCs w:val="20"/>
        </w:rPr>
      </w:pPr>
      <w:r>
        <w:tab/>
      </w:r>
      <w:r w:rsidR="003F680A">
        <w:rPr>
          <w:rFonts w:eastAsia="Times New Roman" w:cs="Times New Roman"/>
          <w:szCs w:val="20"/>
        </w:rPr>
        <w:t xml:space="preserve">The </w:t>
      </w:r>
      <w:r w:rsidR="003F680A" w:rsidRPr="004404F6">
        <w:rPr>
          <w:rFonts w:eastAsia="Times New Roman" w:cs="Times New Roman"/>
          <w:szCs w:val="20"/>
          <w:u w:val="single"/>
        </w:rPr>
        <w:t>financing mechanisms definition</w:t>
      </w:r>
      <w:r w:rsidR="00E10D28" w:rsidRPr="004404F6">
        <w:rPr>
          <w:rFonts w:eastAsia="Times New Roman" w:cs="Times New Roman"/>
          <w:szCs w:val="20"/>
          <w:u w:val="single"/>
        </w:rPr>
        <w:t>s</w:t>
      </w:r>
      <w:r w:rsidR="00E10D28">
        <w:rPr>
          <w:rFonts w:eastAsia="Times New Roman" w:cs="Times New Roman"/>
          <w:szCs w:val="20"/>
        </w:rPr>
        <w:t xml:space="preserve"> </w:t>
      </w:r>
      <w:r w:rsidR="007119EA">
        <w:rPr>
          <w:rFonts w:eastAsia="Times New Roman" w:cs="Times New Roman"/>
          <w:szCs w:val="20"/>
        </w:rPr>
        <w:t>(</w:t>
      </w:r>
      <w:r w:rsidR="007119EA" w:rsidRPr="007119EA">
        <w:rPr>
          <w:rFonts w:eastAsia="Times New Roman" w:cs="Times New Roman"/>
          <w:szCs w:val="20"/>
        </w:rPr>
        <w:t>the</w:t>
      </w:r>
      <w:r w:rsidR="00AA712E">
        <w:rPr>
          <w:rFonts w:eastAsia="Times New Roman" w:cs="Times New Roman"/>
          <w:szCs w:val="20"/>
        </w:rPr>
        <w:t xml:space="preserve"> bottom-right</w:t>
      </w:r>
      <w:r w:rsidR="00587298">
        <w:rPr>
          <w:rFonts w:eastAsia="Times New Roman" w:cs="Times New Roman"/>
          <w:szCs w:val="20"/>
        </w:rPr>
        <w:t xml:space="preserve"> </w:t>
      </w:r>
      <w:r w:rsidR="007119EA" w:rsidRPr="007119EA">
        <w:rPr>
          <w:rFonts w:eastAsia="Times New Roman" w:cs="Times New Roman"/>
          <w:szCs w:val="20"/>
        </w:rPr>
        <w:t xml:space="preserve">box </w:t>
      </w:r>
      <w:r w:rsidR="007119EA" w:rsidRPr="004404F6">
        <w:rPr>
          <w:rFonts w:cs="Times New Roman"/>
        </w:rPr>
        <w:t xml:space="preserve">within the </w:t>
      </w:r>
      <w:r w:rsidR="00EA1735">
        <w:rPr>
          <w:rFonts w:cs="Times New Roman"/>
        </w:rPr>
        <w:t>“P</w:t>
      </w:r>
      <w:r w:rsidR="007119EA" w:rsidRPr="004404F6">
        <w:rPr>
          <w:rFonts w:cs="Times New Roman"/>
        </w:rPr>
        <w:t xml:space="preserve">roblem </w:t>
      </w:r>
      <w:r w:rsidR="00EA1735">
        <w:rPr>
          <w:rFonts w:cs="Times New Roman"/>
        </w:rPr>
        <w:t>S</w:t>
      </w:r>
      <w:r w:rsidR="007119EA" w:rsidRPr="004404F6">
        <w:rPr>
          <w:rFonts w:cs="Times New Roman"/>
        </w:rPr>
        <w:t>tructuring</w:t>
      </w:r>
      <w:r w:rsidR="00EA1735">
        <w:rPr>
          <w:rFonts w:cs="Times New Roman"/>
        </w:rPr>
        <w:t>”</w:t>
      </w:r>
      <w:r w:rsidR="007119EA" w:rsidRPr="004404F6">
        <w:rPr>
          <w:rFonts w:cs="Times New Roman"/>
        </w:rPr>
        <w:t xml:space="preserve"> b</w:t>
      </w:r>
      <w:r w:rsidR="00587298">
        <w:rPr>
          <w:rFonts w:cs="Times New Roman"/>
        </w:rPr>
        <w:t>lock</w:t>
      </w:r>
      <w:r w:rsidR="007119EA" w:rsidRPr="004404F6">
        <w:rPr>
          <w:rFonts w:cs="Times New Roman"/>
        </w:rPr>
        <w:t xml:space="preserve"> of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sidR="007119EA">
        <w:rPr>
          <w:rFonts w:eastAsia="Times New Roman" w:cs="Times New Roman"/>
          <w:szCs w:val="20"/>
        </w:rPr>
        <w:t xml:space="preserve">) </w:t>
      </w:r>
      <w:r w:rsidR="00690C12" w:rsidRPr="00690C12">
        <w:rPr>
          <w:rFonts w:eastAsia="Times New Roman" w:cs="Times New Roman"/>
          <w:szCs w:val="20"/>
        </w:rPr>
        <w:t>list all of the mechanisms available in th</w:t>
      </w:r>
      <w:r w:rsidR="00E10D28">
        <w:rPr>
          <w:rFonts w:eastAsia="Times New Roman" w:cs="Times New Roman"/>
          <w:szCs w:val="20"/>
        </w:rPr>
        <w:t>e FUND</w:t>
      </w:r>
      <w:r w:rsidR="00690C12" w:rsidRPr="00690C12">
        <w:rPr>
          <w:rFonts w:eastAsia="Times New Roman" w:cs="Times New Roman"/>
          <w:szCs w:val="20"/>
        </w:rPr>
        <w:t xml:space="preserve"> database. To evaluate the mechanisms,</w:t>
      </w:r>
      <w:r w:rsidR="00EA1735">
        <w:rPr>
          <w:rFonts w:eastAsia="Times New Roman" w:cs="Times New Roman"/>
          <w:szCs w:val="20"/>
        </w:rPr>
        <w:t xml:space="preserve"> we</w:t>
      </w:r>
      <w:r w:rsidR="00690C12" w:rsidRPr="00690C12">
        <w:rPr>
          <w:rFonts w:eastAsia="Times New Roman" w:cs="Times New Roman"/>
          <w:szCs w:val="20"/>
        </w:rPr>
        <w:t xml:space="preserve"> used a five-point scoring system based on a thorough review of the literature on this topic </w:t>
      </w:r>
      <w:r w:rsidR="00690C12" w:rsidRPr="00690C12">
        <w:rPr>
          <w:szCs w:val="20"/>
        </w:rPr>
        <w:fldChar w:fldCharType="begin" w:fldLock="1"/>
      </w:r>
      <w:r w:rsidR="00E00D60">
        <w:rPr>
          <w:szCs w:val="20"/>
        </w:rPr>
        <w:instrText>ADDIN CSL_CITATION {"citationItems":[{"id":"ITEM-1","itemData":{"ISBN":"0833079239","author":[{"dropping-particle":"","family":"Sorensen","given":"Paul","non-dropping-particle":"","parse-names":false,"suffix":""},{"dropping-particle":"","family":"Ecola","given":"Liisa","non-dropping-particle":"","parse-names":false,"suffix":""},{"dropping-particle":"","family":"Wachs","given":"Martin","non-dropping-particle":"","parse-names":false,"suffix":""}],"id":"ITEM-1","issued":{"date-parts":[["2012"]]},"publisher":"Rand Corporation","title":"Mileage-based user fees for transportation funding: A primer for state and local decisionmakers","type":"book"},"uris":["http://www.mendeley.com/documents/?uuid=3f9222ba-55d5-4a8d-9968-d71a4b2017bb"]},{"id":"ITEM-2","itemData":{"author":[{"dropping-particle":"","family":"D'Angelo","given":"Daniel","non-dropping-particle":"","parse-names":false,"suffix":""},{"dropping-particle":"","family":"Edun","given":"Tayo","non-dropping-particle":"","parse-names":false,"suffix":""},{"dropping-particle":"","family":"Hovy","given":"Pauline","non-dropping-particle":"","parse-names":false,"suffix":""},{"dropping-particle":"","family":"Ladley","given":"Herb","non-dropping-particle":"","parse-names":false,"suffix":""},{"dropping-particle":"","family":"Page","given":"Sasha","non-dropping-particle":"","parse-names":false,"suffix":""},{"dropping-particle":"","family":"Bishop","given":"Thay","non-dropping-particle":"","parse-names":false,"suffix":""},{"dropping-particle":"","family":"Natzke","given":"Stefan","non-dropping-particle":"","parse-names":false,"suffix":""}],"id":"ITEM-2","issued":{"date-parts":[["2019"]]},"publisher":"United States. Federal Highway Administration. Office of Policy …","title":"Value Capture Implementation Manual: Capitalizing on the Value Created by Transportation","type":"report"},"uris":["http://www.mendeley.com/documents/?uuid=fcd87dec-9afc-491f-a124-65d9ad7dafc6"]},{"id":"ITEM-3","itemData":{"author":[{"dropping-particle":"","family":"Atkinson","given":"Robert D","non-dropping-particle":"","parse-names":false,"suffix":""},{"dropping-particle":"","family":"Commission","given":"National Surface Transportation Infrastructure Financing","non-dropping-particle":"","parse-names":false,"suffix":""}],"id":"ITEM-3","issued":{"date-parts":[["2009"]]},"publisher":"National Surface Transportation Infrastructure Financing Commission (US)","title":"Paying our way: a new framework for transportation finance, final report, February 2009.","type":"article-journal"},"uris":["http://www.mendeley.com/documents/?uuid=4ec2f758-4ee0-4dd4-9cbf-e7643050e12b"]},{"id":"ITEM-4","itemData":{"author":[{"dropping-particle":"","family":"TTI","given":"","non-dropping-particle":"","parse-names":false,"suffix":""}],"id":"ITEM-4","issued":{"date-parts":[["2019"]]},"title":"How to Fund Transportation","type":"report"},"uris":["http://www.mendeley.com/documents/?uuid=620e82e0-9a40-484b-a9e8-649c019d8cd3"]},{"id":"ITEM-5","itemData":{"author":[{"dropping-particle":"","family":"Cambridge Systematics","given":"","non-dropping-particle":"","parse-names":false,"suffix":""}],"id":"ITEM-5","issued":{"date-parts":[["2015"]]},"title":"Study of Indiana Transportation Infrastructure Funding Mechanisms","type":"report"},"uris":["http://www.mendeley.com/documents/?uuid=4fb0ad7e-fbb1-498d-985f-faf09a1e908c"]},{"id":"ITEM-6","itemData":{"ISBN":"0309117712","author":[{"dropping-particle":"","family":"Program","given":"Transit Cooperative Research","non-dropping-particle":"","parse-names":false,"suffix":""},{"dropping-particle":"","family":"Systematics","given":"Cambridge","non-dropping-particle":"","parse-names":false,"suffix":""},{"dropping-particle":"","family":"Administration","given":"United States. Federal Transit","non-dropping-particle":"","parse-names":false,"suffix":""},{"dropping-particle":"","family":"Corporation","given":"Transit Development","non-dropping-particle":"","parse-names":false,"suffix":""}],"id":"ITEM-6","issued":{"date-parts":[["2009"]]},"publisher":"Transportation Research Board","title":"Local and Regional Funding Mechanisms for Public Transportation","type":"book","volume":"129"},"uris":["http://www.mendeley.com/documents/?uuid=52366770-eac4-4a8b-a02d-7941363263a6"]},{"id":"ITEM-7","itemData":{"author":[{"dropping-particle":"","family":"Merriman","given":"David F","non-dropping-particle":"","parse-names":false,"suffix":""}],"container-title":"Municipal Revenues and Land Policies","id":"ITEM-7","issued":{"date-parts":[["2010"]]},"title":"Does TIF Make It More Difficult to Manage Municipal Bud gets? A Simulation Model and Directions for Future Research","type":"article-journal"},"uris":["http://www.mendeley.com/documents/?uuid=95791c7f-96d5-4450-8ee9-4f365c465edb"]}],"mendeley":{"formattedCitation":"(&lt;i&gt;17&lt;/i&gt;–&lt;i&gt;19&lt;/i&gt;, &lt;i&gt;24&lt;/i&gt;, &lt;i&gt;27&lt;/i&gt;–&lt;i&gt;29&lt;/i&gt;)","plainTextFormattedCitation":"(17–19, 24, 27–29)","previouslyFormattedCitation":"(&lt;i&gt;17&lt;/i&gt;–&lt;i&gt;19&lt;/i&gt;, &lt;i&gt;24&lt;/i&gt;, &lt;i&gt;27&lt;/i&gt;–&lt;i&gt;29&lt;/i&gt;)"},"properties":{"noteIndex":0},"schema":"https://github.com/citation-style-language/schema/raw/master/csl-citation.json"}</w:instrText>
      </w:r>
      <w:r w:rsidR="00690C12" w:rsidRPr="00690C12">
        <w:rPr>
          <w:szCs w:val="20"/>
        </w:rPr>
        <w:fldChar w:fldCharType="separate"/>
      </w:r>
      <w:r w:rsidR="00F462E4" w:rsidRPr="00F462E4">
        <w:rPr>
          <w:noProof/>
          <w:szCs w:val="20"/>
        </w:rPr>
        <w:t>(</w:t>
      </w:r>
      <w:r w:rsidR="00F462E4" w:rsidRPr="00F462E4">
        <w:rPr>
          <w:i/>
          <w:noProof/>
          <w:szCs w:val="20"/>
        </w:rPr>
        <w:t>17</w:t>
      </w:r>
      <w:r w:rsidR="00F462E4" w:rsidRPr="00F462E4">
        <w:rPr>
          <w:noProof/>
          <w:szCs w:val="20"/>
        </w:rPr>
        <w:t>–</w:t>
      </w:r>
      <w:r w:rsidR="00F462E4" w:rsidRPr="00F462E4">
        <w:rPr>
          <w:i/>
          <w:noProof/>
          <w:szCs w:val="20"/>
        </w:rPr>
        <w:t>19</w:t>
      </w:r>
      <w:r w:rsidR="00F462E4" w:rsidRPr="00F462E4">
        <w:rPr>
          <w:noProof/>
          <w:szCs w:val="20"/>
        </w:rPr>
        <w:t xml:space="preserve">, </w:t>
      </w:r>
      <w:r w:rsidR="00F462E4" w:rsidRPr="00F462E4">
        <w:rPr>
          <w:i/>
          <w:noProof/>
          <w:szCs w:val="20"/>
        </w:rPr>
        <w:t>24</w:t>
      </w:r>
      <w:r w:rsidR="00F462E4" w:rsidRPr="00F462E4">
        <w:rPr>
          <w:noProof/>
          <w:szCs w:val="20"/>
        </w:rPr>
        <w:t xml:space="preserve">, </w:t>
      </w:r>
      <w:r w:rsidR="00F462E4" w:rsidRPr="00F462E4">
        <w:rPr>
          <w:i/>
          <w:noProof/>
          <w:szCs w:val="20"/>
        </w:rPr>
        <w:t>27</w:t>
      </w:r>
      <w:r w:rsidR="00F462E4" w:rsidRPr="00F462E4">
        <w:rPr>
          <w:noProof/>
          <w:szCs w:val="20"/>
        </w:rPr>
        <w:t>–</w:t>
      </w:r>
      <w:r w:rsidR="00F462E4" w:rsidRPr="00F462E4">
        <w:rPr>
          <w:i/>
          <w:noProof/>
          <w:szCs w:val="20"/>
        </w:rPr>
        <w:t>29</w:t>
      </w:r>
      <w:r w:rsidR="00F462E4" w:rsidRPr="00F462E4">
        <w:rPr>
          <w:noProof/>
          <w:szCs w:val="20"/>
        </w:rPr>
        <w:t>)</w:t>
      </w:r>
      <w:r w:rsidR="00690C12" w:rsidRPr="00690C12">
        <w:rPr>
          <w:szCs w:val="20"/>
        </w:rPr>
        <w:fldChar w:fldCharType="end"/>
      </w:r>
      <w:r w:rsidR="00690C12" w:rsidRPr="00690C12">
        <w:rPr>
          <w:rFonts w:eastAsia="Times New Roman" w:cs="Times New Roman"/>
          <w:szCs w:val="20"/>
        </w:rPr>
        <w:t xml:space="preserve">. A low score means the option ranks poorly and a high score means it ranks well under the associated criterion. </w:t>
      </w:r>
      <w:r w:rsidR="00690C12" w:rsidRPr="00EA1735">
        <w:rPr>
          <w:rFonts w:eastAsia="Times New Roman" w:cs="Times New Roman"/>
          <w:b/>
          <w:bCs/>
          <w:color w:val="FF0000"/>
          <w:szCs w:val="20"/>
        </w:rPr>
        <w:fldChar w:fldCharType="begin"/>
      </w:r>
      <w:r w:rsidR="00690C12" w:rsidRPr="00EA1735">
        <w:rPr>
          <w:rFonts w:eastAsia="Times New Roman" w:cs="Times New Roman"/>
          <w:b/>
          <w:bCs/>
          <w:szCs w:val="20"/>
        </w:rPr>
        <w:instrText xml:space="preserve"> REF _Ref77257610 \h </w:instrText>
      </w:r>
      <w:r w:rsidR="00690C12" w:rsidRPr="00EA1735">
        <w:rPr>
          <w:rFonts w:eastAsia="Times New Roman" w:cs="Times New Roman"/>
          <w:b/>
          <w:bCs/>
          <w:color w:val="FF0000"/>
          <w:szCs w:val="20"/>
        </w:rPr>
        <w:instrText xml:space="preserve"> \* MERGEFORMAT </w:instrText>
      </w:r>
      <w:r w:rsidR="00690C12" w:rsidRPr="00EA1735">
        <w:rPr>
          <w:rFonts w:eastAsia="Times New Roman" w:cs="Times New Roman"/>
          <w:b/>
          <w:bCs/>
          <w:color w:val="FF0000"/>
          <w:szCs w:val="20"/>
        </w:rPr>
      </w:r>
      <w:r w:rsidR="00690C12" w:rsidRPr="00EA1735">
        <w:rPr>
          <w:rFonts w:eastAsia="Times New Roman" w:cs="Times New Roman"/>
          <w:b/>
          <w:bCs/>
          <w:color w:val="FF0000"/>
          <w:szCs w:val="20"/>
        </w:rPr>
        <w:fldChar w:fldCharType="separate"/>
      </w:r>
      <w:r w:rsidR="00210285" w:rsidRPr="00210285">
        <w:rPr>
          <w:b/>
          <w:bCs/>
          <w:szCs w:val="20"/>
        </w:rPr>
        <w:t xml:space="preserve">Table </w:t>
      </w:r>
      <w:r w:rsidR="00210285" w:rsidRPr="00210285">
        <w:rPr>
          <w:b/>
          <w:bCs/>
          <w:noProof/>
          <w:szCs w:val="20"/>
        </w:rPr>
        <w:t>2</w:t>
      </w:r>
      <w:r w:rsidR="00690C12" w:rsidRPr="00EA1735">
        <w:rPr>
          <w:rFonts w:eastAsia="Times New Roman" w:cs="Times New Roman"/>
          <w:b/>
          <w:bCs/>
          <w:color w:val="FF0000"/>
          <w:szCs w:val="20"/>
        </w:rPr>
        <w:fldChar w:fldCharType="end"/>
      </w:r>
      <w:r w:rsidR="00690C12" w:rsidRPr="00690C12">
        <w:rPr>
          <w:rFonts w:eastAsia="Times New Roman" w:cs="Times New Roman"/>
          <w:color w:val="FF0000"/>
          <w:szCs w:val="20"/>
        </w:rPr>
        <w:t xml:space="preserve"> </w:t>
      </w:r>
      <w:r w:rsidR="00690C12" w:rsidRPr="00690C12">
        <w:rPr>
          <w:rFonts w:eastAsia="Times New Roman" w:cs="Times New Roman"/>
          <w:szCs w:val="20"/>
        </w:rPr>
        <w:t xml:space="preserve">presents the assigned </w:t>
      </w:r>
      <w:r w:rsidR="00BB038C" w:rsidRPr="00807DF8">
        <w:rPr>
          <w:rFonts w:eastAsia="Times New Roman" w:cs="Times New Roman"/>
          <w:szCs w:val="20"/>
          <w:u w:val="single"/>
        </w:rPr>
        <w:t>funding/financing mechanisms performance scores</w:t>
      </w:r>
      <w:r w:rsidR="00BB038C">
        <w:rPr>
          <w:rFonts w:eastAsia="Times New Roman" w:cs="Times New Roman"/>
          <w:szCs w:val="20"/>
        </w:rPr>
        <w:t xml:space="preserve"> (the </w:t>
      </w:r>
      <w:r w:rsidR="008C1B2D">
        <w:rPr>
          <w:rFonts w:eastAsia="Times New Roman" w:cs="Times New Roman"/>
          <w:szCs w:val="20"/>
        </w:rPr>
        <w:t>output</w:t>
      </w:r>
      <w:r w:rsidR="00BB038C">
        <w:rPr>
          <w:rFonts w:eastAsia="Times New Roman" w:cs="Times New Roman"/>
          <w:szCs w:val="20"/>
        </w:rPr>
        <w:t xml:space="preserve"> of the </w:t>
      </w:r>
      <w:r w:rsidR="00EA1735">
        <w:rPr>
          <w:rFonts w:eastAsia="Times New Roman" w:cs="Times New Roman"/>
          <w:szCs w:val="20"/>
        </w:rPr>
        <w:t>“P</w:t>
      </w:r>
      <w:r w:rsidR="00BB038C">
        <w:rPr>
          <w:rFonts w:eastAsia="Times New Roman" w:cs="Times New Roman"/>
          <w:szCs w:val="20"/>
        </w:rPr>
        <w:t xml:space="preserve">roblem </w:t>
      </w:r>
      <w:r w:rsidR="00EA1735">
        <w:rPr>
          <w:rFonts w:eastAsia="Times New Roman" w:cs="Times New Roman"/>
          <w:szCs w:val="20"/>
        </w:rPr>
        <w:t>S</w:t>
      </w:r>
      <w:r w:rsidR="00BB038C">
        <w:rPr>
          <w:rFonts w:eastAsia="Times New Roman" w:cs="Times New Roman"/>
          <w:szCs w:val="20"/>
        </w:rPr>
        <w:t>tructuring</w:t>
      </w:r>
      <w:r w:rsidR="00EA1735">
        <w:rPr>
          <w:rFonts w:eastAsia="Times New Roman" w:cs="Times New Roman"/>
          <w:szCs w:val="20"/>
        </w:rPr>
        <w:t>”</w:t>
      </w:r>
      <w:r w:rsidR="00BB038C">
        <w:rPr>
          <w:rFonts w:eastAsia="Times New Roman" w:cs="Times New Roman"/>
          <w:szCs w:val="20"/>
        </w:rPr>
        <w:t xml:space="preserve"> block</w:t>
      </w:r>
      <w:r w:rsidR="00587298">
        <w:rPr>
          <w:rFonts w:eastAsia="Times New Roman" w:cs="Times New Roman"/>
          <w:szCs w:val="20"/>
        </w:rPr>
        <w:t xml:space="preserve"> </w:t>
      </w:r>
      <w:r w:rsidR="00587298" w:rsidRPr="004404F6">
        <w:rPr>
          <w:rFonts w:cs="Times New Roman"/>
        </w:rPr>
        <w:t xml:space="preserve">of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sidR="00BB038C">
        <w:rPr>
          <w:rFonts w:eastAsia="Times New Roman" w:cs="Times New Roman"/>
          <w:szCs w:val="20"/>
        </w:rPr>
        <w:t xml:space="preserve">) </w:t>
      </w:r>
      <w:r w:rsidR="00690C12" w:rsidRPr="00690C12">
        <w:rPr>
          <w:rFonts w:eastAsia="Times New Roman" w:cs="Times New Roman"/>
          <w:szCs w:val="20"/>
        </w:rPr>
        <w:t>for the case of Texas.</w:t>
      </w:r>
      <w:r w:rsidR="00E10D28">
        <w:rPr>
          <w:rFonts w:eastAsia="Times New Roman" w:cs="Times New Roman"/>
          <w:szCs w:val="20"/>
        </w:rPr>
        <w:t xml:space="preserve"> While there are several cell values in the table, the scores can be customized based on individual states. For example, public acceptance of VMT fees has a very low score in Texas, but may be assigned a higher score in other states. </w:t>
      </w:r>
    </w:p>
    <w:p w14:paraId="5DB9B8B7" w14:textId="77777777" w:rsidR="00C30A66" w:rsidRDefault="00C30A66" w:rsidP="00807DF8">
      <w:pPr>
        <w:spacing w:after="0" w:line="240" w:lineRule="auto"/>
        <w:jc w:val="both"/>
        <w:rPr>
          <w:rFonts w:eastAsia="Times New Roman" w:cs="Times New Roman"/>
          <w:szCs w:val="20"/>
        </w:rPr>
      </w:pPr>
    </w:p>
    <w:p w14:paraId="1AFDB847" w14:textId="1DABA3FB" w:rsidR="00690C12" w:rsidRPr="00690C12" w:rsidRDefault="00690C12" w:rsidP="0063475C">
      <w:pPr>
        <w:pStyle w:val="Caption"/>
        <w:spacing w:after="160"/>
        <w:jc w:val="both"/>
        <w:rPr>
          <w:sz w:val="22"/>
          <w:szCs w:val="22"/>
        </w:rPr>
      </w:pPr>
      <w:r w:rsidRPr="00690C12">
        <w:rPr>
          <w:sz w:val="22"/>
          <w:szCs w:val="22"/>
        </w:rPr>
        <w:t xml:space="preserve"> </w:t>
      </w:r>
      <w:bookmarkStart w:id="11" w:name="_Ref77257610"/>
      <w:r w:rsidR="00715539" w:rsidRPr="00C30A66">
        <w:rPr>
          <w:sz w:val="22"/>
          <w:szCs w:val="22"/>
        </w:rPr>
        <w:t>T</w:t>
      </w:r>
      <w:r w:rsidR="00715539">
        <w:rPr>
          <w:sz w:val="22"/>
          <w:szCs w:val="22"/>
        </w:rPr>
        <w:t>able</w:t>
      </w:r>
      <w:r w:rsidR="00715539" w:rsidRPr="00C30A66">
        <w:rPr>
          <w:sz w:val="22"/>
          <w:szCs w:val="22"/>
        </w:rPr>
        <w:t xml:space="preserve"> </w:t>
      </w:r>
      <w:r w:rsidR="00C30A66" w:rsidRPr="00C30A66">
        <w:rPr>
          <w:sz w:val="22"/>
          <w:szCs w:val="22"/>
        </w:rPr>
        <w:fldChar w:fldCharType="begin"/>
      </w:r>
      <w:r w:rsidR="00C30A66" w:rsidRPr="00C30A66">
        <w:rPr>
          <w:sz w:val="22"/>
          <w:szCs w:val="22"/>
        </w:rPr>
        <w:instrText>SEQ Table \* ARABIC</w:instrText>
      </w:r>
      <w:r w:rsidR="00C30A66" w:rsidRPr="00C30A66">
        <w:rPr>
          <w:sz w:val="22"/>
          <w:szCs w:val="22"/>
        </w:rPr>
        <w:fldChar w:fldCharType="separate"/>
      </w:r>
      <w:r w:rsidR="00210285">
        <w:rPr>
          <w:noProof/>
          <w:sz w:val="22"/>
          <w:szCs w:val="22"/>
        </w:rPr>
        <w:t>2</w:t>
      </w:r>
      <w:r w:rsidR="00C30A66" w:rsidRPr="00C30A66">
        <w:rPr>
          <w:sz w:val="22"/>
          <w:szCs w:val="22"/>
        </w:rPr>
        <w:fldChar w:fldCharType="end"/>
      </w:r>
      <w:bookmarkEnd w:id="11"/>
      <w:r w:rsidR="00C30A66" w:rsidRPr="00C30A66">
        <w:rPr>
          <w:sz w:val="22"/>
          <w:szCs w:val="22"/>
        </w:rPr>
        <w:t xml:space="preserve"> List of Funding</w:t>
      </w:r>
      <w:r w:rsidR="00807DF8">
        <w:rPr>
          <w:sz w:val="22"/>
          <w:szCs w:val="22"/>
        </w:rPr>
        <w:t>/</w:t>
      </w:r>
      <w:r w:rsidR="00C30A66" w:rsidRPr="00C30A66">
        <w:rPr>
          <w:sz w:val="22"/>
          <w:szCs w:val="22"/>
        </w:rPr>
        <w:t>Financing Mechanisms</w:t>
      </w:r>
      <w:r w:rsidR="00AA712E">
        <w:rPr>
          <w:sz w:val="22"/>
          <w:szCs w:val="22"/>
        </w:rPr>
        <w:t xml:space="preserve"> Performance Scores</w:t>
      </w:r>
      <w:r w:rsidR="00C30A66" w:rsidRPr="00C30A66">
        <w:rPr>
          <w:sz w:val="22"/>
          <w:szCs w:val="22"/>
        </w:rPr>
        <w:t xml:space="preserve"> for Texas</w:t>
      </w:r>
    </w:p>
    <w:tbl>
      <w:tblPr>
        <w:tblStyle w:val="TableGrid3"/>
        <w:tblW w:w="4987" w:type="pct"/>
        <w:tblLook w:val="04A0" w:firstRow="1" w:lastRow="0" w:firstColumn="1" w:lastColumn="0" w:noHBand="0" w:noVBand="1"/>
      </w:tblPr>
      <w:tblGrid>
        <w:gridCol w:w="2517"/>
        <w:gridCol w:w="620"/>
        <w:gridCol w:w="620"/>
        <w:gridCol w:w="619"/>
        <w:gridCol w:w="619"/>
        <w:gridCol w:w="619"/>
        <w:gridCol w:w="619"/>
        <w:gridCol w:w="619"/>
        <w:gridCol w:w="619"/>
        <w:gridCol w:w="619"/>
        <w:gridCol w:w="619"/>
        <w:gridCol w:w="617"/>
      </w:tblGrid>
      <w:tr w:rsidR="00C30A66" w:rsidRPr="00C30A66" w14:paraId="09A50C4E" w14:textId="77777777" w:rsidTr="004D0A64">
        <w:trPr>
          <w:trHeight w:val="2375"/>
          <w:tblHeader/>
        </w:trPr>
        <w:tc>
          <w:tcPr>
            <w:tcW w:w="1349" w:type="pct"/>
            <w:vAlign w:val="center"/>
          </w:tcPr>
          <w:p w14:paraId="5E8882E7" w14:textId="77777777" w:rsidR="00C30A66" w:rsidRPr="00DA4E1D" w:rsidRDefault="00C30A66" w:rsidP="00E71B1D">
            <w:pPr>
              <w:rPr>
                <w:rFonts w:eastAsia="Times New Roman" w:cs="Times New Roman"/>
                <w:b/>
                <w:bCs/>
                <w:sz w:val="20"/>
                <w:szCs w:val="20"/>
              </w:rPr>
            </w:pPr>
            <w:bookmarkStart w:id="12" w:name="_Hlk77323541"/>
            <w:r w:rsidRPr="00DA4E1D">
              <w:rPr>
                <w:rFonts w:eastAsia="Times New Roman" w:cs="Times New Roman"/>
                <w:b/>
                <w:bCs/>
                <w:sz w:val="20"/>
                <w:szCs w:val="20"/>
              </w:rPr>
              <w:t>Mechanism</w:t>
            </w:r>
          </w:p>
        </w:tc>
        <w:tc>
          <w:tcPr>
            <w:tcW w:w="332" w:type="pct"/>
            <w:textDirection w:val="btLr"/>
            <w:vAlign w:val="center"/>
          </w:tcPr>
          <w:p w14:paraId="0B4A96D3"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Predictability</w:t>
            </w:r>
          </w:p>
        </w:tc>
        <w:tc>
          <w:tcPr>
            <w:tcW w:w="332" w:type="pct"/>
            <w:textDirection w:val="btLr"/>
            <w:vAlign w:val="center"/>
          </w:tcPr>
          <w:p w14:paraId="4788E4E2"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Stability</w:t>
            </w:r>
          </w:p>
        </w:tc>
        <w:tc>
          <w:tcPr>
            <w:tcW w:w="332" w:type="pct"/>
            <w:textDirection w:val="btLr"/>
            <w:vAlign w:val="center"/>
          </w:tcPr>
          <w:p w14:paraId="69C18FD6"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Sustainability</w:t>
            </w:r>
          </w:p>
        </w:tc>
        <w:tc>
          <w:tcPr>
            <w:tcW w:w="332" w:type="pct"/>
            <w:textDirection w:val="btLr"/>
            <w:vAlign w:val="center"/>
          </w:tcPr>
          <w:p w14:paraId="41B7E77F"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Revenue Potential</w:t>
            </w:r>
          </w:p>
        </w:tc>
        <w:tc>
          <w:tcPr>
            <w:tcW w:w="332" w:type="pct"/>
            <w:textDirection w:val="btLr"/>
            <w:vAlign w:val="center"/>
          </w:tcPr>
          <w:p w14:paraId="4738DC69"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Current Use Status</w:t>
            </w:r>
          </w:p>
        </w:tc>
        <w:tc>
          <w:tcPr>
            <w:tcW w:w="332" w:type="pct"/>
            <w:textDirection w:val="btLr"/>
            <w:vAlign w:val="center"/>
          </w:tcPr>
          <w:p w14:paraId="6B6C89D9"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Public Acceptance</w:t>
            </w:r>
          </w:p>
        </w:tc>
        <w:tc>
          <w:tcPr>
            <w:tcW w:w="332" w:type="pct"/>
            <w:textDirection w:val="btLr"/>
            <w:vAlign w:val="center"/>
          </w:tcPr>
          <w:p w14:paraId="3DF144A4"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 xml:space="preserve">Ease of Implementation </w:t>
            </w:r>
          </w:p>
        </w:tc>
        <w:tc>
          <w:tcPr>
            <w:tcW w:w="332" w:type="pct"/>
            <w:textDirection w:val="btLr"/>
            <w:vAlign w:val="center"/>
          </w:tcPr>
          <w:p w14:paraId="6BE31653"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Ability to Enforce</w:t>
            </w:r>
          </w:p>
        </w:tc>
        <w:tc>
          <w:tcPr>
            <w:tcW w:w="332" w:type="pct"/>
            <w:textDirection w:val="btLr"/>
            <w:vAlign w:val="center"/>
          </w:tcPr>
          <w:p w14:paraId="01DC6AB0"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Promotion of efficient use</w:t>
            </w:r>
          </w:p>
        </w:tc>
        <w:tc>
          <w:tcPr>
            <w:tcW w:w="332" w:type="pct"/>
            <w:textDirection w:val="btLr"/>
            <w:vAlign w:val="center"/>
          </w:tcPr>
          <w:p w14:paraId="7FF59137"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 xml:space="preserve">User/ Beneficiary Equity </w:t>
            </w:r>
          </w:p>
        </w:tc>
        <w:tc>
          <w:tcPr>
            <w:tcW w:w="332" w:type="pct"/>
            <w:textDirection w:val="btLr"/>
            <w:vAlign w:val="center"/>
          </w:tcPr>
          <w:p w14:paraId="0AD0DC6E" w14:textId="77777777" w:rsidR="00C30A66" w:rsidRPr="00C30A66" w:rsidRDefault="00C30A66" w:rsidP="00807DF8">
            <w:pPr>
              <w:jc w:val="both"/>
              <w:rPr>
                <w:rFonts w:eastAsia="Times New Roman" w:cs="Times New Roman"/>
                <w:b/>
                <w:bCs/>
                <w:sz w:val="20"/>
                <w:szCs w:val="20"/>
              </w:rPr>
            </w:pPr>
            <w:r w:rsidRPr="00C30A66">
              <w:rPr>
                <w:rFonts w:eastAsia="Times New Roman" w:cs="Times New Roman"/>
                <w:b/>
                <w:bCs/>
                <w:color w:val="000000"/>
                <w:sz w:val="20"/>
                <w:szCs w:val="20"/>
              </w:rPr>
              <w:t>Promotion of Social Equity</w:t>
            </w:r>
          </w:p>
        </w:tc>
      </w:tr>
      <w:tr w:rsidR="00C30A66" w:rsidRPr="00C30A66" w14:paraId="2839401A" w14:textId="77777777" w:rsidTr="004D0A64">
        <w:trPr>
          <w:trHeight w:val="245"/>
        </w:trPr>
        <w:tc>
          <w:tcPr>
            <w:tcW w:w="1349" w:type="pct"/>
            <w:vAlign w:val="center"/>
          </w:tcPr>
          <w:p w14:paraId="1BD5C37C" w14:textId="68967718" w:rsidR="00C30A66" w:rsidRPr="00AB3390" w:rsidRDefault="00C30A66" w:rsidP="00E71B1D">
            <w:pPr>
              <w:rPr>
                <w:rFonts w:cs="Times New Roman"/>
                <w:sz w:val="20"/>
                <w:szCs w:val="20"/>
              </w:rPr>
            </w:pPr>
            <w:bookmarkStart w:id="13" w:name="_Toc43836538"/>
            <w:bookmarkStart w:id="14" w:name="_Toc43921619"/>
            <w:r w:rsidRPr="00AB3390">
              <w:rPr>
                <w:rFonts w:cs="Times New Roman"/>
                <w:sz w:val="20"/>
                <w:szCs w:val="20"/>
              </w:rPr>
              <w:t>Customs Revenues: Partial Dedication</w:t>
            </w:r>
            <w:bookmarkEnd w:id="13"/>
            <w:bookmarkEnd w:id="14"/>
            <w:r w:rsidRPr="00AB3390">
              <w:rPr>
                <w:rFonts w:cs="Times New Roman"/>
                <w:sz w:val="20"/>
                <w:szCs w:val="20"/>
              </w:rPr>
              <w:t xml:space="preserve"> </w:t>
            </w:r>
          </w:p>
        </w:tc>
        <w:tc>
          <w:tcPr>
            <w:tcW w:w="332" w:type="pct"/>
            <w:vAlign w:val="center"/>
          </w:tcPr>
          <w:p w14:paraId="46EEFBD4"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4</w:t>
            </w:r>
          </w:p>
        </w:tc>
        <w:tc>
          <w:tcPr>
            <w:tcW w:w="332" w:type="pct"/>
            <w:vAlign w:val="center"/>
          </w:tcPr>
          <w:p w14:paraId="593FD4BF"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4</w:t>
            </w:r>
          </w:p>
        </w:tc>
        <w:tc>
          <w:tcPr>
            <w:tcW w:w="332" w:type="pct"/>
            <w:vAlign w:val="center"/>
          </w:tcPr>
          <w:p w14:paraId="00D19056"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5</w:t>
            </w:r>
          </w:p>
        </w:tc>
        <w:tc>
          <w:tcPr>
            <w:tcW w:w="332" w:type="pct"/>
            <w:vAlign w:val="center"/>
          </w:tcPr>
          <w:p w14:paraId="029AEAC5"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4</w:t>
            </w:r>
          </w:p>
        </w:tc>
        <w:tc>
          <w:tcPr>
            <w:tcW w:w="332" w:type="pct"/>
            <w:vAlign w:val="center"/>
          </w:tcPr>
          <w:p w14:paraId="0C2D2B89"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1</w:t>
            </w:r>
          </w:p>
        </w:tc>
        <w:tc>
          <w:tcPr>
            <w:tcW w:w="332" w:type="pct"/>
            <w:vAlign w:val="center"/>
          </w:tcPr>
          <w:p w14:paraId="3BEBECF0"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3</w:t>
            </w:r>
          </w:p>
        </w:tc>
        <w:tc>
          <w:tcPr>
            <w:tcW w:w="332" w:type="pct"/>
            <w:vAlign w:val="center"/>
          </w:tcPr>
          <w:p w14:paraId="64ED8D4C"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5</w:t>
            </w:r>
          </w:p>
        </w:tc>
        <w:tc>
          <w:tcPr>
            <w:tcW w:w="332" w:type="pct"/>
            <w:vAlign w:val="center"/>
          </w:tcPr>
          <w:p w14:paraId="085282BE"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4</w:t>
            </w:r>
          </w:p>
        </w:tc>
        <w:tc>
          <w:tcPr>
            <w:tcW w:w="332" w:type="pct"/>
            <w:vAlign w:val="center"/>
          </w:tcPr>
          <w:p w14:paraId="606E563D"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2</w:t>
            </w:r>
          </w:p>
        </w:tc>
        <w:tc>
          <w:tcPr>
            <w:tcW w:w="332" w:type="pct"/>
            <w:vAlign w:val="center"/>
          </w:tcPr>
          <w:p w14:paraId="03EF4A3D"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3</w:t>
            </w:r>
          </w:p>
        </w:tc>
        <w:tc>
          <w:tcPr>
            <w:tcW w:w="332" w:type="pct"/>
            <w:vAlign w:val="center"/>
          </w:tcPr>
          <w:p w14:paraId="0DFFC51A" w14:textId="77777777" w:rsidR="00C30A66" w:rsidRPr="00C30A66" w:rsidRDefault="00C30A66" w:rsidP="00EA1735">
            <w:pPr>
              <w:jc w:val="center"/>
              <w:rPr>
                <w:rFonts w:cs="Times New Roman"/>
                <w:sz w:val="20"/>
                <w:szCs w:val="20"/>
              </w:rPr>
            </w:pPr>
            <w:r w:rsidRPr="00C30A66">
              <w:rPr>
                <w:rFonts w:eastAsia="Times New Roman" w:cs="Times New Roman"/>
                <w:color w:val="000000"/>
                <w:sz w:val="20"/>
                <w:szCs w:val="20"/>
              </w:rPr>
              <w:t>3</w:t>
            </w:r>
          </w:p>
        </w:tc>
      </w:tr>
      <w:tr w:rsidR="00C30A66" w:rsidRPr="00C30A66" w14:paraId="613ED5CD" w14:textId="77777777" w:rsidTr="004D0A64">
        <w:trPr>
          <w:trHeight w:val="245"/>
        </w:trPr>
        <w:tc>
          <w:tcPr>
            <w:tcW w:w="1349" w:type="pct"/>
            <w:vAlign w:val="center"/>
          </w:tcPr>
          <w:p w14:paraId="375CEE20" w14:textId="327DE723" w:rsidR="00C30A66" w:rsidRPr="00AB3390" w:rsidRDefault="00C30A66" w:rsidP="00E71B1D">
            <w:pPr>
              <w:rPr>
                <w:rFonts w:cs="Times New Roman"/>
                <w:sz w:val="20"/>
                <w:szCs w:val="20"/>
              </w:rPr>
            </w:pPr>
            <w:bookmarkStart w:id="15" w:name="_Toc43836539"/>
            <w:bookmarkStart w:id="16" w:name="_Toc43921621"/>
            <w:r w:rsidRPr="00AB3390">
              <w:rPr>
                <w:rFonts w:cs="Times New Roman"/>
                <w:sz w:val="20"/>
                <w:szCs w:val="20"/>
              </w:rPr>
              <w:t>Indexed Fuel Tax</w:t>
            </w:r>
            <w:bookmarkEnd w:id="15"/>
            <w:bookmarkEnd w:id="16"/>
            <w:r w:rsidRPr="00AB3390">
              <w:rPr>
                <w:rFonts w:cs="Times New Roman"/>
                <w:sz w:val="20"/>
                <w:szCs w:val="20"/>
              </w:rPr>
              <w:t xml:space="preserve"> </w:t>
            </w:r>
          </w:p>
        </w:tc>
        <w:tc>
          <w:tcPr>
            <w:tcW w:w="332" w:type="pct"/>
            <w:vAlign w:val="center"/>
          </w:tcPr>
          <w:p w14:paraId="35CC293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7456819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4.5</w:t>
            </w:r>
          </w:p>
        </w:tc>
        <w:tc>
          <w:tcPr>
            <w:tcW w:w="332" w:type="pct"/>
            <w:vAlign w:val="center"/>
          </w:tcPr>
          <w:p w14:paraId="35B687C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3684866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15243F5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2A9D8E2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962F01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63A27E1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6BCC5EC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1A5C95A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6CE67C6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r>
      <w:tr w:rsidR="00C30A66" w:rsidRPr="00C30A66" w14:paraId="4EBB5724" w14:textId="77777777" w:rsidTr="004D0A64">
        <w:trPr>
          <w:trHeight w:val="245"/>
        </w:trPr>
        <w:tc>
          <w:tcPr>
            <w:tcW w:w="1349" w:type="pct"/>
            <w:vAlign w:val="center"/>
          </w:tcPr>
          <w:p w14:paraId="429D12C8" w14:textId="12DC94D3" w:rsidR="00C30A66" w:rsidRPr="00AB3390" w:rsidRDefault="00C30A66" w:rsidP="00E71B1D">
            <w:pPr>
              <w:rPr>
                <w:rFonts w:cs="Times New Roman"/>
                <w:sz w:val="20"/>
                <w:szCs w:val="20"/>
              </w:rPr>
            </w:pPr>
            <w:bookmarkStart w:id="17" w:name="_Toc43836540"/>
            <w:bookmarkStart w:id="18" w:name="_Toc43921622"/>
            <w:r w:rsidRPr="00AB3390">
              <w:rPr>
                <w:rFonts w:cs="Times New Roman"/>
                <w:sz w:val="20"/>
                <w:szCs w:val="20"/>
              </w:rPr>
              <w:t>Increased Motor Fuel Tax Rate</w:t>
            </w:r>
            <w:bookmarkEnd w:id="17"/>
            <w:bookmarkEnd w:id="18"/>
            <w:r w:rsidRPr="00AB3390">
              <w:rPr>
                <w:rFonts w:cs="Times New Roman"/>
                <w:sz w:val="20"/>
                <w:szCs w:val="20"/>
              </w:rPr>
              <w:t xml:space="preserve"> </w:t>
            </w:r>
          </w:p>
        </w:tc>
        <w:tc>
          <w:tcPr>
            <w:tcW w:w="332" w:type="pct"/>
            <w:vAlign w:val="center"/>
          </w:tcPr>
          <w:p w14:paraId="06E760C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7578115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4.5</w:t>
            </w:r>
          </w:p>
        </w:tc>
        <w:tc>
          <w:tcPr>
            <w:tcW w:w="332" w:type="pct"/>
            <w:vAlign w:val="center"/>
          </w:tcPr>
          <w:p w14:paraId="1A3D79F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c>
          <w:tcPr>
            <w:tcW w:w="332" w:type="pct"/>
            <w:vAlign w:val="center"/>
          </w:tcPr>
          <w:p w14:paraId="437DBAD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4975EBC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4BE3F09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02909D0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00E4F1C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6A1C502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5B3B2E51"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086CBDD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r>
      <w:tr w:rsidR="00C30A66" w:rsidRPr="00C30A66" w14:paraId="2AA8FB44" w14:textId="77777777" w:rsidTr="004D0A64">
        <w:trPr>
          <w:trHeight w:val="245"/>
        </w:trPr>
        <w:tc>
          <w:tcPr>
            <w:tcW w:w="1349" w:type="pct"/>
            <w:vAlign w:val="center"/>
          </w:tcPr>
          <w:p w14:paraId="040AD3DA" w14:textId="53D7316F" w:rsidR="00C30A66" w:rsidRPr="00AB3390" w:rsidRDefault="00C30A66" w:rsidP="00E71B1D">
            <w:pPr>
              <w:rPr>
                <w:rFonts w:cs="Times New Roman"/>
                <w:sz w:val="20"/>
                <w:szCs w:val="20"/>
              </w:rPr>
            </w:pPr>
            <w:bookmarkStart w:id="19" w:name="_Toc43836541"/>
            <w:bookmarkStart w:id="20" w:name="_Toc43921623"/>
            <w:r w:rsidRPr="00AB3390">
              <w:rPr>
                <w:rFonts w:cs="Times New Roman"/>
                <w:sz w:val="20"/>
                <w:szCs w:val="20"/>
              </w:rPr>
              <w:t>Vehicle Miles Traveled Fee</w:t>
            </w:r>
            <w:bookmarkEnd w:id="19"/>
            <w:bookmarkEnd w:id="20"/>
            <w:r w:rsidRPr="00AB3390">
              <w:rPr>
                <w:rFonts w:cs="Times New Roman"/>
                <w:sz w:val="20"/>
                <w:szCs w:val="20"/>
              </w:rPr>
              <w:t xml:space="preserve"> </w:t>
            </w:r>
          </w:p>
        </w:tc>
        <w:tc>
          <w:tcPr>
            <w:tcW w:w="332" w:type="pct"/>
            <w:vAlign w:val="center"/>
          </w:tcPr>
          <w:p w14:paraId="4E49A43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A2EB4C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6CD99FAA"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73CF1C4A"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6B7D337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3D2D8FA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17EC4DD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5F72DA9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5439AB0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4362036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22296F8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r>
      <w:tr w:rsidR="00C30A66" w:rsidRPr="00C30A66" w14:paraId="5A7CA9E9" w14:textId="77777777" w:rsidTr="004D0A64">
        <w:trPr>
          <w:trHeight w:val="245"/>
        </w:trPr>
        <w:tc>
          <w:tcPr>
            <w:tcW w:w="1349" w:type="pct"/>
            <w:vAlign w:val="center"/>
          </w:tcPr>
          <w:p w14:paraId="2FBC3C64" w14:textId="5CC584EC" w:rsidR="00C30A66" w:rsidRPr="00AB3390" w:rsidRDefault="00C30A66" w:rsidP="00E71B1D">
            <w:pPr>
              <w:rPr>
                <w:rFonts w:cs="Times New Roman"/>
                <w:sz w:val="20"/>
                <w:szCs w:val="20"/>
              </w:rPr>
            </w:pPr>
            <w:bookmarkStart w:id="21" w:name="_Toc43836542"/>
            <w:bookmarkStart w:id="22" w:name="_Toc43921624"/>
            <w:r w:rsidRPr="00AB3390">
              <w:rPr>
                <w:rFonts w:cs="Times New Roman"/>
                <w:sz w:val="20"/>
                <w:szCs w:val="20"/>
              </w:rPr>
              <w:t xml:space="preserve">Tax Increment Financing (TIF-TRZ) </w:t>
            </w:r>
            <w:bookmarkEnd w:id="21"/>
            <w:bookmarkEnd w:id="22"/>
          </w:p>
        </w:tc>
        <w:tc>
          <w:tcPr>
            <w:tcW w:w="332" w:type="pct"/>
            <w:vAlign w:val="center"/>
          </w:tcPr>
          <w:p w14:paraId="4B4211D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40B3DB0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c>
          <w:tcPr>
            <w:tcW w:w="332" w:type="pct"/>
            <w:vAlign w:val="center"/>
          </w:tcPr>
          <w:p w14:paraId="4EE62E3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6F873D21"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32411CB1"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06F675F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3818390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1450B98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77E95C4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4E862ED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0CC0C61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r>
      <w:tr w:rsidR="00C30A66" w:rsidRPr="00C30A66" w14:paraId="4C431C7C" w14:textId="77777777" w:rsidTr="004D0A64">
        <w:trPr>
          <w:trHeight w:val="245"/>
        </w:trPr>
        <w:tc>
          <w:tcPr>
            <w:tcW w:w="1349" w:type="pct"/>
            <w:vAlign w:val="center"/>
          </w:tcPr>
          <w:p w14:paraId="7B8F4102" w14:textId="0B716F19" w:rsidR="00C30A66" w:rsidRPr="00AB3390" w:rsidRDefault="00C30A66" w:rsidP="00E71B1D">
            <w:pPr>
              <w:rPr>
                <w:rFonts w:cs="Times New Roman"/>
                <w:sz w:val="20"/>
                <w:szCs w:val="20"/>
              </w:rPr>
            </w:pPr>
            <w:bookmarkStart w:id="23" w:name="_Toc43836544"/>
            <w:bookmarkStart w:id="24" w:name="_Toc43921626"/>
            <w:r w:rsidRPr="00AB3390">
              <w:rPr>
                <w:rFonts w:cs="Times New Roman"/>
                <w:sz w:val="20"/>
                <w:szCs w:val="20"/>
              </w:rPr>
              <w:t>Impact Fee</w:t>
            </w:r>
            <w:bookmarkEnd w:id="23"/>
            <w:bookmarkEnd w:id="24"/>
            <w:r w:rsidRPr="00AB3390">
              <w:rPr>
                <w:rFonts w:cs="Times New Roman"/>
                <w:sz w:val="20"/>
                <w:szCs w:val="20"/>
              </w:rPr>
              <w:t xml:space="preserve"> </w:t>
            </w:r>
          </w:p>
        </w:tc>
        <w:tc>
          <w:tcPr>
            <w:tcW w:w="332" w:type="pct"/>
            <w:vAlign w:val="center"/>
          </w:tcPr>
          <w:p w14:paraId="48AE3AC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5F127D6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636285DA"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55B5F26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402257E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00940381"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49572EA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30A483E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264D05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609985E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7CB1CE4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r>
      <w:tr w:rsidR="00C30A66" w:rsidRPr="00C30A66" w14:paraId="0DC321CB" w14:textId="77777777" w:rsidTr="004D0A64">
        <w:trPr>
          <w:trHeight w:val="245"/>
        </w:trPr>
        <w:tc>
          <w:tcPr>
            <w:tcW w:w="1349" w:type="pct"/>
            <w:vAlign w:val="center"/>
          </w:tcPr>
          <w:p w14:paraId="45A89EC8" w14:textId="06A084EE" w:rsidR="00C30A66" w:rsidRPr="00C30A66" w:rsidRDefault="00C30A66" w:rsidP="00E71B1D">
            <w:pPr>
              <w:rPr>
                <w:rFonts w:cs="Times New Roman"/>
                <w:sz w:val="20"/>
                <w:szCs w:val="20"/>
              </w:rPr>
            </w:pPr>
            <w:bookmarkStart w:id="25" w:name="_Toc43836545"/>
            <w:bookmarkStart w:id="26" w:name="_Toc43921627"/>
            <w:r w:rsidRPr="00C30A66">
              <w:rPr>
                <w:rFonts w:cs="Times New Roman"/>
                <w:sz w:val="20"/>
                <w:szCs w:val="20"/>
              </w:rPr>
              <w:t>Congestion Charges</w:t>
            </w:r>
            <w:bookmarkEnd w:id="25"/>
            <w:bookmarkEnd w:id="26"/>
            <w:r w:rsidRPr="00C30A66">
              <w:rPr>
                <w:rFonts w:cs="Times New Roman"/>
                <w:sz w:val="20"/>
                <w:szCs w:val="20"/>
              </w:rPr>
              <w:t xml:space="preserve"> </w:t>
            </w:r>
          </w:p>
        </w:tc>
        <w:tc>
          <w:tcPr>
            <w:tcW w:w="332" w:type="pct"/>
            <w:vAlign w:val="center"/>
          </w:tcPr>
          <w:p w14:paraId="663A426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6412E4A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43DAB61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8880E2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5694F0A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2AE0E66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10F3A59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6E24066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7160C2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23DE499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21BA93C1"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r>
      <w:tr w:rsidR="00C30A66" w:rsidRPr="00C30A66" w14:paraId="6E85DADE" w14:textId="77777777" w:rsidTr="004D0A64">
        <w:trPr>
          <w:trHeight w:val="245"/>
        </w:trPr>
        <w:tc>
          <w:tcPr>
            <w:tcW w:w="1349" w:type="pct"/>
            <w:vAlign w:val="center"/>
          </w:tcPr>
          <w:p w14:paraId="11F41196" w14:textId="1DE08AB6" w:rsidR="00C30A66" w:rsidRPr="00C30A66" w:rsidRDefault="00C30A66" w:rsidP="00E71B1D">
            <w:pPr>
              <w:rPr>
                <w:rFonts w:cs="Times New Roman"/>
                <w:sz w:val="20"/>
                <w:szCs w:val="20"/>
              </w:rPr>
            </w:pPr>
            <w:bookmarkStart w:id="27" w:name="_Toc43836546"/>
            <w:bookmarkStart w:id="28" w:name="_Toc43921628"/>
            <w:r w:rsidRPr="00C30A66">
              <w:rPr>
                <w:rFonts w:cs="Times New Roman"/>
                <w:sz w:val="20"/>
                <w:szCs w:val="20"/>
              </w:rPr>
              <w:t>Cordon Pricing</w:t>
            </w:r>
            <w:bookmarkEnd w:id="27"/>
            <w:bookmarkEnd w:id="28"/>
            <w:r w:rsidRPr="00C30A66">
              <w:rPr>
                <w:rFonts w:cs="Times New Roman"/>
                <w:sz w:val="20"/>
                <w:szCs w:val="20"/>
              </w:rPr>
              <w:t xml:space="preserve"> </w:t>
            </w:r>
          </w:p>
        </w:tc>
        <w:tc>
          <w:tcPr>
            <w:tcW w:w="332" w:type="pct"/>
            <w:vAlign w:val="center"/>
          </w:tcPr>
          <w:p w14:paraId="27CD0E2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00A4D3E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4E62D1D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4018D51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c>
          <w:tcPr>
            <w:tcW w:w="332" w:type="pct"/>
            <w:vAlign w:val="center"/>
          </w:tcPr>
          <w:p w14:paraId="13B28F5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4431F63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4BBF6E4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c>
          <w:tcPr>
            <w:tcW w:w="332" w:type="pct"/>
            <w:vAlign w:val="center"/>
          </w:tcPr>
          <w:p w14:paraId="09F5780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290A51C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0BF0F43A"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5D604E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r>
      <w:tr w:rsidR="00C30A66" w:rsidRPr="00C30A66" w14:paraId="2BF441B5" w14:textId="77777777" w:rsidTr="004D0A64">
        <w:trPr>
          <w:trHeight w:val="245"/>
        </w:trPr>
        <w:tc>
          <w:tcPr>
            <w:tcW w:w="1349" w:type="pct"/>
            <w:vAlign w:val="center"/>
          </w:tcPr>
          <w:p w14:paraId="202A5A28" w14:textId="555C1C3E" w:rsidR="00C30A66" w:rsidRPr="00C30A66" w:rsidRDefault="00C30A66" w:rsidP="00E71B1D">
            <w:pPr>
              <w:rPr>
                <w:rFonts w:cs="Times New Roman"/>
                <w:sz w:val="20"/>
                <w:szCs w:val="20"/>
              </w:rPr>
            </w:pPr>
            <w:bookmarkStart w:id="29" w:name="_Toc43836547"/>
            <w:bookmarkStart w:id="30" w:name="_Toc43921629"/>
            <w:r w:rsidRPr="00C30A66">
              <w:rPr>
                <w:rFonts w:cs="Times New Roman"/>
                <w:sz w:val="20"/>
                <w:szCs w:val="20"/>
              </w:rPr>
              <w:t>Container Fees/Tax</w:t>
            </w:r>
            <w:bookmarkEnd w:id="29"/>
            <w:bookmarkEnd w:id="30"/>
            <w:r w:rsidRPr="00C30A66">
              <w:rPr>
                <w:rFonts w:cs="Times New Roman"/>
                <w:sz w:val="20"/>
                <w:szCs w:val="20"/>
              </w:rPr>
              <w:t xml:space="preserve"> </w:t>
            </w:r>
          </w:p>
        </w:tc>
        <w:tc>
          <w:tcPr>
            <w:tcW w:w="332" w:type="pct"/>
            <w:vAlign w:val="center"/>
          </w:tcPr>
          <w:p w14:paraId="643863E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625DE03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466ED65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2521FBA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23C04861"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22A57DB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41D5A6F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C72E30A"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1E7CCEE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351A265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473DE12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r>
      <w:tr w:rsidR="00C30A66" w:rsidRPr="00C30A66" w14:paraId="717DFBF2" w14:textId="77777777" w:rsidTr="004D0A64">
        <w:trPr>
          <w:trHeight w:val="245"/>
        </w:trPr>
        <w:tc>
          <w:tcPr>
            <w:tcW w:w="1349" w:type="pct"/>
            <w:vAlign w:val="center"/>
          </w:tcPr>
          <w:p w14:paraId="548985BC" w14:textId="4A134669" w:rsidR="00C30A66" w:rsidRPr="00C30A66" w:rsidRDefault="00C30A66" w:rsidP="00E71B1D">
            <w:pPr>
              <w:rPr>
                <w:rFonts w:cs="Times New Roman"/>
                <w:sz w:val="20"/>
                <w:szCs w:val="20"/>
              </w:rPr>
            </w:pPr>
            <w:bookmarkStart w:id="31" w:name="_Toc43836548"/>
            <w:bookmarkStart w:id="32" w:name="_Toc43921630"/>
            <w:r w:rsidRPr="00C30A66">
              <w:rPr>
                <w:rFonts w:cs="Times New Roman"/>
                <w:sz w:val="20"/>
                <w:szCs w:val="20"/>
              </w:rPr>
              <w:t>Carbon Taxes</w:t>
            </w:r>
            <w:bookmarkEnd w:id="31"/>
            <w:bookmarkEnd w:id="32"/>
            <w:r w:rsidRPr="00C30A66">
              <w:rPr>
                <w:rFonts w:cs="Times New Roman"/>
                <w:sz w:val="20"/>
                <w:szCs w:val="20"/>
              </w:rPr>
              <w:t xml:space="preserve"> </w:t>
            </w:r>
          </w:p>
        </w:tc>
        <w:tc>
          <w:tcPr>
            <w:tcW w:w="332" w:type="pct"/>
            <w:vAlign w:val="center"/>
          </w:tcPr>
          <w:p w14:paraId="318EF0D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53B96EF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4.5</w:t>
            </w:r>
          </w:p>
        </w:tc>
        <w:tc>
          <w:tcPr>
            <w:tcW w:w="332" w:type="pct"/>
            <w:vAlign w:val="center"/>
          </w:tcPr>
          <w:p w14:paraId="0BE21EC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CC331C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67595A5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69EB742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08D4C18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651065E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41231CC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B14A6E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6254FD1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r>
      <w:tr w:rsidR="00C30A66" w:rsidRPr="00C30A66" w14:paraId="535EFD27" w14:textId="77777777" w:rsidTr="004D0A64">
        <w:trPr>
          <w:trHeight w:val="245"/>
        </w:trPr>
        <w:tc>
          <w:tcPr>
            <w:tcW w:w="1349" w:type="pct"/>
            <w:vAlign w:val="center"/>
          </w:tcPr>
          <w:p w14:paraId="093773A5" w14:textId="6B7F7BB9" w:rsidR="00C30A66" w:rsidRPr="00C30A66" w:rsidRDefault="00C30A66" w:rsidP="00E71B1D">
            <w:pPr>
              <w:rPr>
                <w:rFonts w:cs="Times New Roman"/>
                <w:sz w:val="20"/>
                <w:szCs w:val="20"/>
              </w:rPr>
            </w:pPr>
            <w:bookmarkStart w:id="33" w:name="_Toc43836549"/>
            <w:bookmarkStart w:id="34" w:name="_Toc43921631"/>
            <w:r w:rsidRPr="00C30A66">
              <w:rPr>
                <w:rFonts w:cs="Times New Roman"/>
                <w:sz w:val="20"/>
                <w:szCs w:val="20"/>
              </w:rPr>
              <w:t>Freight Bill</w:t>
            </w:r>
            <w:bookmarkEnd w:id="33"/>
            <w:bookmarkEnd w:id="34"/>
            <w:r w:rsidRPr="00C30A66">
              <w:rPr>
                <w:rFonts w:cs="Times New Roman"/>
                <w:sz w:val="20"/>
                <w:szCs w:val="20"/>
              </w:rPr>
              <w:t xml:space="preserve"> </w:t>
            </w:r>
          </w:p>
        </w:tc>
        <w:tc>
          <w:tcPr>
            <w:tcW w:w="332" w:type="pct"/>
            <w:vAlign w:val="center"/>
          </w:tcPr>
          <w:p w14:paraId="138EF064"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3</w:t>
            </w:r>
          </w:p>
        </w:tc>
        <w:tc>
          <w:tcPr>
            <w:tcW w:w="332" w:type="pct"/>
            <w:vAlign w:val="center"/>
          </w:tcPr>
          <w:p w14:paraId="6DA8E040"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3.5</w:t>
            </w:r>
          </w:p>
        </w:tc>
        <w:tc>
          <w:tcPr>
            <w:tcW w:w="332" w:type="pct"/>
            <w:vAlign w:val="center"/>
          </w:tcPr>
          <w:p w14:paraId="02AFF2BC"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5</w:t>
            </w:r>
          </w:p>
        </w:tc>
        <w:tc>
          <w:tcPr>
            <w:tcW w:w="332" w:type="pct"/>
            <w:vAlign w:val="center"/>
          </w:tcPr>
          <w:p w14:paraId="32FFD6F6"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3</w:t>
            </w:r>
          </w:p>
        </w:tc>
        <w:tc>
          <w:tcPr>
            <w:tcW w:w="332" w:type="pct"/>
            <w:vAlign w:val="center"/>
          </w:tcPr>
          <w:p w14:paraId="1BE66BD8"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0</w:t>
            </w:r>
          </w:p>
        </w:tc>
        <w:tc>
          <w:tcPr>
            <w:tcW w:w="332" w:type="pct"/>
            <w:vAlign w:val="center"/>
          </w:tcPr>
          <w:p w14:paraId="71C40B17"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2</w:t>
            </w:r>
          </w:p>
        </w:tc>
        <w:tc>
          <w:tcPr>
            <w:tcW w:w="332" w:type="pct"/>
            <w:vAlign w:val="center"/>
          </w:tcPr>
          <w:p w14:paraId="08EA7874"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2</w:t>
            </w:r>
          </w:p>
        </w:tc>
        <w:tc>
          <w:tcPr>
            <w:tcW w:w="332" w:type="pct"/>
            <w:vAlign w:val="center"/>
          </w:tcPr>
          <w:p w14:paraId="261BC0CD"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2</w:t>
            </w:r>
          </w:p>
        </w:tc>
        <w:tc>
          <w:tcPr>
            <w:tcW w:w="332" w:type="pct"/>
            <w:vAlign w:val="center"/>
          </w:tcPr>
          <w:p w14:paraId="11C036F7"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1</w:t>
            </w:r>
          </w:p>
        </w:tc>
        <w:tc>
          <w:tcPr>
            <w:tcW w:w="332" w:type="pct"/>
            <w:vAlign w:val="center"/>
          </w:tcPr>
          <w:p w14:paraId="160967F1"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1</w:t>
            </w:r>
          </w:p>
        </w:tc>
        <w:tc>
          <w:tcPr>
            <w:tcW w:w="332" w:type="pct"/>
            <w:vAlign w:val="center"/>
          </w:tcPr>
          <w:p w14:paraId="01E54399" w14:textId="77777777" w:rsidR="00C30A66" w:rsidRPr="00C30A66" w:rsidRDefault="00C30A66" w:rsidP="00EA1735">
            <w:pPr>
              <w:jc w:val="center"/>
              <w:rPr>
                <w:rFonts w:cs="Times New Roman"/>
                <w:color w:val="222222"/>
                <w:sz w:val="20"/>
                <w:szCs w:val="20"/>
              </w:rPr>
            </w:pPr>
            <w:r w:rsidRPr="00C30A66">
              <w:rPr>
                <w:rFonts w:eastAsia="Times New Roman" w:cs="Times New Roman"/>
                <w:color w:val="000000"/>
                <w:sz w:val="20"/>
                <w:szCs w:val="20"/>
              </w:rPr>
              <w:t>3.5</w:t>
            </w:r>
          </w:p>
        </w:tc>
      </w:tr>
      <w:tr w:rsidR="00C30A66" w:rsidRPr="00C30A66" w14:paraId="75E5DC9A" w14:textId="77777777" w:rsidTr="004D0A64">
        <w:trPr>
          <w:trHeight w:val="245"/>
        </w:trPr>
        <w:tc>
          <w:tcPr>
            <w:tcW w:w="1349" w:type="pct"/>
            <w:vAlign w:val="center"/>
          </w:tcPr>
          <w:p w14:paraId="7E22A053" w14:textId="485FF034" w:rsidR="00C30A66" w:rsidRPr="00C30A66" w:rsidRDefault="00C30A66" w:rsidP="00E71B1D">
            <w:pPr>
              <w:rPr>
                <w:rFonts w:cs="Times New Roman"/>
                <w:sz w:val="20"/>
                <w:szCs w:val="20"/>
              </w:rPr>
            </w:pPr>
            <w:bookmarkStart w:id="35" w:name="_Toc43836550"/>
            <w:bookmarkStart w:id="36" w:name="_Toc43921632"/>
            <w:r w:rsidRPr="00C30A66">
              <w:rPr>
                <w:rFonts w:cs="Times New Roman"/>
                <w:sz w:val="20"/>
                <w:szCs w:val="20"/>
              </w:rPr>
              <w:t>Freight Charge: Ton or Ton-Mile</w:t>
            </w:r>
            <w:bookmarkEnd w:id="35"/>
            <w:bookmarkEnd w:id="36"/>
            <w:r w:rsidRPr="00C30A66">
              <w:rPr>
                <w:rFonts w:cs="Times New Roman"/>
                <w:sz w:val="20"/>
                <w:szCs w:val="20"/>
              </w:rPr>
              <w:t xml:space="preserve"> </w:t>
            </w:r>
          </w:p>
        </w:tc>
        <w:tc>
          <w:tcPr>
            <w:tcW w:w="332" w:type="pct"/>
            <w:vAlign w:val="center"/>
          </w:tcPr>
          <w:p w14:paraId="34E891F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59350D7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635292C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71D5C27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09352B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1ED7E79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5BDCEB9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4546E83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4C47FA3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0058226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502D536A"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r>
      <w:tr w:rsidR="00C30A66" w:rsidRPr="00C30A66" w14:paraId="404B6ED5" w14:textId="77777777" w:rsidTr="004D0A64">
        <w:trPr>
          <w:trHeight w:val="245"/>
        </w:trPr>
        <w:tc>
          <w:tcPr>
            <w:tcW w:w="1349" w:type="pct"/>
            <w:vAlign w:val="center"/>
          </w:tcPr>
          <w:p w14:paraId="0E4CF908" w14:textId="3F999601" w:rsidR="00C30A66" w:rsidRPr="00C30A66" w:rsidRDefault="00C30A66" w:rsidP="00E71B1D">
            <w:pPr>
              <w:rPr>
                <w:rFonts w:cs="Times New Roman"/>
                <w:sz w:val="20"/>
                <w:szCs w:val="20"/>
              </w:rPr>
            </w:pPr>
            <w:r w:rsidRPr="00C30A66">
              <w:rPr>
                <w:rFonts w:cs="Times New Roman"/>
                <w:sz w:val="20"/>
                <w:szCs w:val="20"/>
              </w:rPr>
              <w:t xml:space="preserve">Facility-level Tolling and Pricing </w:t>
            </w:r>
          </w:p>
        </w:tc>
        <w:tc>
          <w:tcPr>
            <w:tcW w:w="332" w:type="pct"/>
            <w:vAlign w:val="center"/>
          </w:tcPr>
          <w:p w14:paraId="579E6D1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3CC291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7A50CBAA"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08A22C1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50819D5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177E9EB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6F9B0F6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2AAB664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0C7F3C3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0835A09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0C5F54F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r>
      <w:tr w:rsidR="00C30A66" w:rsidRPr="00C30A66" w14:paraId="6D9B7A16" w14:textId="77777777" w:rsidTr="004D0A64">
        <w:trPr>
          <w:trHeight w:val="245"/>
        </w:trPr>
        <w:tc>
          <w:tcPr>
            <w:tcW w:w="1349" w:type="pct"/>
            <w:vAlign w:val="center"/>
          </w:tcPr>
          <w:p w14:paraId="28E7B8D2" w14:textId="3226DA18" w:rsidR="00C30A66" w:rsidRPr="00C30A66" w:rsidRDefault="00C30A66" w:rsidP="00E71B1D">
            <w:pPr>
              <w:rPr>
                <w:rFonts w:cs="Times New Roman"/>
                <w:sz w:val="20"/>
                <w:szCs w:val="20"/>
              </w:rPr>
            </w:pPr>
            <w:bookmarkStart w:id="37" w:name="_Toc43836553"/>
            <w:bookmarkStart w:id="38" w:name="_Toc43921635"/>
            <w:r w:rsidRPr="00C30A66">
              <w:rPr>
                <w:rFonts w:cs="Times New Roman"/>
                <w:sz w:val="20"/>
                <w:szCs w:val="20"/>
              </w:rPr>
              <w:t>Heavy Vehicle Use Tax</w:t>
            </w:r>
            <w:bookmarkEnd w:id="37"/>
            <w:bookmarkEnd w:id="38"/>
            <w:r w:rsidRPr="00C30A66">
              <w:rPr>
                <w:rFonts w:cs="Times New Roman"/>
                <w:sz w:val="20"/>
                <w:szCs w:val="20"/>
              </w:rPr>
              <w:t xml:space="preserve"> </w:t>
            </w:r>
          </w:p>
        </w:tc>
        <w:tc>
          <w:tcPr>
            <w:tcW w:w="332" w:type="pct"/>
            <w:vAlign w:val="center"/>
          </w:tcPr>
          <w:p w14:paraId="06F9A75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32959D3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0BCC39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54A90AD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7411CBC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69C3337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009A091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05C6FC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653A1C9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01686BC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1DFC281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r>
      <w:tr w:rsidR="00C30A66" w:rsidRPr="00C30A66" w14:paraId="159AE4E9" w14:textId="77777777" w:rsidTr="004D0A64">
        <w:trPr>
          <w:trHeight w:val="245"/>
        </w:trPr>
        <w:tc>
          <w:tcPr>
            <w:tcW w:w="1349" w:type="pct"/>
            <w:vAlign w:val="center"/>
          </w:tcPr>
          <w:p w14:paraId="00A78104" w14:textId="63F25EFB" w:rsidR="00C30A66" w:rsidRPr="00C30A66" w:rsidRDefault="00C30A66" w:rsidP="00E71B1D">
            <w:pPr>
              <w:rPr>
                <w:rFonts w:cs="Times New Roman"/>
                <w:sz w:val="20"/>
                <w:szCs w:val="20"/>
              </w:rPr>
            </w:pPr>
            <w:bookmarkStart w:id="39" w:name="_Toc43836554"/>
            <w:bookmarkStart w:id="40" w:name="_Toc43921636"/>
            <w:r w:rsidRPr="00C30A66">
              <w:rPr>
                <w:rFonts w:cs="Times New Roman"/>
                <w:sz w:val="20"/>
                <w:szCs w:val="20"/>
              </w:rPr>
              <w:t>Imported Oil Tax</w:t>
            </w:r>
            <w:bookmarkEnd w:id="39"/>
            <w:bookmarkEnd w:id="40"/>
            <w:r w:rsidRPr="00C30A66">
              <w:rPr>
                <w:rFonts w:cs="Times New Roman"/>
                <w:sz w:val="20"/>
                <w:szCs w:val="20"/>
              </w:rPr>
              <w:t xml:space="preserve"> </w:t>
            </w:r>
          </w:p>
        </w:tc>
        <w:tc>
          <w:tcPr>
            <w:tcW w:w="332" w:type="pct"/>
            <w:vAlign w:val="center"/>
          </w:tcPr>
          <w:p w14:paraId="5267FFA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7AC79C0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56BA499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43A5AF1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463A2C7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40C9A74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13232FE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47F173F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14FB2D7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030BFA7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7D9343B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r>
      <w:tr w:rsidR="00C30A66" w:rsidRPr="00C30A66" w14:paraId="23BA6EBA" w14:textId="77777777" w:rsidTr="004D0A64">
        <w:trPr>
          <w:trHeight w:val="245"/>
        </w:trPr>
        <w:tc>
          <w:tcPr>
            <w:tcW w:w="1349" w:type="pct"/>
            <w:vAlign w:val="center"/>
          </w:tcPr>
          <w:p w14:paraId="724C860C" w14:textId="0791E3AC" w:rsidR="00C30A66" w:rsidRPr="00C30A66" w:rsidRDefault="00C30A66" w:rsidP="00E71B1D">
            <w:pPr>
              <w:rPr>
                <w:rFonts w:cs="Times New Roman"/>
                <w:sz w:val="20"/>
                <w:szCs w:val="20"/>
              </w:rPr>
            </w:pPr>
            <w:bookmarkStart w:id="41" w:name="_Toc43921638"/>
            <w:r w:rsidRPr="00C30A66">
              <w:rPr>
                <w:rFonts w:cs="Times New Roman"/>
                <w:sz w:val="20"/>
                <w:szCs w:val="20"/>
              </w:rPr>
              <w:t>Sales Tax: Auto-related Parts and Services</w:t>
            </w:r>
            <w:bookmarkEnd w:id="41"/>
            <w:r w:rsidRPr="00C30A66">
              <w:rPr>
                <w:rFonts w:cs="Times New Roman"/>
                <w:sz w:val="20"/>
                <w:szCs w:val="20"/>
              </w:rPr>
              <w:t xml:space="preserve"> </w:t>
            </w:r>
          </w:p>
        </w:tc>
        <w:tc>
          <w:tcPr>
            <w:tcW w:w="332" w:type="pct"/>
            <w:vAlign w:val="center"/>
          </w:tcPr>
          <w:p w14:paraId="59661121"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BAC043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512A9B0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6A8A4EB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56FA568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5CD79FD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571CBB0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0440AC6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4023AF1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c>
          <w:tcPr>
            <w:tcW w:w="332" w:type="pct"/>
            <w:vAlign w:val="center"/>
          </w:tcPr>
          <w:p w14:paraId="3401930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3B721C7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r>
      <w:tr w:rsidR="00C30A66" w:rsidRPr="00C30A66" w14:paraId="63E5053E" w14:textId="77777777" w:rsidTr="004D0A64">
        <w:trPr>
          <w:trHeight w:val="245"/>
        </w:trPr>
        <w:tc>
          <w:tcPr>
            <w:tcW w:w="1349" w:type="pct"/>
            <w:vAlign w:val="center"/>
          </w:tcPr>
          <w:p w14:paraId="42368E37" w14:textId="1F240E10" w:rsidR="00C30A66" w:rsidRPr="00C30A66" w:rsidRDefault="00C30A66" w:rsidP="00E71B1D">
            <w:pPr>
              <w:rPr>
                <w:rFonts w:cs="Times New Roman"/>
                <w:sz w:val="20"/>
                <w:szCs w:val="20"/>
              </w:rPr>
            </w:pPr>
            <w:bookmarkStart w:id="42" w:name="_Toc43921639"/>
            <w:r w:rsidRPr="00C30A66">
              <w:rPr>
                <w:rFonts w:cs="Times New Roman"/>
                <w:sz w:val="20"/>
                <w:szCs w:val="20"/>
              </w:rPr>
              <w:t>Variable Parking Fee</w:t>
            </w:r>
            <w:bookmarkEnd w:id="42"/>
            <w:r w:rsidRPr="00C30A66">
              <w:rPr>
                <w:rFonts w:cs="Times New Roman"/>
                <w:sz w:val="20"/>
                <w:szCs w:val="20"/>
              </w:rPr>
              <w:t xml:space="preserve"> </w:t>
            </w:r>
          </w:p>
        </w:tc>
        <w:tc>
          <w:tcPr>
            <w:tcW w:w="332" w:type="pct"/>
            <w:vAlign w:val="center"/>
          </w:tcPr>
          <w:p w14:paraId="4AC28DC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24C4E6D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2.5</w:t>
            </w:r>
          </w:p>
        </w:tc>
        <w:tc>
          <w:tcPr>
            <w:tcW w:w="332" w:type="pct"/>
            <w:vAlign w:val="center"/>
          </w:tcPr>
          <w:p w14:paraId="30D811F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6C35ADA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6253F51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49EDBB3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4034C4C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436D501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53A7829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5C499FB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0F81068D"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r>
      <w:tr w:rsidR="00C30A66" w:rsidRPr="00C30A66" w14:paraId="70C17805" w14:textId="77777777" w:rsidTr="004D0A64">
        <w:trPr>
          <w:trHeight w:val="245"/>
        </w:trPr>
        <w:tc>
          <w:tcPr>
            <w:tcW w:w="1349" w:type="pct"/>
            <w:vAlign w:val="center"/>
          </w:tcPr>
          <w:p w14:paraId="64071A4D" w14:textId="663DB27A" w:rsidR="00C30A66" w:rsidRPr="00C30A66" w:rsidRDefault="00C30A66" w:rsidP="00E71B1D">
            <w:pPr>
              <w:rPr>
                <w:rFonts w:cs="Times New Roman"/>
                <w:sz w:val="20"/>
                <w:szCs w:val="20"/>
              </w:rPr>
            </w:pPr>
            <w:bookmarkStart w:id="43" w:name="_Toc43836558"/>
            <w:bookmarkStart w:id="44" w:name="_Toc43921640"/>
            <w:r w:rsidRPr="00C30A66">
              <w:rPr>
                <w:rFonts w:cs="Times New Roman"/>
                <w:sz w:val="20"/>
                <w:szCs w:val="20"/>
              </w:rPr>
              <w:t>Transportation Utility Fee</w:t>
            </w:r>
            <w:bookmarkEnd w:id="43"/>
            <w:bookmarkEnd w:id="44"/>
            <w:r w:rsidRPr="00C30A66">
              <w:rPr>
                <w:rFonts w:cs="Times New Roman"/>
                <w:sz w:val="20"/>
                <w:szCs w:val="20"/>
              </w:rPr>
              <w:t xml:space="preserve"> </w:t>
            </w:r>
          </w:p>
        </w:tc>
        <w:tc>
          <w:tcPr>
            <w:tcW w:w="332" w:type="pct"/>
            <w:vAlign w:val="center"/>
          </w:tcPr>
          <w:p w14:paraId="416DC7F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2B9E2288"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6C9F8B4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4.5</w:t>
            </w:r>
          </w:p>
        </w:tc>
        <w:tc>
          <w:tcPr>
            <w:tcW w:w="332" w:type="pct"/>
            <w:vAlign w:val="center"/>
          </w:tcPr>
          <w:p w14:paraId="3FAF14C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3ABC3AF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622E92B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2FC005F2"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4B0F1F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433FCE3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1</w:t>
            </w:r>
          </w:p>
        </w:tc>
        <w:tc>
          <w:tcPr>
            <w:tcW w:w="332" w:type="pct"/>
            <w:vAlign w:val="center"/>
          </w:tcPr>
          <w:p w14:paraId="01D748C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3B1005F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r>
      <w:tr w:rsidR="00C30A66" w:rsidRPr="00C30A66" w14:paraId="2499E2DC" w14:textId="77777777" w:rsidTr="004D0A64">
        <w:trPr>
          <w:trHeight w:val="245"/>
        </w:trPr>
        <w:tc>
          <w:tcPr>
            <w:tcW w:w="1349" w:type="pct"/>
            <w:vAlign w:val="center"/>
          </w:tcPr>
          <w:p w14:paraId="49265DDD" w14:textId="20484750" w:rsidR="00C30A66" w:rsidRPr="00C30A66" w:rsidRDefault="00C30A66" w:rsidP="00E71B1D">
            <w:pPr>
              <w:rPr>
                <w:rFonts w:cs="Times New Roman"/>
                <w:sz w:val="20"/>
                <w:szCs w:val="20"/>
              </w:rPr>
            </w:pPr>
            <w:r w:rsidRPr="00C30A66">
              <w:rPr>
                <w:rFonts w:cs="Times New Roman"/>
                <w:sz w:val="20"/>
                <w:szCs w:val="20"/>
              </w:rPr>
              <w:t xml:space="preserve">Electric Vehicle Fees </w:t>
            </w:r>
          </w:p>
        </w:tc>
        <w:tc>
          <w:tcPr>
            <w:tcW w:w="332" w:type="pct"/>
            <w:vAlign w:val="center"/>
          </w:tcPr>
          <w:p w14:paraId="721D7D2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7056B56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w:t>
            </w:r>
          </w:p>
        </w:tc>
        <w:tc>
          <w:tcPr>
            <w:tcW w:w="332" w:type="pct"/>
            <w:vAlign w:val="center"/>
          </w:tcPr>
          <w:p w14:paraId="497A1CD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6CB137A6"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65B0C97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0</w:t>
            </w:r>
          </w:p>
        </w:tc>
        <w:tc>
          <w:tcPr>
            <w:tcW w:w="332" w:type="pct"/>
            <w:vAlign w:val="center"/>
          </w:tcPr>
          <w:p w14:paraId="4A2D1B3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3F79F00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2</w:t>
            </w:r>
          </w:p>
        </w:tc>
        <w:tc>
          <w:tcPr>
            <w:tcW w:w="332" w:type="pct"/>
            <w:vAlign w:val="center"/>
          </w:tcPr>
          <w:p w14:paraId="43FA680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c>
          <w:tcPr>
            <w:tcW w:w="332" w:type="pct"/>
            <w:vAlign w:val="center"/>
          </w:tcPr>
          <w:p w14:paraId="7876B24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3.5</w:t>
            </w:r>
          </w:p>
        </w:tc>
        <w:tc>
          <w:tcPr>
            <w:tcW w:w="332" w:type="pct"/>
            <w:vAlign w:val="center"/>
          </w:tcPr>
          <w:p w14:paraId="7CA356A3"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5</w:t>
            </w:r>
          </w:p>
        </w:tc>
        <w:tc>
          <w:tcPr>
            <w:tcW w:w="332" w:type="pct"/>
            <w:vAlign w:val="center"/>
          </w:tcPr>
          <w:p w14:paraId="213FB89B"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sz w:val="20"/>
                <w:szCs w:val="20"/>
              </w:rPr>
              <w:t>4</w:t>
            </w:r>
          </w:p>
        </w:tc>
      </w:tr>
      <w:tr w:rsidR="00C30A66" w:rsidRPr="00C30A66" w14:paraId="45954C50" w14:textId="77777777" w:rsidTr="004D0A64">
        <w:trPr>
          <w:trHeight w:val="245"/>
        </w:trPr>
        <w:tc>
          <w:tcPr>
            <w:tcW w:w="1349" w:type="pct"/>
            <w:vAlign w:val="center"/>
          </w:tcPr>
          <w:p w14:paraId="3EA0CF83" w14:textId="67A0BC98" w:rsidR="00C30A66" w:rsidRPr="00C30A66" w:rsidRDefault="00C30A66" w:rsidP="00E71B1D">
            <w:pPr>
              <w:rPr>
                <w:rFonts w:eastAsia="Times New Roman" w:cs="Times New Roman"/>
                <w:sz w:val="20"/>
                <w:szCs w:val="20"/>
              </w:rPr>
            </w:pPr>
            <w:r w:rsidRPr="00C30A66">
              <w:rPr>
                <w:rFonts w:cs="Times New Roman"/>
                <w:sz w:val="20"/>
                <w:szCs w:val="20"/>
              </w:rPr>
              <w:t xml:space="preserve">TIFIA </w:t>
            </w:r>
          </w:p>
        </w:tc>
        <w:tc>
          <w:tcPr>
            <w:tcW w:w="332" w:type="pct"/>
            <w:vAlign w:val="center"/>
          </w:tcPr>
          <w:p w14:paraId="2007AF3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4</w:t>
            </w:r>
          </w:p>
        </w:tc>
        <w:tc>
          <w:tcPr>
            <w:tcW w:w="332" w:type="pct"/>
            <w:vAlign w:val="center"/>
          </w:tcPr>
          <w:p w14:paraId="61D911F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4</w:t>
            </w:r>
          </w:p>
        </w:tc>
        <w:tc>
          <w:tcPr>
            <w:tcW w:w="332" w:type="pct"/>
            <w:vAlign w:val="center"/>
          </w:tcPr>
          <w:p w14:paraId="5F9313C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1</w:t>
            </w:r>
          </w:p>
        </w:tc>
        <w:tc>
          <w:tcPr>
            <w:tcW w:w="332" w:type="pct"/>
            <w:vAlign w:val="center"/>
          </w:tcPr>
          <w:p w14:paraId="286AE4CE"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3</w:t>
            </w:r>
          </w:p>
        </w:tc>
        <w:tc>
          <w:tcPr>
            <w:tcW w:w="332" w:type="pct"/>
            <w:vAlign w:val="center"/>
          </w:tcPr>
          <w:p w14:paraId="27D8840F"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1</w:t>
            </w:r>
          </w:p>
        </w:tc>
        <w:tc>
          <w:tcPr>
            <w:tcW w:w="332" w:type="pct"/>
            <w:vAlign w:val="center"/>
          </w:tcPr>
          <w:p w14:paraId="384F0965"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2</w:t>
            </w:r>
          </w:p>
        </w:tc>
        <w:tc>
          <w:tcPr>
            <w:tcW w:w="332" w:type="pct"/>
            <w:vAlign w:val="center"/>
          </w:tcPr>
          <w:p w14:paraId="4B282847"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4</w:t>
            </w:r>
          </w:p>
        </w:tc>
        <w:tc>
          <w:tcPr>
            <w:tcW w:w="332" w:type="pct"/>
            <w:vAlign w:val="center"/>
          </w:tcPr>
          <w:p w14:paraId="5E9E1BA9"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4</w:t>
            </w:r>
          </w:p>
        </w:tc>
        <w:tc>
          <w:tcPr>
            <w:tcW w:w="332" w:type="pct"/>
            <w:vAlign w:val="center"/>
          </w:tcPr>
          <w:p w14:paraId="72980380"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1</w:t>
            </w:r>
          </w:p>
        </w:tc>
        <w:tc>
          <w:tcPr>
            <w:tcW w:w="332" w:type="pct"/>
            <w:vAlign w:val="center"/>
          </w:tcPr>
          <w:p w14:paraId="4CCB2EEC"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1</w:t>
            </w:r>
          </w:p>
        </w:tc>
        <w:tc>
          <w:tcPr>
            <w:tcW w:w="332" w:type="pct"/>
            <w:vAlign w:val="center"/>
          </w:tcPr>
          <w:p w14:paraId="29D40374" w14:textId="77777777" w:rsidR="00C30A66" w:rsidRPr="00C30A66" w:rsidRDefault="00C30A66" w:rsidP="00EA1735">
            <w:pPr>
              <w:jc w:val="center"/>
              <w:rPr>
                <w:rFonts w:eastAsia="Times New Roman" w:cs="Times New Roman"/>
                <w:sz w:val="20"/>
                <w:szCs w:val="20"/>
              </w:rPr>
            </w:pPr>
            <w:r w:rsidRPr="00C30A66">
              <w:rPr>
                <w:rFonts w:eastAsia="Times New Roman" w:cs="Times New Roman"/>
                <w:color w:val="000000" w:themeColor="text1"/>
                <w:sz w:val="20"/>
                <w:szCs w:val="20"/>
              </w:rPr>
              <w:t>1</w:t>
            </w:r>
          </w:p>
        </w:tc>
      </w:tr>
      <w:tr w:rsidR="00C30A66" w:rsidRPr="00C30A66" w14:paraId="3E3D32AF" w14:textId="77777777" w:rsidTr="004D0A64">
        <w:trPr>
          <w:trHeight w:val="245"/>
        </w:trPr>
        <w:tc>
          <w:tcPr>
            <w:tcW w:w="1349" w:type="pct"/>
            <w:vAlign w:val="center"/>
          </w:tcPr>
          <w:p w14:paraId="0B9D645E" w14:textId="1C6FF9A6" w:rsidR="00C30A66" w:rsidRPr="00C30A66" w:rsidRDefault="00C30A66" w:rsidP="00E71B1D">
            <w:pPr>
              <w:rPr>
                <w:rFonts w:cs="Times New Roman"/>
                <w:sz w:val="20"/>
                <w:szCs w:val="20"/>
              </w:rPr>
            </w:pPr>
            <w:r w:rsidRPr="00C30A66">
              <w:rPr>
                <w:rFonts w:cs="Times New Roman"/>
                <w:sz w:val="20"/>
                <w:szCs w:val="20"/>
              </w:rPr>
              <w:t xml:space="preserve">General Obligation Bonds </w:t>
            </w:r>
          </w:p>
        </w:tc>
        <w:tc>
          <w:tcPr>
            <w:tcW w:w="332" w:type="pct"/>
            <w:vAlign w:val="center"/>
          </w:tcPr>
          <w:p w14:paraId="5E451074"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4</w:t>
            </w:r>
          </w:p>
        </w:tc>
        <w:tc>
          <w:tcPr>
            <w:tcW w:w="332" w:type="pct"/>
            <w:vAlign w:val="center"/>
          </w:tcPr>
          <w:p w14:paraId="1A952AC7"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4</w:t>
            </w:r>
          </w:p>
        </w:tc>
        <w:tc>
          <w:tcPr>
            <w:tcW w:w="332" w:type="pct"/>
            <w:vAlign w:val="center"/>
          </w:tcPr>
          <w:p w14:paraId="6796D8B3"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1</w:t>
            </w:r>
          </w:p>
        </w:tc>
        <w:tc>
          <w:tcPr>
            <w:tcW w:w="332" w:type="pct"/>
            <w:vAlign w:val="center"/>
          </w:tcPr>
          <w:p w14:paraId="21044503"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2</w:t>
            </w:r>
          </w:p>
        </w:tc>
        <w:tc>
          <w:tcPr>
            <w:tcW w:w="332" w:type="pct"/>
            <w:vAlign w:val="center"/>
          </w:tcPr>
          <w:p w14:paraId="3BD852D7"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1</w:t>
            </w:r>
          </w:p>
        </w:tc>
        <w:tc>
          <w:tcPr>
            <w:tcW w:w="332" w:type="pct"/>
            <w:vAlign w:val="center"/>
          </w:tcPr>
          <w:p w14:paraId="74EED845"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2</w:t>
            </w:r>
          </w:p>
        </w:tc>
        <w:tc>
          <w:tcPr>
            <w:tcW w:w="332" w:type="pct"/>
            <w:vAlign w:val="center"/>
          </w:tcPr>
          <w:p w14:paraId="09EBCAED"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4</w:t>
            </w:r>
          </w:p>
        </w:tc>
        <w:tc>
          <w:tcPr>
            <w:tcW w:w="332" w:type="pct"/>
            <w:vAlign w:val="center"/>
          </w:tcPr>
          <w:p w14:paraId="35D4A351"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2</w:t>
            </w:r>
          </w:p>
        </w:tc>
        <w:tc>
          <w:tcPr>
            <w:tcW w:w="332" w:type="pct"/>
            <w:vAlign w:val="center"/>
          </w:tcPr>
          <w:p w14:paraId="398A1D43"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1</w:t>
            </w:r>
          </w:p>
        </w:tc>
        <w:tc>
          <w:tcPr>
            <w:tcW w:w="332" w:type="pct"/>
            <w:vAlign w:val="center"/>
          </w:tcPr>
          <w:p w14:paraId="02916E15"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1</w:t>
            </w:r>
          </w:p>
        </w:tc>
        <w:tc>
          <w:tcPr>
            <w:tcW w:w="332" w:type="pct"/>
            <w:vAlign w:val="center"/>
          </w:tcPr>
          <w:p w14:paraId="2038CDD5" w14:textId="77777777" w:rsidR="00C30A66" w:rsidRPr="00C30A66" w:rsidRDefault="00C30A66" w:rsidP="00EA1735">
            <w:pPr>
              <w:jc w:val="center"/>
              <w:rPr>
                <w:sz w:val="20"/>
                <w:szCs w:val="20"/>
              </w:rPr>
            </w:pPr>
            <w:r w:rsidRPr="00C30A66">
              <w:rPr>
                <w:rFonts w:eastAsia="Times New Roman" w:cs="Times New Roman"/>
                <w:color w:val="000000" w:themeColor="text1"/>
                <w:sz w:val="20"/>
                <w:szCs w:val="20"/>
              </w:rPr>
              <w:t>1</w:t>
            </w:r>
          </w:p>
        </w:tc>
      </w:tr>
      <w:tr w:rsidR="00C30A66" w:rsidRPr="00C30A66" w14:paraId="3CC0BAAD" w14:textId="77777777" w:rsidTr="004D0A64">
        <w:trPr>
          <w:trHeight w:val="245"/>
        </w:trPr>
        <w:tc>
          <w:tcPr>
            <w:tcW w:w="1349" w:type="pct"/>
            <w:vAlign w:val="center"/>
          </w:tcPr>
          <w:p w14:paraId="4CCE26EF" w14:textId="0EC91466" w:rsidR="00C30A66" w:rsidRPr="00C30A66" w:rsidRDefault="00C30A66" w:rsidP="00E71B1D">
            <w:pPr>
              <w:rPr>
                <w:rFonts w:cs="Times New Roman"/>
                <w:sz w:val="20"/>
                <w:szCs w:val="20"/>
              </w:rPr>
            </w:pPr>
            <w:r w:rsidRPr="00C30A66">
              <w:rPr>
                <w:rFonts w:cs="Times New Roman"/>
                <w:sz w:val="20"/>
                <w:szCs w:val="20"/>
              </w:rPr>
              <w:t xml:space="preserve">Revenue Bonds </w:t>
            </w:r>
          </w:p>
        </w:tc>
        <w:tc>
          <w:tcPr>
            <w:tcW w:w="332" w:type="pct"/>
            <w:vAlign w:val="center"/>
          </w:tcPr>
          <w:p w14:paraId="10ABEFE8" w14:textId="77777777" w:rsidR="00C30A66" w:rsidRPr="00C30A66" w:rsidRDefault="00C30A66" w:rsidP="00EA1735">
            <w:pPr>
              <w:jc w:val="center"/>
              <w:rPr>
                <w:sz w:val="20"/>
                <w:szCs w:val="20"/>
              </w:rPr>
            </w:pPr>
            <w:r w:rsidRPr="00C30A66">
              <w:rPr>
                <w:rFonts w:eastAsia="Times New Roman" w:cs="Times New Roman"/>
                <w:color w:val="000000"/>
                <w:sz w:val="20"/>
                <w:szCs w:val="20"/>
              </w:rPr>
              <w:t>4</w:t>
            </w:r>
          </w:p>
        </w:tc>
        <w:tc>
          <w:tcPr>
            <w:tcW w:w="332" w:type="pct"/>
            <w:vAlign w:val="center"/>
          </w:tcPr>
          <w:p w14:paraId="2F1F41D8" w14:textId="77777777" w:rsidR="00C30A66" w:rsidRPr="00C30A66" w:rsidRDefault="00C30A66" w:rsidP="00EA1735">
            <w:pPr>
              <w:jc w:val="center"/>
              <w:rPr>
                <w:sz w:val="20"/>
                <w:szCs w:val="20"/>
              </w:rPr>
            </w:pPr>
            <w:r w:rsidRPr="00C30A66">
              <w:rPr>
                <w:rFonts w:eastAsia="Times New Roman" w:cs="Times New Roman"/>
                <w:color w:val="000000"/>
                <w:sz w:val="20"/>
                <w:szCs w:val="20"/>
              </w:rPr>
              <w:t>4</w:t>
            </w:r>
          </w:p>
        </w:tc>
        <w:tc>
          <w:tcPr>
            <w:tcW w:w="332" w:type="pct"/>
            <w:vAlign w:val="center"/>
          </w:tcPr>
          <w:p w14:paraId="5D2DB589"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3D9A4035" w14:textId="77777777" w:rsidR="00C30A66" w:rsidRPr="00C30A66" w:rsidRDefault="00C30A66" w:rsidP="00EA1735">
            <w:pPr>
              <w:jc w:val="center"/>
              <w:rPr>
                <w:sz w:val="20"/>
                <w:szCs w:val="20"/>
              </w:rPr>
            </w:pPr>
            <w:r w:rsidRPr="00C30A66">
              <w:rPr>
                <w:rFonts w:eastAsia="Times New Roman" w:cs="Times New Roman"/>
                <w:color w:val="000000"/>
                <w:sz w:val="20"/>
                <w:szCs w:val="20"/>
              </w:rPr>
              <w:t>2</w:t>
            </w:r>
          </w:p>
        </w:tc>
        <w:tc>
          <w:tcPr>
            <w:tcW w:w="332" w:type="pct"/>
            <w:vAlign w:val="center"/>
          </w:tcPr>
          <w:p w14:paraId="619DF942"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0470482D" w14:textId="77777777" w:rsidR="00C30A66" w:rsidRPr="00C30A66" w:rsidRDefault="00C30A66" w:rsidP="00EA1735">
            <w:pPr>
              <w:jc w:val="center"/>
              <w:rPr>
                <w:sz w:val="20"/>
                <w:szCs w:val="20"/>
              </w:rPr>
            </w:pPr>
            <w:r w:rsidRPr="00C30A66">
              <w:rPr>
                <w:rFonts w:eastAsia="Times New Roman" w:cs="Times New Roman"/>
                <w:color w:val="000000"/>
                <w:sz w:val="20"/>
                <w:szCs w:val="20"/>
              </w:rPr>
              <w:t>2</w:t>
            </w:r>
          </w:p>
        </w:tc>
        <w:tc>
          <w:tcPr>
            <w:tcW w:w="332" w:type="pct"/>
            <w:vAlign w:val="center"/>
          </w:tcPr>
          <w:p w14:paraId="628D88BD" w14:textId="77777777" w:rsidR="00C30A66" w:rsidRPr="00C30A66" w:rsidRDefault="00C30A66" w:rsidP="00EA1735">
            <w:pPr>
              <w:jc w:val="center"/>
              <w:rPr>
                <w:sz w:val="20"/>
                <w:szCs w:val="20"/>
              </w:rPr>
            </w:pPr>
            <w:r w:rsidRPr="00C30A66">
              <w:rPr>
                <w:rFonts w:eastAsia="Times New Roman" w:cs="Times New Roman"/>
                <w:color w:val="000000"/>
                <w:sz w:val="20"/>
                <w:szCs w:val="20"/>
              </w:rPr>
              <w:t>4</w:t>
            </w:r>
          </w:p>
        </w:tc>
        <w:tc>
          <w:tcPr>
            <w:tcW w:w="332" w:type="pct"/>
            <w:vAlign w:val="center"/>
          </w:tcPr>
          <w:p w14:paraId="6AC3A2CF" w14:textId="77777777" w:rsidR="00C30A66" w:rsidRPr="00C30A66" w:rsidRDefault="00C30A66" w:rsidP="00EA1735">
            <w:pPr>
              <w:jc w:val="center"/>
              <w:rPr>
                <w:sz w:val="20"/>
                <w:szCs w:val="20"/>
              </w:rPr>
            </w:pPr>
            <w:r w:rsidRPr="00C30A66">
              <w:rPr>
                <w:rFonts w:eastAsia="Times New Roman" w:cs="Times New Roman"/>
                <w:color w:val="000000"/>
                <w:sz w:val="20"/>
                <w:szCs w:val="20"/>
              </w:rPr>
              <w:t>2</w:t>
            </w:r>
          </w:p>
        </w:tc>
        <w:tc>
          <w:tcPr>
            <w:tcW w:w="332" w:type="pct"/>
            <w:vAlign w:val="center"/>
          </w:tcPr>
          <w:p w14:paraId="6E49CB78"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200FA67E"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1372F8D5"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r>
      <w:tr w:rsidR="00C30A66" w:rsidRPr="00C30A66" w14:paraId="0DC81DF8" w14:textId="77777777" w:rsidTr="004D0A64">
        <w:trPr>
          <w:trHeight w:val="245"/>
        </w:trPr>
        <w:tc>
          <w:tcPr>
            <w:tcW w:w="1349" w:type="pct"/>
            <w:vAlign w:val="center"/>
          </w:tcPr>
          <w:p w14:paraId="48C65AA2" w14:textId="170236F6" w:rsidR="00C30A66" w:rsidRPr="00C30A66" w:rsidRDefault="00C30A66" w:rsidP="00E71B1D">
            <w:pPr>
              <w:rPr>
                <w:rFonts w:cs="Times New Roman"/>
                <w:sz w:val="20"/>
                <w:szCs w:val="20"/>
              </w:rPr>
            </w:pPr>
            <w:r w:rsidRPr="00C30A66">
              <w:rPr>
                <w:rFonts w:cs="Times New Roman"/>
                <w:sz w:val="20"/>
                <w:szCs w:val="20"/>
              </w:rPr>
              <w:t xml:space="preserve">Private Activity Bonds </w:t>
            </w:r>
          </w:p>
        </w:tc>
        <w:tc>
          <w:tcPr>
            <w:tcW w:w="332" w:type="pct"/>
            <w:vAlign w:val="center"/>
          </w:tcPr>
          <w:p w14:paraId="3780E038" w14:textId="77777777" w:rsidR="00C30A66" w:rsidRPr="00C30A66" w:rsidRDefault="00C30A66" w:rsidP="00EA1735">
            <w:pPr>
              <w:jc w:val="center"/>
              <w:rPr>
                <w:sz w:val="20"/>
                <w:szCs w:val="20"/>
              </w:rPr>
            </w:pPr>
            <w:r w:rsidRPr="00C30A66">
              <w:rPr>
                <w:rFonts w:eastAsia="Times New Roman" w:cs="Times New Roman"/>
                <w:color w:val="000000"/>
                <w:sz w:val="20"/>
                <w:szCs w:val="20"/>
              </w:rPr>
              <w:t>4</w:t>
            </w:r>
          </w:p>
        </w:tc>
        <w:tc>
          <w:tcPr>
            <w:tcW w:w="332" w:type="pct"/>
            <w:vAlign w:val="center"/>
          </w:tcPr>
          <w:p w14:paraId="66269C62" w14:textId="77777777" w:rsidR="00C30A66" w:rsidRPr="00C30A66" w:rsidRDefault="00C30A66" w:rsidP="00EA1735">
            <w:pPr>
              <w:jc w:val="center"/>
              <w:rPr>
                <w:sz w:val="20"/>
                <w:szCs w:val="20"/>
              </w:rPr>
            </w:pPr>
            <w:r w:rsidRPr="00C30A66">
              <w:rPr>
                <w:rFonts w:eastAsia="Times New Roman" w:cs="Times New Roman"/>
                <w:color w:val="000000"/>
                <w:sz w:val="20"/>
                <w:szCs w:val="20"/>
              </w:rPr>
              <w:t>4</w:t>
            </w:r>
          </w:p>
        </w:tc>
        <w:tc>
          <w:tcPr>
            <w:tcW w:w="332" w:type="pct"/>
            <w:vAlign w:val="center"/>
          </w:tcPr>
          <w:p w14:paraId="724A45D9"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26668567" w14:textId="77777777" w:rsidR="00C30A66" w:rsidRPr="00C30A66" w:rsidRDefault="00C30A66" w:rsidP="00EA1735">
            <w:pPr>
              <w:jc w:val="center"/>
              <w:rPr>
                <w:sz w:val="20"/>
                <w:szCs w:val="20"/>
              </w:rPr>
            </w:pPr>
            <w:r w:rsidRPr="00C30A66">
              <w:rPr>
                <w:rFonts w:eastAsia="Times New Roman" w:cs="Times New Roman"/>
                <w:color w:val="000000"/>
                <w:sz w:val="20"/>
                <w:szCs w:val="20"/>
              </w:rPr>
              <w:t>2</w:t>
            </w:r>
          </w:p>
        </w:tc>
        <w:tc>
          <w:tcPr>
            <w:tcW w:w="332" w:type="pct"/>
            <w:vAlign w:val="center"/>
          </w:tcPr>
          <w:p w14:paraId="461885BA"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35CF0B16" w14:textId="77777777" w:rsidR="00C30A66" w:rsidRPr="00C30A66" w:rsidRDefault="00C30A66" w:rsidP="00EA1735">
            <w:pPr>
              <w:jc w:val="center"/>
              <w:rPr>
                <w:sz w:val="20"/>
                <w:szCs w:val="20"/>
              </w:rPr>
            </w:pPr>
            <w:r w:rsidRPr="00C30A66">
              <w:rPr>
                <w:rFonts w:eastAsia="Times New Roman" w:cs="Times New Roman"/>
                <w:color w:val="000000"/>
                <w:sz w:val="20"/>
                <w:szCs w:val="20"/>
              </w:rPr>
              <w:t>2</w:t>
            </w:r>
          </w:p>
        </w:tc>
        <w:tc>
          <w:tcPr>
            <w:tcW w:w="332" w:type="pct"/>
            <w:vAlign w:val="center"/>
          </w:tcPr>
          <w:p w14:paraId="62E90EA7" w14:textId="77777777" w:rsidR="00C30A66" w:rsidRPr="00C30A66" w:rsidRDefault="00C30A66" w:rsidP="00EA1735">
            <w:pPr>
              <w:jc w:val="center"/>
              <w:rPr>
                <w:sz w:val="20"/>
                <w:szCs w:val="20"/>
              </w:rPr>
            </w:pPr>
            <w:r w:rsidRPr="00C30A66">
              <w:rPr>
                <w:rFonts w:eastAsia="Times New Roman" w:cs="Times New Roman"/>
                <w:color w:val="000000"/>
                <w:sz w:val="20"/>
                <w:szCs w:val="20"/>
              </w:rPr>
              <w:t>4</w:t>
            </w:r>
          </w:p>
        </w:tc>
        <w:tc>
          <w:tcPr>
            <w:tcW w:w="332" w:type="pct"/>
            <w:vAlign w:val="center"/>
          </w:tcPr>
          <w:p w14:paraId="21E3F755" w14:textId="77777777" w:rsidR="00C30A66" w:rsidRPr="00C30A66" w:rsidRDefault="00C30A66" w:rsidP="00EA1735">
            <w:pPr>
              <w:jc w:val="center"/>
              <w:rPr>
                <w:sz w:val="20"/>
                <w:szCs w:val="20"/>
              </w:rPr>
            </w:pPr>
            <w:r w:rsidRPr="00C30A66">
              <w:rPr>
                <w:rFonts w:eastAsia="Times New Roman" w:cs="Times New Roman"/>
                <w:color w:val="000000"/>
                <w:sz w:val="20"/>
                <w:szCs w:val="20"/>
              </w:rPr>
              <w:t>2</w:t>
            </w:r>
          </w:p>
        </w:tc>
        <w:tc>
          <w:tcPr>
            <w:tcW w:w="332" w:type="pct"/>
            <w:vAlign w:val="center"/>
          </w:tcPr>
          <w:p w14:paraId="4194497A"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70D39FBD"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c>
          <w:tcPr>
            <w:tcW w:w="332" w:type="pct"/>
            <w:vAlign w:val="center"/>
          </w:tcPr>
          <w:p w14:paraId="01A40E60" w14:textId="77777777" w:rsidR="00C30A66" w:rsidRPr="00C30A66" w:rsidRDefault="00C30A66" w:rsidP="00EA1735">
            <w:pPr>
              <w:jc w:val="center"/>
              <w:rPr>
                <w:sz w:val="20"/>
                <w:szCs w:val="20"/>
              </w:rPr>
            </w:pPr>
            <w:r w:rsidRPr="00C30A66">
              <w:rPr>
                <w:rFonts w:eastAsia="Times New Roman" w:cs="Times New Roman"/>
                <w:color w:val="000000"/>
                <w:sz w:val="20"/>
                <w:szCs w:val="20"/>
              </w:rPr>
              <w:t>1</w:t>
            </w:r>
          </w:p>
        </w:tc>
      </w:tr>
      <w:bookmarkEnd w:id="12"/>
    </w:tbl>
    <w:p w14:paraId="5D9E7B6E" w14:textId="3954D6D6" w:rsidR="00690C12" w:rsidRDefault="00690C12" w:rsidP="00807DF8">
      <w:pPr>
        <w:jc w:val="both"/>
        <w:rPr>
          <w:b/>
          <w:bCs/>
        </w:rPr>
      </w:pPr>
    </w:p>
    <w:p w14:paraId="50399022" w14:textId="69A7501A" w:rsidR="00196A66" w:rsidRDefault="00196A66" w:rsidP="004D0A64">
      <w:pPr>
        <w:pStyle w:val="Heading3"/>
        <w:jc w:val="both"/>
      </w:pPr>
      <w:r>
        <w:lastRenderedPageBreak/>
        <w:t>Project Characteristics</w:t>
      </w:r>
    </w:p>
    <w:p w14:paraId="54F5357F" w14:textId="47F8E740" w:rsidR="00F10991" w:rsidRDefault="008C0DF9" w:rsidP="004D0A64">
      <w:pPr>
        <w:spacing w:after="0" w:line="240" w:lineRule="auto"/>
        <w:jc w:val="both"/>
      </w:pPr>
      <w:r>
        <w:rPr>
          <w:rFonts w:eastAsia="Times New Roman" w:cs="Times New Roman"/>
          <w:szCs w:val="20"/>
        </w:rPr>
        <w:t xml:space="preserve">The </w:t>
      </w:r>
      <w:r w:rsidR="00EA1735">
        <w:rPr>
          <w:rFonts w:eastAsia="Times New Roman" w:cs="Times New Roman"/>
          <w:szCs w:val="20"/>
        </w:rPr>
        <w:t>“P</w:t>
      </w:r>
      <w:r>
        <w:rPr>
          <w:rFonts w:eastAsia="Times New Roman" w:cs="Times New Roman"/>
          <w:szCs w:val="20"/>
        </w:rPr>
        <w:t xml:space="preserve">roject </w:t>
      </w:r>
      <w:r w:rsidR="00EA1735">
        <w:rPr>
          <w:rFonts w:eastAsia="Times New Roman" w:cs="Times New Roman"/>
          <w:szCs w:val="20"/>
        </w:rPr>
        <w:t>C</w:t>
      </w:r>
      <w:r>
        <w:rPr>
          <w:rFonts w:eastAsia="Times New Roman" w:cs="Times New Roman"/>
          <w:szCs w:val="20"/>
        </w:rPr>
        <w:t>haracteristics</w:t>
      </w:r>
      <w:r w:rsidR="00EA1735">
        <w:rPr>
          <w:rFonts w:eastAsia="Times New Roman" w:cs="Times New Roman"/>
          <w:szCs w:val="20"/>
        </w:rPr>
        <w:t>”</w:t>
      </w:r>
      <w:r>
        <w:rPr>
          <w:rFonts w:eastAsia="Times New Roman" w:cs="Times New Roman"/>
          <w:szCs w:val="20"/>
        </w:rPr>
        <w:t xml:space="preserve"> block in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Pr>
          <w:rFonts w:eastAsia="Times New Roman" w:cs="Times New Roman"/>
          <w:szCs w:val="20"/>
        </w:rPr>
        <w:t xml:space="preserve"> is associated with the steps preceding </w:t>
      </w:r>
      <w:r>
        <w:t>criteria priority calculations,</w:t>
      </w:r>
      <w:r w:rsidR="007119EA">
        <w:t xml:space="preserve"> and </w:t>
      </w:r>
      <w:r w:rsidR="00F10991" w:rsidRPr="00F10991">
        <w:t xml:space="preserve">involves extracting the project characteristics and correlating those with the level of importance of the decision criteria. Since the aim of the </w:t>
      </w:r>
      <w:r w:rsidR="004404F6">
        <w:t>FUND</w:t>
      </w:r>
      <w:r w:rsidR="00F10991" w:rsidRPr="00F10991">
        <w:t xml:space="preserve"> database is to automatically relate project characteristics to criteria importance without requiring any user inputs related to criteria importance, it was essential to investigate the relationship between project characteristics scores and the decision criteria. </w:t>
      </w:r>
      <w:r w:rsidR="00F31AD9">
        <w:t xml:space="preserve">The main outcomes of the </w:t>
      </w:r>
      <w:r w:rsidR="00EA1735">
        <w:t>“</w:t>
      </w:r>
      <w:r w:rsidR="00F31AD9">
        <w:t>Project Characteristics</w:t>
      </w:r>
      <w:r w:rsidR="00EA1735">
        <w:t>”</w:t>
      </w:r>
      <w:r w:rsidR="00F31AD9">
        <w:t xml:space="preserve"> component in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sidR="00F31AD9">
        <w:rPr>
          <w:rFonts w:eastAsia="Times New Roman" w:cs="Times New Roman"/>
          <w:szCs w:val="20"/>
        </w:rPr>
        <w:t xml:space="preserve"> are the </w:t>
      </w:r>
      <w:r w:rsidR="00F31AD9">
        <w:t>d</w:t>
      </w:r>
      <w:r w:rsidR="00F10991" w:rsidRPr="00F10991">
        <w:t xml:space="preserve">ecision criteria scores </w:t>
      </w:r>
      <w:r w:rsidR="00F31AD9">
        <w:t xml:space="preserve">which </w:t>
      </w:r>
      <w:r w:rsidR="00F10991" w:rsidRPr="00F10991">
        <w:t>are calculated from project characteristics using</w:t>
      </w:r>
      <w:r w:rsidR="00014BF2">
        <w:t xml:space="preserve"> the process discussed </w:t>
      </w:r>
      <w:r w:rsidR="008C5488">
        <w:t xml:space="preserve">later </w:t>
      </w:r>
      <w:r w:rsidR="00014BF2">
        <w:t>in this section.</w:t>
      </w:r>
    </w:p>
    <w:p w14:paraId="60CC79C1" w14:textId="7F03AC88" w:rsidR="000A0593" w:rsidRPr="00B34989" w:rsidRDefault="00086CCF" w:rsidP="004D0A64">
      <w:pPr>
        <w:spacing w:after="0" w:line="240" w:lineRule="auto"/>
        <w:ind w:firstLine="720"/>
        <w:jc w:val="both"/>
        <w:rPr>
          <w:szCs w:val="20"/>
        </w:rPr>
      </w:pPr>
      <w:r w:rsidRPr="00807DF8">
        <w:rPr>
          <w:u w:val="single"/>
        </w:rPr>
        <w:t>Questions and answers</w:t>
      </w:r>
      <w:r>
        <w:t xml:space="preserve"> (</w:t>
      </w:r>
      <w:r w:rsidRPr="007119EA">
        <w:rPr>
          <w:rFonts w:eastAsia="Times New Roman" w:cs="Times New Roman"/>
          <w:szCs w:val="20"/>
        </w:rPr>
        <w:t>the</w:t>
      </w:r>
      <w:r>
        <w:rPr>
          <w:rFonts w:eastAsia="Times New Roman" w:cs="Times New Roman"/>
          <w:szCs w:val="20"/>
        </w:rPr>
        <w:t xml:space="preserve"> top </w:t>
      </w:r>
      <w:r w:rsidRPr="007119EA">
        <w:rPr>
          <w:rFonts w:eastAsia="Times New Roman" w:cs="Times New Roman"/>
          <w:szCs w:val="20"/>
        </w:rPr>
        <w:t xml:space="preserve">box </w:t>
      </w:r>
      <w:r w:rsidRPr="004404F6">
        <w:rPr>
          <w:rFonts w:cs="Times New Roman"/>
        </w:rPr>
        <w:t xml:space="preserve">within the </w:t>
      </w:r>
      <w:r w:rsidR="00EA1735">
        <w:rPr>
          <w:rFonts w:cs="Times New Roman"/>
        </w:rPr>
        <w:t>“P</w:t>
      </w:r>
      <w:r w:rsidR="00587298">
        <w:rPr>
          <w:rFonts w:cs="Times New Roman"/>
        </w:rPr>
        <w:t xml:space="preserve">roject </w:t>
      </w:r>
      <w:r w:rsidR="00EA1735">
        <w:rPr>
          <w:rFonts w:cs="Times New Roman"/>
        </w:rPr>
        <w:t>C</w:t>
      </w:r>
      <w:r w:rsidR="00587298">
        <w:rPr>
          <w:rFonts w:cs="Times New Roman"/>
        </w:rPr>
        <w:t>harac</w:t>
      </w:r>
      <w:r w:rsidR="008C5488">
        <w:rPr>
          <w:rFonts w:cs="Times New Roman"/>
        </w:rPr>
        <w:t>t</w:t>
      </w:r>
      <w:r w:rsidR="00587298">
        <w:rPr>
          <w:rFonts w:cs="Times New Roman"/>
        </w:rPr>
        <w:t>eristics</w:t>
      </w:r>
      <w:r w:rsidR="00EA1735">
        <w:rPr>
          <w:rFonts w:cs="Times New Roman"/>
        </w:rPr>
        <w:t>”</w:t>
      </w:r>
      <w:r w:rsidR="00587298">
        <w:rPr>
          <w:rFonts w:cs="Times New Roman"/>
        </w:rPr>
        <w:t xml:space="preserve"> block</w:t>
      </w:r>
      <w:r w:rsidRPr="004404F6">
        <w:rPr>
          <w:rFonts w:cs="Times New Roman"/>
        </w:rPr>
        <w:t xml:space="preserve"> of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Pr>
          <w:rFonts w:eastAsia="Times New Roman" w:cs="Times New Roman"/>
          <w:szCs w:val="20"/>
        </w:rPr>
        <w:t>)</w:t>
      </w:r>
      <w:r w:rsidR="00F94DB0">
        <w:rPr>
          <w:rFonts w:eastAsia="Times New Roman" w:cs="Times New Roman"/>
          <w:szCs w:val="20"/>
        </w:rPr>
        <w:t xml:space="preserve"> reflects t</w:t>
      </w:r>
      <w:r w:rsidR="00F94DB0" w:rsidRPr="00B34989">
        <w:rPr>
          <w:szCs w:val="20"/>
        </w:rPr>
        <w:t>he project questionnaire</w:t>
      </w:r>
      <w:r w:rsidR="00F94DB0">
        <w:rPr>
          <w:szCs w:val="20"/>
        </w:rPr>
        <w:t xml:space="preserve"> within FUND that</w:t>
      </w:r>
      <w:r w:rsidR="00F94DB0" w:rsidRPr="00B34989">
        <w:rPr>
          <w:szCs w:val="20"/>
        </w:rPr>
        <w:t xml:space="preserve"> asks the user a series of questions. Many of the answers offered are categorical (mostly ordered, such as low/medium/high), and map to a set of points that can be assigned to project characteristics. </w:t>
      </w:r>
      <w:r w:rsidR="000A0593">
        <w:rPr>
          <w:szCs w:val="20"/>
        </w:rPr>
        <w:t>The set of questions and answer options provided by FUND to extract project characteristics are presented in the first and second columns of</w:t>
      </w:r>
      <w:r w:rsidR="00EA1735">
        <w:rPr>
          <w:szCs w:val="20"/>
        </w:rPr>
        <w:t xml:space="preserve"> </w:t>
      </w:r>
      <w:r w:rsidR="00EA1735">
        <w:rPr>
          <w:szCs w:val="20"/>
        </w:rPr>
        <w:fldChar w:fldCharType="begin"/>
      </w:r>
      <w:r w:rsidR="00EA1735">
        <w:rPr>
          <w:szCs w:val="20"/>
        </w:rPr>
        <w:instrText xml:space="preserve"> REF _Ref77257640 \h </w:instrText>
      </w:r>
      <w:r w:rsidR="00EA1735">
        <w:rPr>
          <w:szCs w:val="20"/>
        </w:rPr>
      </w:r>
      <w:r w:rsidR="00EA1735">
        <w:rPr>
          <w:szCs w:val="20"/>
        </w:rPr>
        <w:fldChar w:fldCharType="separate"/>
      </w:r>
      <w:r w:rsidR="00210285" w:rsidRPr="00B34989">
        <w:rPr>
          <w:rFonts w:eastAsia="Times New Roman" w:cs="Times New Roman"/>
          <w:b/>
          <w:bCs/>
          <w:color w:val="000000" w:themeColor="text1"/>
        </w:rPr>
        <w:t>T</w:t>
      </w:r>
      <w:r w:rsidR="00210285">
        <w:rPr>
          <w:rFonts w:eastAsia="Times New Roman" w:cs="Times New Roman"/>
          <w:b/>
          <w:bCs/>
          <w:color w:val="000000" w:themeColor="text1"/>
        </w:rPr>
        <w:t>able</w:t>
      </w:r>
      <w:r w:rsidR="00210285" w:rsidRPr="00B34989">
        <w:rPr>
          <w:rFonts w:eastAsia="Times New Roman" w:cs="Times New Roman"/>
          <w:b/>
          <w:bCs/>
          <w:color w:val="000000" w:themeColor="text1"/>
        </w:rPr>
        <w:t xml:space="preserve"> </w:t>
      </w:r>
      <w:r w:rsidR="00210285">
        <w:rPr>
          <w:rFonts w:eastAsia="Times New Roman" w:cs="Times New Roman"/>
          <w:b/>
          <w:bCs/>
          <w:noProof/>
          <w:color w:val="000000" w:themeColor="text1"/>
        </w:rPr>
        <w:t>3</w:t>
      </w:r>
      <w:r w:rsidR="00EA1735">
        <w:rPr>
          <w:szCs w:val="20"/>
        </w:rPr>
        <w:fldChar w:fldCharType="end"/>
      </w:r>
      <w:r w:rsidR="000A0593">
        <w:rPr>
          <w:szCs w:val="20"/>
        </w:rPr>
        <w:t xml:space="preserve">.  </w:t>
      </w:r>
    </w:p>
    <w:p w14:paraId="70AB5C78" w14:textId="772891A7" w:rsidR="006C34C4" w:rsidRDefault="00F94DB0" w:rsidP="004D0A64">
      <w:pPr>
        <w:spacing w:after="0" w:line="240" w:lineRule="auto"/>
        <w:ind w:firstLine="720"/>
        <w:jc w:val="both"/>
        <w:rPr>
          <w:szCs w:val="20"/>
        </w:rPr>
      </w:pPr>
      <w:r w:rsidRPr="00807DF8">
        <w:rPr>
          <w:szCs w:val="20"/>
          <w:u w:val="single"/>
        </w:rPr>
        <w:t xml:space="preserve">Project characteristics </w:t>
      </w:r>
      <w:r w:rsidR="000A0593" w:rsidRPr="00807DF8">
        <w:rPr>
          <w:szCs w:val="20"/>
          <w:u w:val="single"/>
        </w:rPr>
        <w:t>scores</w:t>
      </w:r>
      <w:r w:rsidR="000A0593">
        <w:rPr>
          <w:szCs w:val="20"/>
        </w:rPr>
        <w:t xml:space="preserve"> (</w:t>
      </w:r>
      <w:r w:rsidR="000A0593" w:rsidRPr="007119EA">
        <w:rPr>
          <w:rFonts w:eastAsia="Times New Roman" w:cs="Times New Roman"/>
          <w:szCs w:val="20"/>
        </w:rPr>
        <w:t>the</w:t>
      </w:r>
      <w:r w:rsidR="000A0593">
        <w:rPr>
          <w:rFonts w:eastAsia="Times New Roman" w:cs="Times New Roman"/>
          <w:szCs w:val="20"/>
        </w:rPr>
        <w:t xml:space="preserve"> middle </w:t>
      </w:r>
      <w:r w:rsidR="000A0593" w:rsidRPr="007119EA">
        <w:rPr>
          <w:rFonts w:eastAsia="Times New Roman" w:cs="Times New Roman"/>
          <w:szCs w:val="20"/>
        </w:rPr>
        <w:t xml:space="preserve">box </w:t>
      </w:r>
      <w:r w:rsidR="000A0593" w:rsidRPr="004404F6">
        <w:rPr>
          <w:rFonts w:cs="Times New Roman"/>
        </w:rPr>
        <w:t xml:space="preserve">within the </w:t>
      </w:r>
      <w:r w:rsidR="000A0593">
        <w:rPr>
          <w:rFonts w:cs="Times New Roman"/>
        </w:rPr>
        <w:t>project charac</w:t>
      </w:r>
      <w:r w:rsidR="008C5488">
        <w:rPr>
          <w:rFonts w:cs="Times New Roman"/>
        </w:rPr>
        <w:t>t</w:t>
      </w:r>
      <w:r w:rsidR="000A0593">
        <w:rPr>
          <w:rFonts w:cs="Times New Roman"/>
        </w:rPr>
        <w:t>eristics block</w:t>
      </w:r>
      <w:r w:rsidR="000A0593" w:rsidRPr="004404F6">
        <w:rPr>
          <w:rFonts w:cs="Times New Roman"/>
        </w:rPr>
        <w:t xml:space="preserve"> </w:t>
      </w:r>
      <w:r w:rsidR="00AF400D" w:rsidRPr="004404F6">
        <w:rPr>
          <w:rFonts w:cs="Times New Roman"/>
        </w:rPr>
        <w:t xml:space="preserve">of </w:t>
      </w:r>
      <w:r w:rsidR="00AF400D">
        <w:rPr>
          <w:rFonts w:eastAsia="Times New Roman" w:cs="Times New Roman"/>
          <w:szCs w:val="20"/>
        </w:rPr>
        <w:fldChar w:fldCharType="begin"/>
      </w:r>
      <w:r w:rsidR="00AF400D">
        <w:rPr>
          <w:rFonts w:eastAsia="Times New Roman" w:cs="Times New Roman"/>
          <w:szCs w:val="20"/>
        </w:rPr>
        <w:instrText xml:space="preserve"> REF _Ref77256743 \h </w:instrText>
      </w:r>
      <w:r w:rsidR="00AF400D">
        <w:rPr>
          <w:rFonts w:eastAsia="Times New Roman" w:cs="Times New Roman"/>
          <w:szCs w:val="20"/>
        </w:rPr>
      </w:r>
      <w:r w:rsidR="00AF400D">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AF400D">
        <w:rPr>
          <w:rFonts w:eastAsia="Times New Roman" w:cs="Times New Roman"/>
          <w:szCs w:val="20"/>
        </w:rPr>
        <w:fldChar w:fldCharType="end"/>
      </w:r>
      <w:r w:rsidR="000A0593">
        <w:rPr>
          <w:szCs w:val="20"/>
        </w:rPr>
        <w:t>)</w:t>
      </w:r>
      <w:r w:rsidR="000A0593" w:rsidRPr="00B34989">
        <w:rPr>
          <w:szCs w:val="20"/>
        </w:rPr>
        <w:t xml:space="preserve"> </w:t>
      </w:r>
      <w:r w:rsidRPr="00B34989">
        <w:rPr>
          <w:szCs w:val="20"/>
        </w:rPr>
        <w:t>are designed to group the project question answers into a smaller set of coherent variables, capturing the major features of the project that could be related to the selection of financing mechanisms. Due to the nature of the definition</w:t>
      </w:r>
      <w:r w:rsidRPr="009C7BD1">
        <w:rPr>
          <w:szCs w:val="20"/>
        </w:rPr>
        <w:t>, the project charact</w:t>
      </w:r>
      <w:r w:rsidRPr="004421E1">
        <w:rPr>
          <w:szCs w:val="20"/>
        </w:rPr>
        <w:t>eristic score</w:t>
      </w:r>
      <w:r w:rsidR="006C34C4" w:rsidRPr="004421E1">
        <w:rPr>
          <w:szCs w:val="20"/>
        </w:rPr>
        <w:t>s</w:t>
      </w:r>
      <w:r w:rsidR="006C34C4" w:rsidRPr="000E7720">
        <w:rPr>
          <w:szCs w:val="20"/>
        </w:rPr>
        <w:t xml:space="preserve"> </w:t>
      </w:r>
      <w:r w:rsidR="00EA1735">
        <w:rPr>
          <w:szCs w:val="20"/>
        </w:rPr>
        <w:t xml:space="preserve">(PCS) </w:t>
      </w:r>
      <w:r w:rsidR="006C34C4" w:rsidRPr="009C7BD1">
        <w:rPr>
          <w:szCs w:val="20"/>
        </w:rPr>
        <w:t>ar</w:t>
      </w:r>
      <w:r w:rsidR="006C34C4" w:rsidRPr="004421E1">
        <w:rPr>
          <w:szCs w:val="20"/>
        </w:rPr>
        <w:t>e</w:t>
      </w:r>
      <w:r w:rsidRPr="004421E1">
        <w:rPr>
          <w:szCs w:val="20"/>
        </w:rPr>
        <w:t xml:space="preserve"> </w:t>
      </w:r>
      <w:r w:rsidRPr="00B34989">
        <w:rPr>
          <w:szCs w:val="20"/>
        </w:rPr>
        <w:t>a function of project answers (one-to-multiple relationship)</w:t>
      </w:r>
      <w:r w:rsidR="00AF400D">
        <w:rPr>
          <w:szCs w:val="20"/>
        </w:rPr>
        <w:t>.</w:t>
      </w:r>
      <w:r w:rsidR="009347FA">
        <w:rPr>
          <w:szCs w:val="20"/>
        </w:rPr>
        <w:t xml:space="preserve"> </w:t>
      </w:r>
      <w:r w:rsidR="00AF400D">
        <w:rPr>
          <w:szCs w:val="20"/>
        </w:rPr>
        <w:t>For example</w:t>
      </w:r>
      <w:r w:rsidR="006C34C4" w:rsidRPr="00B34989">
        <w:rPr>
          <w:szCs w:val="20"/>
        </w:rPr>
        <w:t xml:space="preserve">, “How long is the project construction period?” would indicate whether the project involves “long-term investment” and has </w:t>
      </w:r>
      <w:r w:rsidR="008C5488">
        <w:rPr>
          <w:szCs w:val="20"/>
        </w:rPr>
        <w:t xml:space="preserve">a </w:t>
      </w:r>
      <w:r w:rsidR="006C34C4" w:rsidRPr="00B34989">
        <w:rPr>
          <w:szCs w:val="20"/>
        </w:rPr>
        <w:t xml:space="preserve">“large project scale.” The current set of Project Characteristics </w:t>
      </w:r>
      <w:r w:rsidR="006C34C4" w:rsidRPr="00B34989">
        <w:rPr>
          <w:i/>
          <w:szCs w:val="20"/>
        </w:rPr>
        <w:t>K</w:t>
      </w:r>
      <w:r w:rsidR="006C34C4" w:rsidRPr="00B34989">
        <w:rPr>
          <w:szCs w:val="20"/>
        </w:rPr>
        <w:t xml:space="preserve"> includes:</w:t>
      </w:r>
    </w:p>
    <w:p w14:paraId="6F5A77CD" w14:textId="36498586" w:rsidR="00B818A5" w:rsidRDefault="00B818A5" w:rsidP="004D0A64">
      <w:pPr>
        <w:spacing w:after="0" w:line="240" w:lineRule="auto"/>
        <w:ind w:firstLine="720"/>
        <w:jc w:val="both"/>
        <w:rPr>
          <w:szCs w:val="20"/>
        </w:rPr>
      </w:pPr>
    </w:p>
    <w:p w14:paraId="790766D2" w14:textId="77777777" w:rsidR="006C34C4" w:rsidRPr="00220F9F" w:rsidRDefault="006C34C4" w:rsidP="004D0A64">
      <w:pPr>
        <w:pStyle w:val="ListParagraph"/>
        <w:numPr>
          <w:ilvl w:val="0"/>
          <w:numId w:val="6"/>
        </w:numPr>
        <w:spacing w:after="0" w:line="240" w:lineRule="auto"/>
        <w:jc w:val="both"/>
        <w:rPr>
          <w:szCs w:val="20"/>
        </w:rPr>
      </w:pPr>
      <w:r w:rsidRPr="00220F9F">
        <w:rPr>
          <w:szCs w:val="20"/>
        </w:rPr>
        <w:t xml:space="preserve">Large Project Scale </w:t>
      </w:r>
    </w:p>
    <w:p w14:paraId="2C00709D" w14:textId="77777777" w:rsidR="006C34C4" w:rsidRPr="00B34989" w:rsidRDefault="006C34C4" w:rsidP="004D0A64">
      <w:pPr>
        <w:numPr>
          <w:ilvl w:val="0"/>
          <w:numId w:val="6"/>
        </w:numPr>
        <w:spacing w:after="0" w:line="240" w:lineRule="auto"/>
        <w:contextualSpacing/>
        <w:jc w:val="both"/>
        <w:rPr>
          <w:szCs w:val="20"/>
        </w:rPr>
      </w:pPr>
      <w:r w:rsidRPr="00B34989">
        <w:rPr>
          <w:szCs w:val="20"/>
        </w:rPr>
        <w:t>Exact Investment Timing</w:t>
      </w:r>
    </w:p>
    <w:p w14:paraId="27ED0749" w14:textId="77777777" w:rsidR="006C34C4" w:rsidRPr="00B34989" w:rsidRDefault="006C34C4" w:rsidP="004D0A64">
      <w:pPr>
        <w:numPr>
          <w:ilvl w:val="0"/>
          <w:numId w:val="6"/>
        </w:numPr>
        <w:spacing w:after="0" w:line="240" w:lineRule="auto"/>
        <w:contextualSpacing/>
        <w:jc w:val="both"/>
        <w:rPr>
          <w:szCs w:val="20"/>
        </w:rPr>
      </w:pPr>
      <w:r w:rsidRPr="00B34989">
        <w:rPr>
          <w:szCs w:val="20"/>
        </w:rPr>
        <w:t>Long-term Investment</w:t>
      </w:r>
    </w:p>
    <w:p w14:paraId="4B3D439A" w14:textId="77777777" w:rsidR="006C34C4" w:rsidRPr="00B34989" w:rsidRDefault="006C34C4" w:rsidP="004D0A64">
      <w:pPr>
        <w:numPr>
          <w:ilvl w:val="0"/>
          <w:numId w:val="6"/>
        </w:numPr>
        <w:spacing w:after="0" w:line="240" w:lineRule="auto"/>
        <w:contextualSpacing/>
        <w:jc w:val="both"/>
        <w:rPr>
          <w:szCs w:val="20"/>
        </w:rPr>
      </w:pPr>
      <w:r w:rsidRPr="00B34989">
        <w:rPr>
          <w:szCs w:val="20"/>
        </w:rPr>
        <w:t>High Significance</w:t>
      </w:r>
    </w:p>
    <w:p w14:paraId="08573ABF" w14:textId="77777777" w:rsidR="006C34C4" w:rsidRPr="00B34989" w:rsidRDefault="006C34C4" w:rsidP="004D0A64">
      <w:pPr>
        <w:numPr>
          <w:ilvl w:val="0"/>
          <w:numId w:val="6"/>
        </w:numPr>
        <w:spacing w:after="0" w:line="240" w:lineRule="auto"/>
        <w:contextualSpacing/>
        <w:jc w:val="both"/>
        <w:rPr>
          <w:szCs w:val="20"/>
        </w:rPr>
      </w:pPr>
      <w:r w:rsidRPr="00B34989">
        <w:rPr>
          <w:szCs w:val="20"/>
        </w:rPr>
        <w:t>Innovation</w:t>
      </w:r>
    </w:p>
    <w:p w14:paraId="15757606" w14:textId="77777777" w:rsidR="006C34C4" w:rsidRPr="00B34989" w:rsidRDefault="006C34C4" w:rsidP="004D0A64">
      <w:pPr>
        <w:numPr>
          <w:ilvl w:val="0"/>
          <w:numId w:val="6"/>
        </w:numPr>
        <w:spacing w:after="0" w:line="240" w:lineRule="auto"/>
        <w:contextualSpacing/>
        <w:jc w:val="both"/>
        <w:rPr>
          <w:szCs w:val="20"/>
        </w:rPr>
      </w:pPr>
      <w:r w:rsidRPr="00B34989">
        <w:rPr>
          <w:szCs w:val="20"/>
        </w:rPr>
        <w:t>Project Sustainability Goals</w:t>
      </w:r>
    </w:p>
    <w:p w14:paraId="563D8657" w14:textId="2EA6A84E" w:rsidR="006C34C4" w:rsidRPr="00B818A5" w:rsidRDefault="006C34C4" w:rsidP="004D0A64">
      <w:pPr>
        <w:numPr>
          <w:ilvl w:val="0"/>
          <w:numId w:val="6"/>
        </w:numPr>
        <w:spacing w:line="240" w:lineRule="auto"/>
        <w:contextualSpacing/>
        <w:jc w:val="both"/>
        <w:rPr>
          <w:sz w:val="24"/>
        </w:rPr>
      </w:pPr>
      <w:r w:rsidRPr="00B34989">
        <w:rPr>
          <w:szCs w:val="20"/>
        </w:rPr>
        <w:t>Project Equity Goals</w:t>
      </w:r>
    </w:p>
    <w:p w14:paraId="4A938A15" w14:textId="77777777" w:rsidR="00B818A5" w:rsidRPr="00B34989" w:rsidRDefault="00B818A5" w:rsidP="004D0A64">
      <w:pPr>
        <w:spacing w:after="0" w:line="240" w:lineRule="auto"/>
        <w:ind w:left="720"/>
        <w:contextualSpacing/>
        <w:jc w:val="both"/>
        <w:rPr>
          <w:sz w:val="24"/>
        </w:rPr>
      </w:pPr>
    </w:p>
    <w:p w14:paraId="77BBEB3B" w14:textId="77777777" w:rsidR="00D82814" w:rsidRDefault="006C34C4" w:rsidP="00D82814">
      <w:pPr>
        <w:spacing w:after="0" w:line="240" w:lineRule="auto"/>
        <w:jc w:val="both"/>
      </w:pPr>
      <w:r w:rsidRPr="00B34989">
        <w:t xml:space="preserve">The set of answers </w:t>
      </w:r>
      <w:r w:rsidRPr="00B34989">
        <w:rPr>
          <w:i/>
          <w:iCs/>
        </w:rPr>
        <w:t>A</w:t>
      </w:r>
      <w:r w:rsidRPr="00B34989">
        <w:t xml:space="preserve"> is converted to </w:t>
      </w:r>
      <w:r w:rsidRPr="00B34989">
        <w:rPr>
          <w:i/>
          <w:iCs/>
        </w:rPr>
        <w:t>K</w:t>
      </w:r>
      <w:r w:rsidRPr="00B34989">
        <w:t xml:space="preserve"> individual </w:t>
      </w:r>
      <w:r w:rsidR="00EA1735">
        <w:t>PCS</w:t>
      </w:r>
      <w:r w:rsidRPr="00B34989">
        <w:t xml:space="preserve"> using Equation </w:t>
      </w:r>
      <w:r w:rsidR="00EA1735">
        <w:t>(</w:t>
      </w:r>
      <w:r w:rsidR="008C5488">
        <w:t>1</w:t>
      </w:r>
      <w:r w:rsidR="00EA1735">
        <w:t>)</w:t>
      </w:r>
      <w:r w:rsidRPr="00B34989">
        <w:t>.</w:t>
      </w:r>
    </w:p>
    <w:p w14:paraId="1157A05C" w14:textId="4EC85D9B" w:rsidR="006C34C4" w:rsidRPr="00B34989" w:rsidRDefault="006C34C4" w:rsidP="00D82814">
      <w:pPr>
        <w:spacing w:after="0" w:line="240" w:lineRule="auto"/>
        <w:jc w:val="both"/>
      </w:pPr>
      <w:r w:rsidRPr="00B34989">
        <w:t xml:space="preserve">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C34C4" w:rsidRPr="00B34989" w14:paraId="5FCC7B2D" w14:textId="77777777" w:rsidTr="00CD0565">
        <w:tc>
          <w:tcPr>
            <w:tcW w:w="4675" w:type="dxa"/>
            <w:vAlign w:val="center"/>
          </w:tcPr>
          <w:p w14:paraId="69AF9A59" w14:textId="2B8E9A23" w:rsidR="006C34C4" w:rsidRPr="004D0A64" w:rsidRDefault="00F642E4" w:rsidP="00D82814">
            <w:pPr>
              <w:jc w:val="center"/>
              <w:rPr>
                <w:rFonts w:eastAsia="Times New Roman" w:cs="Times New Roman"/>
                <w:sz w:val="22"/>
                <w:szCs w:val="22"/>
              </w:rPr>
            </w:pPr>
            <m:oMathPara>
              <m:oMathParaPr>
                <m:jc m:val="left"/>
              </m:oMathParaP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cs="Times New Roman"/>
                        <w:sz w:val="22"/>
                        <w:szCs w:val="22"/>
                        <w:vertAlign w:val="subscript"/>
                      </w:rPr>
                      <m:t>k</m:t>
                    </m:r>
                  </m:sub>
                </m:sSub>
                <m:r>
                  <m:rPr>
                    <m:sty m:val="p"/>
                  </m:rPr>
                  <w:rPr>
                    <w:rFonts w:ascii="Cambria Math" w:hAnsi="Cambria Math"/>
                    <w:sz w:val="22"/>
                    <w:szCs w:val="22"/>
                  </w:rPr>
                  <m:t>=</m:t>
                </m:r>
                <m:nary>
                  <m:naryPr>
                    <m:chr m:val="∑"/>
                    <m:limLoc m:val="undOvr"/>
                    <m:supHide m:val="1"/>
                    <m:ctrlPr>
                      <w:rPr>
                        <w:rFonts w:ascii="Cambria Math" w:hAnsi="Cambria Math"/>
                        <w:i/>
                        <w:sz w:val="22"/>
                        <w:szCs w:val="22"/>
                      </w:rPr>
                    </m:ctrlPr>
                  </m:naryPr>
                  <m:sub>
                    <m:r>
                      <w:rPr>
                        <w:rFonts w:ascii="Cambria Math" w:hAnsi="Cambria Math"/>
                        <w:sz w:val="22"/>
                        <w:szCs w:val="22"/>
                      </w:rPr>
                      <m:t>a∈A</m:t>
                    </m:r>
                  </m:sub>
                  <m:sup/>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ak</m:t>
                        </m:r>
                      </m:sub>
                    </m:sSub>
                  </m:e>
                </m:nary>
              </m:oMath>
            </m:oMathPara>
          </w:p>
        </w:tc>
        <w:tc>
          <w:tcPr>
            <w:tcW w:w="4675" w:type="dxa"/>
            <w:vAlign w:val="center"/>
          </w:tcPr>
          <w:p w14:paraId="10C139A0" w14:textId="4121D5C3" w:rsidR="006C34C4" w:rsidRPr="00B34989" w:rsidRDefault="006C34C4" w:rsidP="004D0A64">
            <w:pPr>
              <w:ind w:left="1440"/>
              <w:jc w:val="right"/>
              <w:rPr>
                <w:rFonts w:eastAsia="Times New Roman" w:cs="Times New Roman"/>
                <w:sz w:val="22"/>
                <w:szCs w:val="22"/>
              </w:rPr>
            </w:pPr>
            <w:r w:rsidRPr="00B34989">
              <w:rPr>
                <w:rFonts w:eastAsia="Times New Roman" w:cs="Times New Roman"/>
                <w:sz w:val="22"/>
                <w:szCs w:val="22"/>
              </w:rPr>
              <w:t>(</w:t>
            </w:r>
            <w:r w:rsidR="008C5488">
              <w:rPr>
                <w:rFonts w:eastAsia="Times New Roman" w:cs="Times New Roman"/>
                <w:sz w:val="22"/>
                <w:szCs w:val="22"/>
              </w:rPr>
              <w:t>1</w:t>
            </w:r>
            <w:r w:rsidRPr="00B34989">
              <w:rPr>
                <w:rFonts w:eastAsia="Times New Roman" w:cs="Times New Roman"/>
                <w:sz w:val="22"/>
                <w:szCs w:val="22"/>
              </w:rPr>
              <w:t>)</w:t>
            </w:r>
          </w:p>
        </w:tc>
      </w:tr>
    </w:tbl>
    <w:p w14:paraId="429E5533" w14:textId="77777777" w:rsidR="006C34C4" w:rsidRPr="00B34989" w:rsidRDefault="006C34C4" w:rsidP="002001C9">
      <w:pPr>
        <w:spacing w:before="240" w:after="0" w:line="240" w:lineRule="auto"/>
        <w:jc w:val="both"/>
      </w:pPr>
      <w:r w:rsidRPr="00B34989">
        <w:t>where</w:t>
      </w:r>
    </w:p>
    <w:p w14:paraId="4F3755ED" w14:textId="77777777" w:rsidR="006C34C4" w:rsidRPr="00B34989" w:rsidRDefault="006C34C4" w:rsidP="002001C9">
      <w:pPr>
        <w:numPr>
          <w:ilvl w:val="0"/>
          <w:numId w:val="5"/>
        </w:numPr>
        <w:spacing w:after="60" w:line="240" w:lineRule="auto"/>
        <w:jc w:val="both"/>
      </w:pPr>
      <w:proofErr w:type="spellStart"/>
      <w:r w:rsidRPr="00B34989">
        <w:rPr>
          <w:i/>
        </w:rPr>
        <w:t>w</w:t>
      </w:r>
      <w:r w:rsidRPr="00B34989">
        <w:rPr>
          <w:i/>
          <w:vertAlign w:val="subscript"/>
        </w:rPr>
        <w:t>ak</w:t>
      </w:r>
      <w:proofErr w:type="spellEnd"/>
      <w:r w:rsidRPr="00B34989">
        <w:t xml:space="preserve"> are the weights used for each transformation of the answer </w:t>
      </w:r>
      <w:proofErr w:type="spellStart"/>
      <w:r w:rsidRPr="00B34989">
        <w:rPr>
          <w:i/>
          <w:iCs/>
        </w:rPr>
        <w:t>a</w:t>
      </w:r>
      <w:proofErr w:type="spellEnd"/>
      <w:r w:rsidRPr="00B34989">
        <w:t xml:space="preserve"> to project characteristic </w:t>
      </w:r>
      <w:r w:rsidRPr="00B34989">
        <w:rPr>
          <w:i/>
          <w:iCs/>
        </w:rPr>
        <w:t>k</w:t>
      </w:r>
    </w:p>
    <w:p w14:paraId="18E83B1E" w14:textId="77777777" w:rsidR="006C34C4" w:rsidRPr="00B34989" w:rsidRDefault="006C34C4" w:rsidP="002001C9">
      <w:pPr>
        <w:numPr>
          <w:ilvl w:val="0"/>
          <w:numId w:val="5"/>
        </w:numPr>
        <w:spacing w:after="60" w:line="240" w:lineRule="auto"/>
        <w:jc w:val="both"/>
        <w:rPr>
          <w:iCs/>
        </w:rPr>
      </w:pPr>
      <w:r w:rsidRPr="00B34989">
        <w:rPr>
          <w:i/>
        </w:rPr>
        <w:t>A</w:t>
      </w:r>
      <w:r w:rsidRPr="00B34989">
        <w:rPr>
          <w:iCs/>
        </w:rPr>
        <w:t xml:space="preserve"> is the set of all answers</w:t>
      </w:r>
    </w:p>
    <w:p w14:paraId="2030B575" w14:textId="77777777" w:rsidR="006C34C4" w:rsidRPr="00B34989" w:rsidRDefault="00F642E4" w:rsidP="00807DF8">
      <w:pPr>
        <w:numPr>
          <w:ilvl w:val="0"/>
          <w:numId w:val="5"/>
        </w:numPr>
        <w:spacing w:line="240" w:lineRule="auto"/>
        <w:contextualSpacing/>
        <w:jc w:val="both"/>
      </w:pPr>
      <m:oMath>
        <m:sSub>
          <m:sSubPr>
            <m:ctrlPr>
              <w:rPr>
                <w:rFonts w:ascii="Cambria Math" w:hAnsi="Cambria Math"/>
              </w:rPr>
            </m:ctrlPr>
          </m:sSubPr>
          <m:e>
            <m:r>
              <w:rPr>
                <w:rFonts w:ascii="Cambria Math" w:hAnsi="Cambria Math"/>
              </w:rPr>
              <m:t>p</m:t>
            </m:r>
          </m:e>
          <m:sub>
            <m:r>
              <w:rPr>
                <w:rFonts w:ascii="Cambria Math" w:hAnsi="Cambria Math" w:cs="Times New Roman"/>
                <w:vertAlign w:val="subscript"/>
              </w:rPr>
              <m:t>k</m:t>
            </m:r>
          </m:sub>
        </m:sSub>
      </m:oMath>
      <w:r w:rsidR="006C34C4" w:rsidRPr="00B34989">
        <w:t xml:space="preserve"> is the cumulative score for characteristic </w:t>
      </w:r>
      <w:r w:rsidR="006C34C4" w:rsidRPr="00B34989">
        <w:rPr>
          <w:i/>
          <w:iCs/>
        </w:rPr>
        <w:t>k.</w:t>
      </w:r>
    </w:p>
    <w:p w14:paraId="61A906DE" w14:textId="29141962" w:rsidR="00F94DB0" w:rsidRDefault="00F94DB0" w:rsidP="00807DF8">
      <w:pPr>
        <w:spacing w:after="0" w:line="240" w:lineRule="auto"/>
        <w:jc w:val="both"/>
      </w:pPr>
    </w:p>
    <w:p w14:paraId="26CFA661" w14:textId="16EA2194" w:rsidR="00B34989" w:rsidRPr="009747DE" w:rsidRDefault="00FC32B1" w:rsidP="009747DE">
      <w:pPr>
        <w:spacing w:after="0" w:line="240" w:lineRule="auto"/>
        <w:ind w:firstLine="720"/>
        <w:jc w:val="both"/>
      </w:pPr>
      <w:r>
        <w:t>The natural next step is relating the</w:t>
      </w:r>
      <w:r w:rsidR="00EA1735">
        <w:t xml:space="preserve"> PCS</w:t>
      </w:r>
      <w:r>
        <w:t xml:space="preserve"> to the importance of each decision criterion. To establish a rela</w:t>
      </w:r>
      <w:r w:rsidR="008C5488">
        <w:t>tionsh</w:t>
      </w:r>
      <w:r>
        <w:t>ip between</w:t>
      </w:r>
      <w:r w:rsidR="009833EB">
        <w:t xml:space="preserve"> the continuous </w:t>
      </w:r>
      <m:oMath>
        <m:sSub>
          <m:sSubPr>
            <m:ctrlPr>
              <w:rPr>
                <w:rFonts w:ascii="Cambria Math" w:hAnsi="Cambria Math"/>
                <w:bCs/>
              </w:rPr>
            </m:ctrlPr>
          </m:sSubPr>
          <m:e>
            <m:r>
              <w:rPr>
                <w:rFonts w:ascii="Cambria Math" w:hAnsi="Cambria Math"/>
              </w:rPr>
              <m:t>p</m:t>
            </m:r>
          </m:e>
          <m:sub>
            <m:r>
              <w:rPr>
                <w:rFonts w:ascii="Cambria Math" w:hAnsi="Cambria Math" w:cs="Times New Roman"/>
                <w:vertAlign w:val="subscript"/>
              </w:rPr>
              <m:t>k</m:t>
            </m:r>
          </m:sub>
        </m:sSub>
      </m:oMath>
      <w:r w:rsidR="009833EB" w:rsidRPr="00634965">
        <w:t xml:space="preserve"> </w:t>
      </w:r>
      <w:r w:rsidR="00321B2A">
        <w:t>(</w:t>
      </w:r>
      <w:r w:rsidR="00321B2A" w:rsidRPr="00EA1735">
        <w:rPr>
          <w:rFonts w:cs="Times New Roman"/>
        </w:rPr>
        <w:t>refer to</w:t>
      </w:r>
      <w:r w:rsidR="009747DE">
        <w:rPr>
          <w:rFonts w:cs="Times New Roman"/>
        </w:rPr>
        <w:t xml:space="preserve"> </w:t>
      </w:r>
      <w:r w:rsidR="009747DE" w:rsidRPr="009747DE">
        <w:rPr>
          <w:rFonts w:cs="Times New Roman"/>
          <w:b/>
        </w:rPr>
        <w:t xml:space="preserve">Table </w:t>
      </w:r>
      <w:proofErr w:type="gramStart"/>
      <w:r w:rsidR="009747DE" w:rsidRPr="009747DE">
        <w:rPr>
          <w:rFonts w:cs="Times New Roman"/>
          <w:b/>
        </w:rPr>
        <w:t>4</w:t>
      </w:r>
      <w:r w:rsidR="009747DE">
        <w:rPr>
          <w:rFonts w:cs="Times New Roman"/>
        </w:rPr>
        <w:t xml:space="preserve"> </w:t>
      </w:r>
      <w:r w:rsidR="00321B2A" w:rsidRPr="00EA1735">
        <w:rPr>
          <w:rFonts w:cs="Times New Roman"/>
        </w:rPr>
        <w:t xml:space="preserve"> </w:t>
      </w:r>
      <w:r w:rsidR="00247FD3">
        <w:t>for</w:t>
      </w:r>
      <w:proofErr w:type="gramEnd"/>
      <w:r w:rsidR="00247FD3">
        <w:t xml:space="preserve"> </w:t>
      </w:r>
      <w:r w:rsidR="00EA1735">
        <w:t>PCS</w:t>
      </w:r>
      <w:r w:rsidR="00CD0565">
        <w:t xml:space="preserve"> </w:t>
      </w:r>
      <w:r w:rsidR="00247FD3">
        <w:t>examples</w:t>
      </w:r>
      <w:r w:rsidR="00321B2A">
        <w:t xml:space="preserve">) </w:t>
      </w:r>
      <w:r w:rsidR="009833EB">
        <w:t>and criteria importance</w:t>
      </w:r>
      <w:r w:rsidR="0077150E">
        <w:t xml:space="preserve">, </w:t>
      </w:r>
      <w:r w:rsidR="0077150E">
        <w:rPr>
          <w:rFonts w:eastAsia="Times New Roman" w:cs="Times New Roman"/>
          <w:color w:val="000000" w:themeColor="text1"/>
          <w:szCs w:val="20"/>
        </w:rPr>
        <w:t>f</w:t>
      </w:r>
      <w:r w:rsidR="00B34989" w:rsidRPr="00B34989">
        <w:rPr>
          <w:rFonts w:eastAsia="Times New Roman" w:cs="Times New Roman"/>
          <w:color w:val="000000" w:themeColor="text1"/>
          <w:szCs w:val="20"/>
        </w:rPr>
        <w:t xml:space="preserve">our </w:t>
      </w:r>
      <w:r w:rsidR="008C5488">
        <w:rPr>
          <w:rFonts w:eastAsia="Times New Roman" w:cs="Times New Roman"/>
          <w:color w:val="000000" w:themeColor="text1"/>
          <w:szCs w:val="20"/>
          <w:u w:val="single"/>
        </w:rPr>
        <w:t>r</w:t>
      </w:r>
      <w:r w:rsidR="0077150E" w:rsidRPr="00807DF8">
        <w:rPr>
          <w:rFonts w:eastAsia="Times New Roman" w:cs="Times New Roman"/>
          <w:color w:val="000000" w:themeColor="text1"/>
          <w:szCs w:val="20"/>
          <w:u w:val="single"/>
        </w:rPr>
        <w:t xml:space="preserve">eference </w:t>
      </w:r>
      <w:r w:rsidR="00B34989" w:rsidRPr="00807DF8">
        <w:rPr>
          <w:rFonts w:eastAsia="Times New Roman" w:cs="Times New Roman"/>
          <w:color w:val="000000" w:themeColor="text1"/>
          <w:szCs w:val="20"/>
          <w:u w:val="single"/>
        </w:rPr>
        <w:t>project</w:t>
      </w:r>
      <w:r w:rsidR="00B34989" w:rsidRPr="00B34989">
        <w:rPr>
          <w:rFonts w:eastAsia="Times New Roman" w:cs="Times New Roman"/>
          <w:color w:val="000000" w:themeColor="text1"/>
          <w:szCs w:val="20"/>
        </w:rPr>
        <w:t xml:space="preserve"> examples </w:t>
      </w:r>
      <w:r w:rsidR="0077150E">
        <w:rPr>
          <w:rFonts w:eastAsia="Times New Roman" w:cs="Times New Roman"/>
          <w:color w:val="000000" w:themeColor="text1"/>
          <w:szCs w:val="20"/>
        </w:rPr>
        <w:t>(</w:t>
      </w:r>
      <w:r w:rsidR="0077150E" w:rsidRPr="007119EA">
        <w:rPr>
          <w:rFonts w:eastAsia="Times New Roman" w:cs="Times New Roman"/>
          <w:szCs w:val="20"/>
        </w:rPr>
        <w:t>the</w:t>
      </w:r>
      <w:r w:rsidR="0077150E">
        <w:rPr>
          <w:rFonts w:eastAsia="Times New Roman" w:cs="Times New Roman"/>
          <w:szCs w:val="20"/>
        </w:rPr>
        <w:t xml:space="preserve"> top oval</w:t>
      </w:r>
      <w:r w:rsidR="0077150E" w:rsidRPr="007119EA">
        <w:rPr>
          <w:rFonts w:eastAsia="Times New Roman" w:cs="Times New Roman"/>
          <w:szCs w:val="20"/>
        </w:rPr>
        <w:t xml:space="preserve"> </w:t>
      </w:r>
      <w:r w:rsidR="0077150E" w:rsidRPr="004404F6">
        <w:rPr>
          <w:rFonts w:cs="Times New Roman"/>
        </w:rPr>
        <w:t xml:space="preserve">within the </w:t>
      </w:r>
      <w:r w:rsidR="00EA1735">
        <w:rPr>
          <w:rFonts w:cs="Times New Roman"/>
        </w:rPr>
        <w:t>“P</w:t>
      </w:r>
      <w:r w:rsidR="0077150E">
        <w:rPr>
          <w:rFonts w:cs="Times New Roman"/>
        </w:rPr>
        <w:t xml:space="preserve">roject </w:t>
      </w:r>
      <w:r w:rsidR="00EA1735">
        <w:rPr>
          <w:rFonts w:cs="Times New Roman"/>
        </w:rPr>
        <w:t>C</w:t>
      </w:r>
      <w:r w:rsidR="0077150E">
        <w:rPr>
          <w:rFonts w:cs="Times New Roman"/>
        </w:rPr>
        <w:t>harac</w:t>
      </w:r>
      <w:r w:rsidR="008C5488">
        <w:rPr>
          <w:rFonts w:cs="Times New Roman"/>
        </w:rPr>
        <w:t>t</w:t>
      </w:r>
      <w:r w:rsidR="0077150E">
        <w:rPr>
          <w:rFonts w:cs="Times New Roman"/>
        </w:rPr>
        <w:t>eristics</w:t>
      </w:r>
      <w:r w:rsidR="00EA1735">
        <w:rPr>
          <w:rFonts w:cs="Times New Roman"/>
        </w:rPr>
        <w:t>”</w:t>
      </w:r>
      <w:r w:rsidR="0077150E">
        <w:rPr>
          <w:rFonts w:cs="Times New Roman"/>
        </w:rPr>
        <w:t xml:space="preserve"> block</w:t>
      </w:r>
      <w:r w:rsidR="0077150E" w:rsidRPr="004404F6">
        <w:rPr>
          <w:rFonts w:cs="Times New Roman"/>
        </w:rPr>
        <w:t xml:space="preserve"> of </w:t>
      </w:r>
      <w:r w:rsidR="00EA1735">
        <w:rPr>
          <w:rFonts w:eastAsia="Times New Roman" w:cs="Times New Roman"/>
          <w:szCs w:val="20"/>
        </w:rPr>
        <w:fldChar w:fldCharType="begin"/>
      </w:r>
      <w:r w:rsidR="00EA1735">
        <w:rPr>
          <w:rFonts w:eastAsia="Times New Roman" w:cs="Times New Roman"/>
          <w:szCs w:val="20"/>
        </w:rPr>
        <w:instrText xml:space="preserve"> REF _Ref77256743 \h </w:instrText>
      </w:r>
      <w:r w:rsidR="00EA1735">
        <w:rPr>
          <w:rFonts w:eastAsia="Times New Roman" w:cs="Times New Roman"/>
          <w:szCs w:val="20"/>
        </w:rPr>
      </w:r>
      <w:r w:rsidR="00EA1735">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EA1735">
        <w:rPr>
          <w:rFonts w:eastAsia="Times New Roman" w:cs="Times New Roman"/>
          <w:szCs w:val="20"/>
        </w:rPr>
        <w:fldChar w:fldCharType="end"/>
      </w:r>
      <w:r w:rsidR="0077150E">
        <w:rPr>
          <w:rFonts w:eastAsia="Times New Roman" w:cs="Times New Roman"/>
          <w:color w:val="000000" w:themeColor="text1"/>
          <w:szCs w:val="20"/>
        </w:rPr>
        <w:t xml:space="preserve">) </w:t>
      </w:r>
      <w:r w:rsidR="00B34989" w:rsidRPr="00B34989">
        <w:rPr>
          <w:rFonts w:eastAsia="Times New Roman" w:cs="Times New Roman"/>
          <w:color w:val="000000" w:themeColor="text1"/>
          <w:szCs w:val="20"/>
        </w:rPr>
        <w:t xml:space="preserve">were considered, each of which helps to display extreme characteristics so one can determine how each criterion is connected to each of the characteristics. </w:t>
      </w:r>
      <w:r w:rsidR="00B34989" w:rsidRPr="00B34989">
        <w:rPr>
          <w:szCs w:val="20"/>
        </w:rPr>
        <w:t>The project profiles were carefully designed in collaboration with TxDOT to cover a comprehensive set of project characteristics</w:t>
      </w:r>
      <w:r w:rsidR="00B34989" w:rsidRPr="00B34989">
        <w:rPr>
          <w:rFonts w:eastAsia="Times New Roman" w:cs="Times New Roman"/>
          <w:color w:val="000000" w:themeColor="text1"/>
          <w:szCs w:val="20"/>
        </w:rPr>
        <w:t xml:space="preserve"> commonly encountered. The characteristics corresponding to different project scenarios are summarized in </w:t>
      </w:r>
      <w:r w:rsidR="00B34989" w:rsidRPr="00EA1735">
        <w:rPr>
          <w:rFonts w:eastAsia="Times New Roman" w:cs="Times New Roman"/>
          <w:b/>
          <w:bCs/>
          <w:color w:val="FF0000"/>
          <w:szCs w:val="20"/>
        </w:rPr>
        <w:fldChar w:fldCharType="begin"/>
      </w:r>
      <w:r w:rsidR="00B34989" w:rsidRPr="00EA1735">
        <w:rPr>
          <w:rFonts w:eastAsia="Times New Roman" w:cs="Times New Roman"/>
          <w:b/>
          <w:bCs/>
          <w:color w:val="000000" w:themeColor="text1"/>
          <w:szCs w:val="20"/>
        </w:rPr>
        <w:instrText xml:space="preserve"> REF _Ref77257640 \h </w:instrText>
      </w:r>
      <w:r w:rsidR="00B34989" w:rsidRPr="00EA1735">
        <w:rPr>
          <w:rFonts w:eastAsia="Times New Roman" w:cs="Times New Roman"/>
          <w:b/>
          <w:bCs/>
          <w:color w:val="FF0000"/>
          <w:szCs w:val="20"/>
        </w:rPr>
        <w:instrText xml:space="preserve"> \* MERGEFORMAT </w:instrText>
      </w:r>
      <w:r w:rsidR="00B34989" w:rsidRPr="00EA1735">
        <w:rPr>
          <w:rFonts w:eastAsia="Times New Roman" w:cs="Times New Roman"/>
          <w:b/>
          <w:bCs/>
          <w:color w:val="FF0000"/>
          <w:szCs w:val="20"/>
        </w:rPr>
      </w:r>
      <w:r w:rsidR="00B34989" w:rsidRPr="00EA1735">
        <w:rPr>
          <w:rFonts w:eastAsia="Times New Roman" w:cs="Times New Roman"/>
          <w:b/>
          <w:bCs/>
          <w:color w:val="FF0000"/>
          <w:szCs w:val="20"/>
        </w:rPr>
        <w:fldChar w:fldCharType="separate"/>
      </w:r>
      <w:r w:rsidR="00210285" w:rsidRPr="00210285">
        <w:rPr>
          <w:b/>
          <w:bCs/>
          <w:szCs w:val="20"/>
        </w:rPr>
        <w:t xml:space="preserve">Table </w:t>
      </w:r>
      <w:r w:rsidR="00210285" w:rsidRPr="00210285">
        <w:rPr>
          <w:b/>
          <w:bCs/>
          <w:noProof/>
          <w:szCs w:val="20"/>
        </w:rPr>
        <w:t>3</w:t>
      </w:r>
      <w:r w:rsidR="00B34989" w:rsidRPr="00EA1735">
        <w:rPr>
          <w:rFonts w:eastAsia="Times New Roman" w:cs="Times New Roman"/>
          <w:b/>
          <w:bCs/>
          <w:color w:val="FF0000"/>
          <w:szCs w:val="20"/>
        </w:rPr>
        <w:fldChar w:fldCharType="end"/>
      </w:r>
      <w:r w:rsidR="00B34989" w:rsidRPr="00B34989">
        <w:rPr>
          <w:rFonts w:eastAsia="Times New Roman" w:cs="Times New Roman"/>
          <w:color w:val="000000" w:themeColor="text1"/>
          <w:szCs w:val="20"/>
        </w:rPr>
        <w:t xml:space="preserve">. For instance, </w:t>
      </w:r>
      <w:r w:rsidR="00B34989" w:rsidRPr="00B34989">
        <w:rPr>
          <w:rFonts w:cs="Arial"/>
          <w:szCs w:val="20"/>
        </w:rPr>
        <w:t>Project #1 is a large project, with a strict budget, long-term investment, and long construction phase.</w:t>
      </w:r>
    </w:p>
    <w:p w14:paraId="26290FA7" w14:textId="77777777" w:rsidR="000C780A" w:rsidRPr="00B34989" w:rsidRDefault="000C780A" w:rsidP="00807DF8">
      <w:pPr>
        <w:spacing w:after="0" w:line="240" w:lineRule="auto"/>
        <w:ind w:firstLine="720"/>
        <w:jc w:val="both"/>
        <w:rPr>
          <w:rFonts w:cs="Arial"/>
          <w:szCs w:val="20"/>
        </w:rPr>
      </w:pPr>
    </w:p>
    <w:p w14:paraId="072EA072" w14:textId="5EC6456E" w:rsidR="00B34989" w:rsidRDefault="00B34989" w:rsidP="00807DF8">
      <w:pPr>
        <w:spacing w:after="0" w:line="240" w:lineRule="auto"/>
        <w:jc w:val="both"/>
        <w:rPr>
          <w:rFonts w:eastAsia="Times New Roman" w:cs="Times New Roman"/>
          <w:color w:val="000000" w:themeColor="text1"/>
          <w:sz w:val="24"/>
        </w:rPr>
      </w:pPr>
    </w:p>
    <w:p w14:paraId="22CDFAA6" w14:textId="23EBF041" w:rsidR="00B34989" w:rsidRPr="00B34989" w:rsidRDefault="0005314C" w:rsidP="0063475C">
      <w:pPr>
        <w:spacing w:line="240" w:lineRule="auto"/>
        <w:jc w:val="both"/>
        <w:rPr>
          <w:rFonts w:eastAsia="Times New Roman" w:cs="Times New Roman"/>
          <w:b/>
          <w:bCs/>
          <w:color w:val="000000" w:themeColor="text1"/>
        </w:rPr>
      </w:pPr>
      <w:bookmarkStart w:id="45" w:name="_Ref77257640"/>
      <w:r w:rsidRPr="00B34989">
        <w:rPr>
          <w:rFonts w:eastAsia="Times New Roman" w:cs="Times New Roman"/>
          <w:b/>
          <w:bCs/>
          <w:color w:val="000000" w:themeColor="text1"/>
        </w:rPr>
        <w:lastRenderedPageBreak/>
        <w:t>T</w:t>
      </w:r>
      <w:r>
        <w:rPr>
          <w:rFonts w:eastAsia="Times New Roman" w:cs="Times New Roman"/>
          <w:b/>
          <w:bCs/>
          <w:color w:val="000000" w:themeColor="text1"/>
        </w:rPr>
        <w:t>able</w:t>
      </w:r>
      <w:r w:rsidRPr="00B34989">
        <w:rPr>
          <w:rFonts w:eastAsia="Times New Roman" w:cs="Times New Roman"/>
          <w:b/>
          <w:bCs/>
          <w:color w:val="000000" w:themeColor="text1"/>
        </w:rPr>
        <w:t xml:space="preserve"> </w:t>
      </w:r>
      <w:r w:rsidR="00B34989" w:rsidRPr="00B34989">
        <w:rPr>
          <w:rFonts w:eastAsia="Times New Roman" w:cs="Times New Roman"/>
          <w:b/>
          <w:bCs/>
          <w:color w:val="000000" w:themeColor="text1"/>
        </w:rPr>
        <w:fldChar w:fldCharType="begin"/>
      </w:r>
      <w:r w:rsidR="00B34989" w:rsidRPr="00B34989">
        <w:rPr>
          <w:rFonts w:eastAsia="Times New Roman" w:cs="Times New Roman"/>
          <w:b/>
          <w:bCs/>
          <w:color w:val="000000" w:themeColor="text1"/>
        </w:rPr>
        <w:instrText>SEQ Table \* ARABIC</w:instrText>
      </w:r>
      <w:r w:rsidR="00B34989" w:rsidRPr="00B34989">
        <w:rPr>
          <w:rFonts w:eastAsia="Times New Roman" w:cs="Times New Roman"/>
          <w:b/>
          <w:bCs/>
          <w:color w:val="000000" w:themeColor="text1"/>
        </w:rPr>
        <w:fldChar w:fldCharType="separate"/>
      </w:r>
      <w:r w:rsidR="00210285">
        <w:rPr>
          <w:rFonts w:eastAsia="Times New Roman" w:cs="Times New Roman"/>
          <w:b/>
          <w:bCs/>
          <w:noProof/>
          <w:color w:val="000000" w:themeColor="text1"/>
        </w:rPr>
        <w:t>3</w:t>
      </w:r>
      <w:r w:rsidR="00B34989" w:rsidRPr="00B34989">
        <w:rPr>
          <w:rFonts w:eastAsia="Times New Roman" w:cs="Times New Roman"/>
          <w:b/>
          <w:bCs/>
          <w:color w:val="000000" w:themeColor="text1"/>
        </w:rPr>
        <w:fldChar w:fldCharType="end"/>
      </w:r>
      <w:bookmarkEnd w:id="45"/>
      <w:r w:rsidR="00B34989" w:rsidRPr="00B34989">
        <w:rPr>
          <w:rFonts w:eastAsia="Times New Roman" w:cs="Times New Roman"/>
          <w:b/>
          <w:bCs/>
          <w:color w:val="000000" w:themeColor="text1"/>
        </w:rPr>
        <w:t xml:space="preserve"> Characteristics of Each Project Scenario</w:t>
      </w:r>
    </w:p>
    <w:tbl>
      <w:tblPr>
        <w:tblStyle w:val="TableGrid4"/>
        <w:tblW w:w="4961" w:type="pct"/>
        <w:jc w:val="center"/>
        <w:tblLook w:val="06A0" w:firstRow="1" w:lastRow="0" w:firstColumn="1" w:lastColumn="0" w:noHBand="1" w:noVBand="1"/>
      </w:tblPr>
      <w:tblGrid>
        <w:gridCol w:w="3325"/>
        <w:gridCol w:w="3332"/>
        <w:gridCol w:w="655"/>
        <w:gridCol w:w="655"/>
        <w:gridCol w:w="655"/>
        <w:gridCol w:w="655"/>
      </w:tblGrid>
      <w:tr w:rsidR="00B34989" w:rsidRPr="004D0A64" w14:paraId="6E185501" w14:textId="77777777" w:rsidTr="004D0A64">
        <w:trPr>
          <w:trHeight w:val="300"/>
          <w:tblHeader/>
          <w:jc w:val="center"/>
        </w:trPr>
        <w:tc>
          <w:tcPr>
            <w:tcW w:w="3588" w:type="pct"/>
            <w:gridSpan w:val="2"/>
            <w:vAlign w:val="center"/>
          </w:tcPr>
          <w:p w14:paraId="531585D9" w14:textId="77777777" w:rsidR="00B34989" w:rsidRPr="004D0A64" w:rsidRDefault="00B34989" w:rsidP="00E71B1D">
            <w:pPr>
              <w:rPr>
                <w:rFonts w:cs="Times New Roman"/>
                <w:b/>
                <w:sz w:val="21"/>
                <w:szCs w:val="21"/>
              </w:rPr>
            </w:pPr>
            <w:bookmarkStart w:id="46" w:name="_Hlk77323577"/>
            <w:r w:rsidRPr="004D0A64">
              <w:rPr>
                <w:rFonts w:eastAsia="Calibri" w:cs="Times New Roman"/>
                <w:b/>
                <w:color w:val="000000" w:themeColor="text1"/>
                <w:sz w:val="21"/>
                <w:szCs w:val="21"/>
              </w:rPr>
              <w:t>Characteristic</w:t>
            </w:r>
          </w:p>
        </w:tc>
        <w:tc>
          <w:tcPr>
            <w:tcW w:w="353" w:type="pct"/>
            <w:vAlign w:val="center"/>
          </w:tcPr>
          <w:p w14:paraId="7BBCC3F9" w14:textId="77777777" w:rsidR="00B34989" w:rsidRPr="004D0A64" w:rsidRDefault="00B34989" w:rsidP="00EA1735">
            <w:pPr>
              <w:jc w:val="center"/>
              <w:rPr>
                <w:rFonts w:eastAsia="Calibri" w:cs="Times New Roman"/>
                <w:b/>
                <w:color w:val="000000" w:themeColor="text1"/>
                <w:sz w:val="21"/>
                <w:szCs w:val="21"/>
              </w:rPr>
            </w:pPr>
            <w:r w:rsidRPr="004D0A64">
              <w:rPr>
                <w:rFonts w:eastAsia="Calibri" w:cs="Times New Roman"/>
                <w:b/>
                <w:color w:val="000000" w:themeColor="text1"/>
                <w:sz w:val="21"/>
                <w:szCs w:val="21"/>
              </w:rPr>
              <w:t>1</w:t>
            </w:r>
          </w:p>
        </w:tc>
        <w:tc>
          <w:tcPr>
            <w:tcW w:w="353" w:type="pct"/>
            <w:vAlign w:val="center"/>
          </w:tcPr>
          <w:p w14:paraId="13B7281D" w14:textId="77777777" w:rsidR="00B34989" w:rsidRPr="004D0A64" w:rsidRDefault="00B34989" w:rsidP="00EA1735">
            <w:pPr>
              <w:jc w:val="center"/>
              <w:rPr>
                <w:rFonts w:eastAsia="Calibri" w:cs="Times New Roman"/>
                <w:b/>
                <w:color w:val="000000" w:themeColor="text1"/>
                <w:sz w:val="21"/>
                <w:szCs w:val="21"/>
              </w:rPr>
            </w:pPr>
            <w:r w:rsidRPr="004D0A64">
              <w:rPr>
                <w:rFonts w:eastAsia="Calibri" w:cs="Times New Roman"/>
                <w:b/>
                <w:color w:val="000000" w:themeColor="text1"/>
                <w:sz w:val="21"/>
                <w:szCs w:val="21"/>
              </w:rPr>
              <w:t>2</w:t>
            </w:r>
          </w:p>
        </w:tc>
        <w:tc>
          <w:tcPr>
            <w:tcW w:w="353" w:type="pct"/>
            <w:vAlign w:val="center"/>
          </w:tcPr>
          <w:p w14:paraId="748A8F5D" w14:textId="77777777" w:rsidR="00B34989" w:rsidRPr="004D0A64" w:rsidRDefault="00B34989" w:rsidP="00EA1735">
            <w:pPr>
              <w:jc w:val="center"/>
              <w:rPr>
                <w:rFonts w:eastAsia="Calibri" w:cs="Times New Roman"/>
                <w:b/>
                <w:color w:val="000000" w:themeColor="text1"/>
                <w:sz w:val="21"/>
                <w:szCs w:val="21"/>
              </w:rPr>
            </w:pPr>
            <w:r w:rsidRPr="004D0A64">
              <w:rPr>
                <w:rFonts w:eastAsia="Calibri" w:cs="Times New Roman"/>
                <w:b/>
                <w:color w:val="000000" w:themeColor="text1"/>
                <w:sz w:val="21"/>
                <w:szCs w:val="21"/>
              </w:rPr>
              <w:t>3</w:t>
            </w:r>
          </w:p>
        </w:tc>
        <w:tc>
          <w:tcPr>
            <w:tcW w:w="353" w:type="pct"/>
            <w:vAlign w:val="center"/>
          </w:tcPr>
          <w:p w14:paraId="02AAD0C9" w14:textId="77777777" w:rsidR="00B34989" w:rsidRPr="004D0A64" w:rsidRDefault="00B34989" w:rsidP="00EA1735">
            <w:pPr>
              <w:jc w:val="center"/>
              <w:rPr>
                <w:rFonts w:eastAsia="Calibri" w:cs="Times New Roman"/>
                <w:b/>
                <w:color w:val="000000" w:themeColor="text1"/>
                <w:sz w:val="21"/>
                <w:szCs w:val="21"/>
              </w:rPr>
            </w:pPr>
            <w:r w:rsidRPr="004D0A64">
              <w:rPr>
                <w:rFonts w:eastAsia="Calibri" w:cs="Times New Roman"/>
                <w:b/>
                <w:color w:val="000000" w:themeColor="text1"/>
                <w:sz w:val="21"/>
                <w:szCs w:val="21"/>
              </w:rPr>
              <w:t>4</w:t>
            </w:r>
          </w:p>
        </w:tc>
      </w:tr>
      <w:tr w:rsidR="00B34989" w:rsidRPr="004D0A64" w14:paraId="52D85BEC" w14:textId="77777777" w:rsidTr="004D0A64">
        <w:trPr>
          <w:jc w:val="center"/>
        </w:trPr>
        <w:tc>
          <w:tcPr>
            <w:tcW w:w="1792" w:type="pct"/>
            <w:vMerge w:val="restart"/>
            <w:vAlign w:val="center"/>
          </w:tcPr>
          <w:p w14:paraId="36820B17"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Type</w:t>
            </w:r>
          </w:p>
        </w:tc>
        <w:tc>
          <w:tcPr>
            <w:tcW w:w="1796" w:type="pct"/>
            <w:vAlign w:val="center"/>
          </w:tcPr>
          <w:p w14:paraId="35F04859"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Federal</w:t>
            </w:r>
          </w:p>
        </w:tc>
        <w:tc>
          <w:tcPr>
            <w:tcW w:w="353" w:type="pct"/>
            <w:vAlign w:val="center"/>
          </w:tcPr>
          <w:p w14:paraId="5E1453C0"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4CDDC949" w14:textId="52FD3FDA"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737FDBDE" w14:textId="588766C2"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0B22D880" w14:textId="5D7E1523" w:rsidR="00B34989" w:rsidRPr="004D0A64" w:rsidRDefault="00B34989" w:rsidP="00EA1735">
            <w:pPr>
              <w:jc w:val="center"/>
              <w:rPr>
                <w:rFonts w:eastAsia="Calibri" w:cs="Times New Roman"/>
                <w:color w:val="000000" w:themeColor="text1"/>
                <w:sz w:val="21"/>
                <w:szCs w:val="21"/>
              </w:rPr>
            </w:pPr>
          </w:p>
        </w:tc>
      </w:tr>
      <w:tr w:rsidR="00B34989" w:rsidRPr="004D0A64" w14:paraId="100B44FE" w14:textId="77777777" w:rsidTr="004D0A64">
        <w:trPr>
          <w:jc w:val="center"/>
        </w:trPr>
        <w:tc>
          <w:tcPr>
            <w:tcW w:w="1792" w:type="pct"/>
            <w:vMerge/>
            <w:vAlign w:val="center"/>
          </w:tcPr>
          <w:p w14:paraId="514B5A21" w14:textId="77777777" w:rsidR="00B34989" w:rsidRPr="004D0A64" w:rsidRDefault="00B34989" w:rsidP="00E71B1D">
            <w:pPr>
              <w:rPr>
                <w:rFonts w:cs="Times New Roman"/>
                <w:sz w:val="21"/>
                <w:szCs w:val="21"/>
              </w:rPr>
            </w:pPr>
          </w:p>
        </w:tc>
        <w:tc>
          <w:tcPr>
            <w:tcW w:w="1796" w:type="pct"/>
            <w:vAlign w:val="center"/>
          </w:tcPr>
          <w:p w14:paraId="52CD8552"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State</w:t>
            </w:r>
          </w:p>
        </w:tc>
        <w:tc>
          <w:tcPr>
            <w:tcW w:w="353" w:type="pct"/>
            <w:vAlign w:val="center"/>
          </w:tcPr>
          <w:p w14:paraId="318072C2" w14:textId="48FDD8CC"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27BF3965"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6E09A504"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030C75AE" w14:textId="4D72F854" w:rsidR="00B34989" w:rsidRPr="004D0A64" w:rsidRDefault="00B34989" w:rsidP="00EA1735">
            <w:pPr>
              <w:jc w:val="center"/>
              <w:rPr>
                <w:rFonts w:eastAsia="Calibri" w:cs="Times New Roman"/>
                <w:color w:val="000000" w:themeColor="text1"/>
                <w:sz w:val="21"/>
                <w:szCs w:val="21"/>
              </w:rPr>
            </w:pPr>
          </w:p>
        </w:tc>
      </w:tr>
      <w:tr w:rsidR="00B34989" w:rsidRPr="004D0A64" w14:paraId="726A49E3" w14:textId="77777777" w:rsidTr="004D0A64">
        <w:trPr>
          <w:jc w:val="center"/>
        </w:trPr>
        <w:tc>
          <w:tcPr>
            <w:tcW w:w="1792" w:type="pct"/>
            <w:vMerge/>
            <w:vAlign w:val="center"/>
          </w:tcPr>
          <w:p w14:paraId="1B628145" w14:textId="77777777" w:rsidR="00B34989" w:rsidRPr="004D0A64" w:rsidRDefault="00B34989" w:rsidP="00E71B1D">
            <w:pPr>
              <w:rPr>
                <w:rFonts w:cs="Times New Roman"/>
                <w:sz w:val="21"/>
                <w:szCs w:val="21"/>
              </w:rPr>
            </w:pPr>
          </w:p>
        </w:tc>
        <w:tc>
          <w:tcPr>
            <w:tcW w:w="1796" w:type="pct"/>
            <w:vAlign w:val="center"/>
          </w:tcPr>
          <w:p w14:paraId="2D05F900"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Local</w:t>
            </w:r>
          </w:p>
        </w:tc>
        <w:tc>
          <w:tcPr>
            <w:tcW w:w="353" w:type="pct"/>
            <w:vAlign w:val="center"/>
          </w:tcPr>
          <w:p w14:paraId="592E5309" w14:textId="4EAD8FC6"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61345889" w14:textId="73716FED"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30355890" w14:textId="61DFBE7F"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09934928"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4D0A64" w:rsidRPr="004D0A64" w14:paraId="517BE460" w14:textId="77777777" w:rsidTr="004D0A64">
        <w:trPr>
          <w:jc w:val="center"/>
        </w:trPr>
        <w:tc>
          <w:tcPr>
            <w:tcW w:w="1792" w:type="pct"/>
            <w:vMerge w:val="restart"/>
            <w:shd w:val="clear" w:color="auto" w:fill="D9D9D9" w:themeFill="background1" w:themeFillShade="D9"/>
            <w:vAlign w:val="center"/>
          </w:tcPr>
          <w:p w14:paraId="72A178CE"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Budget Size</w:t>
            </w:r>
          </w:p>
        </w:tc>
        <w:tc>
          <w:tcPr>
            <w:tcW w:w="1796" w:type="pct"/>
            <w:shd w:val="clear" w:color="auto" w:fill="D9D9D9" w:themeFill="background1" w:themeFillShade="D9"/>
            <w:vAlign w:val="center"/>
          </w:tcPr>
          <w:p w14:paraId="37A4740B"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Billions</w:t>
            </w:r>
          </w:p>
        </w:tc>
        <w:tc>
          <w:tcPr>
            <w:tcW w:w="353" w:type="pct"/>
            <w:shd w:val="clear" w:color="auto" w:fill="D9D9D9" w:themeFill="background1" w:themeFillShade="D9"/>
            <w:vAlign w:val="center"/>
          </w:tcPr>
          <w:p w14:paraId="3B04918E"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3950B9F8" w14:textId="5F9C0173"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68FB4093" w14:textId="7EF08785"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09E92D4F" w14:textId="6C8BE4FC" w:rsidR="00B34989" w:rsidRPr="004D0A64" w:rsidRDefault="00B34989" w:rsidP="00EA1735">
            <w:pPr>
              <w:jc w:val="center"/>
              <w:rPr>
                <w:rFonts w:eastAsia="Calibri" w:cs="Times New Roman"/>
                <w:color w:val="000000" w:themeColor="text1"/>
                <w:sz w:val="21"/>
                <w:szCs w:val="21"/>
              </w:rPr>
            </w:pPr>
          </w:p>
        </w:tc>
      </w:tr>
      <w:tr w:rsidR="004D0A64" w:rsidRPr="004D0A64" w14:paraId="40AF81DE" w14:textId="77777777" w:rsidTr="004D0A64">
        <w:trPr>
          <w:jc w:val="center"/>
        </w:trPr>
        <w:tc>
          <w:tcPr>
            <w:tcW w:w="1792" w:type="pct"/>
            <w:vMerge/>
            <w:shd w:val="clear" w:color="auto" w:fill="D9D9D9" w:themeFill="background1" w:themeFillShade="D9"/>
            <w:vAlign w:val="center"/>
          </w:tcPr>
          <w:p w14:paraId="18F504F4"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0ACBC276"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Hundreds of Millions</w:t>
            </w:r>
          </w:p>
        </w:tc>
        <w:tc>
          <w:tcPr>
            <w:tcW w:w="353" w:type="pct"/>
            <w:shd w:val="clear" w:color="auto" w:fill="D9D9D9" w:themeFill="background1" w:themeFillShade="D9"/>
            <w:vAlign w:val="center"/>
          </w:tcPr>
          <w:p w14:paraId="45EFD6B9" w14:textId="4DDC987F"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1D0D5758"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23DC802B" w14:textId="22D33135"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5D2DCA1C" w14:textId="1B137567" w:rsidR="00B34989" w:rsidRPr="004D0A64" w:rsidRDefault="00B34989" w:rsidP="00EA1735">
            <w:pPr>
              <w:jc w:val="center"/>
              <w:rPr>
                <w:rFonts w:eastAsia="Calibri" w:cs="Times New Roman"/>
                <w:color w:val="000000" w:themeColor="text1"/>
                <w:sz w:val="21"/>
                <w:szCs w:val="21"/>
              </w:rPr>
            </w:pPr>
          </w:p>
        </w:tc>
      </w:tr>
      <w:tr w:rsidR="004D0A64" w:rsidRPr="004D0A64" w14:paraId="7E4D7179" w14:textId="77777777" w:rsidTr="004D0A64">
        <w:trPr>
          <w:jc w:val="center"/>
        </w:trPr>
        <w:tc>
          <w:tcPr>
            <w:tcW w:w="1792" w:type="pct"/>
            <w:vMerge/>
            <w:shd w:val="clear" w:color="auto" w:fill="D9D9D9" w:themeFill="background1" w:themeFillShade="D9"/>
            <w:vAlign w:val="center"/>
          </w:tcPr>
          <w:p w14:paraId="2815F87E"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6DEAC141"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Millions</w:t>
            </w:r>
          </w:p>
        </w:tc>
        <w:tc>
          <w:tcPr>
            <w:tcW w:w="353" w:type="pct"/>
            <w:shd w:val="clear" w:color="auto" w:fill="D9D9D9" w:themeFill="background1" w:themeFillShade="D9"/>
            <w:vAlign w:val="center"/>
          </w:tcPr>
          <w:p w14:paraId="6204BF64" w14:textId="548BBE44"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6B2F4501" w14:textId="100F2C58"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0F7723DD"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68A7895C" w14:textId="3124E630" w:rsidR="00B34989" w:rsidRPr="004D0A64" w:rsidRDefault="00B34989" w:rsidP="00EA1735">
            <w:pPr>
              <w:jc w:val="center"/>
              <w:rPr>
                <w:rFonts w:eastAsia="Calibri" w:cs="Times New Roman"/>
                <w:color w:val="000000" w:themeColor="text1"/>
                <w:sz w:val="21"/>
                <w:szCs w:val="21"/>
              </w:rPr>
            </w:pPr>
          </w:p>
        </w:tc>
      </w:tr>
      <w:tr w:rsidR="004D0A64" w:rsidRPr="004D0A64" w14:paraId="55887797" w14:textId="77777777" w:rsidTr="004D0A64">
        <w:trPr>
          <w:jc w:val="center"/>
        </w:trPr>
        <w:tc>
          <w:tcPr>
            <w:tcW w:w="1792" w:type="pct"/>
            <w:vMerge/>
            <w:shd w:val="clear" w:color="auto" w:fill="D9D9D9" w:themeFill="background1" w:themeFillShade="D9"/>
            <w:vAlign w:val="center"/>
          </w:tcPr>
          <w:p w14:paraId="7C07341A"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3B66C11B"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Less than a Million</w:t>
            </w:r>
          </w:p>
        </w:tc>
        <w:tc>
          <w:tcPr>
            <w:tcW w:w="353" w:type="pct"/>
            <w:shd w:val="clear" w:color="auto" w:fill="D9D9D9" w:themeFill="background1" w:themeFillShade="D9"/>
            <w:vAlign w:val="center"/>
          </w:tcPr>
          <w:p w14:paraId="700B05CB" w14:textId="6F9F9E72"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71EA268B" w14:textId="598E618A"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ED58E9E" w14:textId="4640DB27"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21CD2170"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258EF469" w14:textId="77777777" w:rsidTr="004D0A64">
        <w:trPr>
          <w:jc w:val="center"/>
        </w:trPr>
        <w:tc>
          <w:tcPr>
            <w:tcW w:w="1792" w:type="pct"/>
            <w:vMerge w:val="restart"/>
            <w:vAlign w:val="center"/>
          </w:tcPr>
          <w:p w14:paraId="6F60B4A5"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Project Type</w:t>
            </w:r>
          </w:p>
        </w:tc>
        <w:tc>
          <w:tcPr>
            <w:tcW w:w="1796" w:type="pct"/>
            <w:vAlign w:val="center"/>
          </w:tcPr>
          <w:p w14:paraId="6BFF0125"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Maintenance</w:t>
            </w:r>
          </w:p>
        </w:tc>
        <w:tc>
          <w:tcPr>
            <w:tcW w:w="353" w:type="pct"/>
            <w:vAlign w:val="center"/>
          </w:tcPr>
          <w:p w14:paraId="30DBD52A" w14:textId="41242FD9"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7C8D754F" w14:textId="244C7904"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59DA5BB9" w14:textId="24CB587C"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28FDA425"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2A9CF050" w14:textId="77777777" w:rsidTr="004D0A64">
        <w:trPr>
          <w:jc w:val="center"/>
        </w:trPr>
        <w:tc>
          <w:tcPr>
            <w:tcW w:w="1792" w:type="pct"/>
            <w:vMerge/>
            <w:vAlign w:val="center"/>
          </w:tcPr>
          <w:p w14:paraId="7843393B" w14:textId="77777777" w:rsidR="00B34989" w:rsidRPr="004D0A64" w:rsidRDefault="00B34989" w:rsidP="00E71B1D">
            <w:pPr>
              <w:rPr>
                <w:rFonts w:cs="Times New Roman"/>
                <w:sz w:val="21"/>
                <w:szCs w:val="21"/>
              </w:rPr>
            </w:pPr>
          </w:p>
        </w:tc>
        <w:tc>
          <w:tcPr>
            <w:tcW w:w="1796" w:type="pct"/>
            <w:vAlign w:val="center"/>
          </w:tcPr>
          <w:p w14:paraId="45F78B83"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Operations</w:t>
            </w:r>
          </w:p>
        </w:tc>
        <w:tc>
          <w:tcPr>
            <w:tcW w:w="353" w:type="pct"/>
            <w:vAlign w:val="center"/>
          </w:tcPr>
          <w:p w14:paraId="44AFFCD4" w14:textId="280E5235"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2E831B7F" w14:textId="487487D5"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76C29FBD"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2377163D" w14:textId="398BC248" w:rsidR="00B34989" w:rsidRPr="004D0A64" w:rsidRDefault="00B34989" w:rsidP="00EA1735">
            <w:pPr>
              <w:jc w:val="center"/>
              <w:rPr>
                <w:rFonts w:eastAsia="Calibri" w:cs="Times New Roman"/>
                <w:color w:val="000000" w:themeColor="text1"/>
                <w:sz w:val="21"/>
                <w:szCs w:val="21"/>
              </w:rPr>
            </w:pPr>
          </w:p>
        </w:tc>
      </w:tr>
      <w:tr w:rsidR="00B34989" w:rsidRPr="004D0A64" w14:paraId="42DB0114" w14:textId="77777777" w:rsidTr="004D0A64">
        <w:trPr>
          <w:jc w:val="center"/>
        </w:trPr>
        <w:tc>
          <w:tcPr>
            <w:tcW w:w="1792" w:type="pct"/>
            <w:vMerge/>
            <w:vAlign w:val="center"/>
          </w:tcPr>
          <w:p w14:paraId="61BBF1D8" w14:textId="77777777" w:rsidR="00B34989" w:rsidRPr="004D0A64" w:rsidRDefault="00B34989" w:rsidP="00E71B1D">
            <w:pPr>
              <w:rPr>
                <w:rFonts w:cs="Times New Roman"/>
                <w:sz w:val="21"/>
                <w:szCs w:val="21"/>
              </w:rPr>
            </w:pPr>
          </w:p>
        </w:tc>
        <w:tc>
          <w:tcPr>
            <w:tcW w:w="1796" w:type="pct"/>
            <w:vAlign w:val="center"/>
          </w:tcPr>
          <w:p w14:paraId="0239E1EF"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Construction</w:t>
            </w:r>
          </w:p>
        </w:tc>
        <w:tc>
          <w:tcPr>
            <w:tcW w:w="353" w:type="pct"/>
            <w:vAlign w:val="center"/>
          </w:tcPr>
          <w:p w14:paraId="019D47F9"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09DECD24"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43709299" w14:textId="41A91E12"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50B4CAF5" w14:textId="0FF3712F" w:rsidR="00B34989" w:rsidRPr="004D0A64" w:rsidRDefault="00B34989" w:rsidP="00EA1735">
            <w:pPr>
              <w:jc w:val="center"/>
              <w:rPr>
                <w:rFonts w:eastAsia="Calibri" w:cs="Times New Roman"/>
                <w:color w:val="000000" w:themeColor="text1"/>
                <w:sz w:val="21"/>
                <w:szCs w:val="21"/>
              </w:rPr>
            </w:pPr>
          </w:p>
        </w:tc>
      </w:tr>
      <w:tr w:rsidR="004D0A64" w:rsidRPr="004D0A64" w14:paraId="0EBF8269" w14:textId="77777777" w:rsidTr="004D0A64">
        <w:trPr>
          <w:jc w:val="center"/>
        </w:trPr>
        <w:tc>
          <w:tcPr>
            <w:tcW w:w="1792" w:type="pct"/>
            <w:vMerge w:val="restart"/>
            <w:shd w:val="clear" w:color="auto" w:fill="D9D9D9" w:themeFill="background1" w:themeFillShade="D9"/>
            <w:tcMar>
              <w:left w:w="115" w:type="dxa"/>
              <w:right w:w="29" w:type="dxa"/>
            </w:tcMar>
            <w:vAlign w:val="center"/>
          </w:tcPr>
          <w:p w14:paraId="66C54191"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Exact Investment Timing (clarity of scope and likelihood of cost changes)</w:t>
            </w:r>
          </w:p>
        </w:tc>
        <w:tc>
          <w:tcPr>
            <w:tcW w:w="1796" w:type="pct"/>
            <w:shd w:val="clear" w:color="auto" w:fill="D9D9D9" w:themeFill="background1" w:themeFillShade="D9"/>
            <w:tcMar>
              <w:left w:w="115" w:type="dxa"/>
              <w:right w:w="29" w:type="dxa"/>
            </w:tcMar>
            <w:vAlign w:val="center"/>
          </w:tcPr>
          <w:p w14:paraId="387147B2"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Cost change very likely</w:t>
            </w:r>
          </w:p>
        </w:tc>
        <w:tc>
          <w:tcPr>
            <w:tcW w:w="353" w:type="pct"/>
            <w:shd w:val="clear" w:color="auto" w:fill="D9D9D9" w:themeFill="background1" w:themeFillShade="D9"/>
            <w:vAlign w:val="center"/>
          </w:tcPr>
          <w:p w14:paraId="6CD84058" w14:textId="0949C6FC"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F295127" w14:textId="6E6359C8"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2F1B0F46"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3C25BC8F" w14:textId="74783C3F" w:rsidR="00B34989" w:rsidRPr="004D0A64" w:rsidRDefault="00B34989" w:rsidP="00EA1735">
            <w:pPr>
              <w:jc w:val="center"/>
              <w:rPr>
                <w:rFonts w:eastAsia="Calibri" w:cs="Times New Roman"/>
                <w:color w:val="000000" w:themeColor="text1"/>
                <w:sz w:val="21"/>
                <w:szCs w:val="21"/>
              </w:rPr>
            </w:pPr>
          </w:p>
        </w:tc>
      </w:tr>
      <w:tr w:rsidR="004D0A64" w:rsidRPr="004D0A64" w14:paraId="670DECD0" w14:textId="77777777" w:rsidTr="004D0A64">
        <w:trPr>
          <w:jc w:val="center"/>
        </w:trPr>
        <w:tc>
          <w:tcPr>
            <w:tcW w:w="1792" w:type="pct"/>
            <w:vMerge/>
            <w:shd w:val="clear" w:color="auto" w:fill="D9D9D9" w:themeFill="background1" w:themeFillShade="D9"/>
            <w:tcMar>
              <w:left w:w="115" w:type="dxa"/>
              <w:right w:w="29" w:type="dxa"/>
            </w:tcMar>
            <w:vAlign w:val="center"/>
          </w:tcPr>
          <w:p w14:paraId="63FA9C0E" w14:textId="77777777" w:rsidR="00B34989" w:rsidRPr="004D0A64" w:rsidRDefault="00B34989" w:rsidP="00E71B1D">
            <w:pPr>
              <w:rPr>
                <w:rFonts w:cs="Times New Roman"/>
                <w:sz w:val="21"/>
                <w:szCs w:val="21"/>
              </w:rPr>
            </w:pPr>
          </w:p>
        </w:tc>
        <w:tc>
          <w:tcPr>
            <w:tcW w:w="1796" w:type="pct"/>
            <w:shd w:val="clear" w:color="auto" w:fill="D9D9D9" w:themeFill="background1" w:themeFillShade="D9"/>
            <w:tcMar>
              <w:left w:w="115" w:type="dxa"/>
              <w:right w:w="29" w:type="dxa"/>
            </w:tcMar>
            <w:vAlign w:val="center"/>
          </w:tcPr>
          <w:p w14:paraId="2041C1D8"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Cost change not likely</w:t>
            </w:r>
          </w:p>
        </w:tc>
        <w:tc>
          <w:tcPr>
            <w:tcW w:w="353" w:type="pct"/>
            <w:shd w:val="clear" w:color="auto" w:fill="D9D9D9" w:themeFill="background1" w:themeFillShade="D9"/>
            <w:vAlign w:val="center"/>
          </w:tcPr>
          <w:p w14:paraId="15B63F82"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0BAF0F02"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55DF7CB8" w14:textId="43AC40FC"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79C07323" w14:textId="4245E661" w:rsidR="00B34989" w:rsidRPr="004D0A64" w:rsidRDefault="00B34989" w:rsidP="00EA1735">
            <w:pPr>
              <w:jc w:val="center"/>
              <w:rPr>
                <w:rFonts w:eastAsia="Calibri" w:cs="Times New Roman"/>
                <w:color w:val="000000" w:themeColor="text1"/>
                <w:sz w:val="21"/>
                <w:szCs w:val="21"/>
              </w:rPr>
            </w:pPr>
          </w:p>
        </w:tc>
      </w:tr>
      <w:tr w:rsidR="004D0A64" w:rsidRPr="004D0A64" w14:paraId="00E9C552" w14:textId="77777777" w:rsidTr="004D0A64">
        <w:trPr>
          <w:jc w:val="center"/>
        </w:trPr>
        <w:tc>
          <w:tcPr>
            <w:tcW w:w="1792" w:type="pct"/>
            <w:vMerge/>
            <w:shd w:val="clear" w:color="auto" w:fill="D9D9D9" w:themeFill="background1" w:themeFillShade="D9"/>
            <w:tcMar>
              <w:left w:w="115" w:type="dxa"/>
              <w:right w:w="29" w:type="dxa"/>
            </w:tcMar>
            <w:vAlign w:val="center"/>
          </w:tcPr>
          <w:p w14:paraId="1C42E55F" w14:textId="77777777" w:rsidR="00B34989" w:rsidRPr="004D0A64" w:rsidRDefault="00B34989" w:rsidP="00E71B1D">
            <w:pPr>
              <w:rPr>
                <w:rFonts w:cs="Times New Roman"/>
                <w:sz w:val="21"/>
                <w:szCs w:val="21"/>
              </w:rPr>
            </w:pPr>
          </w:p>
        </w:tc>
        <w:tc>
          <w:tcPr>
            <w:tcW w:w="1796" w:type="pct"/>
            <w:shd w:val="clear" w:color="auto" w:fill="D9D9D9" w:themeFill="background1" w:themeFillShade="D9"/>
            <w:tcMar>
              <w:left w:w="115" w:type="dxa"/>
              <w:right w:w="29" w:type="dxa"/>
            </w:tcMar>
            <w:vAlign w:val="center"/>
          </w:tcPr>
          <w:p w14:paraId="4D662003"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Cost change has no impact on project</w:t>
            </w:r>
          </w:p>
        </w:tc>
        <w:tc>
          <w:tcPr>
            <w:tcW w:w="353" w:type="pct"/>
            <w:shd w:val="clear" w:color="auto" w:fill="D9D9D9" w:themeFill="background1" w:themeFillShade="D9"/>
            <w:vAlign w:val="center"/>
          </w:tcPr>
          <w:p w14:paraId="61E6FD43" w14:textId="0EA3E11F"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758EDBF0" w14:textId="4000197C"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049875E9" w14:textId="5EDE7EDD"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67F01886"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578C1C28" w14:textId="77777777" w:rsidTr="004D0A64">
        <w:trPr>
          <w:jc w:val="center"/>
        </w:trPr>
        <w:tc>
          <w:tcPr>
            <w:tcW w:w="1792" w:type="pct"/>
            <w:vMerge w:val="restart"/>
            <w:vAlign w:val="center"/>
          </w:tcPr>
          <w:p w14:paraId="234378D6"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Project Timeline (period of construction)</w:t>
            </w:r>
          </w:p>
        </w:tc>
        <w:tc>
          <w:tcPr>
            <w:tcW w:w="1796" w:type="pct"/>
            <w:vAlign w:val="center"/>
          </w:tcPr>
          <w:p w14:paraId="6E7F7D5C"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2 or more years</w:t>
            </w:r>
          </w:p>
        </w:tc>
        <w:tc>
          <w:tcPr>
            <w:tcW w:w="353" w:type="pct"/>
            <w:vAlign w:val="center"/>
          </w:tcPr>
          <w:p w14:paraId="2BF9330A"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1227C533"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1AC502B5" w14:textId="18B5D5CE"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130590AE" w14:textId="12D7FA6F" w:rsidR="00B34989" w:rsidRPr="004D0A64" w:rsidRDefault="00B34989" w:rsidP="00EA1735">
            <w:pPr>
              <w:jc w:val="center"/>
              <w:rPr>
                <w:rFonts w:eastAsia="Calibri" w:cs="Times New Roman"/>
                <w:color w:val="000000" w:themeColor="text1"/>
                <w:sz w:val="21"/>
                <w:szCs w:val="21"/>
              </w:rPr>
            </w:pPr>
          </w:p>
        </w:tc>
      </w:tr>
      <w:tr w:rsidR="00B34989" w:rsidRPr="004D0A64" w14:paraId="32E6A93B" w14:textId="77777777" w:rsidTr="004D0A64">
        <w:trPr>
          <w:jc w:val="center"/>
        </w:trPr>
        <w:tc>
          <w:tcPr>
            <w:tcW w:w="1792" w:type="pct"/>
            <w:vMerge/>
            <w:vAlign w:val="center"/>
          </w:tcPr>
          <w:p w14:paraId="3521062B" w14:textId="77777777" w:rsidR="00B34989" w:rsidRPr="004D0A64" w:rsidRDefault="00B34989" w:rsidP="00E71B1D">
            <w:pPr>
              <w:rPr>
                <w:rFonts w:cs="Times New Roman"/>
                <w:sz w:val="21"/>
                <w:szCs w:val="21"/>
              </w:rPr>
            </w:pPr>
          </w:p>
        </w:tc>
        <w:tc>
          <w:tcPr>
            <w:tcW w:w="1796" w:type="pct"/>
            <w:vAlign w:val="center"/>
          </w:tcPr>
          <w:p w14:paraId="4EF67F14"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1 to 2 years</w:t>
            </w:r>
          </w:p>
        </w:tc>
        <w:tc>
          <w:tcPr>
            <w:tcW w:w="353" w:type="pct"/>
            <w:vAlign w:val="center"/>
          </w:tcPr>
          <w:p w14:paraId="61760BD6" w14:textId="02AF2974"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08B10E53" w14:textId="14D5F24D"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0B7F4A1E"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2D4B0AB6" w14:textId="6EBD3F6D" w:rsidR="00B34989" w:rsidRPr="004D0A64" w:rsidRDefault="00B34989" w:rsidP="00EA1735">
            <w:pPr>
              <w:jc w:val="center"/>
              <w:rPr>
                <w:rFonts w:eastAsia="Calibri" w:cs="Times New Roman"/>
                <w:color w:val="000000" w:themeColor="text1"/>
                <w:sz w:val="21"/>
                <w:szCs w:val="21"/>
              </w:rPr>
            </w:pPr>
          </w:p>
        </w:tc>
      </w:tr>
      <w:tr w:rsidR="00B34989" w:rsidRPr="004D0A64" w14:paraId="7074C54F" w14:textId="77777777" w:rsidTr="004D0A64">
        <w:trPr>
          <w:jc w:val="center"/>
        </w:trPr>
        <w:tc>
          <w:tcPr>
            <w:tcW w:w="1792" w:type="pct"/>
            <w:vMerge/>
            <w:vAlign w:val="center"/>
          </w:tcPr>
          <w:p w14:paraId="55F7105A" w14:textId="77777777" w:rsidR="00B34989" w:rsidRPr="004D0A64" w:rsidRDefault="00B34989" w:rsidP="00E71B1D">
            <w:pPr>
              <w:rPr>
                <w:rFonts w:cs="Times New Roman"/>
                <w:sz w:val="21"/>
                <w:szCs w:val="21"/>
              </w:rPr>
            </w:pPr>
          </w:p>
        </w:tc>
        <w:tc>
          <w:tcPr>
            <w:tcW w:w="1796" w:type="pct"/>
            <w:vAlign w:val="center"/>
          </w:tcPr>
          <w:p w14:paraId="023B3753"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Less than 1 year</w:t>
            </w:r>
          </w:p>
        </w:tc>
        <w:tc>
          <w:tcPr>
            <w:tcW w:w="353" w:type="pct"/>
            <w:vAlign w:val="center"/>
          </w:tcPr>
          <w:p w14:paraId="34C60A79" w14:textId="6D372611"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2C8C9AF4" w14:textId="77BC428C"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292148B3" w14:textId="0C51F61D"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7CEECE7E"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4D0A64" w:rsidRPr="004D0A64" w14:paraId="13AAAA4A" w14:textId="77777777" w:rsidTr="004D0A64">
        <w:trPr>
          <w:jc w:val="center"/>
        </w:trPr>
        <w:tc>
          <w:tcPr>
            <w:tcW w:w="1792" w:type="pct"/>
            <w:vMerge w:val="restart"/>
            <w:shd w:val="clear" w:color="auto" w:fill="D9D9D9" w:themeFill="background1" w:themeFillShade="D9"/>
            <w:vAlign w:val="center"/>
          </w:tcPr>
          <w:p w14:paraId="4AC26C8C"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Long-term investment</w:t>
            </w:r>
          </w:p>
        </w:tc>
        <w:tc>
          <w:tcPr>
            <w:tcW w:w="1796" w:type="pct"/>
            <w:shd w:val="clear" w:color="auto" w:fill="D9D9D9" w:themeFill="background1" w:themeFillShade="D9"/>
            <w:vAlign w:val="center"/>
          </w:tcPr>
          <w:p w14:paraId="1FCB12A6"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2 or more years</w:t>
            </w:r>
          </w:p>
        </w:tc>
        <w:tc>
          <w:tcPr>
            <w:tcW w:w="353" w:type="pct"/>
            <w:shd w:val="clear" w:color="auto" w:fill="D9D9D9" w:themeFill="background1" w:themeFillShade="D9"/>
            <w:vAlign w:val="center"/>
          </w:tcPr>
          <w:p w14:paraId="4C973156"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5F4C9193"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17798C5F" w14:textId="3F5B76C0"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2D0AD56E" w14:textId="32E770C7" w:rsidR="00B34989" w:rsidRPr="004D0A64" w:rsidRDefault="00B34989" w:rsidP="00EA1735">
            <w:pPr>
              <w:jc w:val="center"/>
              <w:rPr>
                <w:rFonts w:eastAsia="Calibri" w:cs="Times New Roman"/>
                <w:color w:val="000000" w:themeColor="text1"/>
                <w:sz w:val="21"/>
                <w:szCs w:val="21"/>
              </w:rPr>
            </w:pPr>
          </w:p>
        </w:tc>
      </w:tr>
      <w:tr w:rsidR="004D0A64" w:rsidRPr="004D0A64" w14:paraId="69A0A110" w14:textId="77777777" w:rsidTr="004D0A64">
        <w:trPr>
          <w:jc w:val="center"/>
        </w:trPr>
        <w:tc>
          <w:tcPr>
            <w:tcW w:w="1792" w:type="pct"/>
            <w:vMerge/>
            <w:shd w:val="clear" w:color="auto" w:fill="D9D9D9" w:themeFill="background1" w:themeFillShade="D9"/>
            <w:vAlign w:val="center"/>
          </w:tcPr>
          <w:p w14:paraId="15539DBF"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43D75917"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Less than 2 years</w:t>
            </w:r>
          </w:p>
        </w:tc>
        <w:tc>
          <w:tcPr>
            <w:tcW w:w="353" w:type="pct"/>
            <w:shd w:val="clear" w:color="auto" w:fill="D9D9D9" w:themeFill="background1" w:themeFillShade="D9"/>
            <w:vAlign w:val="center"/>
          </w:tcPr>
          <w:p w14:paraId="3781A3BE" w14:textId="73DE51A4"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03738871" w14:textId="32EEE821"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0246176B"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55FD1878"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7A3151BA" w14:textId="77777777" w:rsidTr="004D0A64">
        <w:trPr>
          <w:jc w:val="center"/>
        </w:trPr>
        <w:tc>
          <w:tcPr>
            <w:tcW w:w="1792" w:type="pct"/>
            <w:vMerge w:val="restart"/>
            <w:vAlign w:val="center"/>
          </w:tcPr>
          <w:p w14:paraId="524FE21D"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Significance of Project</w:t>
            </w:r>
          </w:p>
        </w:tc>
        <w:tc>
          <w:tcPr>
            <w:tcW w:w="1796" w:type="pct"/>
            <w:vAlign w:val="center"/>
          </w:tcPr>
          <w:p w14:paraId="5DA263AD"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Highly significant</w:t>
            </w:r>
          </w:p>
        </w:tc>
        <w:tc>
          <w:tcPr>
            <w:tcW w:w="353" w:type="pct"/>
            <w:vAlign w:val="center"/>
          </w:tcPr>
          <w:p w14:paraId="39D6C854"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7FD0083E"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6AD92889" w14:textId="124C1507"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27F4ECE8" w14:textId="0BCF7B9F" w:rsidR="00B34989" w:rsidRPr="004D0A64" w:rsidRDefault="00B34989" w:rsidP="00EA1735">
            <w:pPr>
              <w:jc w:val="center"/>
              <w:rPr>
                <w:rFonts w:eastAsia="Calibri" w:cs="Times New Roman"/>
                <w:color w:val="000000" w:themeColor="text1"/>
                <w:sz w:val="21"/>
                <w:szCs w:val="21"/>
              </w:rPr>
            </w:pPr>
          </w:p>
        </w:tc>
      </w:tr>
      <w:tr w:rsidR="00B34989" w:rsidRPr="004D0A64" w14:paraId="5B3D015F" w14:textId="77777777" w:rsidTr="004D0A64">
        <w:trPr>
          <w:jc w:val="center"/>
        </w:trPr>
        <w:tc>
          <w:tcPr>
            <w:tcW w:w="1792" w:type="pct"/>
            <w:vMerge/>
            <w:vAlign w:val="center"/>
          </w:tcPr>
          <w:p w14:paraId="5119376B" w14:textId="77777777" w:rsidR="00B34989" w:rsidRPr="004D0A64" w:rsidRDefault="00B34989" w:rsidP="00E71B1D">
            <w:pPr>
              <w:rPr>
                <w:rFonts w:cs="Times New Roman"/>
                <w:sz w:val="21"/>
                <w:szCs w:val="21"/>
              </w:rPr>
            </w:pPr>
          </w:p>
        </w:tc>
        <w:tc>
          <w:tcPr>
            <w:tcW w:w="1796" w:type="pct"/>
            <w:vAlign w:val="center"/>
          </w:tcPr>
          <w:p w14:paraId="4F6FDE9C"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Not significant</w:t>
            </w:r>
          </w:p>
        </w:tc>
        <w:tc>
          <w:tcPr>
            <w:tcW w:w="353" w:type="pct"/>
            <w:vAlign w:val="center"/>
          </w:tcPr>
          <w:p w14:paraId="11BBDF3E" w14:textId="31C64094"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6F6FF575" w14:textId="1DA841FD"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35288297"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6E26A2B6"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4D0A64" w:rsidRPr="004D0A64" w14:paraId="5BCF8912" w14:textId="77777777" w:rsidTr="004D0A64">
        <w:trPr>
          <w:jc w:val="center"/>
        </w:trPr>
        <w:tc>
          <w:tcPr>
            <w:tcW w:w="1792" w:type="pct"/>
            <w:vMerge w:val="restart"/>
            <w:shd w:val="clear" w:color="auto" w:fill="D9D9D9" w:themeFill="background1" w:themeFillShade="D9"/>
            <w:vAlign w:val="center"/>
          </w:tcPr>
          <w:p w14:paraId="4E6A9106"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Prone to Start Time Delay</w:t>
            </w:r>
          </w:p>
        </w:tc>
        <w:tc>
          <w:tcPr>
            <w:tcW w:w="1796" w:type="pct"/>
            <w:shd w:val="clear" w:color="auto" w:fill="D9D9D9" w:themeFill="background1" w:themeFillShade="D9"/>
            <w:vAlign w:val="center"/>
          </w:tcPr>
          <w:p w14:paraId="694A6227"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Start time delay likely</w:t>
            </w:r>
          </w:p>
        </w:tc>
        <w:tc>
          <w:tcPr>
            <w:tcW w:w="353" w:type="pct"/>
            <w:shd w:val="clear" w:color="auto" w:fill="D9D9D9" w:themeFill="background1" w:themeFillShade="D9"/>
            <w:vAlign w:val="center"/>
          </w:tcPr>
          <w:p w14:paraId="65A45D3D" w14:textId="5AF840AE"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6D99DCA7" w14:textId="00D62EC7"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42B2D74C"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61FA5659" w14:textId="33CD3A6C" w:rsidR="00B34989" w:rsidRPr="004D0A64" w:rsidRDefault="00B34989" w:rsidP="00EA1735">
            <w:pPr>
              <w:jc w:val="center"/>
              <w:rPr>
                <w:rFonts w:eastAsia="Calibri" w:cs="Times New Roman"/>
                <w:color w:val="000000" w:themeColor="text1"/>
                <w:sz w:val="21"/>
                <w:szCs w:val="21"/>
              </w:rPr>
            </w:pPr>
          </w:p>
        </w:tc>
      </w:tr>
      <w:tr w:rsidR="004D0A64" w:rsidRPr="004D0A64" w14:paraId="49EF4A69" w14:textId="77777777" w:rsidTr="004D0A64">
        <w:trPr>
          <w:jc w:val="center"/>
        </w:trPr>
        <w:tc>
          <w:tcPr>
            <w:tcW w:w="1792" w:type="pct"/>
            <w:vMerge/>
            <w:shd w:val="clear" w:color="auto" w:fill="D9D9D9" w:themeFill="background1" w:themeFillShade="D9"/>
            <w:vAlign w:val="center"/>
          </w:tcPr>
          <w:p w14:paraId="43CA513A"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439B082B"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Start time delay unlikely</w:t>
            </w:r>
          </w:p>
        </w:tc>
        <w:tc>
          <w:tcPr>
            <w:tcW w:w="353" w:type="pct"/>
            <w:shd w:val="clear" w:color="auto" w:fill="D9D9D9" w:themeFill="background1" w:themeFillShade="D9"/>
            <w:vAlign w:val="center"/>
          </w:tcPr>
          <w:p w14:paraId="2D953B41"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510EFA17"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469D1727" w14:textId="63470891"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138E01FF"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625585C5" w14:textId="77777777" w:rsidTr="004D0A64">
        <w:trPr>
          <w:jc w:val="center"/>
        </w:trPr>
        <w:tc>
          <w:tcPr>
            <w:tcW w:w="1792" w:type="pct"/>
            <w:vMerge w:val="restart"/>
            <w:vAlign w:val="center"/>
          </w:tcPr>
          <w:p w14:paraId="7C066F83"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Prone to Duration delay</w:t>
            </w:r>
          </w:p>
        </w:tc>
        <w:tc>
          <w:tcPr>
            <w:tcW w:w="1796" w:type="pct"/>
            <w:vAlign w:val="center"/>
          </w:tcPr>
          <w:p w14:paraId="1DF0FED6"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Duration delay likely</w:t>
            </w:r>
          </w:p>
        </w:tc>
        <w:tc>
          <w:tcPr>
            <w:tcW w:w="353" w:type="pct"/>
            <w:vAlign w:val="center"/>
          </w:tcPr>
          <w:p w14:paraId="416D102A" w14:textId="37208505"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1011EC7C" w14:textId="759BE6FB"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1AAA00A1" w14:textId="78F92709"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06E6E115"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496E9175" w14:textId="77777777" w:rsidTr="004D0A64">
        <w:trPr>
          <w:jc w:val="center"/>
        </w:trPr>
        <w:tc>
          <w:tcPr>
            <w:tcW w:w="1792" w:type="pct"/>
            <w:vMerge/>
            <w:vAlign w:val="center"/>
          </w:tcPr>
          <w:p w14:paraId="05F9B7AD" w14:textId="77777777" w:rsidR="00B34989" w:rsidRPr="004D0A64" w:rsidRDefault="00B34989" w:rsidP="00E71B1D">
            <w:pPr>
              <w:rPr>
                <w:rFonts w:cs="Times New Roman"/>
                <w:sz w:val="21"/>
                <w:szCs w:val="21"/>
              </w:rPr>
            </w:pPr>
          </w:p>
        </w:tc>
        <w:tc>
          <w:tcPr>
            <w:tcW w:w="1796" w:type="pct"/>
            <w:vAlign w:val="center"/>
          </w:tcPr>
          <w:p w14:paraId="58082AE8"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Duration delay unlikely</w:t>
            </w:r>
          </w:p>
        </w:tc>
        <w:tc>
          <w:tcPr>
            <w:tcW w:w="353" w:type="pct"/>
            <w:vAlign w:val="center"/>
          </w:tcPr>
          <w:p w14:paraId="4C62F5ED"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0B81514E"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7B18C665"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007FFF37" w14:textId="095B8E37" w:rsidR="00B34989" w:rsidRPr="004D0A64" w:rsidRDefault="00B34989" w:rsidP="00EA1735">
            <w:pPr>
              <w:jc w:val="center"/>
              <w:rPr>
                <w:rFonts w:eastAsia="Calibri" w:cs="Times New Roman"/>
                <w:color w:val="000000" w:themeColor="text1"/>
                <w:sz w:val="21"/>
                <w:szCs w:val="21"/>
              </w:rPr>
            </w:pPr>
          </w:p>
        </w:tc>
      </w:tr>
      <w:tr w:rsidR="004D0A64" w:rsidRPr="004D0A64" w14:paraId="739027DB" w14:textId="77777777" w:rsidTr="004D0A64">
        <w:trPr>
          <w:jc w:val="center"/>
        </w:trPr>
        <w:tc>
          <w:tcPr>
            <w:tcW w:w="1792" w:type="pct"/>
            <w:vMerge w:val="restart"/>
            <w:shd w:val="clear" w:color="auto" w:fill="D9D9D9" w:themeFill="background1" w:themeFillShade="D9"/>
            <w:vAlign w:val="center"/>
          </w:tcPr>
          <w:p w14:paraId="31CF235A"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Innovative Construction or Delivery Methods</w:t>
            </w:r>
          </w:p>
        </w:tc>
        <w:tc>
          <w:tcPr>
            <w:tcW w:w="1796" w:type="pct"/>
            <w:shd w:val="clear" w:color="auto" w:fill="D9D9D9" w:themeFill="background1" w:themeFillShade="D9"/>
            <w:vAlign w:val="center"/>
          </w:tcPr>
          <w:p w14:paraId="728BFD92"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Yes</w:t>
            </w:r>
          </w:p>
        </w:tc>
        <w:tc>
          <w:tcPr>
            <w:tcW w:w="353" w:type="pct"/>
            <w:shd w:val="clear" w:color="auto" w:fill="D9D9D9" w:themeFill="background1" w:themeFillShade="D9"/>
            <w:vAlign w:val="center"/>
          </w:tcPr>
          <w:p w14:paraId="7F8BCDFC" w14:textId="186B96E5"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16A37CE"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52EBAC08" w14:textId="72888A88"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63392B6" w14:textId="7B377E36" w:rsidR="00B34989" w:rsidRPr="004D0A64" w:rsidRDefault="00B34989" w:rsidP="00EA1735">
            <w:pPr>
              <w:jc w:val="center"/>
              <w:rPr>
                <w:rFonts w:eastAsia="Calibri" w:cs="Times New Roman"/>
                <w:color w:val="000000" w:themeColor="text1"/>
                <w:sz w:val="21"/>
                <w:szCs w:val="21"/>
              </w:rPr>
            </w:pPr>
          </w:p>
        </w:tc>
      </w:tr>
      <w:tr w:rsidR="004D0A64" w:rsidRPr="004D0A64" w14:paraId="477980C5" w14:textId="77777777" w:rsidTr="004D0A64">
        <w:trPr>
          <w:jc w:val="center"/>
        </w:trPr>
        <w:tc>
          <w:tcPr>
            <w:tcW w:w="1792" w:type="pct"/>
            <w:vMerge/>
            <w:shd w:val="clear" w:color="auto" w:fill="D9D9D9" w:themeFill="background1" w:themeFillShade="D9"/>
            <w:vAlign w:val="center"/>
          </w:tcPr>
          <w:p w14:paraId="7C55F14B"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0816CA74"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No</w:t>
            </w:r>
          </w:p>
        </w:tc>
        <w:tc>
          <w:tcPr>
            <w:tcW w:w="353" w:type="pct"/>
            <w:shd w:val="clear" w:color="auto" w:fill="D9D9D9" w:themeFill="background1" w:themeFillShade="D9"/>
            <w:vAlign w:val="center"/>
          </w:tcPr>
          <w:p w14:paraId="6D616F86"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4E004809" w14:textId="1AF1D2BC"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7BD871E2"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3995EB88"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3178059C" w14:textId="77777777" w:rsidTr="004D0A64">
        <w:trPr>
          <w:jc w:val="center"/>
        </w:trPr>
        <w:tc>
          <w:tcPr>
            <w:tcW w:w="1792" w:type="pct"/>
            <w:vMerge w:val="restart"/>
            <w:vAlign w:val="center"/>
          </w:tcPr>
          <w:p w14:paraId="1B4DE088"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Location: Urban or Suburban</w:t>
            </w:r>
          </w:p>
        </w:tc>
        <w:tc>
          <w:tcPr>
            <w:tcW w:w="1796" w:type="pct"/>
            <w:vAlign w:val="center"/>
          </w:tcPr>
          <w:p w14:paraId="15AB8884"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Urban</w:t>
            </w:r>
          </w:p>
        </w:tc>
        <w:tc>
          <w:tcPr>
            <w:tcW w:w="353" w:type="pct"/>
            <w:vAlign w:val="center"/>
          </w:tcPr>
          <w:p w14:paraId="70A0F1E3"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696C8BAC"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04372938" w14:textId="4A2E262D"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5334F3C1" w14:textId="677B68CF" w:rsidR="00B34989" w:rsidRPr="004D0A64" w:rsidRDefault="00B34989" w:rsidP="00EA1735">
            <w:pPr>
              <w:jc w:val="center"/>
              <w:rPr>
                <w:rFonts w:eastAsia="Calibri" w:cs="Times New Roman"/>
                <w:color w:val="000000" w:themeColor="text1"/>
                <w:sz w:val="21"/>
                <w:szCs w:val="21"/>
              </w:rPr>
            </w:pPr>
          </w:p>
        </w:tc>
      </w:tr>
      <w:tr w:rsidR="00B34989" w:rsidRPr="004D0A64" w14:paraId="350EC0D9" w14:textId="77777777" w:rsidTr="004D0A64">
        <w:trPr>
          <w:jc w:val="center"/>
        </w:trPr>
        <w:tc>
          <w:tcPr>
            <w:tcW w:w="1792" w:type="pct"/>
            <w:vMerge/>
            <w:vAlign w:val="center"/>
          </w:tcPr>
          <w:p w14:paraId="647C0AFC" w14:textId="77777777" w:rsidR="00B34989" w:rsidRPr="004D0A64" w:rsidRDefault="00B34989" w:rsidP="00E71B1D">
            <w:pPr>
              <w:rPr>
                <w:rFonts w:cs="Times New Roman"/>
                <w:sz w:val="21"/>
                <w:szCs w:val="21"/>
              </w:rPr>
            </w:pPr>
          </w:p>
        </w:tc>
        <w:tc>
          <w:tcPr>
            <w:tcW w:w="1796" w:type="pct"/>
            <w:vAlign w:val="center"/>
          </w:tcPr>
          <w:p w14:paraId="05BE532C"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Suburban</w:t>
            </w:r>
          </w:p>
        </w:tc>
        <w:tc>
          <w:tcPr>
            <w:tcW w:w="353" w:type="pct"/>
            <w:vAlign w:val="center"/>
          </w:tcPr>
          <w:p w14:paraId="7189687E" w14:textId="0470AC96"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3F7A9BBD" w14:textId="7199B2BB" w:rsidR="00B34989" w:rsidRPr="004D0A64" w:rsidRDefault="00B34989" w:rsidP="00EA1735">
            <w:pPr>
              <w:jc w:val="center"/>
              <w:rPr>
                <w:rFonts w:eastAsia="Calibri" w:cs="Times New Roman"/>
                <w:color w:val="000000" w:themeColor="text1"/>
                <w:sz w:val="21"/>
                <w:szCs w:val="21"/>
              </w:rPr>
            </w:pPr>
          </w:p>
        </w:tc>
        <w:tc>
          <w:tcPr>
            <w:tcW w:w="353" w:type="pct"/>
            <w:vAlign w:val="center"/>
          </w:tcPr>
          <w:p w14:paraId="5DB58623"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17E7DCCF"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4D0A64" w:rsidRPr="004D0A64" w14:paraId="71C177B9" w14:textId="77777777" w:rsidTr="004D0A64">
        <w:trPr>
          <w:jc w:val="center"/>
        </w:trPr>
        <w:tc>
          <w:tcPr>
            <w:tcW w:w="1792" w:type="pct"/>
            <w:vMerge w:val="restart"/>
            <w:shd w:val="clear" w:color="auto" w:fill="D9D9D9" w:themeFill="background1" w:themeFillShade="D9"/>
            <w:vAlign w:val="center"/>
          </w:tcPr>
          <w:p w14:paraId="120921E5"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Sustainability Objectives</w:t>
            </w:r>
          </w:p>
        </w:tc>
        <w:tc>
          <w:tcPr>
            <w:tcW w:w="1796" w:type="pct"/>
            <w:shd w:val="clear" w:color="auto" w:fill="D9D9D9" w:themeFill="background1" w:themeFillShade="D9"/>
            <w:vAlign w:val="center"/>
          </w:tcPr>
          <w:p w14:paraId="03661899"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Yes</w:t>
            </w:r>
          </w:p>
        </w:tc>
        <w:tc>
          <w:tcPr>
            <w:tcW w:w="353" w:type="pct"/>
            <w:shd w:val="clear" w:color="auto" w:fill="D9D9D9" w:themeFill="background1" w:themeFillShade="D9"/>
            <w:vAlign w:val="center"/>
          </w:tcPr>
          <w:p w14:paraId="7ECA6737" w14:textId="306AB1A3"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5E6ADAE"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6DA1BA0F"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706BC716" w14:textId="082D7DE1" w:rsidR="00B34989" w:rsidRPr="004D0A64" w:rsidRDefault="00B34989" w:rsidP="00EA1735">
            <w:pPr>
              <w:jc w:val="center"/>
              <w:rPr>
                <w:rFonts w:eastAsia="Calibri" w:cs="Times New Roman"/>
                <w:color w:val="000000" w:themeColor="text1"/>
                <w:sz w:val="21"/>
                <w:szCs w:val="21"/>
              </w:rPr>
            </w:pPr>
          </w:p>
        </w:tc>
      </w:tr>
      <w:tr w:rsidR="004D0A64" w:rsidRPr="004D0A64" w14:paraId="2BD5F246" w14:textId="77777777" w:rsidTr="004D0A64">
        <w:trPr>
          <w:jc w:val="center"/>
        </w:trPr>
        <w:tc>
          <w:tcPr>
            <w:tcW w:w="1792" w:type="pct"/>
            <w:vMerge/>
            <w:shd w:val="clear" w:color="auto" w:fill="D9D9D9" w:themeFill="background1" w:themeFillShade="D9"/>
            <w:vAlign w:val="center"/>
          </w:tcPr>
          <w:p w14:paraId="261AE13B"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703F52FF"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No</w:t>
            </w:r>
          </w:p>
        </w:tc>
        <w:tc>
          <w:tcPr>
            <w:tcW w:w="353" w:type="pct"/>
            <w:shd w:val="clear" w:color="auto" w:fill="D9D9D9" w:themeFill="background1" w:themeFillShade="D9"/>
            <w:vAlign w:val="center"/>
          </w:tcPr>
          <w:p w14:paraId="485FF42D"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24273FC9" w14:textId="5442D50A"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10C6C8E8" w14:textId="22F3B23B"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5161950"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tr w:rsidR="00B34989" w:rsidRPr="004D0A64" w14:paraId="54FD3AD1" w14:textId="77777777" w:rsidTr="004D0A64">
        <w:trPr>
          <w:jc w:val="center"/>
        </w:trPr>
        <w:tc>
          <w:tcPr>
            <w:tcW w:w="1792" w:type="pct"/>
            <w:vMerge w:val="restart"/>
            <w:vAlign w:val="center"/>
          </w:tcPr>
          <w:p w14:paraId="49BC2399"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Equity Objectives</w:t>
            </w:r>
          </w:p>
        </w:tc>
        <w:tc>
          <w:tcPr>
            <w:tcW w:w="1796" w:type="pct"/>
            <w:vAlign w:val="center"/>
          </w:tcPr>
          <w:p w14:paraId="51AE78F3" w14:textId="77777777" w:rsidR="00B34989" w:rsidRPr="004D0A64" w:rsidRDefault="00B34989" w:rsidP="00E71B1D">
            <w:pPr>
              <w:rPr>
                <w:rFonts w:eastAsia="Calibri"/>
                <w:color w:val="000000" w:themeColor="text1"/>
                <w:sz w:val="21"/>
                <w:szCs w:val="21"/>
              </w:rPr>
            </w:pPr>
            <w:r w:rsidRPr="004D0A64">
              <w:rPr>
                <w:rFonts w:eastAsia="Calibri"/>
                <w:color w:val="000000" w:themeColor="text1"/>
                <w:sz w:val="21"/>
                <w:szCs w:val="21"/>
              </w:rPr>
              <w:t>Yes</w:t>
            </w:r>
          </w:p>
        </w:tc>
        <w:tc>
          <w:tcPr>
            <w:tcW w:w="353" w:type="pct"/>
            <w:vAlign w:val="center"/>
          </w:tcPr>
          <w:p w14:paraId="2D62F059" w14:textId="77777777" w:rsidR="00B34989" w:rsidRPr="004D0A64" w:rsidRDefault="00B34989" w:rsidP="00EA1735">
            <w:pPr>
              <w:jc w:val="center"/>
              <w:rPr>
                <w:rFonts w:eastAsia="Calibri"/>
                <w:color w:val="000000" w:themeColor="text1"/>
                <w:sz w:val="21"/>
                <w:szCs w:val="21"/>
              </w:rPr>
            </w:pPr>
          </w:p>
        </w:tc>
        <w:tc>
          <w:tcPr>
            <w:tcW w:w="353" w:type="pct"/>
            <w:vAlign w:val="center"/>
          </w:tcPr>
          <w:p w14:paraId="47AB59A7"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139B34E9" w14:textId="77777777" w:rsidR="00B34989" w:rsidRPr="004D0A64" w:rsidRDefault="00B34989" w:rsidP="00EA1735">
            <w:pPr>
              <w:jc w:val="center"/>
              <w:rPr>
                <w:rFonts w:eastAsia="Calibri"/>
                <w:color w:val="000000" w:themeColor="text1"/>
                <w:sz w:val="21"/>
                <w:szCs w:val="21"/>
              </w:rPr>
            </w:pPr>
            <w:r w:rsidRPr="004D0A64">
              <w:rPr>
                <w:rFonts w:eastAsia="Calibri"/>
                <w:color w:val="000000" w:themeColor="text1"/>
                <w:sz w:val="21"/>
                <w:szCs w:val="21"/>
              </w:rPr>
              <w:t>x</w:t>
            </w:r>
          </w:p>
        </w:tc>
        <w:tc>
          <w:tcPr>
            <w:tcW w:w="353" w:type="pct"/>
            <w:vAlign w:val="center"/>
          </w:tcPr>
          <w:p w14:paraId="44498EEF" w14:textId="77777777" w:rsidR="00B34989" w:rsidRPr="004D0A64" w:rsidRDefault="00B34989" w:rsidP="00EA1735">
            <w:pPr>
              <w:jc w:val="center"/>
              <w:rPr>
                <w:rFonts w:eastAsia="Calibri"/>
                <w:color w:val="000000" w:themeColor="text1"/>
                <w:sz w:val="21"/>
                <w:szCs w:val="21"/>
              </w:rPr>
            </w:pPr>
            <w:r w:rsidRPr="004D0A64">
              <w:rPr>
                <w:rFonts w:eastAsia="Calibri"/>
                <w:color w:val="000000" w:themeColor="text1"/>
                <w:sz w:val="21"/>
                <w:szCs w:val="21"/>
              </w:rPr>
              <w:t>x</w:t>
            </w:r>
          </w:p>
        </w:tc>
      </w:tr>
      <w:tr w:rsidR="00B34989" w:rsidRPr="004D0A64" w14:paraId="491B4FA1" w14:textId="77777777" w:rsidTr="004D0A64">
        <w:trPr>
          <w:jc w:val="center"/>
        </w:trPr>
        <w:tc>
          <w:tcPr>
            <w:tcW w:w="1792" w:type="pct"/>
            <w:vMerge/>
            <w:vAlign w:val="center"/>
          </w:tcPr>
          <w:p w14:paraId="11C65585" w14:textId="77777777" w:rsidR="00B34989" w:rsidRPr="004D0A64" w:rsidRDefault="00B34989" w:rsidP="00E71B1D">
            <w:pPr>
              <w:rPr>
                <w:sz w:val="21"/>
                <w:szCs w:val="21"/>
              </w:rPr>
            </w:pPr>
          </w:p>
        </w:tc>
        <w:tc>
          <w:tcPr>
            <w:tcW w:w="1796" w:type="pct"/>
            <w:vAlign w:val="center"/>
          </w:tcPr>
          <w:p w14:paraId="00CB90E2" w14:textId="77777777" w:rsidR="00B34989" w:rsidRPr="004D0A64" w:rsidRDefault="00B34989" w:rsidP="00E71B1D">
            <w:pPr>
              <w:rPr>
                <w:rFonts w:eastAsia="Calibri"/>
                <w:color w:val="000000" w:themeColor="text1"/>
                <w:sz w:val="21"/>
                <w:szCs w:val="21"/>
              </w:rPr>
            </w:pPr>
            <w:r w:rsidRPr="004D0A64">
              <w:rPr>
                <w:rFonts w:eastAsia="Calibri"/>
                <w:color w:val="000000" w:themeColor="text1"/>
                <w:sz w:val="21"/>
                <w:szCs w:val="21"/>
              </w:rPr>
              <w:t>No</w:t>
            </w:r>
          </w:p>
        </w:tc>
        <w:tc>
          <w:tcPr>
            <w:tcW w:w="353" w:type="pct"/>
            <w:vAlign w:val="center"/>
          </w:tcPr>
          <w:p w14:paraId="1C81DF1B"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vAlign w:val="center"/>
          </w:tcPr>
          <w:p w14:paraId="3D58E0B5" w14:textId="77777777" w:rsidR="00B34989" w:rsidRPr="004D0A64" w:rsidRDefault="00B34989" w:rsidP="00EA1735">
            <w:pPr>
              <w:jc w:val="center"/>
              <w:rPr>
                <w:rFonts w:eastAsia="Calibri"/>
                <w:color w:val="000000" w:themeColor="text1"/>
                <w:sz w:val="21"/>
                <w:szCs w:val="21"/>
              </w:rPr>
            </w:pPr>
          </w:p>
        </w:tc>
        <w:tc>
          <w:tcPr>
            <w:tcW w:w="353" w:type="pct"/>
            <w:vAlign w:val="center"/>
          </w:tcPr>
          <w:p w14:paraId="15B15331" w14:textId="77777777" w:rsidR="00B34989" w:rsidRPr="004D0A64" w:rsidRDefault="00B34989" w:rsidP="00EA1735">
            <w:pPr>
              <w:jc w:val="center"/>
              <w:rPr>
                <w:rFonts w:eastAsia="Calibri"/>
                <w:color w:val="000000" w:themeColor="text1"/>
                <w:sz w:val="21"/>
                <w:szCs w:val="21"/>
              </w:rPr>
            </w:pPr>
          </w:p>
        </w:tc>
        <w:tc>
          <w:tcPr>
            <w:tcW w:w="353" w:type="pct"/>
            <w:vAlign w:val="center"/>
          </w:tcPr>
          <w:p w14:paraId="4ED128E9" w14:textId="77777777" w:rsidR="00B34989" w:rsidRPr="004D0A64" w:rsidRDefault="00B34989" w:rsidP="00EA1735">
            <w:pPr>
              <w:jc w:val="center"/>
              <w:rPr>
                <w:rFonts w:eastAsia="Calibri"/>
                <w:color w:val="000000" w:themeColor="text1"/>
                <w:sz w:val="21"/>
                <w:szCs w:val="21"/>
              </w:rPr>
            </w:pPr>
          </w:p>
        </w:tc>
      </w:tr>
      <w:tr w:rsidR="004D0A64" w:rsidRPr="004D0A64" w14:paraId="253920CC" w14:textId="77777777" w:rsidTr="004D0A64">
        <w:trPr>
          <w:jc w:val="center"/>
        </w:trPr>
        <w:tc>
          <w:tcPr>
            <w:tcW w:w="1792" w:type="pct"/>
            <w:vMerge w:val="restart"/>
            <w:shd w:val="clear" w:color="auto" w:fill="D9D9D9" w:themeFill="background1" w:themeFillShade="D9"/>
            <w:vAlign w:val="center"/>
          </w:tcPr>
          <w:p w14:paraId="37CABD4A"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Complexity/Experience (level of project team expertise required)</w:t>
            </w:r>
          </w:p>
        </w:tc>
        <w:tc>
          <w:tcPr>
            <w:tcW w:w="1796" w:type="pct"/>
            <w:shd w:val="clear" w:color="auto" w:fill="D9D9D9" w:themeFill="background1" w:themeFillShade="D9"/>
            <w:vAlign w:val="center"/>
          </w:tcPr>
          <w:p w14:paraId="77CC85A3"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Experts</w:t>
            </w:r>
          </w:p>
        </w:tc>
        <w:tc>
          <w:tcPr>
            <w:tcW w:w="353" w:type="pct"/>
            <w:shd w:val="clear" w:color="auto" w:fill="D9D9D9" w:themeFill="background1" w:themeFillShade="D9"/>
            <w:vAlign w:val="center"/>
          </w:tcPr>
          <w:p w14:paraId="7C2FC289"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4F46F994"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70E18DB0" w14:textId="7A0953DA"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18057A7F" w14:textId="52E2CAE7" w:rsidR="00B34989" w:rsidRPr="004D0A64" w:rsidRDefault="00B34989" w:rsidP="00EA1735">
            <w:pPr>
              <w:jc w:val="center"/>
              <w:rPr>
                <w:rFonts w:eastAsia="Calibri" w:cs="Times New Roman"/>
                <w:color w:val="000000" w:themeColor="text1"/>
                <w:sz w:val="21"/>
                <w:szCs w:val="21"/>
              </w:rPr>
            </w:pPr>
          </w:p>
        </w:tc>
      </w:tr>
      <w:tr w:rsidR="004D0A64" w:rsidRPr="004D0A64" w14:paraId="05FEAA9A" w14:textId="77777777" w:rsidTr="004D0A64">
        <w:trPr>
          <w:jc w:val="center"/>
        </w:trPr>
        <w:tc>
          <w:tcPr>
            <w:tcW w:w="1792" w:type="pct"/>
            <w:vMerge/>
            <w:shd w:val="clear" w:color="auto" w:fill="D9D9D9" w:themeFill="background1" w:themeFillShade="D9"/>
            <w:vAlign w:val="center"/>
          </w:tcPr>
          <w:p w14:paraId="1BABF09A"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2E3A0A28"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Some experience</w:t>
            </w:r>
          </w:p>
        </w:tc>
        <w:tc>
          <w:tcPr>
            <w:tcW w:w="353" w:type="pct"/>
            <w:shd w:val="clear" w:color="auto" w:fill="D9D9D9" w:themeFill="background1" w:themeFillShade="D9"/>
            <w:vAlign w:val="center"/>
          </w:tcPr>
          <w:p w14:paraId="03A45B94" w14:textId="618EF1BB"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5359F556" w14:textId="43DC8FC4"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D25C367"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c>
          <w:tcPr>
            <w:tcW w:w="353" w:type="pct"/>
            <w:shd w:val="clear" w:color="auto" w:fill="D9D9D9" w:themeFill="background1" w:themeFillShade="D9"/>
            <w:vAlign w:val="center"/>
          </w:tcPr>
          <w:p w14:paraId="6CC6141E" w14:textId="7F841D34" w:rsidR="00B34989" w:rsidRPr="004D0A64" w:rsidRDefault="00B34989" w:rsidP="00EA1735">
            <w:pPr>
              <w:jc w:val="center"/>
              <w:rPr>
                <w:rFonts w:eastAsia="Calibri" w:cs="Times New Roman"/>
                <w:color w:val="000000" w:themeColor="text1"/>
                <w:sz w:val="21"/>
                <w:szCs w:val="21"/>
              </w:rPr>
            </w:pPr>
          </w:p>
        </w:tc>
      </w:tr>
      <w:tr w:rsidR="004D0A64" w:rsidRPr="004D0A64" w14:paraId="4C08328E" w14:textId="77777777" w:rsidTr="004D0A64">
        <w:trPr>
          <w:jc w:val="center"/>
        </w:trPr>
        <w:tc>
          <w:tcPr>
            <w:tcW w:w="1792" w:type="pct"/>
            <w:vMerge/>
            <w:shd w:val="clear" w:color="auto" w:fill="D9D9D9" w:themeFill="background1" w:themeFillShade="D9"/>
            <w:vAlign w:val="center"/>
          </w:tcPr>
          <w:p w14:paraId="15E39869" w14:textId="77777777" w:rsidR="00B34989" w:rsidRPr="004D0A64" w:rsidRDefault="00B34989" w:rsidP="00E71B1D">
            <w:pPr>
              <w:rPr>
                <w:rFonts w:cs="Times New Roman"/>
                <w:sz w:val="21"/>
                <w:szCs w:val="21"/>
              </w:rPr>
            </w:pPr>
          </w:p>
        </w:tc>
        <w:tc>
          <w:tcPr>
            <w:tcW w:w="1796" w:type="pct"/>
            <w:shd w:val="clear" w:color="auto" w:fill="D9D9D9" w:themeFill="background1" w:themeFillShade="D9"/>
            <w:vAlign w:val="center"/>
          </w:tcPr>
          <w:p w14:paraId="575AAC0A" w14:textId="77777777" w:rsidR="00B34989" w:rsidRPr="004D0A64" w:rsidRDefault="00B34989" w:rsidP="00E71B1D">
            <w:pPr>
              <w:rPr>
                <w:rFonts w:eastAsia="Calibri" w:cs="Times New Roman"/>
                <w:color w:val="000000" w:themeColor="text1"/>
                <w:sz w:val="21"/>
                <w:szCs w:val="21"/>
              </w:rPr>
            </w:pPr>
            <w:r w:rsidRPr="004D0A64">
              <w:rPr>
                <w:rFonts w:eastAsia="Calibri" w:cs="Times New Roman"/>
                <w:color w:val="000000" w:themeColor="text1"/>
                <w:sz w:val="21"/>
                <w:szCs w:val="21"/>
              </w:rPr>
              <w:t>No experience</w:t>
            </w:r>
          </w:p>
        </w:tc>
        <w:tc>
          <w:tcPr>
            <w:tcW w:w="353" w:type="pct"/>
            <w:shd w:val="clear" w:color="auto" w:fill="D9D9D9" w:themeFill="background1" w:themeFillShade="D9"/>
            <w:vAlign w:val="center"/>
          </w:tcPr>
          <w:p w14:paraId="4C86E8CE" w14:textId="0A614D47"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6E9DF343" w14:textId="51DE5A29"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3C8A35AB" w14:textId="5A35A7AA" w:rsidR="00B34989" w:rsidRPr="004D0A64" w:rsidRDefault="00B34989" w:rsidP="00EA1735">
            <w:pPr>
              <w:jc w:val="center"/>
              <w:rPr>
                <w:rFonts w:eastAsia="Calibri" w:cs="Times New Roman"/>
                <w:color w:val="000000" w:themeColor="text1"/>
                <w:sz w:val="21"/>
                <w:szCs w:val="21"/>
              </w:rPr>
            </w:pPr>
          </w:p>
        </w:tc>
        <w:tc>
          <w:tcPr>
            <w:tcW w:w="353" w:type="pct"/>
            <w:shd w:val="clear" w:color="auto" w:fill="D9D9D9" w:themeFill="background1" w:themeFillShade="D9"/>
            <w:vAlign w:val="center"/>
          </w:tcPr>
          <w:p w14:paraId="1D39C35B" w14:textId="77777777" w:rsidR="00B34989" w:rsidRPr="004D0A64" w:rsidRDefault="00B34989" w:rsidP="00EA1735">
            <w:pPr>
              <w:jc w:val="center"/>
              <w:rPr>
                <w:rFonts w:eastAsia="Calibri" w:cs="Times New Roman"/>
                <w:color w:val="000000" w:themeColor="text1"/>
                <w:sz w:val="21"/>
                <w:szCs w:val="21"/>
              </w:rPr>
            </w:pPr>
            <w:r w:rsidRPr="004D0A64">
              <w:rPr>
                <w:rFonts w:eastAsia="Calibri" w:cs="Times New Roman"/>
                <w:color w:val="000000" w:themeColor="text1"/>
                <w:sz w:val="21"/>
                <w:szCs w:val="21"/>
              </w:rPr>
              <w:t>x</w:t>
            </w:r>
          </w:p>
        </w:tc>
      </w:tr>
      <w:bookmarkEnd w:id="46"/>
    </w:tbl>
    <w:p w14:paraId="718849C6" w14:textId="77777777" w:rsidR="00B34989" w:rsidRPr="00B34989" w:rsidRDefault="00B34989" w:rsidP="00807DF8">
      <w:pPr>
        <w:spacing w:after="0" w:line="240" w:lineRule="auto"/>
        <w:jc w:val="both"/>
      </w:pPr>
    </w:p>
    <w:p w14:paraId="67DC74D0" w14:textId="4623C4CD" w:rsidR="00220F9F" w:rsidRPr="00220F9F" w:rsidRDefault="008C5488" w:rsidP="00807DF8">
      <w:pPr>
        <w:spacing w:after="0"/>
        <w:jc w:val="both"/>
        <w:rPr>
          <w:szCs w:val="20"/>
        </w:rPr>
      </w:pPr>
      <w:r>
        <w:rPr>
          <w:rFonts w:cs="Times New Roman"/>
        </w:rPr>
        <w:tab/>
      </w:r>
      <w:r w:rsidR="00220F9F" w:rsidRPr="00807DF8">
        <w:rPr>
          <w:rFonts w:cs="Times New Roman"/>
          <w:szCs w:val="20"/>
        </w:rPr>
        <w:t xml:space="preserve">For each project profile, the </w:t>
      </w:r>
      <w:r w:rsidR="00EA1735">
        <w:rPr>
          <w:rFonts w:cs="Times New Roman"/>
          <w:szCs w:val="20"/>
        </w:rPr>
        <w:t>PCS</w:t>
      </w:r>
      <w:r w:rsidR="00220F9F" w:rsidRPr="00807DF8">
        <w:rPr>
          <w:rFonts w:cs="Times New Roman"/>
          <w:szCs w:val="20"/>
        </w:rPr>
        <w:t xml:space="preserve"> are calculated based on the relevant answers. Then</w:t>
      </w:r>
      <w:r w:rsidR="00AF400D">
        <w:rPr>
          <w:rFonts w:cs="Times New Roman"/>
          <w:szCs w:val="20"/>
        </w:rPr>
        <w:t>,</w:t>
      </w:r>
      <w:r w:rsidR="00220F9F" w:rsidRPr="00807DF8">
        <w:rPr>
          <w:rFonts w:cs="Times New Roman"/>
          <w:szCs w:val="20"/>
        </w:rPr>
        <w:t xml:space="preserve"> each criterion’s importance is specified based on the experience of the research team and the literature. Consequently, each of the seven project characteristics will have importance scores for each of the eleven decision criteria. Ultimately, four matrices that show the </w:t>
      </w:r>
      <w:r w:rsidR="00BB6D41" w:rsidRPr="00807DF8">
        <w:rPr>
          <w:rFonts w:cs="Times New Roman"/>
          <w:szCs w:val="20"/>
          <w:u w:val="single"/>
        </w:rPr>
        <w:t>reference decision criteria score</w:t>
      </w:r>
      <w:r w:rsidR="00BB6D41" w:rsidRPr="00807DF8">
        <w:rPr>
          <w:rFonts w:cs="Times New Roman"/>
          <w:szCs w:val="20"/>
        </w:rPr>
        <w:t xml:space="preserve"> </w:t>
      </w:r>
      <w:r w:rsidR="009C7BD1" w:rsidRPr="00807DF8">
        <w:rPr>
          <w:rFonts w:eastAsia="Times New Roman" w:cs="Times New Roman"/>
          <w:color w:val="000000" w:themeColor="text1"/>
          <w:szCs w:val="20"/>
        </w:rPr>
        <w:t>(</w:t>
      </w:r>
      <w:r w:rsidR="009C7BD1" w:rsidRPr="00807DF8">
        <w:rPr>
          <w:rFonts w:eastAsia="Times New Roman" w:cs="Times New Roman"/>
          <w:szCs w:val="20"/>
        </w:rPr>
        <w:t xml:space="preserve">the bottom oval </w:t>
      </w:r>
      <w:r w:rsidR="009C7BD1" w:rsidRPr="00807DF8">
        <w:rPr>
          <w:rFonts w:cs="Times New Roman"/>
        </w:rPr>
        <w:t xml:space="preserve">within the </w:t>
      </w:r>
      <w:r w:rsidR="00E850DA">
        <w:rPr>
          <w:rFonts w:cs="Times New Roman"/>
        </w:rPr>
        <w:t>“P</w:t>
      </w:r>
      <w:r w:rsidR="009C7BD1" w:rsidRPr="00807DF8">
        <w:rPr>
          <w:rFonts w:cs="Times New Roman"/>
        </w:rPr>
        <w:t xml:space="preserve">roject </w:t>
      </w:r>
      <w:r w:rsidR="00E850DA">
        <w:rPr>
          <w:rFonts w:cs="Times New Roman"/>
        </w:rPr>
        <w:t>C</w:t>
      </w:r>
      <w:r w:rsidR="009C7BD1" w:rsidRPr="00807DF8">
        <w:rPr>
          <w:rFonts w:cs="Times New Roman"/>
        </w:rPr>
        <w:t>harac</w:t>
      </w:r>
      <w:r w:rsidRPr="008C5488">
        <w:rPr>
          <w:rFonts w:cs="Times New Roman"/>
        </w:rPr>
        <w:t>t</w:t>
      </w:r>
      <w:r w:rsidR="009C7BD1" w:rsidRPr="00807DF8">
        <w:rPr>
          <w:rFonts w:cs="Times New Roman"/>
        </w:rPr>
        <w:t>eristics</w:t>
      </w:r>
      <w:r w:rsidR="00E850DA">
        <w:rPr>
          <w:rFonts w:cs="Times New Roman"/>
        </w:rPr>
        <w:t>”</w:t>
      </w:r>
      <w:r w:rsidR="009C7BD1" w:rsidRPr="00807DF8">
        <w:rPr>
          <w:rFonts w:cs="Times New Roman"/>
        </w:rPr>
        <w:t xml:space="preserve"> block of</w:t>
      </w:r>
      <w:r w:rsidR="009747DE">
        <w:rPr>
          <w:rFonts w:cs="Times New Roman"/>
        </w:rPr>
        <w:t xml:space="preserve"> </w:t>
      </w:r>
      <w:r w:rsidR="009747DE" w:rsidRPr="009747DE">
        <w:rPr>
          <w:rFonts w:cs="Times New Roman"/>
          <w:b/>
        </w:rPr>
        <w:t>Figure 1</w:t>
      </w:r>
      <w:r w:rsidR="009C7BD1" w:rsidRPr="00807DF8">
        <w:rPr>
          <w:rFonts w:eastAsia="Times New Roman" w:cs="Times New Roman"/>
          <w:color w:val="000000" w:themeColor="text1"/>
          <w:szCs w:val="20"/>
        </w:rPr>
        <w:t xml:space="preserve">) </w:t>
      </w:r>
      <w:r w:rsidR="009C7BD1" w:rsidRPr="00807DF8">
        <w:rPr>
          <w:rFonts w:cs="Times New Roman"/>
          <w:szCs w:val="20"/>
        </w:rPr>
        <w:t>for each</w:t>
      </w:r>
      <w:r w:rsidR="00220F9F" w:rsidRPr="00807DF8">
        <w:rPr>
          <w:rFonts w:cs="Times New Roman"/>
          <w:szCs w:val="20"/>
        </w:rPr>
        <w:t xml:space="preserve"> project profile are determined. </w:t>
      </w:r>
      <w:r w:rsidR="009747DE" w:rsidRPr="009747DE">
        <w:rPr>
          <w:rFonts w:cs="Times New Roman"/>
          <w:b/>
          <w:szCs w:val="20"/>
        </w:rPr>
        <w:t>Tab</w:t>
      </w:r>
      <w:r w:rsidR="009747DE">
        <w:rPr>
          <w:rFonts w:cs="Times New Roman"/>
          <w:b/>
          <w:szCs w:val="20"/>
        </w:rPr>
        <w:t>l</w:t>
      </w:r>
      <w:r w:rsidR="009747DE" w:rsidRPr="009747DE">
        <w:rPr>
          <w:rFonts w:cs="Times New Roman"/>
          <w:b/>
          <w:szCs w:val="20"/>
        </w:rPr>
        <w:t>e 4</w:t>
      </w:r>
      <w:r w:rsidR="009747DE">
        <w:rPr>
          <w:rFonts w:cs="Times New Roman"/>
          <w:szCs w:val="20"/>
        </w:rPr>
        <w:t xml:space="preserve"> </w:t>
      </w:r>
      <w:r w:rsidR="00220F9F" w:rsidRPr="00807DF8">
        <w:rPr>
          <w:rFonts w:cs="Times New Roman"/>
          <w:szCs w:val="20"/>
        </w:rPr>
        <w:t>shows the project characteristics and criteria importance scores for Project Profile 1. For example, predictability</w:t>
      </w:r>
      <w:r w:rsidR="00220F9F" w:rsidRPr="00220F9F">
        <w:rPr>
          <w:szCs w:val="20"/>
        </w:rPr>
        <w:t xml:space="preserve"> receives a score of 5 when examined against the large project scale characteristic while it receives a score of 3 for the sustainability criteria because it is a medium-term investment. </w:t>
      </w:r>
      <w:r w:rsidR="009C7BD1">
        <w:rPr>
          <w:szCs w:val="20"/>
        </w:rPr>
        <w:t>The reference decision criteria score</w:t>
      </w:r>
      <w:r w:rsidR="00321B2A">
        <w:rPr>
          <w:szCs w:val="20"/>
        </w:rPr>
        <w:t xml:space="preserve">s, such as those presented in </w:t>
      </w:r>
      <w:r w:rsidR="007F5736" w:rsidRPr="009747DE">
        <w:rPr>
          <w:rFonts w:cs="Times New Roman"/>
          <w:b/>
          <w:szCs w:val="20"/>
        </w:rPr>
        <w:t>Tab</w:t>
      </w:r>
      <w:r w:rsidR="007F5736">
        <w:rPr>
          <w:rFonts w:cs="Times New Roman"/>
          <w:b/>
          <w:szCs w:val="20"/>
        </w:rPr>
        <w:t>l</w:t>
      </w:r>
      <w:r w:rsidR="007F5736" w:rsidRPr="009747DE">
        <w:rPr>
          <w:rFonts w:cs="Times New Roman"/>
          <w:b/>
          <w:szCs w:val="20"/>
        </w:rPr>
        <w:t>e 4</w:t>
      </w:r>
      <w:r w:rsidR="007F5736" w:rsidRPr="007F5736">
        <w:rPr>
          <w:szCs w:val="20"/>
        </w:rPr>
        <w:t>,</w:t>
      </w:r>
      <w:r w:rsidR="009C7BD1" w:rsidRPr="007F5736">
        <w:rPr>
          <w:color w:val="FF0000"/>
          <w:szCs w:val="20"/>
        </w:rPr>
        <w:t xml:space="preserve"> </w:t>
      </w:r>
      <w:r w:rsidR="00220F9F" w:rsidRPr="00220F9F">
        <w:rPr>
          <w:szCs w:val="20"/>
        </w:rPr>
        <w:t xml:space="preserve">can be elicited from transportation experts through a Delphi survey. In each question in the survey, the decision-maker assigns a numerical value to the dominant factor that reflects its importance based on specific project characteristics. Since the Delphi </w:t>
      </w:r>
      <w:r w:rsidR="00220F9F" w:rsidRPr="00220F9F">
        <w:rPr>
          <w:szCs w:val="20"/>
        </w:rPr>
        <w:lastRenderedPageBreak/>
        <w:t>survey had not been conducted at the time of this writing, the authors filled those matrices based on their knowledge, meetings with DOT experts, and the literature on the topic.</w:t>
      </w:r>
    </w:p>
    <w:p w14:paraId="613F7469" w14:textId="64770DAF" w:rsidR="00E850DA" w:rsidRDefault="00B95F62" w:rsidP="007F5736">
      <w:pPr>
        <w:spacing w:after="0" w:line="240" w:lineRule="auto"/>
        <w:ind w:firstLine="720"/>
        <w:jc w:val="both"/>
      </w:pPr>
      <w:r>
        <w:rPr>
          <w:szCs w:val="20"/>
        </w:rPr>
        <w:t>The same process is replicated for the three remaining reference projects to achieve</w:t>
      </w:r>
      <w:r w:rsidR="007F5736">
        <w:rPr>
          <w:szCs w:val="20"/>
        </w:rPr>
        <w:t xml:space="preserve"> </w:t>
      </w:r>
      <w:r w:rsidR="007F5736" w:rsidRPr="007F5736">
        <w:rPr>
          <w:b/>
          <w:szCs w:val="20"/>
        </w:rPr>
        <w:t>Figure 3</w:t>
      </w:r>
      <w:r w:rsidR="007F5736">
        <w:t xml:space="preserve"> </w:t>
      </w:r>
      <w:r>
        <w:t xml:space="preserve">which </w:t>
      </w:r>
      <w:r w:rsidRPr="00220F9F">
        <w:t>shows the change in the criteria importance score as a function of the</w:t>
      </w:r>
      <w:r>
        <w:t xml:space="preserve"> </w:t>
      </w:r>
      <w:r w:rsidR="00E850DA">
        <w:t>PCS</w:t>
      </w:r>
      <w:r>
        <w:t xml:space="preserve"> corresponding to each of</w:t>
      </w:r>
      <w:r w:rsidRPr="00220F9F">
        <w:t xml:space="preserve"> the considered</w:t>
      </w:r>
      <w:r w:rsidR="00E850DA">
        <w:t xml:space="preserve"> </w:t>
      </w:r>
      <w:r w:rsidRPr="00220F9F">
        <w:t>characteristics</w:t>
      </w:r>
      <w:r>
        <w:t>.</w:t>
      </w:r>
      <w:r w:rsidR="00D16880">
        <w:t xml:space="preserve"> The relationships established in </w:t>
      </w:r>
      <w:r w:rsidR="007F5736" w:rsidRPr="007F5736">
        <w:rPr>
          <w:b/>
          <w:szCs w:val="20"/>
        </w:rPr>
        <w:t>Figure 3</w:t>
      </w:r>
      <w:r w:rsidR="007F5736">
        <w:t xml:space="preserve"> </w:t>
      </w:r>
      <w:r w:rsidR="00D16880">
        <w:t xml:space="preserve">are leveraged </w:t>
      </w:r>
      <w:r w:rsidRPr="00220F9F">
        <w:t>to automatically relate project characteristics to criteria importance</w:t>
      </w:r>
      <w:r w:rsidR="00D16880">
        <w:t xml:space="preserve"> within FUND</w:t>
      </w:r>
      <w:r w:rsidR="00C9339B">
        <w:t xml:space="preserve"> through the </w:t>
      </w:r>
      <w:r w:rsidR="00C9339B" w:rsidRPr="00807DF8">
        <w:rPr>
          <w:u w:val="single"/>
        </w:rPr>
        <w:t>Interpol</w:t>
      </w:r>
      <w:r w:rsidR="008C5488">
        <w:rPr>
          <w:u w:val="single"/>
        </w:rPr>
        <w:t>a</w:t>
      </w:r>
      <w:r w:rsidR="00C9339B" w:rsidRPr="00807DF8">
        <w:rPr>
          <w:u w:val="single"/>
        </w:rPr>
        <w:t>tion of decision criteria scores</w:t>
      </w:r>
      <w:r w:rsidR="00C9339B">
        <w:t xml:space="preserve"> </w:t>
      </w:r>
      <w:r w:rsidR="00C9339B">
        <w:rPr>
          <w:szCs w:val="20"/>
        </w:rPr>
        <w:t>(</w:t>
      </w:r>
      <w:r w:rsidR="00C9339B" w:rsidRPr="007119EA">
        <w:rPr>
          <w:rFonts w:eastAsia="Times New Roman" w:cs="Times New Roman"/>
          <w:szCs w:val="20"/>
        </w:rPr>
        <w:t>the</w:t>
      </w:r>
      <w:r w:rsidR="00C9339B">
        <w:rPr>
          <w:rFonts w:eastAsia="Times New Roman" w:cs="Times New Roman"/>
          <w:szCs w:val="20"/>
        </w:rPr>
        <w:t xml:space="preserve"> bottom </w:t>
      </w:r>
      <w:r w:rsidR="00C9339B" w:rsidRPr="007119EA">
        <w:rPr>
          <w:rFonts w:eastAsia="Times New Roman" w:cs="Times New Roman"/>
          <w:szCs w:val="20"/>
        </w:rPr>
        <w:t xml:space="preserve">box </w:t>
      </w:r>
      <w:r w:rsidR="00C9339B" w:rsidRPr="004404F6">
        <w:rPr>
          <w:rFonts w:cs="Times New Roman"/>
        </w:rPr>
        <w:t xml:space="preserve">within the </w:t>
      </w:r>
      <w:r w:rsidR="00E850DA">
        <w:rPr>
          <w:rFonts w:cs="Times New Roman"/>
        </w:rPr>
        <w:t>“P</w:t>
      </w:r>
      <w:r w:rsidR="00C9339B">
        <w:rPr>
          <w:rFonts w:cs="Times New Roman"/>
        </w:rPr>
        <w:t xml:space="preserve">roject </w:t>
      </w:r>
      <w:r w:rsidR="00E850DA">
        <w:rPr>
          <w:rFonts w:cs="Times New Roman"/>
        </w:rPr>
        <w:t>C</w:t>
      </w:r>
      <w:r w:rsidR="00C9339B">
        <w:rPr>
          <w:rFonts w:cs="Times New Roman"/>
        </w:rPr>
        <w:t>harac</w:t>
      </w:r>
      <w:r w:rsidR="008C5488">
        <w:rPr>
          <w:rFonts w:cs="Times New Roman"/>
        </w:rPr>
        <w:t>t</w:t>
      </w:r>
      <w:r w:rsidR="00C9339B">
        <w:rPr>
          <w:rFonts w:cs="Times New Roman"/>
        </w:rPr>
        <w:t>eristics</w:t>
      </w:r>
      <w:r w:rsidR="00E850DA">
        <w:rPr>
          <w:rFonts w:cs="Times New Roman"/>
        </w:rPr>
        <w:t>”</w:t>
      </w:r>
      <w:r w:rsidR="00C9339B">
        <w:rPr>
          <w:rFonts w:cs="Times New Roman"/>
        </w:rPr>
        <w:t xml:space="preserve"> block</w:t>
      </w:r>
      <w:r w:rsidR="00C9339B" w:rsidRPr="004404F6">
        <w:rPr>
          <w:rFonts w:cs="Times New Roman"/>
        </w:rPr>
        <w:t xml:space="preserve"> of</w:t>
      </w:r>
      <w:r w:rsidR="007F5736">
        <w:rPr>
          <w:rFonts w:cs="Times New Roman"/>
        </w:rPr>
        <w:t xml:space="preserve"> </w:t>
      </w:r>
      <w:r w:rsidR="007F5736" w:rsidRPr="007F5736">
        <w:rPr>
          <w:rFonts w:cs="Times New Roman"/>
          <w:b/>
        </w:rPr>
        <w:t>Figure 1</w:t>
      </w:r>
      <w:r w:rsidR="00C9339B">
        <w:rPr>
          <w:szCs w:val="20"/>
        </w:rPr>
        <w:t>)</w:t>
      </w:r>
      <w:r w:rsidR="00AB4D8A">
        <w:rPr>
          <w:szCs w:val="20"/>
        </w:rPr>
        <w:t xml:space="preserve">. </w:t>
      </w:r>
      <w:r w:rsidR="00220F9F" w:rsidRPr="00220F9F">
        <w:t>For example, if a new project being studied has a “Large Project Scale” score of 1.5, then the characteristic scores of the four project profiles are used to obtain the upper and lower limit values and determine the required criteria importance scores via linear interpolation, as shown in Equation (</w:t>
      </w:r>
      <w:r w:rsidR="008C5488">
        <w:t>2</w:t>
      </w:r>
      <w:r w:rsidR="00220F9F" w:rsidRPr="00220F9F">
        <w:t>).</w:t>
      </w:r>
    </w:p>
    <w:p w14:paraId="230634F4" w14:textId="77777777" w:rsidR="002001C9" w:rsidRPr="002001C9" w:rsidRDefault="002001C9" w:rsidP="002001C9">
      <w:pPr>
        <w:spacing w:after="0" w:line="240" w:lineRule="auto"/>
        <w:ind w:firstLine="720"/>
        <w:jc w:val="both"/>
        <w:rPr>
          <w:rFonts w:cs="Times New Roman"/>
          <w:b/>
          <w:bCs/>
        </w:rPr>
      </w:pPr>
    </w:p>
    <w:tbl>
      <w:tblPr>
        <w:tblStyle w:val="TableGrid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4"/>
        <w:gridCol w:w="576"/>
      </w:tblGrid>
      <w:tr w:rsidR="00E850DA" w:rsidRPr="002001C9" w14:paraId="39963009" w14:textId="77777777" w:rsidTr="00E850DA">
        <w:tc>
          <w:tcPr>
            <w:tcW w:w="8784" w:type="dxa"/>
            <w:vAlign w:val="center"/>
          </w:tcPr>
          <w:p w14:paraId="7BFD559F" w14:textId="7E6765A2" w:rsidR="00E850DA" w:rsidRPr="002001C9" w:rsidRDefault="00E850DA" w:rsidP="002001C9">
            <w:pPr>
              <w:jc w:val="center"/>
              <w:rPr>
                <w:rFonts w:eastAsia="Times New Roman" w:cs="Times New Roman"/>
                <w:sz w:val="22"/>
                <w:szCs w:val="22"/>
              </w:rPr>
            </w:pPr>
            <m:oMathPara>
              <m:oMathParaPr>
                <m:jc m:val="left"/>
              </m:oMathParaPr>
              <m:oMath>
                <m:r>
                  <m:rPr>
                    <m:sty m:val="p"/>
                  </m:rPr>
                  <w:rPr>
                    <w:rFonts w:ascii="Cambria Math" w:hAnsi="Cambria Math" w:cs="Times New Roman"/>
                    <w:color w:val="202124"/>
                    <w:sz w:val="22"/>
                    <w:szCs w:val="22"/>
                    <w:shd w:val="clear" w:color="auto" w:fill="FFFFFF"/>
                  </w:rPr>
                  <m:t xml:space="preserve">Criteria Score= Criteria </m:t>
                </m:r>
                <m:sSub>
                  <m:sSubPr>
                    <m:ctrlPr>
                      <w:rPr>
                        <w:rFonts w:ascii="Cambria Math" w:hAnsi="Cambria Math" w:cs="Times New Roman"/>
                        <w:color w:val="202124"/>
                        <w:sz w:val="22"/>
                        <w:szCs w:val="22"/>
                        <w:shd w:val="clear" w:color="auto" w:fill="FFFFFF"/>
                      </w:rPr>
                    </m:ctrlPr>
                  </m:sSubPr>
                  <m:e>
                    <m:r>
                      <m:rPr>
                        <m:sty m:val="p"/>
                      </m:rPr>
                      <w:rPr>
                        <w:rFonts w:ascii="Cambria Math" w:hAnsi="Cambria Math" w:cs="Times New Roman"/>
                        <w:color w:val="202124"/>
                        <w:sz w:val="22"/>
                        <w:szCs w:val="22"/>
                        <w:shd w:val="clear" w:color="auto" w:fill="FFFFFF"/>
                      </w:rPr>
                      <m:t>Score</m:t>
                    </m:r>
                  </m:e>
                  <m:sub>
                    <m:r>
                      <w:rPr>
                        <w:rFonts w:ascii="Cambria Math" w:hAnsi="Cambria Math" w:cs="Times New Roman"/>
                        <w:color w:val="202124"/>
                        <w:sz w:val="22"/>
                        <w:szCs w:val="22"/>
                        <w:shd w:val="clear" w:color="auto" w:fill="FFFFFF"/>
                      </w:rPr>
                      <m:t>lb</m:t>
                    </m:r>
                  </m:sub>
                </m:sSub>
                <m:r>
                  <m:rPr>
                    <m:sty m:val="p"/>
                  </m:rPr>
                  <w:rPr>
                    <w:rFonts w:ascii="Cambria Math" w:hAnsi="Cambria Math" w:cs="Times New Roman"/>
                    <w:color w:val="202124"/>
                    <w:sz w:val="22"/>
                    <w:szCs w:val="22"/>
                    <w:shd w:val="clear" w:color="auto" w:fill="FFFFFF"/>
                  </w:rPr>
                  <m:t xml:space="preserve"> + </m:t>
                </m:r>
                <m:f>
                  <m:fPr>
                    <m:ctrlPr>
                      <w:rPr>
                        <w:rFonts w:ascii="Cambria Math" w:hAnsi="Cambria Math" w:cs="Times New Roman"/>
                        <w:color w:val="202124"/>
                        <w:sz w:val="22"/>
                        <w:szCs w:val="22"/>
                        <w:shd w:val="clear" w:color="auto" w:fill="FFFFFF"/>
                      </w:rPr>
                    </m:ctrlPr>
                  </m:fPr>
                  <m:num>
                    <m:d>
                      <m:dPr>
                        <m:ctrlPr>
                          <w:rPr>
                            <w:rFonts w:ascii="Cambria Math" w:hAnsi="Cambria Math" w:cs="Times New Roman"/>
                            <w:color w:val="202124"/>
                            <w:sz w:val="22"/>
                            <w:szCs w:val="22"/>
                            <w:shd w:val="clear" w:color="auto" w:fill="FFFFFF"/>
                          </w:rPr>
                        </m:ctrlPr>
                      </m:dPr>
                      <m:e>
                        <m:r>
                          <m:rPr>
                            <m:sty m:val="p"/>
                          </m:rPr>
                          <w:rPr>
                            <w:rFonts w:ascii="Cambria Math" w:hAnsi="Cambria Math" w:cs="Times New Roman"/>
                            <w:color w:val="202124"/>
                            <w:sz w:val="22"/>
                            <w:szCs w:val="22"/>
                            <w:shd w:val="clear" w:color="auto" w:fill="FFFFFF"/>
                          </w:rPr>
                          <m:t xml:space="preserve">CS – </m:t>
                        </m:r>
                        <m:sSub>
                          <m:sSubPr>
                            <m:ctrlPr>
                              <w:rPr>
                                <w:rFonts w:ascii="Cambria Math" w:hAnsi="Cambria Math" w:cs="Times New Roman"/>
                                <w:color w:val="202124"/>
                                <w:sz w:val="22"/>
                                <w:szCs w:val="22"/>
                                <w:shd w:val="clear" w:color="auto" w:fill="FFFFFF"/>
                              </w:rPr>
                            </m:ctrlPr>
                          </m:sSubPr>
                          <m:e>
                            <m:r>
                              <m:rPr>
                                <m:sty m:val="p"/>
                              </m:rPr>
                              <w:rPr>
                                <w:rFonts w:ascii="Cambria Math" w:hAnsi="Cambria Math" w:cs="Times New Roman"/>
                                <w:color w:val="202124"/>
                                <w:sz w:val="22"/>
                                <w:szCs w:val="22"/>
                                <w:shd w:val="clear" w:color="auto" w:fill="FFFFFF"/>
                              </w:rPr>
                              <m:t>CS</m:t>
                            </m:r>
                          </m:e>
                          <m:sub>
                            <m:r>
                              <w:rPr>
                                <w:rFonts w:ascii="Cambria Math" w:hAnsi="Cambria Math" w:cs="Times New Roman"/>
                                <w:color w:val="202124"/>
                                <w:sz w:val="22"/>
                                <w:szCs w:val="22"/>
                                <w:shd w:val="clear" w:color="auto" w:fill="FFFFFF"/>
                              </w:rPr>
                              <m:t>lb</m:t>
                            </m:r>
                          </m:sub>
                        </m:sSub>
                      </m:e>
                    </m:d>
                  </m:num>
                  <m:den>
                    <m:r>
                      <m:rPr>
                        <m:sty m:val="p"/>
                      </m:rPr>
                      <w:rPr>
                        <w:rFonts w:ascii="Cambria Math" w:hAnsi="Cambria Math" w:cs="Times New Roman"/>
                        <w:color w:val="202124"/>
                        <w:sz w:val="22"/>
                        <w:szCs w:val="22"/>
                        <w:shd w:val="clear" w:color="auto" w:fill="FFFFFF"/>
                      </w:rPr>
                      <m:t>(</m:t>
                    </m:r>
                    <m:sSub>
                      <m:sSubPr>
                        <m:ctrlPr>
                          <w:rPr>
                            <w:rFonts w:ascii="Cambria Math" w:hAnsi="Cambria Math" w:cs="Times New Roman"/>
                            <w:color w:val="202124"/>
                            <w:sz w:val="22"/>
                            <w:szCs w:val="22"/>
                            <w:shd w:val="clear" w:color="auto" w:fill="FFFFFF"/>
                          </w:rPr>
                        </m:ctrlPr>
                      </m:sSubPr>
                      <m:e>
                        <m:r>
                          <m:rPr>
                            <m:sty m:val="p"/>
                          </m:rPr>
                          <w:rPr>
                            <w:rFonts w:ascii="Cambria Math" w:hAnsi="Cambria Math" w:cs="Times New Roman"/>
                            <w:color w:val="202124"/>
                            <w:sz w:val="22"/>
                            <w:szCs w:val="22"/>
                            <w:shd w:val="clear" w:color="auto" w:fill="FFFFFF"/>
                          </w:rPr>
                          <m:t>CS</m:t>
                        </m:r>
                      </m:e>
                      <m:sub>
                        <m:r>
                          <w:rPr>
                            <w:rFonts w:ascii="Cambria Math" w:hAnsi="Cambria Math" w:cs="Times New Roman"/>
                            <w:color w:val="202124"/>
                            <w:sz w:val="22"/>
                            <w:szCs w:val="22"/>
                            <w:shd w:val="clear" w:color="auto" w:fill="FFFFFF"/>
                          </w:rPr>
                          <m:t>ub</m:t>
                        </m:r>
                      </m:sub>
                    </m:sSub>
                    <m:r>
                      <m:rPr>
                        <m:sty m:val="p"/>
                      </m:rPr>
                      <w:rPr>
                        <w:rFonts w:ascii="Cambria Math" w:hAnsi="Cambria Math" w:cs="Times New Roman"/>
                        <w:color w:val="202124"/>
                        <w:sz w:val="22"/>
                        <w:szCs w:val="22"/>
                        <w:shd w:val="clear" w:color="auto" w:fill="FFFFFF"/>
                      </w:rPr>
                      <m:t xml:space="preserve">– </m:t>
                    </m:r>
                    <m:sSub>
                      <m:sSubPr>
                        <m:ctrlPr>
                          <w:rPr>
                            <w:rFonts w:ascii="Cambria Math" w:hAnsi="Cambria Math" w:cs="Times New Roman"/>
                            <w:color w:val="202124"/>
                            <w:sz w:val="22"/>
                            <w:szCs w:val="22"/>
                            <w:shd w:val="clear" w:color="auto" w:fill="FFFFFF"/>
                          </w:rPr>
                        </m:ctrlPr>
                      </m:sSubPr>
                      <m:e>
                        <m:r>
                          <m:rPr>
                            <m:sty m:val="p"/>
                          </m:rPr>
                          <w:rPr>
                            <w:rFonts w:ascii="Cambria Math" w:hAnsi="Cambria Math" w:cs="Times New Roman"/>
                            <w:color w:val="202124"/>
                            <w:sz w:val="22"/>
                            <w:szCs w:val="22"/>
                            <w:shd w:val="clear" w:color="auto" w:fill="FFFFFF"/>
                          </w:rPr>
                          <m:t>CS</m:t>
                        </m:r>
                      </m:e>
                      <m:sub>
                        <m:r>
                          <w:rPr>
                            <w:rFonts w:ascii="Cambria Math" w:hAnsi="Cambria Math" w:cs="Times New Roman"/>
                            <w:color w:val="202124"/>
                            <w:sz w:val="22"/>
                            <w:szCs w:val="22"/>
                            <w:shd w:val="clear" w:color="auto" w:fill="FFFFFF"/>
                          </w:rPr>
                          <m:t>lb</m:t>
                        </m:r>
                      </m:sub>
                    </m:sSub>
                    <m:r>
                      <m:rPr>
                        <m:sty m:val="p"/>
                      </m:rPr>
                      <w:rPr>
                        <w:rFonts w:ascii="Cambria Math" w:hAnsi="Cambria Math" w:cs="Times New Roman"/>
                        <w:color w:val="202124"/>
                        <w:sz w:val="22"/>
                        <w:szCs w:val="22"/>
                        <w:shd w:val="clear" w:color="auto" w:fill="FFFFFF"/>
                      </w:rPr>
                      <m:t>)</m:t>
                    </m:r>
                  </m:den>
                </m:f>
                <m:r>
                  <m:rPr>
                    <m:sty m:val="p"/>
                  </m:rPr>
                  <w:rPr>
                    <w:rFonts w:ascii="Cambria Math" w:hAnsi="Cambria Math" w:cs="Times New Roman"/>
                    <w:color w:val="202124"/>
                    <w:sz w:val="22"/>
                    <w:szCs w:val="22"/>
                    <w:shd w:val="clear" w:color="auto" w:fill="FFFFFF"/>
                  </w:rPr>
                  <m:t xml:space="preserve">  ×(Criteria </m:t>
                </m:r>
                <m:sSub>
                  <m:sSubPr>
                    <m:ctrlPr>
                      <w:rPr>
                        <w:rFonts w:ascii="Cambria Math" w:hAnsi="Cambria Math" w:cs="Times New Roman"/>
                        <w:color w:val="202124"/>
                        <w:sz w:val="22"/>
                        <w:szCs w:val="22"/>
                        <w:shd w:val="clear" w:color="auto" w:fill="FFFFFF"/>
                      </w:rPr>
                    </m:ctrlPr>
                  </m:sSubPr>
                  <m:e>
                    <m:r>
                      <m:rPr>
                        <m:sty m:val="p"/>
                      </m:rPr>
                      <w:rPr>
                        <w:rFonts w:ascii="Cambria Math" w:hAnsi="Cambria Math" w:cs="Times New Roman"/>
                        <w:color w:val="202124"/>
                        <w:sz w:val="22"/>
                        <w:szCs w:val="22"/>
                        <w:shd w:val="clear" w:color="auto" w:fill="FFFFFF"/>
                      </w:rPr>
                      <m:t>Score</m:t>
                    </m:r>
                  </m:e>
                  <m:sub>
                    <m:r>
                      <w:rPr>
                        <w:rFonts w:ascii="Cambria Math" w:hAnsi="Cambria Math" w:cs="Times New Roman"/>
                        <w:color w:val="202124"/>
                        <w:sz w:val="22"/>
                        <w:szCs w:val="22"/>
                        <w:shd w:val="clear" w:color="auto" w:fill="FFFFFF"/>
                      </w:rPr>
                      <m:t>ub</m:t>
                    </m:r>
                  </m:sub>
                </m:sSub>
                <m:r>
                  <m:rPr>
                    <m:sty m:val="p"/>
                  </m:rPr>
                  <w:rPr>
                    <w:rFonts w:ascii="Cambria Math" w:hAnsi="Cambria Math" w:cs="Times New Roman"/>
                    <w:color w:val="202124"/>
                    <w:sz w:val="22"/>
                    <w:szCs w:val="22"/>
                    <w:shd w:val="clear" w:color="auto" w:fill="FFFFFF"/>
                  </w:rPr>
                  <m:t xml:space="preserve"> – Criteria </m:t>
                </m:r>
                <m:sSub>
                  <m:sSubPr>
                    <m:ctrlPr>
                      <w:rPr>
                        <w:rFonts w:ascii="Cambria Math" w:hAnsi="Cambria Math" w:cs="Times New Roman"/>
                        <w:color w:val="202124"/>
                        <w:sz w:val="22"/>
                        <w:szCs w:val="22"/>
                        <w:shd w:val="clear" w:color="auto" w:fill="FFFFFF"/>
                      </w:rPr>
                    </m:ctrlPr>
                  </m:sSubPr>
                  <m:e>
                    <m:r>
                      <m:rPr>
                        <m:sty m:val="p"/>
                      </m:rPr>
                      <w:rPr>
                        <w:rFonts w:ascii="Cambria Math" w:hAnsi="Cambria Math" w:cs="Times New Roman"/>
                        <w:color w:val="202124"/>
                        <w:sz w:val="22"/>
                        <w:szCs w:val="22"/>
                        <w:shd w:val="clear" w:color="auto" w:fill="FFFFFF"/>
                      </w:rPr>
                      <m:t>Score</m:t>
                    </m:r>
                  </m:e>
                  <m:sub>
                    <m:r>
                      <w:rPr>
                        <w:rFonts w:ascii="Cambria Math" w:hAnsi="Cambria Math" w:cs="Times New Roman"/>
                        <w:color w:val="202124"/>
                        <w:sz w:val="22"/>
                        <w:szCs w:val="22"/>
                        <w:shd w:val="clear" w:color="auto" w:fill="FFFFFF"/>
                      </w:rPr>
                      <m:t>lb</m:t>
                    </m:r>
                  </m:sub>
                </m:sSub>
                <m:r>
                  <m:rPr>
                    <m:sty m:val="p"/>
                  </m:rPr>
                  <w:rPr>
                    <w:rFonts w:ascii="Cambria Math" w:hAnsi="Cambria Math" w:cs="Times New Roman"/>
                    <w:color w:val="202124"/>
                    <w:sz w:val="22"/>
                    <w:szCs w:val="22"/>
                    <w:shd w:val="clear" w:color="auto" w:fill="FFFFFF"/>
                  </w:rPr>
                  <m:t>)</m:t>
                </m:r>
              </m:oMath>
            </m:oMathPara>
          </w:p>
        </w:tc>
        <w:tc>
          <w:tcPr>
            <w:tcW w:w="576" w:type="dxa"/>
            <w:vAlign w:val="center"/>
          </w:tcPr>
          <w:p w14:paraId="40CAA7DA" w14:textId="05575645" w:rsidR="00E850DA" w:rsidRPr="002001C9" w:rsidRDefault="00E850DA" w:rsidP="002001C9">
            <w:pPr>
              <w:jc w:val="center"/>
              <w:rPr>
                <w:rFonts w:eastAsia="Times New Roman" w:cs="Times New Roman"/>
                <w:sz w:val="22"/>
                <w:szCs w:val="22"/>
              </w:rPr>
            </w:pPr>
            <w:r w:rsidRPr="002001C9">
              <w:rPr>
                <w:rFonts w:eastAsia="Times New Roman" w:cs="Times New Roman"/>
                <w:sz w:val="22"/>
                <w:szCs w:val="22"/>
              </w:rPr>
              <w:t>(2)</w:t>
            </w:r>
          </w:p>
        </w:tc>
      </w:tr>
    </w:tbl>
    <w:p w14:paraId="33999E41" w14:textId="77777777" w:rsidR="002001C9" w:rsidRDefault="002001C9" w:rsidP="002001C9">
      <w:pPr>
        <w:spacing w:after="0" w:line="240" w:lineRule="auto"/>
        <w:jc w:val="both"/>
        <w:rPr>
          <w:rFonts w:cs="Times New Roman"/>
        </w:rPr>
      </w:pPr>
    </w:p>
    <w:p w14:paraId="422146A8" w14:textId="7E057D01" w:rsidR="000369D9" w:rsidRPr="002001C9" w:rsidRDefault="000369D9" w:rsidP="002001C9">
      <w:pPr>
        <w:spacing w:after="120" w:line="240" w:lineRule="auto"/>
        <w:jc w:val="both"/>
        <w:rPr>
          <w:rFonts w:cs="Times New Roman"/>
        </w:rPr>
      </w:pPr>
      <w:r w:rsidRPr="002001C9">
        <w:rPr>
          <w:rFonts w:cs="Times New Roman"/>
        </w:rPr>
        <w:t>where CS represent</w:t>
      </w:r>
      <w:r w:rsidR="00367513" w:rsidRPr="002001C9">
        <w:rPr>
          <w:rFonts w:cs="Times New Roman"/>
        </w:rPr>
        <w:t>s</w:t>
      </w:r>
      <w:r w:rsidRPr="002001C9">
        <w:rPr>
          <w:rFonts w:cs="Times New Roman"/>
        </w:rPr>
        <w:t xml:space="preserve"> characteristic scores at respective upper bound </w:t>
      </w:r>
      <w:proofErr w:type="spellStart"/>
      <w:r w:rsidRPr="002001C9">
        <w:rPr>
          <w:rFonts w:cs="Times New Roman"/>
          <w:i/>
        </w:rPr>
        <w:t>ub</w:t>
      </w:r>
      <w:proofErr w:type="spellEnd"/>
      <w:r w:rsidRPr="002001C9">
        <w:rPr>
          <w:rFonts w:cs="Times New Roman"/>
        </w:rPr>
        <w:t xml:space="preserve"> and lower bound </w:t>
      </w:r>
      <w:r w:rsidRPr="002001C9">
        <w:rPr>
          <w:rFonts w:cs="Times New Roman"/>
          <w:i/>
        </w:rPr>
        <w:t>lb</w:t>
      </w:r>
      <w:r w:rsidRPr="002001C9">
        <w:rPr>
          <w:rFonts w:cs="Times New Roman"/>
        </w:rPr>
        <w:t>.</w:t>
      </w:r>
    </w:p>
    <w:p w14:paraId="6725F107" w14:textId="4AE43AED" w:rsidR="000C780A" w:rsidRDefault="00E850DA" w:rsidP="002001C9">
      <w:pPr>
        <w:spacing w:after="0" w:line="240" w:lineRule="auto"/>
        <w:ind w:firstLine="720"/>
        <w:jc w:val="both"/>
      </w:pPr>
      <w:r w:rsidRPr="002001C9">
        <w:rPr>
          <w:rFonts w:cs="Times New Roman"/>
        </w:rPr>
        <w:t xml:space="preserve">The </w:t>
      </w:r>
      <w:r w:rsidR="00A97F89" w:rsidRPr="002001C9">
        <w:rPr>
          <w:rFonts w:cs="Times New Roman"/>
        </w:rPr>
        <w:t>outcome</w:t>
      </w:r>
      <w:r w:rsidRPr="002001C9">
        <w:rPr>
          <w:rFonts w:cs="Times New Roman"/>
        </w:rPr>
        <w:t xml:space="preserve"> of the “Project Characteristics” component is</w:t>
      </w:r>
      <w:r w:rsidRPr="00807DF8">
        <w:t xml:space="preserve"> the </w:t>
      </w:r>
      <w:r w:rsidRPr="00807DF8">
        <w:rPr>
          <w:u w:val="single"/>
        </w:rPr>
        <w:t>Decision criteria scores</w:t>
      </w:r>
      <w:r w:rsidRPr="00807DF8">
        <w:t xml:space="preserve"> </w:t>
      </w:r>
      <w:r w:rsidRPr="005A4D89">
        <w:rPr>
          <w:rFonts w:eastAsia="Times New Roman" w:cs="Times New Roman"/>
        </w:rPr>
        <w:t xml:space="preserve">(the output of the </w:t>
      </w:r>
      <w:r>
        <w:rPr>
          <w:rFonts w:eastAsia="Times New Roman" w:cs="Times New Roman"/>
        </w:rPr>
        <w:t xml:space="preserve">“Project Characteristics” </w:t>
      </w:r>
      <w:r w:rsidRPr="005A4D89">
        <w:rPr>
          <w:rFonts w:eastAsia="Times New Roman" w:cs="Times New Roman"/>
        </w:rPr>
        <w:t xml:space="preserve">block </w:t>
      </w:r>
      <w:r w:rsidRPr="008C1B2D">
        <w:rPr>
          <w:rFonts w:cs="Times New Roman"/>
        </w:rPr>
        <w:t xml:space="preserve">of </w:t>
      </w:r>
      <w:r>
        <w:rPr>
          <w:rFonts w:eastAsia="Times New Roman" w:cs="Times New Roman"/>
          <w:szCs w:val="20"/>
        </w:rPr>
        <w:fldChar w:fldCharType="begin"/>
      </w:r>
      <w:r>
        <w:rPr>
          <w:rFonts w:eastAsia="Times New Roman" w:cs="Times New Roman"/>
          <w:szCs w:val="20"/>
        </w:rPr>
        <w:instrText xml:space="preserve"> REF _Ref77256743 \h </w:instrText>
      </w:r>
      <w:r>
        <w:rPr>
          <w:rFonts w:eastAsia="Times New Roman" w:cs="Times New Roman"/>
          <w:szCs w:val="20"/>
        </w:rPr>
      </w:r>
      <w:r>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Pr>
          <w:rFonts w:eastAsia="Times New Roman" w:cs="Times New Roman"/>
          <w:szCs w:val="20"/>
        </w:rPr>
        <w:fldChar w:fldCharType="end"/>
      </w:r>
      <w:r w:rsidRPr="005A4D89">
        <w:rPr>
          <w:rFonts w:eastAsia="Times New Roman" w:cs="Times New Roman"/>
        </w:rPr>
        <w:t xml:space="preserve">) </w:t>
      </w:r>
      <w:r w:rsidRPr="00807DF8">
        <w:t>corresponding to each criterion.</w:t>
      </w:r>
    </w:p>
    <w:p w14:paraId="622FFA11" w14:textId="77777777" w:rsidR="002001C9" w:rsidRDefault="002001C9" w:rsidP="002001C9">
      <w:pPr>
        <w:spacing w:after="0" w:line="240" w:lineRule="auto"/>
        <w:rPr>
          <w:b/>
          <w:szCs w:val="16"/>
        </w:rPr>
      </w:pPr>
      <w:bookmarkStart w:id="47" w:name="_Ref77257683"/>
      <w:bookmarkStart w:id="48" w:name="_Ref78185556"/>
      <w:bookmarkStart w:id="49" w:name="_Ref72661734"/>
    </w:p>
    <w:p w14:paraId="2537B748" w14:textId="4B46170C" w:rsidR="00CD0565" w:rsidRPr="004D0A64" w:rsidRDefault="0005314C" w:rsidP="002001C9">
      <w:pPr>
        <w:spacing w:line="240" w:lineRule="auto"/>
        <w:rPr>
          <w:rFonts w:eastAsia="Times New Roman" w:cs="Times New Roman"/>
          <w:b/>
          <w:bCs/>
          <w:color w:val="000000" w:themeColor="text1"/>
          <w:szCs w:val="16"/>
        </w:rPr>
      </w:pPr>
      <w:r w:rsidRPr="004D0A64">
        <w:rPr>
          <w:b/>
          <w:szCs w:val="16"/>
        </w:rPr>
        <w:t xml:space="preserve">Table </w:t>
      </w:r>
      <w:r w:rsidR="00CD0565" w:rsidRPr="004D0A64">
        <w:rPr>
          <w:b/>
          <w:szCs w:val="16"/>
        </w:rPr>
        <w:fldChar w:fldCharType="begin"/>
      </w:r>
      <w:r w:rsidR="00CD0565" w:rsidRPr="004D0A64">
        <w:rPr>
          <w:b/>
          <w:szCs w:val="16"/>
        </w:rPr>
        <w:instrText>SEQ Table \* ARABIC</w:instrText>
      </w:r>
      <w:r w:rsidR="00CD0565" w:rsidRPr="004D0A64">
        <w:rPr>
          <w:b/>
          <w:szCs w:val="16"/>
        </w:rPr>
        <w:fldChar w:fldCharType="separate"/>
      </w:r>
      <w:r w:rsidR="00210285">
        <w:rPr>
          <w:b/>
          <w:noProof/>
          <w:szCs w:val="16"/>
        </w:rPr>
        <w:t>4</w:t>
      </w:r>
      <w:r w:rsidR="00CD0565" w:rsidRPr="004D0A64">
        <w:rPr>
          <w:b/>
          <w:szCs w:val="16"/>
        </w:rPr>
        <w:fldChar w:fldCharType="end"/>
      </w:r>
      <w:bookmarkEnd w:id="47"/>
      <w:bookmarkEnd w:id="48"/>
      <w:r w:rsidR="00CD0565" w:rsidRPr="004D0A64">
        <w:rPr>
          <w:b/>
          <w:szCs w:val="16"/>
        </w:rPr>
        <w:t xml:space="preserve"> Project Characteristics and Criteria Importance Scores Example for Project Profile 1</w:t>
      </w:r>
      <w:bookmarkEnd w:id="49"/>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912"/>
        <w:gridCol w:w="911"/>
        <w:gridCol w:w="913"/>
        <w:gridCol w:w="913"/>
        <w:gridCol w:w="913"/>
        <w:gridCol w:w="913"/>
        <w:gridCol w:w="909"/>
      </w:tblGrid>
      <w:tr w:rsidR="00CD0565" w:rsidRPr="004D0A64" w14:paraId="255B55F8" w14:textId="77777777" w:rsidTr="004D0A64">
        <w:trPr>
          <w:cantSplit/>
          <w:trHeight w:val="1430"/>
        </w:trPr>
        <w:tc>
          <w:tcPr>
            <w:tcW w:w="1588" w:type="pct"/>
            <w:shd w:val="clear" w:color="auto" w:fill="auto"/>
            <w:noWrap/>
            <w:vAlign w:val="center"/>
            <w:hideMark/>
          </w:tcPr>
          <w:p w14:paraId="657F0B4A"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bookmarkStart w:id="50" w:name="_Hlk77323612"/>
            <w:r w:rsidRPr="004D0A64">
              <w:rPr>
                <w:rFonts w:eastAsia="Times New Roman" w:cs="Times New Roman"/>
                <w:b/>
                <w:bCs/>
                <w:color w:val="000000" w:themeColor="text1"/>
                <w:sz w:val="21"/>
                <w:szCs w:val="21"/>
              </w:rPr>
              <w:t>Project Characteristics</w:t>
            </w:r>
          </w:p>
        </w:tc>
        <w:tc>
          <w:tcPr>
            <w:tcW w:w="487" w:type="pct"/>
            <w:shd w:val="clear" w:color="auto" w:fill="auto"/>
            <w:noWrap/>
            <w:textDirection w:val="btLr"/>
            <w:vAlign w:val="center"/>
            <w:hideMark/>
          </w:tcPr>
          <w:p w14:paraId="55E0F052" w14:textId="77777777" w:rsidR="00CD0565" w:rsidRPr="004D0A64" w:rsidRDefault="00CD0565" w:rsidP="002001C9">
            <w:pPr>
              <w:spacing w:after="0" w:line="240" w:lineRule="auto"/>
              <w:ind w:right="113"/>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Large Project Scale</w:t>
            </w:r>
          </w:p>
        </w:tc>
        <w:tc>
          <w:tcPr>
            <w:tcW w:w="487" w:type="pct"/>
            <w:shd w:val="clear" w:color="auto" w:fill="auto"/>
            <w:noWrap/>
            <w:textDirection w:val="btLr"/>
            <w:vAlign w:val="center"/>
            <w:hideMark/>
          </w:tcPr>
          <w:p w14:paraId="31705CD8" w14:textId="77777777" w:rsidR="00CD0565" w:rsidRPr="004D0A64" w:rsidRDefault="00CD0565" w:rsidP="002001C9">
            <w:pPr>
              <w:spacing w:after="0" w:line="240" w:lineRule="auto"/>
              <w:ind w:right="113"/>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Exact Investment Timing</w:t>
            </w:r>
          </w:p>
        </w:tc>
        <w:tc>
          <w:tcPr>
            <w:tcW w:w="488" w:type="pct"/>
            <w:shd w:val="clear" w:color="auto" w:fill="auto"/>
            <w:noWrap/>
            <w:textDirection w:val="btLr"/>
            <w:vAlign w:val="center"/>
            <w:hideMark/>
          </w:tcPr>
          <w:p w14:paraId="3EA6A941" w14:textId="77777777" w:rsidR="00CD0565" w:rsidRPr="004D0A64" w:rsidRDefault="00CD0565" w:rsidP="002001C9">
            <w:pPr>
              <w:spacing w:after="0" w:line="240" w:lineRule="auto"/>
              <w:ind w:right="113"/>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Long-term Investment</w:t>
            </w:r>
          </w:p>
        </w:tc>
        <w:tc>
          <w:tcPr>
            <w:tcW w:w="488" w:type="pct"/>
            <w:shd w:val="clear" w:color="auto" w:fill="auto"/>
            <w:noWrap/>
            <w:textDirection w:val="btLr"/>
            <w:vAlign w:val="center"/>
            <w:hideMark/>
          </w:tcPr>
          <w:p w14:paraId="1AB7F3D7" w14:textId="77777777" w:rsidR="00CD0565" w:rsidRPr="004D0A64" w:rsidRDefault="00CD0565" w:rsidP="002001C9">
            <w:pPr>
              <w:spacing w:after="0" w:line="240" w:lineRule="auto"/>
              <w:ind w:right="113"/>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Significance</w:t>
            </w:r>
          </w:p>
        </w:tc>
        <w:tc>
          <w:tcPr>
            <w:tcW w:w="488" w:type="pct"/>
            <w:shd w:val="clear" w:color="auto" w:fill="auto"/>
            <w:noWrap/>
            <w:textDirection w:val="btLr"/>
            <w:vAlign w:val="center"/>
            <w:hideMark/>
          </w:tcPr>
          <w:p w14:paraId="1E122EB0" w14:textId="77777777" w:rsidR="00CD0565" w:rsidRPr="004D0A64" w:rsidRDefault="00CD0565" w:rsidP="002001C9">
            <w:pPr>
              <w:spacing w:after="0" w:line="240" w:lineRule="auto"/>
              <w:ind w:right="113"/>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Innovation</w:t>
            </w:r>
          </w:p>
        </w:tc>
        <w:tc>
          <w:tcPr>
            <w:tcW w:w="488" w:type="pct"/>
            <w:shd w:val="clear" w:color="auto" w:fill="auto"/>
            <w:noWrap/>
            <w:textDirection w:val="btLr"/>
            <w:vAlign w:val="center"/>
            <w:hideMark/>
          </w:tcPr>
          <w:p w14:paraId="3A95D687" w14:textId="77777777" w:rsidR="00CD0565" w:rsidRPr="004D0A64" w:rsidRDefault="00CD0565" w:rsidP="002001C9">
            <w:pPr>
              <w:spacing w:after="0" w:line="240" w:lineRule="auto"/>
              <w:ind w:right="113"/>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Sustainable Project</w:t>
            </w:r>
          </w:p>
        </w:tc>
        <w:tc>
          <w:tcPr>
            <w:tcW w:w="487" w:type="pct"/>
            <w:shd w:val="clear" w:color="auto" w:fill="auto"/>
            <w:noWrap/>
            <w:textDirection w:val="btLr"/>
            <w:vAlign w:val="center"/>
            <w:hideMark/>
          </w:tcPr>
          <w:p w14:paraId="2153C28D" w14:textId="77777777" w:rsidR="00CD0565" w:rsidRPr="004D0A64" w:rsidRDefault="00CD0565" w:rsidP="002001C9">
            <w:pPr>
              <w:spacing w:after="0" w:line="240" w:lineRule="auto"/>
              <w:ind w:right="113"/>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Equity Conscious Project</w:t>
            </w:r>
          </w:p>
        </w:tc>
      </w:tr>
      <w:tr w:rsidR="00CD0565" w:rsidRPr="004D0A64" w14:paraId="7BA78431" w14:textId="77777777" w:rsidTr="00E27990">
        <w:trPr>
          <w:trHeight w:val="63"/>
        </w:trPr>
        <w:tc>
          <w:tcPr>
            <w:tcW w:w="1588" w:type="pct"/>
            <w:shd w:val="clear" w:color="auto" w:fill="auto"/>
            <w:noWrap/>
            <w:vAlign w:val="center"/>
            <w:hideMark/>
          </w:tcPr>
          <w:p w14:paraId="3BFDCE28"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Project Characteristics Score</w:t>
            </w:r>
          </w:p>
        </w:tc>
        <w:tc>
          <w:tcPr>
            <w:tcW w:w="487" w:type="pct"/>
            <w:shd w:val="clear" w:color="auto" w:fill="auto"/>
            <w:noWrap/>
            <w:vAlign w:val="center"/>
            <w:hideMark/>
          </w:tcPr>
          <w:p w14:paraId="12DA9DD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3.5</w:t>
            </w:r>
          </w:p>
        </w:tc>
        <w:tc>
          <w:tcPr>
            <w:tcW w:w="487" w:type="pct"/>
            <w:shd w:val="clear" w:color="auto" w:fill="auto"/>
            <w:noWrap/>
            <w:vAlign w:val="center"/>
            <w:hideMark/>
          </w:tcPr>
          <w:p w14:paraId="67E500C3"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5</w:t>
            </w:r>
          </w:p>
        </w:tc>
        <w:tc>
          <w:tcPr>
            <w:tcW w:w="488" w:type="pct"/>
            <w:shd w:val="clear" w:color="auto" w:fill="auto"/>
            <w:noWrap/>
            <w:vAlign w:val="center"/>
            <w:hideMark/>
          </w:tcPr>
          <w:p w14:paraId="575B2EA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1</w:t>
            </w:r>
          </w:p>
        </w:tc>
        <w:tc>
          <w:tcPr>
            <w:tcW w:w="488" w:type="pct"/>
            <w:shd w:val="clear" w:color="auto" w:fill="auto"/>
            <w:noWrap/>
            <w:vAlign w:val="center"/>
            <w:hideMark/>
          </w:tcPr>
          <w:p w14:paraId="60189EA5"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5.2</w:t>
            </w:r>
          </w:p>
        </w:tc>
        <w:tc>
          <w:tcPr>
            <w:tcW w:w="488" w:type="pct"/>
            <w:shd w:val="clear" w:color="auto" w:fill="auto"/>
            <w:noWrap/>
            <w:vAlign w:val="center"/>
            <w:hideMark/>
          </w:tcPr>
          <w:p w14:paraId="2B8AF6B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0D2764A2"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3B4C5D63"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1</w:t>
            </w:r>
          </w:p>
        </w:tc>
      </w:tr>
      <w:tr w:rsidR="00CD0565" w:rsidRPr="004D0A64" w14:paraId="45F2E62F" w14:textId="77777777" w:rsidTr="009E5202">
        <w:trPr>
          <w:trHeight w:val="288"/>
        </w:trPr>
        <w:tc>
          <w:tcPr>
            <w:tcW w:w="1588" w:type="pct"/>
            <w:vMerge w:val="restart"/>
            <w:shd w:val="clear" w:color="auto" w:fill="auto"/>
            <w:noWrap/>
            <w:vAlign w:val="center"/>
          </w:tcPr>
          <w:p w14:paraId="648734D9"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Decision Criteria</w:t>
            </w:r>
          </w:p>
        </w:tc>
        <w:tc>
          <w:tcPr>
            <w:tcW w:w="3412" w:type="pct"/>
            <w:gridSpan w:val="7"/>
            <w:shd w:val="clear" w:color="auto" w:fill="auto"/>
            <w:noWrap/>
            <w:vAlign w:val="center"/>
          </w:tcPr>
          <w:p w14:paraId="32035C2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b/>
                <w:bCs/>
                <w:color w:val="000000" w:themeColor="text1"/>
                <w:sz w:val="21"/>
                <w:szCs w:val="21"/>
              </w:rPr>
              <w:t>Criteria Importance Score (Scale 0-5)</w:t>
            </w:r>
          </w:p>
        </w:tc>
      </w:tr>
      <w:tr w:rsidR="00CD0565" w:rsidRPr="004D0A64" w14:paraId="12951DA0" w14:textId="77777777" w:rsidTr="009E5202">
        <w:trPr>
          <w:trHeight w:val="1403"/>
        </w:trPr>
        <w:tc>
          <w:tcPr>
            <w:tcW w:w="1588" w:type="pct"/>
            <w:vMerge/>
            <w:shd w:val="clear" w:color="auto" w:fill="auto"/>
            <w:noWrap/>
            <w:vAlign w:val="center"/>
          </w:tcPr>
          <w:p w14:paraId="127584C0"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p>
        </w:tc>
        <w:tc>
          <w:tcPr>
            <w:tcW w:w="487" w:type="pct"/>
            <w:shd w:val="clear" w:color="auto" w:fill="auto"/>
            <w:noWrap/>
            <w:textDirection w:val="btLr"/>
            <w:vAlign w:val="center"/>
          </w:tcPr>
          <w:p w14:paraId="41726DE6" w14:textId="77777777" w:rsidR="00CD0565" w:rsidRPr="004D0A64" w:rsidRDefault="00CD0565" w:rsidP="002001C9">
            <w:pPr>
              <w:spacing w:after="0" w:line="240" w:lineRule="auto"/>
              <w:rPr>
                <w:rFonts w:eastAsia="Times New Roman" w:cs="Times New Roman"/>
                <w:color w:val="000000" w:themeColor="text1"/>
                <w:sz w:val="21"/>
                <w:szCs w:val="21"/>
              </w:rPr>
            </w:pPr>
            <w:r w:rsidRPr="004D0A64">
              <w:rPr>
                <w:rFonts w:eastAsia="Times New Roman" w:cs="Times New Roman"/>
                <w:b/>
                <w:bCs/>
                <w:color w:val="000000" w:themeColor="text1"/>
                <w:sz w:val="21"/>
                <w:szCs w:val="21"/>
              </w:rPr>
              <w:t>Large Project Scale</w:t>
            </w:r>
          </w:p>
        </w:tc>
        <w:tc>
          <w:tcPr>
            <w:tcW w:w="487" w:type="pct"/>
            <w:shd w:val="clear" w:color="auto" w:fill="auto"/>
            <w:noWrap/>
            <w:textDirection w:val="btLr"/>
            <w:vAlign w:val="center"/>
          </w:tcPr>
          <w:p w14:paraId="5DEEFA94" w14:textId="77777777" w:rsidR="00CD0565" w:rsidRPr="004D0A64" w:rsidRDefault="00CD0565" w:rsidP="002001C9">
            <w:pPr>
              <w:spacing w:after="0" w:line="240" w:lineRule="auto"/>
              <w:rPr>
                <w:rFonts w:eastAsia="Times New Roman" w:cs="Times New Roman"/>
                <w:color w:val="000000" w:themeColor="text1"/>
                <w:sz w:val="21"/>
                <w:szCs w:val="21"/>
              </w:rPr>
            </w:pPr>
            <w:r w:rsidRPr="004D0A64">
              <w:rPr>
                <w:rFonts w:eastAsia="Times New Roman" w:cs="Times New Roman"/>
                <w:b/>
                <w:bCs/>
                <w:color w:val="000000" w:themeColor="text1"/>
                <w:sz w:val="21"/>
                <w:szCs w:val="21"/>
              </w:rPr>
              <w:t>Exact Investment Timing</w:t>
            </w:r>
          </w:p>
        </w:tc>
        <w:tc>
          <w:tcPr>
            <w:tcW w:w="488" w:type="pct"/>
            <w:shd w:val="clear" w:color="auto" w:fill="auto"/>
            <w:noWrap/>
            <w:textDirection w:val="btLr"/>
            <w:vAlign w:val="center"/>
          </w:tcPr>
          <w:p w14:paraId="340FDA6E" w14:textId="77777777" w:rsidR="00CD0565" w:rsidRPr="004D0A64" w:rsidRDefault="00CD0565" w:rsidP="002001C9">
            <w:pPr>
              <w:spacing w:after="0" w:line="240" w:lineRule="auto"/>
              <w:rPr>
                <w:rFonts w:eastAsia="Times New Roman" w:cs="Times New Roman"/>
                <w:color w:val="000000" w:themeColor="text1"/>
                <w:sz w:val="21"/>
                <w:szCs w:val="21"/>
              </w:rPr>
            </w:pPr>
            <w:r w:rsidRPr="004D0A64">
              <w:rPr>
                <w:rFonts w:eastAsia="Times New Roman" w:cs="Times New Roman"/>
                <w:b/>
                <w:bCs/>
                <w:color w:val="000000" w:themeColor="text1"/>
                <w:sz w:val="21"/>
                <w:szCs w:val="21"/>
              </w:rPr>
              <w:t>Long-term Investment</w:t>
            </w:r>
          </w:p>
        </w:tc>
        <w:tc>
          <w:tcPr>
            <w:tcW w:w="488" w:type="pct"/>
            <w:shd w:val="clear" w:color="auto" w:fill="auto"/>
            <w:noWrap/>
            <w:textDirection w:val="btLr"/>
            <w:vAlign w:val="center"/>
          </w:tcPr>
          <w:p w14:paraId="5F3B7F8E" w14:textId="77777777" w:rsidR="00CD0565" w:rsidRPr="004D0A64" w:rsidRDefault="00CD0565" w:rsidP="002001C9">
            <w:pPr>
              <w:spacing w:after="0" w:line="240" w:lineRule="auto"/>
              <w:rPr>
                <w:rFonts w:eastAsia="Times New Roman" w:cs="Times New Roman"/>
                <w:color w:val="000000" w:themeColor="text1"/>
                <w:sz w:val="21"/>
                <w:szCs w:val="21"/>
              </w:rPr>
            </w:pPr>
            <w:r w:rsidRPr="004D0A64">
              <w:rPr>
                <w:rFonts w:eastAsia="Times New Roman" w:cs="Times New Roman"/>
                <w:b/>
                <w:bCs/>
                <w:color w:val="000000" w:themeColor="text1"/>
                <w:sz w:val="21"/>
                <w:szCs w:val="21"/>
              </w:rPr>
              <w:t>Significance</w:t>
            </w:r>
          </w:p>
        </w:tc>
        <w:tc>
          <w:tcPr>
            <w:tcW w:w="488" w:type="pct"/>
            <w:shd w:val="clear" w:color="auto" w:fill="auto"/>
            <w:noWrap/>
            <w:textDirection w:val="btLr"/>
            <w:vAlign w:val="center"/>
          </w:tcPr>
          <w:p w14:paraId="08996360" w14:textId="77777777" w:rsidR="00CD0565" w:rsidRPr="004D0A64" w:rsidRDefault="00CD0565" w:rsidP="002001C9">
            <w:pPr>
              <w:spacing w:after="0" w:line="240" w:lineRule="auto"/>
              <w:rPr>
                <w:rFonts w:eastAsia="Times New Roman" w:cs="Times New Roman"/>
                <w:color w:val="000000" w:themeColor="text1"/>
                <w:sz w:val="21"/>
                <w:szCs w:val="21"/>
              </w:rPr>
            </w:pPr>
            <w:r w:rsidRPr="004D0A64">
              <w:rPr>
                <w:rFonts w:eastAsia="Times New Roman" w:cs="Times New Roman"/>
                <w:b/>
                <w:bCs/>
                <w:color w:val="000000" w:themeColor="text1"/>
                <w:sz w:val="21"/>
                <w:szCs w:val="21"/>
              </w:rPr>
              <w:t>Innovation</w:t>
            </w:r>
          </w:p>
        </w:tc>
        <w:tc>
          <w:tcPr>
            <w:tcW w:w="488" w:type="pct"/>
            <w:shd w:val="clear" w:color="auto" w:fill="auto"/>
            <w:noWrap/>
            <w:textDirection w:val="btLr"/>
            <w:vAlign w:val="center"/>
          </w:tcPr>
          <w:p w14:paraId="7F8605DB" w14:textId="77777777" w:rsidR="00CD0565" w:rsidRPr="004D0A64" w:rsidRDefault="00CD0565" w:rsidP="002001C9">
            <w:pPr>
              <w:spacing w:after="0" w:line="240" w:lineRule="auto"/>
              <w:rPr>
                <w:rFonts w:eastAsia="Times New Roman" w:cs="Times New Roman"/>
                <w:color w:val="000000" w:themeColor="text1"/>
                <w:sz w:val="21"/>
                <w:szCs w:val="21"/>
              </w:rPr>
            </w:pPr>
            <w:r w:rsidRPr="004D0A64">
              <w:rPr>
                <w:rFonts w:eastAsia="Times New Roman" w:cs="Times New Roman"/>
                <w:b/>
                <w:bCs/>
                <w:color w:val="000000" w:themeColor="text1"/>
                <w:sz w:val="21"/>
                <w:szCs w:val="21"/>
              </w:rPr>
              <w:t>Sustainable Project</w:t>
            </w:r>
          </w:p>
        </w:tc>
        <w:tc>
          <w:tcPr>
            <w:tcW w:w="487" w:type="pct"/>
            <w:shd w:val="clear" w:color="auto" w:fill="auto"/>
            <w:noWrap/>
            <w:textDirection w:val="btLr"/>
            <w:vAlign w:val="center"/>
          </w:tcPr>
          <w:p w14:paraId="539B944D" w14:textId="77777777" w:rsidR="00CD0565" w:rsidRPr="004D0A64" w:rsidRDefault="00CD0565" w:rsidP="002001C9">
            <w:pPr>
              <w:spacing w:after="0" w:line="240" w:lineRule="auto"/>
              <w:rPr>
                <w:rFonts w:eastAsia="Times New Roman" w:cs="Times New Roman"/>
                <w:color w:val="000000" w:themeColor="text1"/>
                <w:sz w:val="21"/>
                <w:szCs w:val="21"/>
              </w:rPr>
            </w:pPr>
            <w:r w:rsidRPr="004D0A64">
              <w:rPr>
                <w:rFonts w:eastAsia="Times New Roman" w:cs="Times New Roman"/>
                <w:b/>
                <w:bCs/>
                <w:color w:val="000000" w:themeColor="text1"/>
                <w:sz w:val="21"/>
                <w:szCs w:val="21"/>
              </w:rPr>
              <w:t>Equity Conscious Project</w:t>
            </w:r>
          </w:p>
        </w:tc>
      </w:tr>
      <w:tr w:rsidR="00CD0565" w:rsidRPr="004D0A64" w14:paraId="7D633884" w14:textId="77777777" w:rsidTr="009E5202">
        <w:trPr>
          <w:trHeight w:val="288"/>
        </w:trPr>
        <w:tc>
          <w:tcPr>
            <w:tcW w:w="1588" w:type="pct"/>
            <w:shd w:val="clear" w:color="auto" w:fill="auto"/>
            <w:noWrap/>
            <w:vAlign w:val="center"/>
            <w:hideMark/>
          </w:tcPr>
          <w:p w14:paraId="7D9E39D2"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Predictability</w:t>
            </w:r>
          </w:p>
        </w:tc>
        <w:tc>
          <w:tcPr>
            <w:tcW w:w="487" w:type="pct"/>
            <w:shd w:val="clear" w:color="auto" w:fill="auto"/>
            <w:noWrap/>
            <w:vAlign w:val="center"/>
            <w:hideMark/>
          </w:tcPr>
          <w:p w14:paraId="3A1D1E0F"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5</w:t>
            </w:r>
          </w:p>
        </w:tc>
        <w:tc>
          <w:tcPr>
            <w:tcW w:w="487" w:type="pct"/>
            <w:shd w:val="clear" w:color="auto" w:fill="auto"/>
            <w:noWrap/>
            <w:vAlign w:val="center"/>
            <w:hideMark/>
          </w:tcPr>
          <w:p w14:paraId="0A16E72A"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4</w:t>
            </w:r>
          </w:p>
        </w:tc>
        <w:tc>
          <w:tcPr>
            <w:tcW w:w="488" w:type="pct"/>
            <w:shd w:val="clear" w:color="auto" w:fill="auto"/>
            <w:noWrap/>
            <w:vAlign w:val="center"/>
            <w:hideMark/>
          </w:tcPr>
          <w:p w14:paraId="2BAEF533"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2016F2E"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4</w:t>
            </w:r>
          </w:p>
        </w:tc>
        <w:tc>
          <w:tcPr>
            <w:tcW w:w="488" w:type="pct"/>
            <w:shd w:val="clear" w:color="auto" w:fill="auto"/>
            <w:noWrap/>
            <w:vAlign w:val="center"/>
            <w:hideMark/>
          </w:tcPr>
          <w:p w14:paraId="3C1326C1"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5C29B72"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55D23C61"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28D41F2E" w14:textId="77777777" w:rsidTr="009E5202">
        <w:trPr>
          <w:trHeight w:val="288"/>
        </w:trPr>
        <w:tc>
          <w:tcPr>
            <w:tcW w:w="1588" w:type="pct"/>
            <w:shd w:val="clear" w:color="auto" w:fill="auto"/>
            <w:noWrap/>
            <w:vAlign w:val="center"/>
            <w:hideMark/>
          </w:tcPr>
          <w:p w14:paraId="627C13A4"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Stability</w:t>
            </w:r>
          </w:p>
        </w:tc>
        <w:tc>
          <w:tcPr>
            <w:tcW w:w="487" w:type="pct"/>
            <w:shd w:val="clear" w:color="auto" w:fill="auto"/>
            <w:noWrap/>
            <w:vAlign w:val="center"/>
            <w:hideMark/>
          </w:tcPr>
          <w:p w14:paraId="4D0A65C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4</w:t>
            </w:r>
          </w:p>
        </w:tc>
        <w:tc>
          <w:tcPr>
            <w:tcW w:w="487" w:type="pct"/>
            <w:shd w:val="clear" w:color="auto" w:fill="auto"/>
            <w:noWrap/>
            <w:vAlign w:val="center"/>
            <w:hideMark/>
          </w:tcPr>
          <w:p w14:paraId="22F0408B"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5</w:t>
            </w:r>
          </w:p>
        </w:tc>
        <w:tc>
          <w:tcPr>
            <w:tcW w:w="488" w:type="pct"/>
            <w:shd w:val="clear" w:color="auto" w:fill="auto"/>
            <w:noWrap/>
            <w:vAlign w:val="center"/>
            <w:hideMark/>
          </w:tcPr>
          <w:p w14:paraId="75E8CA84"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EAE28BA"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4</w:t>
            </w:r>
          </w:p>
        </w:tc>
        <w:tc>
          <w:tcPr>
            <w:tcW w:w="488" w:type="pct"/>
            <w:shd w:val="clear" w:color="auto" w:fill="auto"/>
            <w:noWrap/>
            <w:vAlign w:val="center"/>
            <w:hideMark/>
          </w:tcPr>
          <w:p w14:paraId="7A5D74A8"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6E51526E"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40D43A7A"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5CE43FBC" w14:textId="77777777" w:rsidTr="009E5202">
        <w:trPr>
          <w:trHeight w:val="288"/>
        </w:trPr>
        <w:tc>
          <w:tcPr>
            <w:tcW w:w="1588" w:type="pct"/>
            <w:shd w:val="clear" w:color="auto" w:fill="auto"/>
            <w:noWrap/>
            <w:vAlign w:val="center"/>
            <w:hideMark/>
          </w:tcPr>
          <w:p w14:paraId="6CBCFEC6"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Sustainability</w:t>
            </w:r>
          </w:p>
        </w:tc>
        <w:tc>
          <w:tcPr>
            <w:tcW w:w="487" w:type="pct"/>
            <w:shd w:val="clear" w:color="auto" w:fill="auto"/>
            <w:noWrap/>
            <w:vAlign w:val="center"/>
            <w:hideMark/>
          </w:tcPr>
          <w:p w14:paraId="2986F4AE"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39658FB4"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0846B3BA"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3</w:t>
            </w:r>
          </w:p>
        </w:tc>
        <w:tc>
          <w:tcPr>
            <w:tcW w:w="488" w:type="pct"/>
            <w:shd w:val="clear" w:color="auto" w:fill="auto"/>
            <w:noWrap/>
            <w:vAlign w:val="center"/>
            <w:hideMark/>
          </w:tcPr>
          <w:p w14:paraId="1B69970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3CD49534"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26CD0AB"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638E15B9"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385C7913" w14:textId="77777777" w:rsidTr="009E5202">
        <w:trPr>
          <w:trHeight w:val="288"/>
        </w:trPr>
        <w:tc>
          <w:tcPr>
            <w:tcW w:w="1588" w:type="pct"/>
            <w:shd w:val="clear" w:color="auto" w:fill="auto"/>
            <w:noWrap/>
            <w:vAlign w:val="center"/>
            <w:hideMark/>
          </w:tcPr>
          <w:p w14:paraId="3B6DEDDB"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Revenue Potential</w:t>
            </w:r>
          </w:p>
        </w:tc>
        <w:tc>
          <w:tcPr>
            <w:tcW w:w="487" w:type="pct"/>
            <w:shd w:val="clear" w:color="auto" w:fill="auto"/>
            <w:noWrap/>
            <w:vAlign w:val="center"/>
            <w:hideMark/>
          </w:tcPr>
          <w:p w14:paraId="034ACD3E"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5</w:t>
            </w:r>
          </w:p>
        </w:tc>
        <w:tc>
          <w:tcPr>
            <w:tcW w:w="487" w:type="pct"/>
            <w:shd w:val="clear" w:color="auto" w:fill="auto"/>
            <w:noWrap/>
            <w:vAlign w:val="center"/>
            <w:hideMark/>
          </w:tcPr>
          <w:p w14:paraId="67B07F77"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916DE0F"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D51D085"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6B96DE2"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52B962C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2D0F2072"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43C572B1" w14:textId="77777777" w:rsidTr="009E5202">
        <w:trPr>
          <w:trHeight w:val="288"/>
        </w:trPr>
        <w:tc>
          <w:tcPr>
            <w:tcW w:w="1588" w:type="pct"/>
            <w:shd w:val="clear" w:color="auto" w:fill="auto"/>
            <w:noWrap/>
            <w:vAlign w:val="center"/>
            <w:hideMark/>
          </w:tcPr>
          <w:p w14:paraId="4E9DA891"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Current Use Status</w:t>
            </w:r>
          </w:p>
        </w:tc>
        <w:tc>
          <w:tcPr>
            <w:tcW w:w="487" w:type="pct"/>
            <w:shd w:val="clear" w:color="auto" w:fill="auto"/>
            <w:noWrap/>
            <w:vAlign w:val="center"/>
            <w:hideMark/>
          </w:tcPr>
          <w:p w14:paraId="11589447"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0E3D13DB"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2</w:t>
            </w:r>
          </w:p>
        </w:tc>
        <w:tc>
          <w:tcPr>
            <w:tcW w:w="488" w:type="pct"/>
            <w:shd w:val="clear" w:color="auto" w:fill="auto"/>
            <w:noWrap/>
            <w:vAlign w:val="center"/>
            <w:hideMark/>
          </w:tcPr>
          <w:p w14:paraId="582F648A"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2D30F3E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2</w:t>
            </w:r>
          </w:p>
        </w:tc>
        <w:tc>
          <w:tcPr>
            <w:tcW w:w="488" w:type="pct"/>
            <w:shd w:val="clear" w:color="auto" w:fill="auto"/>
            <w:noWrap/>
            <w:vAlign w:val="center"/>
            <w:hideMark/>
          </w:tcPr>
          <w:p w14:paraId="4A08A7E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91D0B8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7A4F0025"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15254D87" w14:textId="77777777" w:rsidTr="009E5202">
        <w:trPr>
          <w:trHeight w:val="288"/>
        </w:trPr>
        <w:tc>
          <w:tcPr>
            <w:tcW w:w="1588" w:type="pct"/>
            <w:shd w:val="clear" w:color="auto" w:fill="auto"/>
            <w:noWrap/>
            <w:vAlign w:val="center"/>
            <w:hideMark/>
          </w:tcPr>
          <w:p w14:paraId="08CDD5D5"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Ease of Implementation</w:t>
            </w:r>
          </w:p>
        </w:tc>
        <w:tc>
          <w:tcPr>
            <w:tcW w:w="487" w:type="pct"/>
            <w:shd w:val="clear" w:color="auto" w:fill="auto"/>
            <w:noWrap/>
            <w:vAlign w:val="center"/>
            <w:hideMark/>
          </w:tcPr>
          <w:p w14:paraId="5B910493"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65695E15"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164B2DF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5D2E0FA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B1B4DB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1821DDB"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27C03E5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071138A4" w14:textId="77777777" w:rsidTr="009E5202">
        <w:trPr>
          <w:trHeight w:val="288"/>
        </w:trPr>
        <w:tc>
          <w:tcPr>
            <w:tcW w:w="1588" w:type="pct"/>
            <w:shd w:val="clear" w:color="auto" w:fill="auto"/>
            <w:noWrap/>
            <w:vAlign w:val="center"/>
            <w:hideMark/>
          </w:tcPr>
          <w:p w14:paraId="531C026B"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Ability to Enforce</w:t>
            </w:r>
          </w:p>
        </w:tc>
        <w:tc>
          <w:tcPr>
            <w:tcW w:w="487" w:type="pct"/>
            <w:shd w:val="clear" w:color="auto" w:fill="auto"/>
            <w:noWrap/>
            <w:vAlign w:val="center"/>
            <w:hideMark/>
          </w:tcPr>
          <w:p w14:paraId="74959C8F"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2AA4040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13C21F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2AF0DAC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504CAB1"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53E0EB6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76B489A3"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52D665C2" w14:textId="77777777" w:rsidTr="009E5202">
        <w:trPr>
          <w:trHeight w:val="288"/>
        </w:trPr>
        <w:tc>
          <w:tcPr>
            <w:tcW w:w="1588" w:type="pct"/>
            <w:shd w:val="clear" w:color="auto" w:fill="auto"/>
            <w:noWrap/>
            <w:vAlign w:val="center"/>
            <w:hideMark/>
          </w:tcPr>
          <w:p w14:paraId="3AB699F6"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Public Acceptance</w:t>
            </w:r>
          </w:p>
        </w:tc>
        <w:tc>
          <w:tcPr>
            <w:tcW w:w="487" w:type="pct"/>
            <w:shd w:val="clear" w:color="auto" w:fill="auto"/>
            <w:noWrap/>
            <w:vAlign w:val="center"/>
            <w:hideMark/>
          </w:tcPr>
          <w:p w14:paraId="0A3D368E"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6962A44C"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0845F917"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7F719608"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395B754"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61A6E642"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5ADC5C8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4DC84EEE" w14:textId="77777777" w:rsidTr="009E5202">
        <w:trPr>
          <w:trHeight w:val="288"/>
        </w:trPr>
        <w:tc>
          <w:tcPr>
            <w:tcW w:w="1588" w:type="pct"/>
            <w:shd w:val="clear" w:color="auto" w:fill="auto"/>
            <w:noWrap/>
            <w:vAlign w:val="center"/>
            <w:hideMark/>
          </w:tcPr>
          <w:p w14:paraId="060A9E98"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Promotion of Efficient Use</w:t>
            </w:r>
          </w:p>
        </w:tc>
        <w:tc>
          <w:tcPr>
            <w:tcW w:w="487" w:type="pct"/>
            <w:shd w:val="clear" w:color="auto" w:fill="auto"/>
            <w:noWrap/>
            <w:vAlign w:val="center"/>
            <w:hideMark/>
          </w:tcPr>
          <w:p w14:paraId="6072DBE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316AE69D"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6D1DE9A0"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2F98A21A"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0D8F8668"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5623F7C8"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1</w:t>
            </w:r>
          </w:p>
        </w:tc>
        <w:tc>
          <w:tcPr>
            <w:tcW w:w="487" w:type="pct"/>
            <w:shd w:val="clear" w:color="auto" w:fill="auto"/>
            <w:noWrap/>
            <w:vAlign w:val="center"/>
            <w:hideMark/>
          </w:tcPr>
          <w:p w14:paraId="3CE58FBE"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r>
      <w:tr w:rsidR="00CD0565" w:rsidRPr="004D0A64" w14:paraId="20864F1D" w14:textId="77777777" w:rsidTr="009E5202">
        <w:trPr>
          <w:trHeight w:val="288"/>
        </w:trPr>
        <w:tc>
          <w:tcPr>
            <w:tcW w:w="1588" w:type="pct"/>
            <w:shd w:val="clear" w:color="auto" w:fill="auto"/>
            <w:noWrap/>
            <w:vAlign w:val="center"/>
            <w:hideMark/>
          </w:tcPr>
          <w:p w14:paraId="1888D150"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User/Beneficiary Cost</w:t>
            </w:r>
          </w:p>
        </w:tc>
        <w:tc>
          <w:tcPr>
            <w:tcW w:w="487" w:type="pct"/>
            <w:shd w:val="clear" w:color="auto" w:fill="auto"/>
            <w:noWrap/>
            <w:vAlign w:val="center"/>
            <w:hideMark/>
          </w:tcPr>
          <w:p w14:paraId="53D29D2A"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51E42973"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39170EC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49E8E48"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11C53D85"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56D5D73B"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1</w:t>
            </w:r>
          </w:p>
        </w:tc>
        <w:tc>
          <w:tcPr>
            <w:tcW w:w="487" w:type="pct"/>
            <w:shd w:val="clear" w:color="auto" w:fill="auto"/>
            <w:noWrap/>
            <w:vAlign w:val="center"/>
            <w:hideMark/>
          </w:tcPr>
          <w:p w14:paraId="64AEC9F3"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3</w:t>
            </w:r>
          </w:p>
        </w:tc>
      </w:tr>
      <w:tr w:rsidR="00CD0565" w:rsidRPr="004D0A64" w14:paraId="2893BE5C" w14:textId="77777777" w:rsidTr="009E5202">
        <w:trPr>
          <w:trHeight w:val="288"/>
        </w:trPr>
        <w:tc>
          <w:tcPr>
            <w:tcW w:w="1588" w:type="pct"/>
            <w:shd w:val="clear" w:color="auto" w:fill="auto"/>
            <w:noWrap/>
            <w:vAlign w:val="center"/>
            <w:hideMark/>
          </w:tcPr>
          <w:p w14:paraId="5B95CB39" w14:textId="77777777" w:rsidR="00CD0565" w:rsidRPr="004D0A64" w:rsidRDefault="00CD0565" w:rsidP="002001C9">
            <w:pPr>
              <w:spacing w:after="0" w:line="240" w:lineRule="auto"/>
              <w:jc w:val="both"/>
              <w:rPr>
                <w:rFonts w:eastAsia="Times New Roman" w:cs="Times New Roman"/>
                <w:b/>
                <w:bCs/>
                <w:color w:val="000000" w:themeColor="text1"/>
                <w:sz w:val="21"/>
                <w:szCs w:val="21"/>
              </w:rPr>
            </w:pPr>
            <w:r w:rsidRPr="004D0A64">
              <w:rPr>
                <w:rFonts w:eastAsia="Times New Roman" w:cs="Times New Roman"/>
                <w:b/>
                <w:bCs/>
                <w:color w:val="000000" w:themeColor="text1"/>
                <w:sz w:val="21"/>
                <w:szCs w:val="21"/>
              </w:rPr>
              <w:t>Promotion of Social Equity</w:t>
            </w:r>
          </w:p>
        </w:tc>
        <w:tc>
          <w:tcPr>
            <w:tcW w:w="487" w:type="pct"/>
            <w:shd w:val="clear" w:color="auto" w:fill="auto"/>
            <w:noWrap/>
            <w:vAlign w:val="center"/>
            <w:hideMark/>
          </w:tcPr>
          <w:p w14:paraId="1CA232AF"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157F2969"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A645FB6"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07B8964C"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F6A9888"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8" w:type="pct"/>
            <w:shd w:val="clear" w:color="auto" w:fill="auto"/>
            <w:noWrap/>
            <w:vAlign w:val="center"/>
            <w:hideMark/>
          </w:tcPr>
          <w:p w14:paraId="476A78B7"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0</w:t>
            </w:r>
          </w:p>
        </w:tc>
        <w:tc>
          <w:tcPr>
            <w:tcW w:w="487" w:type="pct"/>
            <w:shd w:val="clear" w:color="auto" w:fill="auto"/>
            <w:noWrap/>
            <w:vAlign w:val="center"/>
            <w:hideMark/>
          </w:tcPr>
          <w:p w14:paraId="5AA5E01E" w14:textId="77777777" w:rsidR="00CD0565" w:rsidRPr="004D0A64" w:rsidRDefault="00CD0565" w:rsidP="002001C9">
            <w:pPr>
              <w:spacing w:after="0" w:line="240" w:lineRule="auto"/>
              <w:jc w:val="center"/>
              <w:rPr>
                <w:rFonts w:eastAsia="Times New Roman" w:cs="Times New Roman"/>
                <w:color w:val="000000" w:themeColor="text1"/>
                <w:sz w:val="21"/>
                <w:szCs w:val="21"/>
              </w:rPr>
            </w:pPr>
            <w:r w:rsidRPr="004D0A64">
              <w:rPr>
                <w:rFonts w:eastAsia="Times New Roman" w:cs="Times New Roman"/>
                <w:color w:val="000000" w:themeColor="text1"/>
                <w:sz w:val="21"/>
                <w:szCs w:val="21"/>
              </w:rPr>
              <w:t>4</w:t>
            </w:r>
          </w:p>
        </w:tc>
      </w:tr>
      <w:bookmarkEnd w:id="50"/>
    </w:tbl>
    <w:p w14:paraId="7ECD668B" w14:textId="281A634D" w:rsidR="004D57BD" w:rsidRDefault="004D57BD" w:rsidP="002001C9">
      <w:pPr>
        <w:spacing w:after="0" w:line="240" w:lineRule="auto"/>
        <w:sectPr w:rsidR="004D57BD" w:rsidSect="00F642E4">
          <w:footerReference w:type="default" r:id="rId18"/>
          <w:headerReference w:type="first" r:id="rId19"/>
          <w:pgSz w:w="12240" w:h="15840"/>
          <w:pgMar w:top="1440" w:right="1440" w:bottom="1440" w:left="1440" w:header="720" w:footer="720" w:gutter="0"/>
          <w:pgNumType w:start="1"/>
          <w:cols w:space="720"/>
          <w:docGrid w:linePitch="360"/>
        </w:sectPr>
      </w:pPr>
    </w:p>
    <w:p w14:paraId="10443E59" w14:textId="77777777" w:rsidR="00336350" w:rsidRDefault="00336350" w:rsidP="002001C9">
      <w:pPr>
        <w:spacing w:after="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40"/>
        <w:gridCol w:w="4620"/>
      </w:tblGrid>
      <w:tr w:rsidR="00A26D2D" w:rsidRPr="00CD0565" w14:paraId="1995C213" w14:textId="77777777" w:rsidTr="00CD0565">
        <w:tc>
          <w:tcPr>
            <w:tcW w:w="4740" w:type="dxa"/>
          </w:tcPr>
          <w:p w14:paraId="54606558" w14:textId="22757CDF" w:rsidR="00A26D2D" w:rsidRPr="00CD0565" w:rsidRDefault="00C22F3A" w:rsidP="00C22F3A">
            <w:pPr>
              <w:pStyle w:val="ListParagraph"/>
              <w:numPr>
                <w:ilvl w:val="0"/>
                <w:numId w:val="8"/>
              </w:numPr>
              <w:rPr>
                <w:rFonts w:cs="Times New Roman"/>
                <w:b/>
                <w:bCs/>
                <w:noProof/>
                <w:color w:val="000000" w:themeColor="text1"/>
              </w:rPr>
            </w:pPr>
            <w:r>
              <w:rPr>
                <w:rFonts w:cs="Times New Roman"/>
                <w:b/>
                <w:bCs/>
                <w:noProof/>
                <w:color w:val="000000" w:themeColor="text1"/>
              </w:rPr>
              <w:lastRenderedPageBreak/>
              <w:t>Large Project</w:t>
            </w:r>
          </w:p>
        </w:tc>
        <w:tc>
          <w:tcPr>
            <w:tcW w:w="4620" w:type="dxa"/>
          </w:tcPr>
          <w:p w14:paraId="111CD14A" w14:textId="287DBFD1" w:rsidR="00A26D2D" w:rsidRPr="00CD0565" w:rsidRDefault="00C22F3A" w:rsidP="00C22F3A">
            <w:pPr>
              <w:pStyle w:val="ListParagraph"/>
              <w:numPr>
                <w:ilvl w:val="0"/>
                <w:numId w:val="8"/>
              </w:numPr>
              <w:rPr>
                <w:rFonts w:cs="Times New Roman"/>
                <w:b/>
                <w:bCs/>
                <w:noProof/>
                <w:color w:val="000000" w:themeColor="text1"/>
              </w:rPr>
            </w:pPr>
            <w:r>
              <w:rPr>
                <w:rFonts w:cs="Times New Roman"/>
                <w:b/>
                <w:bCs/>
                <w:noProof/>
                <w:color w:val="000000" w:themeColor="text1"/>
              </w:rPr>
              <w:t>Exact Investment</w:t>
            </w:r>
          </w:p>
        </w:tc>
      </w:tr>
      <w:tr w:rsidR="00A26D2D" w:rsidRPr="00CD0565" w14:paraId="15CE7D65" w14:textId="77777777" w:rsidTr="00CD0565">
        <w:tc>
          <w:tcPr>
            <w:tcW w:w="4740" w:type="dxa"/>
          </w:tcPr>
          <w:p w14:paraId="2143239A" w14:textId="77777777" w:rsidR="00A26D2D" w:rsidRPr="00CD0565" w:rsidRDefault="00A26D2D" w:rsidP="00C22F3A">
            <w:pPr>
              <w:contextualSpacing/>
              <w:rPr>
                <w:rFonts w:cs="Times New Roman"/>
                <w:b/>
                <w:bCs/>
                <w:color w:val="000000" w:themeColor="text1"/>
              </w:rPr>
            </w:pPr>
            <w:r w:rsidRPr="00CD0565">
              <w:rPr>
                <w:rFonts w:cs="Times New Roman"/>
                <w:b/>
                <w:bCs/>
                <w:noProof/>
                <w:color w:val="000000" w:themeColor="text1"/>
              </w:rPr>
              <w:drawing>
                <wp:inline distT="0" distB="0" distL="0" distR="0" wp14:anchorId="093D62FE" wp14:editId="42DAEA22">
                  <wp:extent cx="2926080" cy="2286000"/>
                  <wp:effectExtent l="0" t="0" r="7620" b="0"/>
                  <wp:docPr id="4" name="Chart 4">
                    <a:extLst xmlns:a="http://schemas.openxmlformats.org/drawingml/2006/main">
                      <a:ext uri="{FF2B5EF4-FFF2-40B4-BE49-F238E27FC236}">
                        <a16:creationId xmlns:a16="http://schemas.microsoft.com/office/drawing/2014/main" id="{3AE4287F-3A2C-46A1-8F40-4A44AC050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20" w:type="dxa"/>
          </w:tcPr>
          <w:p w14:paraId="27B9967A" w14:textId="77777777" w:rsidR="00A26D2D" w:rsidRPr="00CD0565" w:rsidRDefault="00A26D2D" w:rsidP="00C22F3A">
            <w:pPr>
              <w:contextualSpacing/>
              <w:rPr>
                <w:rFonts w:cs="Times New Roman"/>
                <w:b/>
                <w:bCs/>
                <w:color w:val="000000" w:themeColor="text1"/>
              </w:rPr>
            </w:pPr>
            <w:r w:rsidRPr="00CD0565">
              <w:rPr>
                <w:rFonts w:cs="Times New Roman"/>
                <w:b/>
                <w:bCs/>
                <w:noProof/>
                <w:color w:val="000000" w:themeColor="text1"/>
              </w:rPr>
              <w:drawing>
                <wp:inline distT="0" distB="0" distL="0" distR="0" wp14:anchorId="36603D31" wp14:editId="5BD67220">
                  <wp:extent cx="2926080" cy="2286000"/>
                  <wp:effectExtent l="0" t="0" r="7620" b="0"/>
                  <wp:docPr id="2" name="Chart 2">
                    <a:extLst xmlns:a="http://schemas.openxmlformats.org/drawingml/2006/main">
                      <a:ext uri="{FF2B5EF4-FFF2-40B4-BE49-F238E27FC236}">
                        <a16:creationId xmlns:a16="http://schemas.microsoft.com/office/drawing/2014/main" id="{DB6A861A-C066-4149-806A-5F2297269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26D2D" w:rsidRPr="00CD0565" w14:paraId="23D00652" w14:textId="77777777" w:rsidTr="00CD0565">
        <w:tc>
          <w:tcPr>
            <w:tcW w:w="4740" w:type="dxa"/>
          </w:tcPr>
          <w:p w14:paraId="2DAD5293" w14:textId="17A04E03" w:rsidR="00A26D2D" w:rsidRPr="00CD0565" w:rsidRDefault="00752A33" w:rsidP="00A26D2D">
            <w:pPr>
              <w:pStyle w:val="ListParagraph"/>
              <w:numPr>
                <w:ilvl w:val="0"/>
                <w:numId w:val="8"/>
              </w:numPr>
              <w:rPr>
                <w:rFonts w:cs="Times New Roman"/>
                <w:b/>
                <w:bCs/>
                <w:noProof/>
                <w:color w:val="000000" w:themeColor="text1"/>
              </w:rPr>
            </w:pPr>
            <w:r>
              <w:rPr>
                <w:rFonts w:cs="Times New Roman"/>
                <w:b/>
                <w:bCs/>
                <w:noProof/>
                <w:color w:val="000000" w:themeColor="text1"/>
              </w:rPr>
              <w:t>Long-Term Investment</w:t>
            </w:r>
          </w:p>
        </w:tc>
        <w:tc>
          <w:tcPr>
            <w:tcW w:w="4620" w:type="dxa"/>
          </w:tcPr>
          <w:p w14:paraId="6D45A4CC" w14:textId="5CF39F32" w:rsidR="00A26D2D" w:rsidRPr="00CD0565" w:rsidRDefault="00752A33" w:rsidP="00A26D2D">
            <w:pPr>
              <w:pStyle w:val="ListParagraph"/>
              <w:numPr>
                <w:ilvl w:val="0"/>
                <w:numId w:val="8"/>
              </w:numPr>
              <w:rPr>
                <w:rFonts w:cs="Times New Roman"/>
                <w:b/>
                <w:bCs/>
                <w:noProof/>
                <w:color w:val="000000" w:themeColor="text1"/>
              </w:rPr>
            </w:pPr>
            <w:r>
              <w:rPr>
                <w:rFonts w:cs="Times New Roman"/>
                <w:b/>
                <w:bCs/>
                <w:noProof/>
                <w:color w:val="000000" w:themeColor="text1"/>
              </w:rPr>
              <w:t>Significance</w:t>
            </w:r>
          </w:p>
        </w:tc>
      </w:tr>
      <w:tr w:rsidR="00A26D2D" w:rsidRPr="00CD0565" w14:paraId="7AD2B4BA" w14:textId="77777777" w:rsidTr="00CD0565">
        <w:tc>
          <w:tcPr>
            <w:tcW w:w="4740" w:type="dxa"/>
          </w:tcPr>
          <w:p w14:paraId="7E8F33F4" w14:textId="77777777" w:rsidR="00A26D2D" w:rsidRPr="00CD0565" w:rsidRDefault="00A26D2D" w:rsidP="001433CA">
            <w:pPr>
              <w:rPr>
                <w:rFonts w:cs="Times New Roman"/>
                <w:b/>
                <w:bCs/>
                <w:color w:val="000000" w:themeColor="text1"/>
              </w:rPr>
            </w:pPr>
            <w:r w:rsidRPr="00CD0565">
              <w:rPr>
                <w:rFonts w:cs="Times New Roman"/>
                <w:b/>
                <w:bCs/>
                <w:noProof/>
                <w:color w:val="000000" w:themeColor="text1"/>
              </w:rPr>
              <w:drawing>
                <wp:inline distT="0" distB="0" distL="0" distR="0" wp14:anchorId="2E57E56C" wp14:editId="33C61618">
                  <wp:extent cx="2926080" cy="2286000"/>
                  <wp:effectExtent l="0" t="0" r="7620" b="0"/>
                  <wp:docPr id="3" name="Chart 3">
                    <a:extLst xmlns:a="http://schemas.openxmlformats.org/drawingml/2006/main">
                      <a:ext uri="{FF2B5EF4-FFF2-40B4-BE49-F238E27FC236}">
                        <a16:creationId xmlns:a16="http://schemas.microsoft.com/office/drawing/2014/main" id="{480A0391-6947-48AD-B144-40D12786E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20" w:type="dxa"/>
          </w:tcPr>
          <w:p w14:paraId="56C9125F" w14:textId="77777777" w:rsidR="00A26D2D" w:rsidRPr="00CD0565" w:rsidRDefault="00A26D2D" w:rsidP="001433CA">
            <w:pPr>
              <w:rPr>
                <w:rFonts w:cs="Times New Roman"/>
                <w:b/>
                <w:bCs/>
                <w:color w:val="000000" w:themeColor="text1"/>
              </w:rPr>
            </w:pPr>
            <w:r w:rsidRPr="00CD0565">
              <w:rPr>
                <w:rFonts w:cs="Times New Roman"/>
                <w:b/>
                <w:bCs/>
                <w:noProof/>
                <w:color w:val="000000" w:themeColor="text1"/>
              </w:rPr>
              <w:drawing>
                <wp:inline distT="0" distB="0" distL="0" distR="0" wp14:anchorId="6237486A" wp14:editId="4EA9EA98">
                  <wp:extent cx="2926080" cy="2286000"/>
                  <wp:effectExtent l="0" t="0" r="7620" b="0"/>
                  <wp:docPr id="6" name="Chart 6">
                    <a:extLst xmlns:a="http://schemas.openxmlformats.org/drawingml/2006/main">
                      <a:ext uri="{FF2B5EF4-FFF2-40B4-BE49-F238E27FC236}">
                        <a16:creationId xmlns:a16="http://schemas.microsoft.com/office/drawing/2014/main" id="{9AB00FE1-0118-4F6D-970E-590600B0C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A26D2D" w:rsidRPr="00CD0565" w14:paraId="2CD9A441" w14:textId="77777777" w:rsidTr="00CD0565">
        <w:tc>
          <w:tcPr>
            <w:tcW w:w="4740" w:type="dxa"/>
          </w:tcPr>
          <w:p w14:paraId="006C4B32" w14:textId="2A86C867" w:rsidR="00A26D2D" w:rsidRPr="00CD0565" w:rsidRDefault="00752A33" w:rsidP="00A26D2D">
            <w:pPr>
              <w:pStyle w:val="ListParagraph"/>
              <w:numPr>
                <w:ilvl w:val="0"/>
                <w:numId w:val="8"/>
              </w:numPr>
              <w:rPr>
                <w:rFonts w:cs="Times New Roman"/>
                <w:b/>
                <w:bCs/>
                <w:noProof/>
                <w:color w:val="000000" w:themeColor="text1"/>
              </w:rPr>
            </w:pPr>
            <w:r>
              <w:rPr>
                <w:rFonts w:cs="Times New Roman"/>
                <w:b/>
                <w:bCs/>
                <w:noProof/>
                <w:color w:val="000000" w:themeColor="text1"/>
              </w:rPr>
              <w:t>Sustainability</w:t>
            </w:r>
          </w:p>
        </w:tc>
        <w:tc>
          <w:tcPr>
            <w:tcW w:w="4620" w:type="dxa"/>
          </w:tcPr>
          <w:p w14:paraId="558D67F2" w14:textId="76E512FD" w:rsidR="00A26D2D" w:rsidRPr="00CD0565" w:rsidRDefault="00752A33" w:rsidP="00A26D2D">
            <w:pPr>
              <w:pStyle w:val="ListParagraph"/>
              <w:numPr>
                <w:ilvl w:val="0"/>
                <w:numId w:val="8"/>
              </w:numPr>
              <w:rPr>
                <w:rFonts w:cs="Times New Roman"/>
                <w:b/>
                <w:bCs/>
                <w:noProof/>
                <w:color w:val="000000" w:themeColor="text1"/>
              </w:rPr>
            </w:pPr>
            <w:r>
              <w:rPr>
                <w:rFonts w:cs="Times New Roman"/>
                <w:b/>
                <w:bCs/>
                <w:noProof/>
                <w:color w:val="000000" w:themeColor="text1"/>
              </w:rPr>
              <w:t>Equity</w:t>
            </w:r>
          </w:p>
        </w:tc>
      </w:tr>
      <w:tr w:rsidR="00A26D2D" w:rsidRPr="00CD0565" w14:paraId="0ED2F30F" w14:textId="77777777" w:rsidTr="00CD0565">
        <w:tc>
          <w:tcPr>
            <w:tcW w:w="4740" w:type="dxa"/>
          </w:tcPr>
          <w:p w14:paraId="347F21CA" w14:textId="77777777" w:rsidR="00A26D2D" w:rsidRPr="00CD0565" w:rsidRDefault="00A26D2D" w:rsidP="001433CA">
            <w:pPr>
              <w:rPr>
                <w:rFonts w:cs="Times New Roman"/>
                <w:b/>
                <w:bCs/>
                <w:color w:val="000000" w:themeColor="text1"/>
              </w:rPr>
            </w:pPr>
            <w:r w:rsidRPr="00CD0565">
              <w:rPr>
                <w:rFonts w:cs="Times New Roman"/>
                <w:b/>
                <w:bCs/>
                <w:noProof/>
                <w:color w:val="000000" w:themeColor="text1"/>
              </w:rPr>
              <w:drawing>
                <wp:inline distT="0" distB="0" distL="0" distR="0" wp14:anchorId="6057E11A" wp14:editId="1E08D247">
                  <wp:extent cx="2926080" cy="2286000"/>
                  <wp:effectExtent l="0" t="0" r="7620" b="0"/>
                  <wp:docPr id="10" name="Chart 10">
                    <a:extLst xmlns:a="http://schemas.openxmlformats.org/drawingml/2006/main">
                      <a:ext uri="{FF2B5EF4-FFF2-40B4-BE49-F238E27FC236}">
                        <a16:creationId xmlns:a16="http://schemas.microsoft.com/office/drawing/2014/main" id="{04C3C9F9-BF7C-449A-BDEA-7693E07BF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20" w:type="dxa"/>
          </w:tcPr>
          <w:p w14:paraId="0C400380" w14:textId="77777777" w:rsidR="00A26D2D" w:rsidRPr="00CD0565" w:rsidRDefault="00A26D2D" w:rsidP="001433CA">
            <w:pPr>
              <w:rPr>
                <w:rFonts w:cs="Times New Roman"/>
                <w:b/>
                <w:bCs/>
                <w:color w:val="000000" w:themeColor="text1"/>
              </w:rPr>
            </w:pPr>
            <w:r w:rsidRPr="00CD0565">
              <w:rPr>
                <w:rFonts w:cs="Times New Roman"/>
                <w:b/>
                <w:bCs/>
                <w:noProof/>
                <w:color w:val="000000" w:themeColor="text1"/>
              </w:rPr>
              <w:drawing>
                <wp:inline distT="0" distB="0" distL="0" distR="0" wp14:anchorId="555E2341" wp14:editId="0547A223">
                  <wp:extent cx="2926080" cy="2286000"/>
                  <wp:effectExtent l="0" t="0" r="7620" b="0"/>
                  <wp:docPr id="11" name="Chart 11">
                    <a:extLst xmlns:a="http://schemas.openxmlformats.org/drawingml/2006/main">
                      <a:ext uri="{FF2B5EF4-FFF2-40B4-BE49-F238E27FC236}">
                        <a16:creationId xmlns:a16="http://schemas.microsoft.com/office/drawing/2014/main" id="{F7EF2AE2-F325-47EF-B75E-25DE49D5F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6E103944" w14:textId="77777777" w:rsidR="004D57BD" w:rsidRDefault="004D57B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40"/>
        <w:gridCol w:w="4620"/>
      </w:tblGrid>
      <w:tr w:rsidR="00A26D2D" w:rsidRPr="00CD0565" w14:paraId="5C50A877" w14:textId="77777777" w:rsidTr="00CD0565">
        <w:tc>
          <w:tcPr>
            <w:tcW w:w="4740" w:type="dxa"/>
          </w:tcPr>
          <w:p w14:paraId="4DC34AB5" w14:textId="2FF53C1F" w:rsidR="00A26D2D" w:rsidRPr="00CD0565" w:rsidRDefault="00752A33" w:rsidP="00A26D2D">
            <w:pPr>
              <w:pStyle w:val="ListParagraph"/>
              <w:numPr>
                <w:ilvl w:val="0"/>
                <w:numId w:val="8"/>
              </w:numPr>
              <w:rPr>
                <w:rFonts w:cs="Times New Roman"/>
                <w:b/>
                <w:bCs/>
                <w:noProof/>
                <w:color w:val="000000" w:themeColor="text1"/>
              </w:rPr>
            </w:pPr>
            <w:r>
              <w:rPr>
                <w:rFonts w:cs="Times New Roman"/>
                <w:b/>
                <w:bCs/>
                <w:noProof/>
                <w:color w:val="000000" w:themeColor="text1"/>
              </w:rPr>
              <w:lastRenderedPageBreak/>
              <w:t>Innovation</w:t>
            </w:r>
          </w:p>
        </w:tc>
        <w:tc>
          <w:tcPr>
            <w:tcW w:w="4620" w:type="dxa"/>
          </w:tcPr>
          <w:p w14:paraId="5815EDCD" w14:textId="5E158C9A" w:rsidR="00A26D2D" w:rsidRPr="00CD0565" w:rsidRDefault="00A26D2D" w:rsidP="001433CA">
            <w:pPr>
              <w:rPr>
                <w:rFonts w:cs="Times New Roman"/>
                <w:b/>
                <w:bCs/>
                <w:color w:val="000000" w:themeColor="text1"/>
              </w:rPr>
            </w:pPr>
          </w:p>
        </w:tc>
      </w:tr>
      <w:tr w:rsidR="00A26D2D" w:rsidRPr="00CD0565" w14:paraId="1F332C76" w14:textId="77777777" w:rsidTr="00CD0565">
        <w:tc>
          <w:tcPr>
            <w:tcW w:w="4740" w:type="dxa"/>
          </w:tcPr>
          <w:p w14:paraId="1D5BB2A7" w14:textId="1024924E" w:rsidR="00A26D2D" w:rsidRPr="00CD0565" w:rsidRDefault="00A26D2D" w:rsidP="001433CA">
            <w:pPr>
              <w:rPr>
                <w:rFonts w:cs="Times New Roman"/>
                <w:b/>
                <w:bCs/>
                <w:color w:val="000000" w:themeColor="text1"/>
              </w:rPr>
            </w:pPr>
            <w:r w:rsidRPr="00CD0565">
              <w:rPr>
                <w:rFonts w:cs="Times New Roman"/>
                <w:b/>
                <w:bCs/>
                <w:noProof/>
                <w:color w:val="000000" w:themeColor="text1"/>
              </w:rPr>
              <w:drawing>
                <wp:inline distT="0" distB="0" distL="0" distR="0" wp14:anchorId="725AB457" wp14:editId="38ECEDBA">
                  <wp:extent cx="2926080" cy="2286000"/>
                  <wp:effectExtent l="0" t="0" r="7620" b="0"/>
                  <wp:docPr id="12" name="Chart 12">
                    <a:extLst xmlns:a="http://schemas.openxmlformats.org/drawingml/2006/main">
                      <a:ext uri="{FF2B5EF4-FFF2-40B4-BE49-F238E27FC236}">
                        <a16:creationId xmlns:a16="http://schemas.microsoft.com/office/drawing/2014/main" id="{912ED327-104B-4759-B886-4582DAA80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20" w:type="dxa"/>
            <w:vAlign w:val="center"/>
          </w:tcPr>
          <w:p w14:paraId="61E166D7" w14:textId="156DCE64" w:rsidR="00A26D2D" w:rsidRPr="00CD0565" w:rsidRDefault="00A26D2D" w:rsidP="00CD0565">
            <w:pPr>
              <w:jc w:val="center"/>
              <w:rPr>
                <w:rFonts w:cs="Times New Roman"/>
                <w:b/>
                <w:bCs/>
                <w:color w:val="000000" w:themeColor="text1"/>
              </w:rPr>
            </w:pPr>
            <w:r w:rsidRPr="00CD0565">
              <w:rPr>
                <w:rFonts w:cs="Times New Roman"/>
                <w:noProof/>
              </w:rPr>
              <w:drawing>
                <wp:inline distT="0" distB="0" distL="0" distR="0" wp14:anchorId="5DF86599" wp14:editId="47A7A36C">
                  <wp:extent cx="1327785" cy="16764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09" r="8820" b="47586"/>
                          <a:stretch/>
                        </pic:blipFill>
                        <pic:spPr bwMode="auto">
                          <a:xfrm>
                            <a:off x="0" y="0"/>
                            <a:ext cx="1328631" cy="1677468"/>
                          </a:xfrm>
                          <a:prstGeom prst="rect">
                            <a:avLst/>
                          </a:prstGeom>
                          <a:ln>
                            <a:noFill/>
                          </a:ln>
                          <a:extLst>
                            <a:ext uri="{53640926-AAD7-44D8-BBD7-CCE9431645EC}">
                              <a14:shadowObscured xmlns:a14="http://schemas.microsoft.com/office/drawing/2010/main"/>
                            </a:ext>
                          </a:extLst>
                        </pic:spPr>
                      </pic:pic>
                    </a:graphicData>
                  </a:graphic>
                </wp:inline>
              </w:drawing>
            </w:r>
            <w:r w:rsidRPr="006B610B">
              <w:rPr>
                <w:rFonts w:cs="Times New Roman"/>
                <w:noProof/>
              </w:rPr>
              <w:drawing>
                <wp:inline distT="0" distB="0" distL="0" distR="0" wp14:anchorId="309392C5" wp14:editId="28724B23">
                  <wp:extent cx="1409700" cy="1468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609" t="54085" r="3560"/>
                          <a:stretch/>
                        </pic:blipFill>
                        <pic:spPr bwMode="auto">
                          <a:xfrm>
                            <a:off x="0" y="0"/>
                            <a:ext cx="1409700" cy="14687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CCF278" w14:textId="77777777" w:rsidR="00752A33" w:rsidRDefault="00752A33" w:rsidP="00752A33">
      <w:pPr>
        <w:pStyle w:val="Caption"/>
        <w:spacing w:after="0"/>
        <w:jc w:val="both"/>
        <w:rPr>
          <w:sz w:val="22"/>
          <w:szCs w:val="16"/>
        </w:rPr>
      </w:pPr>
      <w:bookmarkStart w:id="51" w:name="_Ref77257775"/>
    </w:p>
    <w:p w14:paraId="2308DF3C" w14:textId="6FD7E954" w:rsidR="0038152C" w:rsidRDefault="0038152C" w:rsidP="004D0A64">
      <w:pPr>
        <w:pStyle w:val="Caption"/>
        <w:jc w:val="both"/>
        <w:rPr>
          <w:sz w:val="22"/>
          <w:szCs w:val="16"/>
        </w:rPr>
      </w:pPr>
      <w:r w:rsidRPr="0038152C">
        <w:rPr>
          <w:sz w:val="22"/>
          <w:szCs w:val="16"/>
        </w:rPr>
        <w:t xml:space="preserve">Figure </w:t>
      </w:r>
      <w:r w:rsidRPr="0038152C">
        <w:rPr>
          <w:sz w:val="22"/>
          <w:szCs w:val="16"/>
        </w:rPr>
        <w:fldChar w:fldCharType="begin"/>
      </w:r>
      <w:r w:rsidRPr="0038152C">
        <w:rPr>
          <w:sz w:val="22"/>
          <w:szCs w:val="16"/>
        </w:rPr>
        <w:instrText>SEQ Figure \* ARABIC</w:instrText>
      </w:r>
      <w:r w:rsidRPr="0038152C">
        <w:rPr>
          <w:sz w:val="22"/>
          <w:szCs w:val="16"/>
        </w:rPr>
        <w:fldChar w:fldCharType="separate"/>
      </w:r>
      <w:r w:rsidR="00210285">
        <w:rPr>
          <w:noProof/>
          <w:sz w:val="22"/>
          <w:szCs w:val="16"/>
        </w:rPr>
        <w:t>3</w:t>
      </w:r>
      <w:r w:rsidRPr="0038152C">
        <w:rPr>
          <w:sz w:val="22"/>
          <w:szCs w:val="16"/>
        </w:rPr>
        <w:fldChar w:fldCharType="end"/>
      </w:r>
      <w:bookmarkEnd w:id="51"/>
      <w:r w:rsidRPr="0038152C">
        <w:rPr>
          <w:sz w:val="22"/>
          <w:szCs w:val="16"/>
        </w:rPr>
        <w:t xml:space="preserve"> Criteria Importance Scores as a Function of Characteristic Scores for: a) Large project, b) Exact investment timing, c) Long-term investment, d) Significance, e) Sustainability, f) Equity, and g) Innovation</w:t>
      </w:r>
    </w:p>
    <w:p w14:paraId="6D6E6F2C" w14:textId="35B5AB29" w:rsidR="008C1B2D" w:rsidRDefault="008C1B2D" w:rsidP="004D0A64">
      <w:pPr>
        <w:spacing w:after="0" w:line="240" w:lineRule="auto"/>
        <w:jc w:val="both"/>
      </w:pPr>
    </w:p>
    <w:p w14:paraId="4333FFDA" w14:textId="2C0E9496" w:rsidR="008C1B2D" w:rsidRDefault="008C1B2D" w:rsidP="004D0A64">
      <w:pPr>
        <w:pStyle w:val="Heading3"/>
        <w:jc w:val="both"/>
      </w:pPr>
      <w:r>
        <w:t xml:space="preserve">AHP Calculations </w:t>
      </w:r>
    </w:p>
    <w:p w14:paraId="0D2A55E9" w14:textId="43ACFD56" w:rsidR="00AB3390" w:rsidRPr="00AB3390" w:rsidRDefault="008C1B2D" w:rsidP="004D0A64">
      <w:pPr>
        <w:spacing w:after="0" w:line="240" w:lineRule="auto"/>
        <w:jc w:val="both"/>
      </w:pPr>
      <w:r>
        <w:rPr>
          <w:rFonts w:eastAsia="Times New Roman" w:cs="Times New Roman"/>
          <w:szCs w:val="20"/>
        </w:rPr>
        <w:t xml:space="preserve">The AHP calculations </w:t>
      </w:r>
      <w:r w:rsidR="00A97F89">
        <w:rPr>
          <w:rFonts w:cs="Times New Roman"/>
        </w:rPr>
        <w:t>in</w:t>
      </w:r>
      <w:r w:rsidR="00A97F89" w:rsidRPr="004404F6">
        <w:rPr>
          <w:rFonts w:cs="Times New Roman"/>
        </w:rPr>
        <w:t xml:space="preserve"> </w:t>
      </w:r>
      <w:r w:rsidR="00A97F89">
        <w:rPr>
          <w:rFonts w:eastAsia="Times New Roman" w:cs="Times New Roman"/>
          <w:szCs w:val="20"/>
        </w:rPr>
        <w:fldChar w:fldCharType="begin"/>
      </w:r>
      <w:r w:rsidR="00A97F89">
        <w:rPr>
          <w:rFonts w:eastAsia="Times New Roman" w:cs="Times New Roman"/>
          <w:szCs w:val="20"/>
        </w:rPr>
        <w:instrText xml:space="preserve"> REF _Ref77256743 \h </w:instrText>
      </w:r>
      <w:r w:rsidR="00A97F89">
        <w:rPr>
          <w:rFonts w:eastAsia="Times New Roman" w:cs="Times New Roman"/>
          <w:szCs w:val="20"/>
        </w:rPr>
      </w:r>
      <w:r w:rsidR="00A97F89">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A97F89">
        <w:rPr>
          <w:rFonts w:eastAsia="Times New Roman" w:cs="Times New Roman"/>
          <w:szCs w:val="20"/>
        </w:rPr>
        <w:fldChar w:fldCharType="end"/>
      </w:r>
      <w:r w:rsidR="00D7071B">
        <w:rPr>
          <w:rFonts w:eastAsia="Times New Roman" w:cs="Times New Roman"/>
          <w:szCs w:val="20"/>
        </w:rPr>
        <w:t xml:space="preserve"> </w:t>
      </w:r>
      <w:r w:rsidR="004B51CC">
        <w:rPr>
          <w:rFonts w:eastAsia="Times New Roman" w:cs="Times New Roman"/>
          <w:szCs w:val="20"/>
        </w:rPr>
        <w:t xml:space="preserve">are conducted to rank the funding/financing mechanisms. </w:t>
      </w:r>
      <w:r w:rsidR="004B51CC">
        <w:t>The d</w:t>
      </w:r>
      <w:r w:rsidR="00AB3390" w:rsidRPr="00AB3390">
        <w:t xml:space="preserve">ecision criteria importance scores are converted to </w:t>
      </w:r>
      <w:r w:rsidR="00AB3390" w:rsidRPr="00807DF8">
        <w:rPr>
          <w:u w:val="single"/>
        </w:rPr>
        <w:t>pairwise comparisons</w:t>
      </w:r>
      <w:r w:rsidR="00AB3390" w:rsidRPr="00AB3390">
        <w:t xml:space="preserve"> </w:t>
      </w:r>
      <w:r w:rsidR="004B51CC">
        <w:t>(</w:t>
      </w:r>
      <w:r w:rsidR="004B51CC" w:rsidRPr="007119EA">
        <w:rPr>
          <w:rFonts w:eastAsia="Times New Roman" w:cs="Times New Roman"/>
          <w:szCs w:val="20"/>
        </w:rPr>
        <w:t>the</w:t>
      </w:r>
      <w:r w:rsidR="004B51CC">
        <w:rPr>
          <w:rFonts w:eastAsia="Times New Roman" w:cs="Times New Roman"/>
          <w:szCs w:val="20"/>
        </w:rPr>
        <w:t xml:space="preserve"> top </w:t>
      </w:r>
      <w:r w:rsidR="004B51CC" w:rsidRPr="007119EA">
        <w:rPr>
          <w:rFonts w:eastAsia="Times New Roman" w:cs="Times New Roman"/>
          <w:szCs w:val="20"/>
        </w:rPr>
        <w:t xml:space="preserve">box </w:t>
      </w:r>
      <w:r w:rsidR="004B51CC" w:rsidRPr="004404F6">
        <w:rPr>
          <w:rFonts w:cs="Times New Roman"/>
        </w:rPr>
        <w:t xml:space="preserve">within the </w:t>
      </w:r>
      <w:r w:rsidR="00A26D2D">
        <w:rPr>
          <w:rFonts w:cs="Times New Roman"/>
        </w:rPr>
        <w:t>“</w:t>
      </w:r>
      <w:r w:rsidR="004B51CC">
        <w:rPr>
          <w:rFonts w:cs="Times New Roman"/>
        </w:rPr>
        <w:t>AHP Calculations</w:t>
      </w:r>
      <w:r w:rsidR="00A26D2D">
        <w:rPr>
          <w:rFonts w:cs="Times New Roman"/>
        </w:rPr>
        <w:t>”</w:t>
      </w:r>
      <w:r w:rsidR="004B51CC">
        <w:rPr>
          <w:rFonts w:cs="Times New Roman"/>
        </w:rPr>
        <w:t xml:space="preserve"> block</w:t>
      </w:r>
      <w:r w:rsidR="004B51CC" w:rsidRPr="004404F6">
        <w:rPr>
          <w:rFonts w:cs="Times New Roman"/>
        </w:rPr>
        <w:t xml:space="preserve"> of </w:t>
      </w:r>
      <w:r w:rsidR="00A26D2D">
        <w:rPr>
          <w:rFonts w:eastAsia="Times New Roman" w:cs="Times New Roman"/>
          <w:szCs w:val="20"/>
        </w:rPr>
        <w:fldChar w:fldCharType="begin"/>
      </w:r>
      <w:r w:rsidR="00A26D2D">
        <w:rPr>
          <w:rFonts w:eastAsia="Times New Roman" w:cs="Times New Roman"/>
          <w:szCs w:val="20"/>
        </w:rPr>
        <w:instrText xml:space="preserve"> REF _Ref77256743 \h </w:instrText>
      </w:r>
      <w:r w:rsidR="00A26D2D">
        <w:rPr>
          <w:rFonts w:eastAsia="Times New Roman" w:cs="Times New Roman"/>
          <w:szCs w:val="20"/>
        </w:rPr>
      </w:r>
      <w:r w:rsidR="00A26D2D">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A26D2D">
        <w:rPr>
          <w:rFonts w:eastAsia="Times New Roman" w:cs="Times New Roman"/>
          <w:szCs w:val="20"/>
        </w:rPr>
        <w:fldChar w:fldCharType="end"/>
      </w:r>
      <w:r w:rsidR="004B51CC">
        <w:t xml:space="preserve">) </w:t>
      </w:r>
      <w:r w:rsidR="00AB3390" w:rsidRPr="00AB3390">
        <w:t>to make them compatible with the AHP framework computations. This conversion is implemented over a three-step procedure.</w:t>
      </w:r>
    </w:p>
    <w:p w14:paraId="46A5C720" w14:textId="470FE642" w:rsidR="002001C9" w:rsidRDefault="00AB3390" w:rsidP="007F5736">
      <w:pPr>
        <w:spacing w:after="0" w:line="240" w:lineRule="auto"/>
        <w:ind w:firstLine="720"/>
        <w:jc w:val="both"/>
      </w:pPr>
      <w:r w:rsidRPr="00AB3390">
        <w:t xml:space="preserve">The first step involves calculating the average criteria importance score for each criterion. This value is obtained by averaging the non-zero cells of each row in the criteria importance scores matrix (refer </w:t>
      </w:r>
      <w:r w:rsidRPr="00CD0565">
        <w:rPr>
          <w:rFonts w:cs="Times New Roman"/>
        </w:rPr>
        <w:t>to</w:t>
      </w:r>
      <w:r w:rsidR="007F5736">
        <w:rPr>
          <w:rFonts w:cs="Times New Roman"/>
        </w:rPr>
        <w:t xml:space="preserve"> </w:t>
      </w:r>
      <w:r w:rsidR="007F5736" w:rsidRPr="007F5736">
        <w:rPr>
          <w:rFonts w:cs="Times New Roman"/>
          <w:b/>
        </w:rPr>
        <w:t>Table 4</w:t>
      </w:r>
      <w:r w:rsidR="007F5736">
        <w:rPr>
          <w:rFonts w:cs="Times New Roman"/>
        </w:rPr>
        <w:t>), as</w:t>
      </w:r>
      <w:r w:rsidRPr="00CD0565">
        <w:rPr>
          <w:rFonts w:cs="Times New Roman"/>
        </w:rPr>
        <w:t xml:space="preserve"> </w:t>
      </w:r>
      <w:r w:rsidRPr="00AB3390">
        <w:t>shown in Equation (</w:t>
      </w:r>
      <w:r w:rsidR="00A26D2D">
        <w:t>3</w:t>
      </w:r>
      <w:r w:rsidRPr="00AB3390">
        <w:t>).</w:t>
      </w:r>
    </w:p>
    <w:p w14:paraId="2C2E85F1" w14:textId="6813475E" w:rsidR="00AB3390" w:rsidRPr="00AB3390" w:rsidRDefault="00AB3390" w:rsidP="002001C9">
      <w:pPr>
        <w:spacing w:after="0" w:line="240" w:lineRule="auto"/>
        <w:ind w:firstLine="720"/>
        <w:jc w:val="both"/>
      </w:pPr>
      <w:r w:rsidRPr="00AB3390">
        <w:t xml:space="preserve"> </w:t>
      </w:r>
    </w:p>
    <w:tbl>
      <w:tblPr>
        <w:tblStyle w:val="TableGrid7"/>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060"/>
      </w:tblGrid>
      <w:tr w:rsidR="00AB3390" w:rsidRPr="00AB3390" w14:paraId="6D1371A8" w14:textId="77777777" w:rsidTr="00D82814">
        <w:tc>
          <w:tcPr>
            <w:tcW w:w="6300" w:type="dxa"/>
            <w:vAlign w:val="center"/>
          </w:tcPr>
          <w:p w14:paraId="0FD52E2B" w14:textId="77777777" w:rsidR="00AB3390" w:rsidRPr="00D82814" w:rsidRDefault="00AB3390" w:rsidP="002001C9">
            <w:pPr>
              <w:jc w:val="both"/>
              <w:rPr>
                <w:rFonts w:eastAsia="Times New Roman" w:cs="Times New Roman"/>
                <w:sz w:val="22"/>
                <w:szCs w:val="22"/>
              </w:rPr>
            </w:pPr>
            <m:oMathPara>
              <m:oMathParaPr>
                <m:jc m:val="left"/>
              </m:oMathParaPr>
              <m:oMath>
                <m:r>
                  <w:rPr>
                    <w:rFonts w:ascii="Cambria Math"/>
                    <w:sz w:val="22"/>
                    <w:szCs w:val="22"/>
                  </w:rPr>
                  <m:t>Avg.imp.scor</m:t>
                </m:r>
                <m:sSub>
                  <m:sSubPr>
                    <m:ctrlPr>
                      <w:rPr>
                        <w:rFonts w:ascii="Cambria Math" w:hAnsi="Cambria Math"/>
                        <w:i/>
                        <w:sz w:val="22"/>
                        <w:szCs w:val="22"/>
                      </w:rPr>
                    </m:ctrlPr>
                  </m:sSubPr>
                  <m:e>
                    <m:r>
                      <w:rPr>
                        <w:rFonts w:ascii="Cambria Math"/>
                        <w:sz w:val="22"/>
                        <w:szCs w:val="22"/>
                      </w:rPr>
                      <m:t>e</m:t>
                    </m:r>
                  </m:e>
                  <m:sub>
                    <m:r>
                      <w:rPr>
                        <w:rFonts w:ascii="Cambria Math"/>
                        <w:sz w:val="22"/>
                        <w:szCs w:val="22"/>
                      </w:rPr>
                      <m:t>i</m:t>
                    </m:r>
                  </m:sub>
                </m:sSub>
                <m:r>
                  <w:rPr>
                    <w:rFonts w:ascii="Cambria Math"/>
                    <w:sz w:val="22"/>
                    <w:szCs w:val="22"/>
                  </w:rPr>
                  <m:t>=</m:t>
                </m:r>
                <m:f>
                  <m:fPr>
                    <m:ctrlPr>
                      <w:rPr>
                        <w:rFonts w:ascii="Cambria Math" w:hAnsi="Cambria Math"/>
                        <w:i/>
                        <w:sz w:val="22"/>
                        <w:szCs w:val="22"/>
                      </w:rPr>
                    </m:ctrlPr>
                  </m:fPr>
                  <m:num>
                    <m:nary>
                      <m:naryPr>
                        <m:chr m:val="∑"/>
                        <m:limLoc m:val="undOvr"/>
                        <m:ctrlPr>
                          <w:rPr>
                            <w:rFonts w:ascii="Cambria Math" w:hAnsi="Cambria Math"/>
                            <w:i/>
                            <w:sz w:val="22"/>
                            <w:szCs w:val="22"/>
                          </w:rPr>
                        </m:ctrlPr>
                      </m:naryPr>
                      <m:sub>
                        <m:r>
                          <w:rPr>
                            <w:rFonts w:ascii="Cambria Math"/>
                            <w:sz w:val="22"/>
                            <w:szCs w:val="22"/>
                          </w:rPr>
                          <m:t>k=1</m:t>
                        </m:r>
                      </m:sub>
                      <m:sup>
                        <m:r>
                          <w:rPr>
                            <w:rFonts w:ascii="Cambria Math"/>
                            <w:sz w:val="22"/>
                            <w:szCs w:val="22"/>
                          </w:rPr>
                          <m:t>N</m:t>
                        </m:r>
                      </m:sup>
                      <m:e>
                        <m:r>
                          <w:rPr>
                            <w:rFonts w:ascii="Cambria Math"/>
                            <w:sz w:val="22"/>
                            <w:szCs w:val="22"/>
                          </w:rPr>
                          <m:t>Im</m:t>
                        </m:r>
                        <m:sSub>
                          <m:sSubPr>
                            <m:ctrlPr>
                              <w:rPr>
                                <w:rFonts w:ascii="Cambria Math" w:hAnsi="Cambria Math"/>
                                <w:i/>
                                <w:sz w:val="22"/>
                                <w:szCs w:val="22"/>
                              </w:rPr>
                            </m:ctrlPr>
                          </m:sSubPr>
                          <m:e>
                            <m:r>
                              <w:rPr>
                                <w:rFonts w:ascii="Cambria Math"/>
                                <w:sz w:val="22"/>
                                <w:szCs w:val="22"/>
                              </w:rPr>
                              <m:t>p.score</m:t>
                            </m:r>
                          </m:e>
                          <m:sub>
                            <m:r>
                              <w:rPr>
                                <w:rFonts w:ascii="Cambria Math"/>
                                <w:sz w:val="22"/>
                                <w:szCs w:val="22"/>
                              </w:rPr>
                              <m:t>ik</m:t>
                            </m:r>
                          </m:sub>
                        </m:sSub>
                      </m:e>
                    </m:nary>
                  </m:num>
                  <m:den>
                    <m:r>
                      <w:rPr>
                        <w:rFonts w:ascii="Cambria Math" w:hAnsi="Cambria Math"/>
                        <w:sz w:val="22"/>
                        <w:szCs w:val="22"/>
                      </w:rPr>
                      <m:t>N</m:t>
                    </m:r>
                  </m:den>
                </m:f>
              </m:oMath>
            </m:oMathPara>
          </w:p>
        </w:tc>
        <w:tc>
          <w:tcPr>
            <w:tcW w:w="3060" w:type="dxa"/>
            <w:vAlign w:val="center"/>
          </w:tcPr>
          <w:p w14:paraId="0058E345" w14:textId="3C8D60A1" w:rsidR="00AB3390" w:rsidRPr="00AB3390" w:rsidRDefault="00AB3390" w:rsidP="002001C9">
            <w:pPr>
              <w:ind w:left="1440"/>
              <w:jc w:val="right"/>
              <w:rPr>
                <w:rFonts w:eastAsia="Times New Roman" w:cs="Times New Roman"/>
                <w:sz w:val="22"/>
                <w:szCs w:val="22"/>
              </w:rPr>
            </w:pPr>
            <w:r w:rsidRPr="00AB3390">
              <w:rPr>
                <w:rFonts w:eastAsia="Times New Roman" w:cs="Times New Roman"/>
                <w:sz w:val="22"/>
                <w:szCs w:val="22"/>
              </w:rPr>
              <w:t>(</w:t>
            </w:r>
            <w:r w:rsidR="00A26D2D">
              <w:rPr>
                <w:rFonts w:eastAsia="Times New Roman" w:cs="Times New Roman"/>
                <w:sz w:val="22"/>
                <w:szCs w:val="22"/>
              </w:rPr>
              <w:t>3</w:t>
            </w:r>
            <w:r w:rsidRPr="00AB3390">
              <w:rPr>
                <w:rFonts w:eastAsia="Times New Roman" w:cs="Times New Roman"/>
                <w:sz w:val="22"/>
                <w:szCs w:val="22"/>
              </w:rPr>
              <w:t>)</w:t>
            </w:r>
          </w:p>
        </w:tc>
      </w:tr>
    </w:tbl>
    <w:p w14:paraId="1DFC1E97" w14:textId="77777777" w:rsidR="00AB3390" w:rsidRPr="00AB3390" w:rsidRDefault="00AB3390" w:rsidP="002001C9">
      <w:pPr>
        <w:spacing w:after="0" w:line="240" w:lineRule="auto"/>
        <w:jc w:val="both"/>
      </w:pPr>
    </w:p>
    <w:p w14:paraId="6C2E3F93" w14:textId="77777777" w:rsidR="00AB3390" w:rsidRPr="00AB3390" w:rsidRDefault="00AB3390" w:rsidP="002001C9">
      <w:pPr>
        <w:spacing w:after="120" w:line="240" w:lineRule="auto"/>
        <w:jc w:val="both"/>
      </w:pPr>
      <w:r w:rsidRPr="00AB3390">
        <w:t xml:space="preserve">where </w:t>
      </w:r>
      <m:oMath>
        <m:r>
          <w:rPr>
            <w:rFonts w:ascii="Cambria Math" w:hAnsi="Cambria Math"/>
          </w:rPr>
          <m:t>N=7</m:t>
        </m:r>
      </m:oMath>
      <w:r w:rsidRPr="00AB3390">
        <w:t xml:space="preserve"> is the number of project characteristics </w:t>
      </w:r>
      <w:proofErr w:type="gramStart"/>
      <w:r w:rsidRPr="00AB3390">
        <w:t>considered.</w:t>
      </w:r>
      <w:proofErr w:type="gramEnd"/>
    </w:p>
    <w:p w14:paraId="5F5A9352" w14:textId="77777777" w:rsidR="002001C9" w:rsidRDefault="00AB3390" w:rsidP="002001C9">
      <w:pPr>
        <w:spacing w:after="0" w:line="240" w:lineRule="auto"/>
        <w:ind w:firstLine="720"/>
        <w:jc w:val="both"/>
      </w:pPr>
      <w:r w:rsidRPr="00AB3390">
        <w:t>Subsequently, the difference between the average criteria importance scores is calculated in a pairwise fashion, as presented in Equation (</w:t>
      </w:r>
      <w:r w:rsidR="00A26D2D">
        <w:t>4</w:t>
      </w:r>
      <w:r w:rsidRPr="00AB3390">
        <w:t>).</w:t>
      </w:r>
    </w:p>
    <w:p w14:paraId="4549D77F" w14:textId="70DCBD64" w:rsidR="00AB3390" w:rsidRPr="00AB3390" w:rsidRDefault="00AB3390" w:rsidP="002001C9">
      <w:pPr>
        <w:spacing w:after="0" w:line="240" w:lineRule="auto"/>
        <w:ind w:firstLine="720"/>
        <w:jc w:val="both"/>
      </w:pPr>
      <w:r w:rsidRPr="00AB3390">
        <w:t xml:space="preserve"> </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7"/>
        <w:gridCol w:w="2153"/>
      </w:tblGrid>
      <w:tr w:rsidR="00AB3390" w:rsidRPr="00AB3390" w14:paraId="48A504EC" w14:textId="77777777" w:rsidTr="008F2807">
        <w:tc>
          <w:tcPr>
            <w:tcW w:w="3850" w:type="pct"/>
            <w:vAlign w:val="center"/>
          </w:tcPr>
          <w:p w14:paraId="3CDD0EF6" w14:textId="77777777" w:rsidR="00AB3390" w:rsidRPr="00D82814" w:rsidRDefault="00AB3390" w:rsidP="002001C9">
            <w:pPr>
              <w:jc w:val="both"/>
              <w:rPr>
                <w:rFonts w:eastAsia="Times New Roman" w:cs="Times New Roman"/>
                <w:sz w:val="22"/>
                <w:szCs w:val="22"/>
              </w:rPr>
            </w:pPr>
            <m:oMathPara>
              <m:oMathParaPr>
                <m:jc m:val="left"/>
              </m:oMathParaPr>
              <m:oMath>
                <m:r>
                  <m:rPr>
                    <m:sty m:val="p"/>
                  </m:rPr>
                  <w:rPr>
                    <w:rFonts w:ascii="Cambria Math" w:hAnsi="Cambria Math"/>
                    <w:sz w:val="22"/>
                    <w:szCs w:val="22"/>
                  </w:rPr>
                  <m:t xml:space="preserve">Absolute </m:t>
                </m:r>
                <m:sSub>
                  <m:sSubPr>
                    <m:ctrlPr>
                      <w:rPr>
                        <w:rFonts w:ascii="Cambria Math" w:hAnsi="Cambria Math"/>
                        <w:sz w:val="22"/>
                        <w:szCs w:val="22"/>
                      </w:rPr>
                    </m:ctrlPr>
                  </m:sSubPr>
                  <m:e>
                    <m:r>
                      <m:rPr>
                        <m:sty m:val="p"/>
                      </m:rPr>
                      <w:rPr>
                        <w:rFonts w:ascii="Cambria Math" w:hAnsi="Cambria Math"/>
                        <w:sz w:val="22"/>
                        <w:szCs w:val="22"/>
                      </w:rPr>
                      <m:t>difference</m:t>
                    </m:r>
                  </m:e>
                  <m:sub>
                    <m:r>
                      <w:rPr>
                        <w:rFonts w:ascii="Cambria Math" w:hAnsi="Cambria Math"/>
                        <w:sz w:val="22"/>
                        <w:szCs w:val="22"/>
                      </w:rPr>
                      <m:t>ij</m:t>
                    </m:r>
                  </m:sub>
                </m:sSub>
                <m:r>
                  <w:rPr>
                    <w:rFonts w:ascii="Cambria Math"/>
                    <w:sz w:val="22"/>
                    <w:szCs w:val="22"/>
                  </w:rPr>
                  <m:t>=</m:t>
                </m:r>
                <m:d>
                  <m:dPr>
                    <m:begChr m:val="|"/>
                    <m:endChr m:val="|"/>
                    <m:ctrlPr>
                      <w:rPr>
                        <w:rFonts w:ascii="Cambria Math" w:hAnsi="Cambria Math"/>
                        <w:i/>
                        <w:sz w:val="22"/>
                        <w:szCs w:val="22"/>
                      </w:rPr>
                    </m:ctrlPr>
                  </m:dPr>
                  <m:e>
                    <m:r>
                      <w:rPr>
                        <w:rFonts w:ascii="Cambria Math"/>
                        <w:sz w:val="22"/>
                        <w:szCs w:val="22"/>
                      </w:rPr>
                      <m:t>Avg.imp.scor</m:t>
                    </m:r>
                    <m:sSub>
                      <m:sSubPr>
                        <m:ctrlPr>
                          <w:rPr>
                            <w:rFonts w:ascii="Cambria Math" w:hAnsi="Cambria Math"/>
                            <w:i/>
                            <w:sz w:val="22"/>
                            <w:szCs w:val="22"/>
                          </w:rPr>
                        </m:ctrlPr>
                      </m:sSubPr>
                      <m:e>
                        <m:r>
                          <w:rPr>
                            <w:rFonts w:ascii="Cambria Math"/>
                            <w:sz w:val="22"/>
                            <w:szCs w:val="22"/>
                          </w:rPr>
                          <m:t>e</m:t>
                        </m:r>
                      </m:e>
                      <m:sub>
                        <m:r>
                          <w:rPr>
                            <w:rFonts w:ascii="Cambria Math"/>
                            <w:sz w:val="22"/>
                            <w:szCs w:val="22"/>
                          </w:rPr>
                          <m:t>i</m:t>
                        </m:r>
                      </m:sub>
                    </m:sSub>
                    <m:r>
                      <w:rPr>
                        <w:rFonts w:ascii="Cambria Math"/>
                        <w:sz w:val="22"/>
                        <w:szCs w:val="22"/>
                      </w:rPr>
                      <m:t>-</m:t>
                    </m:r>
                    <m:r>
                      <w:rPr>
                        <w:rFonts w:ascii="Cambria Math"/>
                        <w:sz w:val="22"/>
                        <w:szCs w:val="22"/>
                      </w:rPr>
                      <m:t>Avg.imp.scor</m:t>
                    </m:r>
                    <m:sSub>
                      <m:sSubPr>
                        <m:ctrlPr>
                          <w:rPr>
                            <w:rFonts w:ascii="Cambria Math" w:hAnsi="Cambria Math"/>
                            <w:i/>
                            <w:sz w:val="22"/>
                            <w:szCs w:val="22"/>
                          </w:rPr>
                        </m:ctrlPr>
                      </m:sSubPr>
                      <m:e>
                        <m:r>
                          <w:rPr>
                            <w:rFonts w:ascii="Cambria Math"/>
                            <w:sz w:val="22"/>
                            <w:szCs w:val="22"/>
                          </w:rPr>
                          <m:t>e</m:t>
                        </m:r>
                      </m:e>
                      <m:sub>
                        <m:r>
                          <w:rPr>
                            <w:rFonts w:ascii="Cambria Math"/>
                            <w:sz w:val="22"/>
                            <w:szCs w:val="22"/>
                          </w:rPr>
                          <m:t>j</m:t>
                        </m:r>
                      </m:sub>
                    </m:sSub>
                  </m:e>
                </m:d>
              </m:oMath>
            </m:oMathPara>
          </w:p>
        </w:tc>
        <w:tc>
          <w:tcPr>
            <w:tcW w:w="1150" w:type="pct"/>
            <w:vAlign w:val="center"/>
          </w:tcPr>
          <w:p w14:paraId="0793B575" w14:textId="5DA42D94" w:rsidR="00AB3390" w:rsidRPr="00AB3390" w:rsidRDefault="00D82814" w:rsidP="002001C9">
            <w:pPr>
              <w:ind w:left="1440"/>
              <w:jc w:val="both"/>
              <w:rPr>
                <w:rFonts w:eastAsia="Times New Roman" w:cs="Times New Roman"/>
                <w:sz w:val="22"/>
                <w:szCs w:val="22"/>
              </w:rPr>
            </w:pPr>
            <w:r>
              <w:rPr>
                <w:rFonts w:eastAsia="Times New Roman" w:cs="Times New Roman"/>
                <w:sz w:val="22"/>
                <w:szCs w:val="22"/>
              </w:rPr>
              <w:t xml:space="preserve">    </w:t>
            </w:r>
            <w:r w:rsidR="00AB3390" w:rsidRPr="00AB3390">
              <w:rPr>
                <w:rFonts w:eastAsia="Times New Roman" w:cs="Times New Roman"/>
                <w:sz w:val="22"/>
                <w:szCs w:val="22"/>
              </w:rPr>
              <w:t>(</w:t>
            </w:r>
            <w:r w:rsidR="00A26D2D">
              <w:rPr>
                <w:rFonts w:eastAsia="Times New Roman" w:cs="Times New Roman"/>
                <w:sz w:val="22"/>
                <w:szCs w:val="22"/>
              </w:rPr>
              <w:t>4</w:t>
            </w:r>
            <w:r w:rsidR="00AB3390" w:rsidRPr="00AB3390">
              <w:rPr>
                <w:rFonts w:eastAsia="Times New Roman" w:cs="Times New Roman"/>
                <w:sz w:val="22"/>
                <w:szCs w:val="22"/>
              </w:rPr>
              <w:t>)</w:t>
            </w:r>
          </w:p>
        </w:tc>
      </w:tr>
    </w:tbl>
    <w:p w14:paraId="7DBAAD25" w14:textId="77777777" w:rsidR="00AB3390" w:rsidRPr="00AB3390" w:rsidRDefault="00AB3390" w:rsidP="002001C9">
      <w:pPr>
        <w:spacing w:after="0" w:line="240" w:lineRule="auto"/>
        <w:jc w:val="both"/>
      </w:pPr>
    </w:p>
    <w:p w14:paraId="17116AB0" w14:textId="45460BA9" w:rsidR="00D82814" w:rsidRDefault="00AB3390" w:rsidP="002001C9">
      <w:pPr>
        <w:spacing w:after="0" w:line="240" w:lineRule="auto"/>
        <w:ind w:firstLine="720"/>
        <w:jc w:val="both"/>
      </w:pPr>
      <w:r w:rsidRPr="00AB3390">
        <w:t xml:space="preserve">Finally, the differences are converted to </w:t>
      </w:r>
      <w:proofErr w:type="spellStart"/>
      <w:r w:rsidRPr="00AB3390">
        <w:t>Saaty’s</w:t>
      </w:r>
      <w:proofErr w:type="spellEnd"/>
      <w:r w:rsidRPr="00AB3390">
        <w:t xml:space="preserve"> 1–9 scale for pairwise comparisons according to their magnitude. </w:t>
      </w:r>
      <w:r w:rsidR="00F158B8" w:rsidRPr="00F158B8">
        <w:t xml:space="preserve">Following the three steps, a pairwise comparison matrix for the decision criteria is determined and used to calculate the priority vector (or Eigenvector) </w:t>
      </w:r>
      <w:r w:rsidR="00F158B8">
        <w:t xml:space="preserve">(refer to the references provided in the </w:t>
      </w:r>
      <w:r w:rsidR="00F158B8" w:rsidRPr="00F158B8">
        <w:t>MCDA and AHP Concept</w:t>
      </w:r>
      <w:r w:rsidR="00F158B8">
        <w:t xml:space="preserve"> section for calculation details</w:t>
      </w:r>
      <w:r w:rsidR="00F158B8" w:rsidRPr="00F158B8">
        <w:t xml:space="preserve">). The </w:t>
      </w:r>
      <w:r w:rsidR="00F158B8" w:rsidRPr="00807DF8">
        <w:rPr>
          <w:u w:val="single"/>
        </w:rPr>
        <w:t xml:space="preserve">priority vector </w:t>
      </w:r>
      <w:r w:rsidR="00F158B8">
        <w:t>(</w:t>
      </w:r>
      <w:r w:rsidR="00F158B8" w:rsidRPr="007119EA">
        <w:rPr>
          <w:rFonts w:eastAsia="Times New Roman" w:cs="Times New Roman"/>
          <w:szCs w:val="20"/>
        </w:rPr>
        <w:t>the</w:t>
      </w:r>
      <w:r w:rsidR="00F158B8">
        <w:rPr>
          <w:rFonts w:eastAsia="Times New Roman" w:cs="Times New Roman"/>
          <w:szCs w:val="20"/>
        </w:rPr>
        <w:t xml:space="preserve"> bottom </w:t>
      </w:r>
      <w:r w:rsidR="00F158B8" w:rsidRPr="007119EA">
        <w:rPr>
          <w:rFonts w:eastAsia="Times New Roman" w:cs="Times New Roman"/>
          <w:szCs w:val="20"/>
        </w:rPr>
        <w:t xml:space="preserve">box </w:t>
      </w:r>
      <w:r w:rsidR="00F158B8" w:rsidRPr="004404F6">
        <w:rPr>
          <w:rFonts w:cs="Times New Roman"/>
        </w:rPr>
        <w:t xml:space="preserve">within the </w:t>
      </w:r>
      <w:r w:rsidR="00A26D2D">
        <w:rPr>
          <w:rFonts w:cs="Times New Roman"/>
        </w:rPr>
        <w:t>“</w:t>
      </w:r>
      <w:r w:rsidR="00F158B8">
        <w:rPr>
          <w:rFonts w:cs="Times New Roman"/>
        </w:rPr>
        <w:t>AHP Calculations</w:t>
      </w:r>
      <w:r w:rsidR="00A26D2D">
        <w:rPr>
          <w:rFonts w:cs="Times New Roman"/>
        </w:rPr>
        <w:t>”</w:t>
      </w:r>
      <w:r w:rsidR="00F158B8">
        <w:rPr>
          <w:rFonts w:cs="Times New Roman"/>
        </w:rPr>
        <w:t xml:space="preserve"> block</w:t>
      </w:r>
      <w:r w:rsidR="00F158B8" w:rsidRPr="004404F6">
        <w:rPr>
          <w:rFonts w:cs="Times New Roman"/>
        </w:rPr>
        <w:t xml:space="preserve"> of </w:t>
      </w:r>
      <w:r w:rsidR="00A26D2D">
        <w:rPr>
          <w:rFonts w:eastAsia="Times New Roman" w:cs="Times New Roman"/>
          <w:szCs w:val="20"/>
        </w:rPr>
        <w:fldChar w:fldCharType="begin"/>
      </w:r>
      <w:r w:rsidR="00A26D2D">
        <w:rPr>
          <w:rFonts w:eastAsia="Times New Roman" w:cs="Times New Roman"/>
          <w:szCs w:val="20"/>
        </w:rPr>
        <w:instrText xml:space="preserve"> REF _Ref77256743 \h </w:instrText>
      </w:r>
      <w:r w:rsidR="00A26D2D">
        <w:rPr>
          <w:rFonts w:eastAsia="Times New Roman" w:cs="Times New Roman"/>
          <w:szCs w:val="20"/>
        </w:rPr>
      </w:r>
      <w:r w:rsidR="00A26D2D">
        <w:rPr>
          <w:rFonts w:eastAsia="Times New Roman" w:cs="Times New Roman"/>
          <w:szCs w:val="20"/>
        </w:rPr>
        <w:fldChar w:fldCharType="separate"/>
      </w:r>
      <w:r w:rsidR="00210285" w:rsidRPr="00301805">
        <w:rPr>
          <w:rFonts w:cs="Times New Roman"/>
          <w:b/>
          <w:color w:val="000000" w:themeColor="text1"/>
        </w:rPr>
        <w:t xml:space="preserve">Figure </w:t>
      </w:r>
      <w:r w:rsidR="00210285">
        <w:rPr>
          <w:rFonts w:cs="Times New Roman"/>
          <w:b/>
          <w:noProof/>
          <w:color w:val="000000" w:themeColor="text1"/>
        </w:rPr>
        <w:t>1</w:t>
      </w:r>
      <w:r w:rsidR="00A26D2D">
        <w:rPr>
          <w:rFonts w:eastAsia="Times New Roman" w:cs="Times New Roman"/>
          <w:szCs w:val="20"/>
        </w:rPr>
        <w:fldChar w:fldCharType="end"/>
      </w:r>
      <w:r w:rsidR="00F158B8">
        <w:t xml:space="preserve">) </w:t>
      </w:r>
      <w:r w:rsidR="00F158B8" w:rsidRPr="00F158B8">
        <w:t>shows the weights of the criteria while deciding on the most appropriate financing mechanism.</w:t>
      </w:r>
      <w:r w:rsidR="003D3ED3">
        <w:t xml:space="preserve"> </w:t>
      </w:r>
      <w:r w:rsidRPr="00AB3390">
        <w:t xml:space="preserve">The criteria weights are </w:t>
      </w:r>
      <w:r w:rsidR="001A0860">
        <w:t xml:space="preserve">then </w:t>
      </w:r>
      <w:r w:rsidRPr="00AB3390">
        <w:t>combined with the financing mechanism alternative scores to obtain the global scores and final ranking of alternatives based on appropriateness.</w:t>
      </w:r>
    </w:p>
    <w:p w14:paraId="755B21B1" w14:textId="77777777" w:rsidR="007C20F5" w:rsidRDefault="007C20F5" w:rsidP="000C7AEC">
      <w:pPr>
        <w:spacing w:after="0" w:line="240" w:lineRule="auto"/>
        <w:ind w:firstLine="720"/>
        <w:jc w:val="both"/>
      </w:pPr>
    </w:p>
    <w:p w14:paraId="2510AF77" w14:textId="77777777" w:rsidR="006F1444" w:rsidRPr="006F1444" w:rsidRDefault="006F1444" w:rsidP="00D82814">
      <w:pPr>
        <w:pStyle w:val="Heading2"/>
        <w:jc w:val="both"/>
      </w:pPr>
      <w:r w:rsidRPr="006F1444">
        <w:t>Implementation of the Revenue Projections Module</w:t>
      </w:r>
    </w:p>
    <w:p w14:paraId="0C283EED" w14:textId="1492C9DF" w:rsidR="006F1444" w:rsidRPr="006F1444" w:rsidRDefault="006F1444" w:rsidP="00D82814">
      <w:pPr>
        <w:spacing w:after="0" w:line="240" w:lineRule="auto"/>
        <w:jc w:val="both"/>
        <w:rPr>
          <w:rFonts w:eastAsia="Calibri"/>
        </w:rPr>
      </w:pPr>
      <w:r w:rsidRPr="006F1444">
        <w:rPr>
          <w:rFonts w:eastAsia="Times New Roman" w:cs="Times New Roman"/>
          <w:color w:val="000000" w:themeColor="text1"/>
        </w:rPr>
        <w:t xml:space="preserve">The second contribution of this study and the </w:t>
      </w:r>
      <w:r w:rsidR="004404F6">
        <w:rPr>
          <w:rFonts w:eastAsia="Calibri"/>
        </w:rPr>
        <w:t>FUND</w:t>
      </w:r>
      <w:r w:rsidRPr="006F1444">
        <w:rPr>
          <w:rFonts w:eastAsia="Calibri"/>
        </w:rPr>
        <w:t xml:space="preserve"> application is the Projections module. Similar to the previous TRENDS and INDOT models, the Projections module aims at obtaining cash flow diagrams for </w:t>
      </w:r>
      <w:r w:rsidRPr="006F1444">
        <w:rPr>
          <w:rFonts w:eastAsia="Calibri"/>
        </w:rPr>
        <w:lastRenderedPageBreak/>
        <w:t>net revenues. Additionally, t</w:t>
      </w:r>
      <w:r w:rsidRPr="006F1444">
        <w:rPr>
          <w:rFonts w:eastAsia="Times New Roman" w:cs="Times New Roman"/>
          <w:color w:val="000000" w:themeColor="text1"/>
        </w:rPr>
        <w:t>o understand the financial landscape of future projects, it is beneficial to leverage models that can be configured according to hypothetical future scenarios. The revenue projections are directly related to changes within the economic environment and funding availability over time. The inputs for computing these projections include population, employment, or vehicle ownership data projections.</w:t>
      </w:r>
      <w:r w:rsidR="007F5736">
        <w:rPr>
          <w:rFonts w:eastAsia="Times New Roman" w:cs="Times New Roman"/>
          <w:color w:val="000000" w:themeColor="text1"/>
        </w:rPr>
        <w:t xml:space="preserve"> </w:t>
      </w:r>
      <w:r w:rsidR="007F5736" w:rsidRPr="007F5736">
        <w:rPr>
          <w:rFonts w:eastAsia="Times New Roman" w:cs="Times New Roman"/>
          <w:b/>
          <w:color w:val="000000" w:themeColor="text1"/>
        </w:rPr>
        <w:t>Figure 4</w:t>
      </w:r>
      <w:r w:rsidRPr="006F1444">
        <w:rPr>
          <w:rFonts w:eastAsia="Times New Roman" w:cs="Times New Roman"/>
          <w:color w:val="000000" w:themeColor="text1"/>
        </w:rPr>
        <w:t xml:space="preserve"> depicts the general framework used for achieving the revenue projections for only a subset of the funding mechanisms. </w:t>
      </w:r>
    </w:p>
    <w:p w14:paraId="43475A0F" w14:textId="2BE7D401" w:rsidR="0041612C" w:rsidRDefault="006F1444" w:rsidP="00D82814">
      <w:pPr>
        <w:spacing w:after="0" w:line="240" w:lineRule="auto"/>
        <w:ind w:firstLine="720"/>
        <w:jc w:val="both"/>
        <w:rPr>
          <w:rFonts w:eastAsia="Times New Roman" w:cs="Times New Roman"/>
          <w:color w:val="000000" w:themeColor="text1"/>
        </w:rPr>
      </w:pPr>
      <w:r w:rsidRPr="006F1444">
        <w:rPr>
          <w:rFonts w:eastAsia="Calibri"/>
          <w:color w:val="000000" w:themeColor="text1"/>
        </w:rPr>
        <w:t xml:space="preserve">Three types of inputs were considered in this module: non-revenue projections, assumptions, and policy testing variables. </w:t>
      </w:r>
      <w:r w:rsidRPr="006F1444">
        <w:rPr>
          <w:rFonts w:eastAsia="Times New Roman" w:cs="Times New Roman"/>
          <w:color w:val="000000" w:themeColor="text1"/>
        </w:rPr>
        <w:t xml:space="preserve">The predictions generated for the inputs required for revenue projection are referred to as </w:t>
      </w:r>
      <w:r w:rsidRPr="00807DF8">
        <w:rPr>
          <w:rFonts w:eastAsia="Times New Roman" w:cs="Times New Roman"/>
          <w:color w:val="000000" w:themeColor="text1"/>
          <w:u w:val="single"/>
        </w:rPr>
        <w:t>non-revenue projections</w:t>
      </w:r>
      <w:r w:rsidRPr="006F1444">
        <w:rPr>
          <w:rFonts w:eastAsia="Times New Roman" w:cs="Times New Roman"/>
          <w:color w:val="000000" w:themeColor="text1"/>
        </w:rPr>
        <w:t xml:space="preserve"> in this context. This corresponds to all the inputs that need to be estimated for every year within the analysis period</w:t>
      </w:r>
      <w:r w:rsidR="00CF3A31">
        <w:rPr>
          <w:rFonts w:eastAsia="Times New Roman" w:cs="Times New Roman"/>
          <w:color w:val="000000" w:themeColor="text1"/>
        </w:rPr>
        <w:t xml:space="preserve">, such as population or EV ownership. </w:t>
      </w:r>
      <w:r w:rsidR="0041612C">
        <w:rPr>
          <w:rFonts w:eastAsia="Times New Roman" w:cs="Times New Roman"/>
          <w:color w:val="000000" w:themeColor="text1"/>
        </w:rPr>
        <w:t xml:space="preserve"> </w:t>
      </w:r>
    </w:p>
    <w:p w14:paraId="7F02C3A4" w14:textId="76FB4380" w:rsidR="006F1444" w:rsidRPr="006F1444" w:rsidRDefault="006F1444" w:rsidP="00D82814">
      <w:pPr>
        <w:spacing w:after="0" w:line="240" w:lineRule="auto"/>
        <w:ind w:firstLine="720"/>
        <w:jc w:val="both"/>
        <w:rPr>
          <w:rFonts w:eastAsia="Calibri"/>
        </w:rPr>
      </w:pPr>
      <w:r w:rsidRPr="006F1444">
        <w:rPr>
          <w:rFonts w:eastAsia="Times New Roman" w:cs="Times New Roman"/>
          <w:color w:val="000000" w:themeColor="text1"/>
        </w:rPr>
        <w:t xml:space="preserve">The </w:t>
      </w:r>
      <w:r w:rsidRPr="00807DF8">
        <w:rPr>
          <w:rFonts w:eastAsia="Times New Roman" w:cs="Times New Roman"/>
          <w:color w:val="000000" w:themeColor="text1"/>
          <w:u w:val="single"/>
        </w:rPr>
        <w:t>general assumptions</w:t>
      </w:r>
      <w:r w:rsidRPr="006F1444">
        <w:rPr>
          <w:rFonts w:eastAsia="Times New Roman" w:cs="Times New Roman"/>
          <w:color w:val="000000" w:themeColor="text1"/>
        </w:rPr>
        <w:t xml:space="preserve"> include variables that affect the non-revenue and revenue projections but are assumed to remain constant during the analysis period. The third input type corresponds to </w:t>
      </w:r>
      <w:r w:rsidRPr="00807DF8">
        <w:rPr>
          <w:rFonts w:eastAsia="Times New Roman" w:cs="Times New Roman"/>
          <w:color w:val="000000" w:themeColor="text1"/>
          <w:u w:val="single"/>
        </w:rPr>
        <w:t>policy testing variables</w:t>
      </w:r>
      <w:r w:rsidRPr="006F1444">
        <w:rPr>
          <w:rFonts w:eastAsia="Times New Roman" w:cs="Times New Roman"/>
          <w:color w:val="000000" w:themeColor="text1"/>
        </w:rPr>
        <w:t xml:space="preserve"> which are used to experiment with different tax rates and fees </w:t>
      </w:r>
      <w:r w:rsidR="00FC7F2C">
        <w:rPr>
          <w:rFonts w:eastAsia="Times New Roman" w:cs="Times New Roman"/>
          <w:color w:val="000000" w:themeColor="text1"/>
        </w:rPr>
        <w:t>to</w:t>
      </w:r>
      <w:r w:rsidR="00FC7F2C" w:rsidRPr="006F1444">
        <w:rPr>
          <w:rFonts w:eastAsia="Times New Roman" w:cs="Times New Roman"/>
          <w:color w:val="000000" w:themeColor="text1"/>
        </w:rPr>
        <w:t xml:space="preserve"> </w:t>
      </w:r>
      <w:r w:rsidRPr="006F1444">
        <w:rPr>
          <w:rFonts w:eastAsia="Times New Roman" w:cs="Times New Roman"/>
          <w:color w:val="000000" w:themeColor="text1"/>
        </w:rPr>
        <w:t xml:space="preserve">evaluate their effects on the net revenues. Only a few mechanisms were considered for the Projections module for simplicity. </w:t>
      </w:r>
    </w:p>
    <w:p w14:paraId="2818579A" w14:textId="60323C87" w:rsidR="006F1444" w:rsidRDefault="006F1444" w:rsidP="00D82814">
      <w:pPr>
        <w:spacing w:after="0" w:line="240" w:lineRule="auto"/>
        <w:ind w:firstLine="720"/>
        <w:jc w:val="both"/>
        <w:rPr>
          <w:rFonts w:eastAsia="Calibri"/>
        </w:rPr>
      </w:pPr>
      <w:r w:rsidRPr="006F1444">
        <w:rPr>
          <w:rFonts w:eastAsia="Calibri"/>
        </w:rPr>
        <w:t xml:space="preserve">The non-revenue projections and general assumptions were obtained from TxDOT publications to reflect their specific trends. Since the inputs are not generalizable for other locations, the details concerning their collection and their specific numerical values are excluded from this study for brevity. </w:t>
      </w:r>
    </w:p>
    <w:p w14:paraId="0248F245" w14:textId="77777777" w:rsidR="00F047F1" w:rsidRDefault="00F047F1" w:rsidP="00807DF8">
      <w:pPr>
        <w:spacing w:after="0" w:line="240" w:lineRule="auto"/>
        <w:ind w:firstLine="720"/>
        <w:jc w:val="both"/>
        <w:rPr>
          <w:rFonts w:eastAsia="Calibri"/>
        </w:rPr>
      </w:pPr>
    </w:p>
    <w:p w14:paraId="2FD3CECB" w14:textId="7D527506" w:rsidR="000C7AEC" w:rsidRPr="006F1444" w:rsidRDefault="00F047F1" w:rsidP="00F047F1">
      <w:pPr>
        <w:spacing w:after="0" w:line="240" w:lineRule="auto"/>
        <w:jc w:val="both"/>
        <w:rPr>
          <w:rFonts w:eastAsia="Calibri"/>
        </w:rPr>
      </w:pPr>
      <w:r w:rsidRPr="00F047F1">
        <w:rPr>
          <w:noProof/>
        </w:rPr>
        <w:drawing>
          <wp:inline distT="0" distB="0" distL="0" distR="0" wp14:anchorId="1AE3B565" wp14:editId="12DCC422">
            <wp:extent cx="4736592" cy="453542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6592" cy="4535424"/>
                    </a:xfrm>
                    <a:prstGeom prst="rect">
                      <a:avLst/>
                    </a:prstGeom>
                    <a:noFill/>
                    <a:ln>
                      <a:noFill/>
                    </a:ln>
                  </pic:spPr>
                </pic:pic>
              </a:graphicData>
            </a:graphic>
          </wp:inline>
        </w:drawing>
      </w:r>
    </w:p>
    <w:p w14:paraId="5E466ECC" w14:textId="0FD6E872" w:rsidR="000C7AEC" w:rsidRPr="006F1444" w:rsidRDefault="00C33840" w:rsidP="00807DF8">
      <w:pPr>
        <w:keepNext/>
        <w:spacing w:after="60" w:line="240" w:lineRule="auto"/>
        <w:jc w:val="both"/>
        <w:rPr>
          <w:noProof/>
          <w:sz w:val="24"/>
        </w:rPr>
      </w:pPr>
      <w:r w:rsidRPr="00C33840">
        <w:rPr>
          <w:noProof/>
          <w:sz w:val="24"/>
        </w:rPr>
        <w:t xml:space="preserve"> </w:t>
      </w:r>
    </w:p>
    <w:p w14:paraId="24A707C5" w14:textId="36BAED88" w:rsidR="006F1444" w:rsidRDefault="006F1444" w:rsidP="00807DF8">
      <w:pPr>
        <w:spacing w:after="60" w:line="240" w:lineRule="auto"/>
        <w:jc w:val="both"/>
        <w:rPr>
          <w:rFonts w:eastAsia="Times New Roman" w:cs="Times New Roman"/>
          <w:b/>
          <w:bCs/>
          <w:color w:val="000000" w:themeColor="text1"/>
          <w:szCs w:val="16"/>
        </w:rPr>
      </w:pPr>
      <w:bookmarkStart w:id="52" w:name="_Ref77257266"/>
      <w:r w:rsidRPr="006F1444">
        <w:rPr>
          <w:rFonts w:eastAsia="Times New Roman" w:cs="Times New Roman"/>
          <w:b/>
          <w:bCs/>
          <w:color w:val="000000" w:themeColor="text1"/>
          <w:szCs w:val="16"/>
        </w:rPr>
        <w:t xml:space="preserve">Figure </w:t>
      </w:r>
      <w:r w:rsidRPr="006F1444">
        <w:rPr>
          <w:rFonts w:eastAsia="Times New Roman" w:cs="Times New Roman"/>
          <w:b/>
          <w:bCs/>
          <w:color w:val="000000" w:themeColor="text1"/>
          <w:szCs w:val="16"/>
        </w:rPr>
        <w:fldChar w:fldCharType="begin"/>
      </w:r>
      <w:r w:rsidRPr="006F1444">
        <w:rPr>
          <w:rFonts w:eastAsia="Times New Roman" w:cs="Times New Roman"/>
          <w:b/>
          <w:bCs/>
          <w:color w:val="000000" w:themeColor="text1"/>
          <w:szCs w:val="16"/>
        </w:rPr>
        <w:instrText>SEQ Figure \* ARABIC</w:instrText>
      </w:r>
      <w:r w:rsidRPr="006F1444">
        <w:rPr>
          <w:rFonts w:eastAsia="Times New Roman" w:cs="Times New Roman"/>
          <w:b/>
          <w:bCs/>
          <w:color w:val="000000" w:themeColor="text1"/>
          <w:szCs w:val="16"/>
        </w:rPr>
        <w:fldChar w:fldCharType="separate"/>
      </w:r>
      <w:r w:rsidR="00210285">
        <w:rPr>
          <w:rFonts w:eastAsia="Times New Roman" w:cs="Times New Roman"/>
          <w:b/>
          <w:bCs/>
          <w:noProof/>
          <w:color w:val="000000" w:themeColor="text1"/>
          <w:szCs w:val="16"/>
        </w:rPr>
        <w:t>4</w:t>
      </w:r>
      <w:r w:rsidRPr="006F1444">
        <w:rPr>
          <w:rFonts w:eastAsia="Times New Roman" w:cs="Times New Roman"/>
          <w:b/>
          <w:bCs/>
          <w:color w:val="000000" w:themeColor="text1"/>
          <w:szCs w:val="16"/>
        </w:rPr>
        <w:fldChar w:fldCharType="end"/>
      </w:r>
      <w:bookmarkEnd w:id="52"/>
      <w:r w:rsidRPr="006F1444">
        <w:rPr>
          <w:rFonts w:eastAsia="Times New Roman" w:cs="Times New Roman"/>
          <w:b/>
          <w:bCs/>
          <w:color w:val="000000" w:themeColor="text1"/>
          <w:szCs w:val="16"/>
        </w:rPr>
        <w:t xml:space="preserve"> Framework for Financing Mechanisms Revenue Projections</w:t>
      </w:r>
    </w:p>
    <w:p w14:paraId="0D946801" w14:textId="77777777" w:rsidR="002001C9" w:rsidRDefault="002001C9" w:rsidP="00807DF8">
      <w:pPr>
        <w:pStyle w:val="Heading2"/>
        <w:jc w:val="both"/>
      </w:pPr>
    </w:p>
    <w:p w14:paraId="53633F4E" w14:textId="1AB0D97E" w:rsidR="006F1444" w:rsidRPr="006F1444" w:rsidRDefault="006F1444" w:rsidP="002001C9">
      <w:pPr>
        <w:pStyle w:val="Heading2"/>
        <w:keepNext/>
        <w:jc w:val="both"/>
      </w:pPr>
      <w:r w:rsidRPr="006F1444">
        <w:lastRenderedPageBreak/>
        <w:t xml:space="preserve">Tool Development </w:t>
      </w:r>
    </w:p>
    <w:p w14:paraId="21807C76" w14:textId="369662E1" w:rsidR="006F1444" w:rsidRPr="006F1444" w:rsidRDefault="006F1444" w:rsidP="002001C9">
      <w:pPr>
        <w:keepNext/>
        <w:spacing w:after="0" w:line="240" w:lineRule="auto"/>
        <w:jc w:val="both"/>
        <w:rPr>
          <w:rFonts w:eastAsia="Calibri"/>
        </w:rPr>
      </w:pPr>
      <w:r w:rsidRPr="006F1444">
        <w:rPr>
          <w:rFonts w:eastAsia="Calibri"/>
        </w:rPr>
        <w:t xml:space="preserve">The </w:t>
      </w:r>
      <w:r w:rsidR="004404F6">
        <w:rPr>
          <w:rFonts w:eastAsia="Calibri"/>
        </w:rPr>
        <w:t>FUND</w:t>
      </w:r>
      <w:r w:rsidRPr="006F1444">
        <w:rPr>
          <w:rFonts w:eastAsia="Calibri"/>
        </w:rPr>
        <w:t xml:space="preserve"> application that incorporates the Appropriateness and Projections modules comprises a Microsoft Access database that contains embedded Microsoft Excel spreadsheets </w:t>
      </w:r>
      <w:r w:rsidR="00E03B7D">
        <w:rPr>
          <w:rFonts w:eastAsia="Calibri"/>
        </w:rPr>
        <w:t>which</w:t>
      </w:r>
      <w:r w:rsidR="00E03B7D" w:rsidRPr="006F1444">
        <w:rPr>
          <w:rFonts w:eastAsia="Calibri"/>
        </w:rPr>
        <w:t xml:space="preserve"> </w:t>
      </w:r>
      <w:r w:rsidRPr="006F1444">
        <w:rPr>
          <w:rFonts w:eastAsia="Calibri"/>
        </w:rPr>
        <w:t>perform the technical computations and graphical displays for both modules. Linked with this are functions for collecting economic scenario and project characteristic parameters from the user that can be stored under named profiles within the same database. Project stakeholders chose this format because of its ability to contain both data and functionality that can be shared within an organization as a single file without the need for special back-end IT infrastructure.</w:t>
      </w:r>
    </w:p>
    <w:p w14:paraId="59338EA3" w14:textId="425C1C84" w:rsidR="006F1444" w:rsidRPr="006F1444" w:rsidRDefault="006F1444" w:rsidP="00807DF8">
      <w:pPr>
        <w:spacing w:after="0" w:line="240" w:lineRule="auto"/>
        <w:ind w:firstLine="720"/>
        <w:jc w:val="both"/>
        <w:rPr>
          <w:rFonts w:eastAsia="Calibri"/>
        </w:rPr>
      </w:pPr>
      <w:r w:rsidRPr="006F1444">
        <w:rPr>
          <w:rFonts w:eastAsia="Calibri"/>
        </w:rPr>
        <w:t xml:space="preserve">Other innovations included the use of databases and scripting to create user-friendly, dynamic pages of questions and the injection of database-driven values into specific cells of the embedded Excel spreadsheets to automate the necessary computations. The use of Excel allows analysts to update core application functionality without the need for </w:t>
      </w:r>
      <w:r w:rsidR="00E03B7D">
        <w:rPr>
          <w:rFonts w:eastAsia="Calibri"/>
        </w:rPr>
        <w:t xml:space="preserve">formal </w:t>
      </w:r>
      <w:r w:rsidRPr="006F1444">
        <w:rPr>
          <w:rFonts w:eastAsia="Calibri"/>
        </w:rPr>
        <w:t>programming.</w:t>
      </w:r>
    </w:p>
    <w:p w14:paraId="29F3DFE7" w14:textId="3BF2311D" w:rsidR="006F1444" w:rsidRDefault="006F1444" w:rsidP="00807DF8">
      <w:pPr>
        <w:spacing w:after="0" w:line="240" w:lineRule="auto"/>
        <w:ind w:firstLine="432"/>
        <w:jc w:val="both"/>
        <w:rPr>
          <w:rFonts w:eastAsia="Calibri"/>
        </w:rPr>
      </w:pPr>
      <w:r w:rsidRPr="006F1444">
        <w:rPr>
          <w:rFonts w:eastAsia="Calibri"/>
        </w:rPr>
        <w:t xml:space="preserve">The authors have provided </w:t>
      </w:r>
      <w:r w:rsidR="001433CA">
        <w:rPr>
          <w:rFonts w:eastAsia="Calibri"/>
        </w:rPr>
        <w:t xml:space="preserve">more information about the computations and potential uses </w:t>
      </w:r>
      <w:r w:rsidRPr="006F1444">
        <w:rPr>
          <w:rFonts w:eastAsia="Calibri"/>
        </w:rPr>
        <w:t xml:space="preserve">of this application at </w:t>
      </w:r>
      <w:hyperlink r:id="rId29" w:history="1">
        <w:r w:rsidR="00634965" w:rsidRPr="00B25043">
          <w:rPr>
            <w:rStyle w:val="Hyperlink"/>
            <w:rFonts w:eastAsia="Calibri"/>
          </w:rPr>
          <w:t>https://github.com/ut-ctr-nmc/fund</w:t>
        </w:r>
      </w:hyperlink>
      <w:r w:rsidRPr="006F1444">
        <w:rPr>
          <w:rFonts w:eastAsia="Calibri"/>
        </w:rPr>
        <w:t>.</w:t>
      </w:r>
      <w:r w:rsidR="00634965">
        <w:rPr>
          <w:rFonts w:eastAsia="Calibri"/>
        </w:rPr>
        <w:t xml:space="preserve"> </w:t>
      </w:r>
      <w:r w:rsidRPr="006F1444">
        <w:rPr>
          <w:rFonts w:eastAsia="Calibri"/>
        </w:rPr>
        <w:t>It is anticipated that these can be utilized as a starting point for re-implementation of Appropriateness and Projections functionality for other DOTs, as well as to exemplify how such tools can be made possible using off-the-shelf office software commonly found on many desktop computers within government organizations.</w:t>
      </w:r>
    </w:p>
    <w:p w14:paraId="2BD2D1FD" w14:textId="77777777" w:rsidR="008C5488" w:rsidRDefault="008C5488" w:rsidP="00807DF8">
      <w:pPr>
        <w:spacing w:after="0" w:line="240" w:lineRule="auto"/>
        <w:ind w:firstLine="432"/>
        <w:jc w:val="both"/>
        <w:rPr>
          <w:rFonts w:eastAsia="Calibri"/>
        </w:rPr>
      </w:pPr>
    </w:p>
    <w:p w14:paraId="2AD0979F" w14:textId="150A439E" w:rsidR="00A424DC" w:rsidRDefault="00A424DC" w:rsidP="00807DF8">
      <w:pPr>
        <w:pStyle w:val="Heading1"/>
        <w:jc w:val="both"/>
      </w:pPr>
      <w:bookmarkStart w:id="53" w:name="_Ref77258884"/>
      <w:r w:rsidRPr="00A424DC">
        <w:t>Scenario</w:t>
      </w:r>
      <w:r>
        <w:t xml:space="preserve"> Demonstrations</w:t>
      </w:r>
      <w:bookmarkEnd w:id="53"/>
    </w:p>
    <w:p w14:paraId="1F5572B9" w14:textId="285DCCEA" w:rsidR="00A424DC" w:rsidRDefault="00A424DC" w:rsidP="00807DF8">
      <w:pPr>
        <w:spacing w:after="0" w:line="240" w:lineRule="auto"/>
        <w:jc w:val="both"/>
        <w:rPr>
          <w:rFonts w:eastAsia="Calibri" w:cs="Times New Roman"/>
          <w:color w:val="222222"/>
        </w:rPr>
      </w:pPr>
      <w:r w:rsidRPr="00A424DC">
        <w:rPr>
          <w:rFonts w:eastAsia="Calibri" w:cs="Times New Roman"/>
          <w:color w:val="222222"/>
        </w:rPr>
        <w:t xml:space="preserve">The </w:t>
      </w:r>
      <w:r w:rsidR="004404F6">
        <w:rPr>
          <w:rFonts w:eastAsia="Calibri" w:cs="Times New Roman"/>
          <w:color w:val="222222"/>
        </w:rPr>
        <w:t>FUND</w:t>
      </w:r>
      <w:r w:rsidRPr="00A424DC">
        <w:rPr>
          <w:rFonts w:eastAsia="Calibri" w:cs="Times New Roman"/>
          <w:color w:val="222222"/>
        </w:rPr>
        <w:t xml:space="preserve"> database application presents the user interface </w:t>
      </w:r>
      <w:r w:rsidR="00A9150B">
        <w:rPr>
          <w:rFonts w:eastAsia="Calibri" w:cs="Times New Roman"/>
          <w:color w:val="222222"/>
        </w:rPr>
        <w:t xml:space="preserve">for </w:t>
      </w:r>
      <w:r w:rsidRPr="00A424DC">
        <w:rPr>
          <w:rFonts w:eastAsia="Calibri" w:cs="Times New Roman"/>
          <w:color w:val="222222"/>
        </w:rPr>
        <w:t xml:space="preserve">Appropriateness and Projections modules described earlier. </w:t>
      </w:r>
    </w:p>
    <w:p w14:paraId="7FFCAEC1" w14:textId="77777777" w:rsidR="00EE54F2" w:rsidRPr="00A424DC" w:rsidRDefault="00EE54F2" w:rsidP="00807DF8">
      <w:pPr>
        <w:spacing w:after="0" w:line="240" w:lineRule="auto"/>
        <w:ind w:firstLine="720"/>
        <w:jc w:val="both"/>
        <w:rPr>
          <w:rFonts w:eastAsia="Calibri" w:cs="Times New Roman"/>
          <w:color w:val="222222"/>
        </w:rPr>
      </w:pPr>
    </w:p>
    <w:p w14:paraId="311D5D92" w14:textId="779B923A" w:rsidR="00A424DC" w:rsidRPr="00A424DC" w:rsidRDefault="00A424DC" w:rsidP="00807DF8">
      <w:pPr>
        <w:pStyle w:val="Heading2"/>
        <w:jc w:val="both"/>
      </w:pPr>
      <w:r w:rsidRPr="00A424DC">
        <w:t xml:space="preserve">Project Scenario: </w:t>
      </w:r>
      <w:r w:rsidR="007E1345">
        <w:t>Large</w:t>
      </w:r>
      <w:r w:rsidRPr="00A424DC">
        <w:t xml:space="preserve"> Project Example</w:t>
      </w:r>
    </w:p>
    <w:p w14:paraId="5F044C4C" w14:textId="77777777" w:rsidR="00C4210E" w:rsidRDefault="00A424DC" w:rsidP="004A66EF">
      <w:pPr>
        <w:spacing w:after="120" w:line="240" w:lineRule="auto"/>
        <w:jc w:val="both"/>
        <w:rPr>
          <w:rFonts w:eastAsia="Calibri" w:cs="Times New Roman"/>
          <w:color w:val="222222"/>
        </w:rPr>
        <w:sectPr w:rsidR="00C4210E" w:rsidSect="00F642E4">
          <w:type w:val="continuous"/>
          <w:pgSz w:w="12240" w:h="15840"/>
          <w:pgMar w:top="1440" w:right="1440" w:bottom="1440" w:left="1440" w:header="720" w:footer="720" w:gutter="0"/>
          <w:cols w:space="720"/>
          <w:titlePg/>
          <w:docGrid w:linePitch="360"/>
        </w:sectPr>
      </w:pPr>
      <w:r w:rsidRPr="00A424DC">
        <w:rPr>
          <w:rFonts w:eastAsia="Calibri" w:cs="Times New Roman"/>
          <w:color w:val="222222"/>
        </w:rPr>
        <w:t>To further demonstrate the capabilities of the database, an example project scenario is defined with these characteristics:</w:t>
      </w:r>
    </w:p>
    <w:p w14:paraId="64058CE8"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Budget in billions of dollars</w:t>
      </w:r>
    </w:p>
    <w:p w14:paraId="43FB92D9"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Three-to-five-year construction period</w:t>
      </w:r>
    </w:p>
    <w:p w14:paraId="253D5E42"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Investment stage within four years</w:t>
      </w:r>
    </w:p>
    <w:p w14:paraId="3E55D222"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High priority</w:t>
      </w:r>
    </w:p>
    <w:p w14:paraId="7D6B391D"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Innovative construction methods</w:t>
      </w:r>
    </w:p>
    <w:p w14:paraId="157B1AC7"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Equity goals</w:t>
      </w:r>
    </w:p>
    <w:p w14:paraId="2EBF06E8"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No sustainability goals</w:t>
      </w:r>
    </w:p>
    <w:p w14:paraId="7178B81D"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Medium business density</w:t>
      </w:r>
    </w:p>
    <w:p w14:paraId="3F3C1577"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High complexity</w:t>
      </w:r>
    </w:p>
    <w:p w14:paraId="7F10437A"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Not tolled</w:t>
      </w:r>
    </w:p>
    <w:p w14:paraId="2DF9A9F0" w14:textId="77777777" w:rsidR="00A424DC" w:rsidRPr="00A424DC" w:rsidRDefault="00A424DC" w:rsidP="00807DF8">
      <w:pPr>
        <w:numPr>
          <w:ilvl w:val="0"/>
          <w:numId w:val="9"/>
        </w:numPr>
        <w:spacing w:after="0" w:line="240" w:lineRule="auto"/>
        <w:ind w:left="630"/>
        <w:contextualSpacing/>
        <w:jc w:val="both"/>
        <w:rPr>
          <w:rFonts w:eastAsia="Calibri" w:cs="Times New Roman"/>
          <w:color w:val="222222"/>
        </w:rPr>
      </w:pPr>
      <w:r w:rsidRPr="00A424DC">
        <w:rPr>
          <w:rFonts w:eastAsia="Calibri" w:cs="Times New Roman"/>
          <w:color w:val="222222"/>
        </w:rPr>
        <w:t>Not appropriate to use bonds</w:t>
      </w:r>
    </w:p>
    <w:p w14:paraId="47B749EA" w14:textId="77777777" w:rsidR="00C4210E" w:rsidRDefault="00C4210E" w:rsidP="00807DF8">
      <w:pPr>
        <w:spacing w:after="0" w:line="240" w:lineRule="auto"/>
        <w:jc w:val="both"/>
        <w:rPr>
          <w:rFonts w:eastAsia="Calibri" w:cs="Times New Roman"/>
          <w:color w:val="222222"/>
        </w:rPr>
        <w:sectPr w:rsidR="00C4210E" w:rsidSect="00C4210E">
          <w:type w:val="continuous"/>
          <w:pgSz w:w="12240" w:h="15840"/>
          <w:pgMar w:top="1440" w:right="1440" w:bottom="1440" w:left="1440" w:header="720" w:footer="720" w:gutter="0"/>
          <w:cols w:num="2" w:space="720"/>
          <w:titlePg/>
          <w:docGrid w:linePitch="360"/>
        </w:sectPr>
      </w:pPr>
    </w:p>
    <w:p w14:paraId="3CD3F9A1" w14:textId="16AEB736" w:rsidR="00A424DC" w:rsidRPr="00A424DC" w:rsidRDefault="00A424DC" w:rsidP="00807DF8">
      <w:pPr>
        <w:spacing w:after="0" w:line="240" w:lineRule="auto"/>
        <w:jc w:val="both"/>
        <w:rPr>
          <w:rFonts w:eastAsia="Calibri" w:cs="Times New Roman"/>
          <w:color w:val="222222"/>
        </w:rPr>
      </w:pPr>
    </w:p>
    <w:p w14:paraId="19D9064D" w14:textId="2E6D8A8C" w:rsidR="007D04FF" w:rsidRPr="007F5736" w:rsidRDefault="00A424DC" w:rsidP="007F5736">
      <w:pPr>
        <w:spacing w:after="0" w:line="240" w:lineRule="auto"/>
        <w:ind w:firstLine="720"/>
        <w:jc w:val="both"/>
        <w:rPr>
          <w:rFonts w:eastAsia="Calibri" w:cs="Times New Roman"/>
          <w:color w:val="222222"/>
        </w:rPr>
      </w:pPr>
      <w:r w:rsidRPr="00A424DC">
        <w:rPr>
          <w:rFonts w:eastAsia="Calibri" w:cs="Times New Roman"/>
          <w:color w:val="222222"/>
        </w:rPr>
        <w:t xml:space="preserve">An example of such a project could be a state-level bridge construction project that runs through a busy city corridor. </w:t>
      </w:r>
      <w:r w:rsidR="00A26D2D" w:rsidRPr="00A424DC">
        <w:rPr>
          <w:rFonts w:eastAsia="Calibri" w:cs="Times New Roman"/>
          <w:color w:val="222222"/>
        </w:rPr>
        <w:t>Th</w:t>
      </w:r>
      <w:r w:rsidR="00A26D2D">
        <w:rPr>
          <w:rFonts w:eastAsia="Calibri" w:cs="Times New Roman"/>
          <w:color w:val="222222"/>
        </w:rPr>
        <w:t>ese</w:t>
      </w:r>
      <w:r w:rsidR="00A26D2D" w:rsidRPr="00A424DC">
        <w:rPr>
          <w:rFonts w:eastAsia="Calibri" w:cs="Times New Roman"/>
          <w:color w:val="222222"/>
        </w:rPr>
        <w:t xml:space="preserve"> </w:t>
      </w:r>
      <w:r w:rsidRPr="00A424DC">
        <w:rPr>
          <w:rFonts w:eastAsia="Calibri" w:cs="Times New Roman"/>
          <w:color w:val="222222"/>
        </w:rPr>
        <w:t>construction costs are significant due to the complexity and location of construction. Additionally, because it is high priority, it is possible to overtake other</w:t>
      </w:r>
      <w:r w:rsidR="00FC7F2C">
        <w:rPr>
          <w:rFonts w:eastAsia="Calibri" w:cs="Times New Roman"/>
          <w:color w:val="222222"/>
        </w:rPr>
        <w:t xml:space="preserve"> projects</w:t>
      </w:r>
      <w:r w:rsidRPr="00A424DC">
        <w:rPr>
          <w:rFonts w:eastAsia="Calibri" w:cs="Times New Roman"/>
          <w:color w:val="222222"/>
        </w:rPr>
        <w:t>.</w:t>
      </w:r>
      <w:r w:rsidR="007F5736">
        <w:rPr>
          <w:rFonts w:eastAsia="Calibri" w:cs="Times New Roman"/>
          <w:color w:val="222222"/>
        </w:rPr>
        <w:t xml:space="preserve"> </w:t>
      </w:r>
      <w:r w:rsidR="007F5736" w:rsidRPr="007F5736">
        <w:rPr>
          <w:rFonts w:eastAsia="Calibri" w:cs="Times New Roman"/>
          <w:b/>
          <w:color w:val="222222"/>
        </w:rPr>
        <w:t>Figure 5</w:t>
      </w:r>
      <w:r w:rsidR="007D04FF">
        <w:rPr>
          <w:rFonts w:eastAsia="Calibri" w:cs="Times New Roman"/>
          <w:color w:val="222222"/>
        </w:rPr>
        <w:t xml:space="preserve"> presents how the FUND </w:t>
      </w:r>
      <w:r w:rsidR="00F577E7">
        <w:rPr>
          <w:rFonts w:eastAsia="Calibri" w:cs="Times New Roman"/>
          <w:color w:val="222222"/>
        </w:rPr>
        <w:t xml:space="preserve">database </w:t>
      </w:r>
      <w:r w:rsidR="007D04FF">
        <w:rPr>
          <w:rFonts w:eastAsia="Calibri" w:cs="Times New Roman"/>
          <w:color w:val="222222"/>
        </w:rPr>
        <w:t xml:space="preserve">allows for running this scenario and viewing the </w:t>
      </w:r>
      <w:r w:rsidR="00784043">
        <w:rPr>
          <w:rFonts w:eastAsia="Calibri" w:cs="Times New Roman"/>
          <w:color w:val="222222"/>
        </w:rPr>
        <w:t xml:space="preserve">Appropriateness </w:t>
      </w:r>
      <w:r w:rsidR="007D04FF">
        <w:rPr>
          <w:rFonts w:eastAsia="Calibri" w:cs="Times New Roman"/>
          <w:color w:val="222222"/>
        </w:rPr>
        <w:t xml:space="preserve">results. </w:t>
      </w:r>
      <w:r w:rsidR="0058161B">
        <w:rPr>
          <w:rFonts w:eastAsia="Calibri" w:cs="Times New Roman"/>
          <w:color w:val="222222"/>
        </w:rPr>
        <w:t xml:space="preserve">After selecting the appropriateness module and a relevant project profile </w:t>
      </w:r>
      <w:r w:rsidR="00A26D2D">
        <w:rPr>
          <w:rFonts w:eastAsia="Calibri" w:cs="Times New Roman"/>
          <w:color w:val="222222"/>
        </w:rPr>
        <w:t xml:space="preserve">on </w:t>
      </w:r>
      <w:r w:rsidR="0058161B">
        <w:rPr>
          <w:rFonts w:eastAsia="Calibri" w:cs="Times New Roman"/>
          <w:color w:val="222222"/>
        </w:rPr>
        <w:t xml:space="preserve">the main page (refer to </w:t>
      </w:r>
      <w:r w:rsidR="00A26D2D">
        <w:rPr>
          <w:rFonts w:eastAsia="Calibri" w:cs="Times New Roman"/>
          <w:color w:val="222222"/>
        </w:rPr>
        <w:t>S</w:t>
      </w:r>
      <w:r w:rsidR="0058161B">
        <w:rPr>
          <w:rFonts w:eastAsia="Calibri" w:cs="Times New Roman"/>
          <w:color w:val="222222"/>
        </w:rPr>
        <w:t>tep 1 in</w:t>
      </w:r>
      <w:r w:rsidR="007F5736">
        <w:rPr>
          <w:rFonts w:eastAsia="Calibri" w:cs="Times New Roman"/>
          <w:color w:val="222222"/>
        </w:rPr>
        <w:t xml:space="preserve"> </w:t>
      </w:r>
      <w:r w:rsidR="007F5736" w:rsidRPr="007F5736">
        <w:rPr>
          <w:rFonts w:eastAsia="Calibri" w:cs="Times New Roman"/>
          <w:b/>
          <w:color w:val="222222"/>
        </w:rPr>
        <w:t>Figure 5</w:t>
      </w:r>
      <w:r w:rsidR="007F5736">
        <w:rPr>
          <w:rFonts w:eastAsia="Calibri" w:cs="Times New Roman"/>
          <w:color w:val="222222"/>
        </w:rPr>
        <w:t>)</w:t>
      </w:r>
      <w:r w:rsidR="0058161B">
        <w:rPr>
          <w:rFonts w:eastAsia="Calibri" w:cs="Times New Roman"/>
          <w:color w:val="222222"/>
        </w:rPr>
        <w:t>, the application prompts a project characteristics</w:t>
      </w:r>
      <w:r w:rsidR="00FC7F2C">
        <w:rPr>
          <w:rFonts w:eastAsia="Calibri" w:cs="Times New Roman"/>
          <w:color w:val="222222"/>
        </w:rPr>
        <w:t>’</w:t>
      </w:r>
      <w:r w:rsidR="0058161B">
        <w:rPr>
          <w:rFonts w:eastAsia="Calibri" w:cs="Times New Roman"/>
          <w:color w:val="222222"/>
        </w:rPr>
        <w:t xml:space="preserve"> input form </w:t>
      </w:r>
      <w:r w:rsidR="003142F9">
        <w:rPr>
          <w:rFonts w:eastAsia="Calibri" w:cs="Times New Roman"/>
          <w:color w:val="222222"/>
        </w:rPr>
        <w:t>allowing for necessary profile adjustments. The image presented under step 2 in</w:t>
      </w:r>
      <w:r w:rsidR="007F5736">
        <w:rPr>
          <w:rFonts w:eastAsia="Calibri" w:cs="Times New Roman"/>
          <w:color w:val="222222"/>
        </w:rPr>
        <w:t xml:space="preserve"> </w:t>
      </w:r>
      <w:r w:rsidR="007F5736" w:rsidRPr="007F5736">
        <w:rPr>
          <w:rFonts w:eastAsia="Calibri" w:cs="Times New Roman"/>
          <w:b/>
          <w:color w:val="222222"/>
        </w:rPr>
        <w:t>Figure 5</w:t>
      </w:r>
      <w:r w:rsidR="007F5736">
        <w:rPr>
          <w:rFonts w:eastAsia="Calibri" w:cs="Times New Roman"/>
          <w:color w:val="222222"/>
        </w:rPr>
        <w:t xml:space="preserve"> </w:t>
      </w:r>
      <w:r w:rsidR="00DA3312">
        <w:rPr>
          <w:rFonts w:eastAsia="Calibri" w:cs="Times New Roman"/>
          <w:color w:val="222222"/>
        </w:rPr>
        <w:t xml:space="preserve">shows </w:t>
      </w:r>
      <w:r w:rsidR="00DA3312" w:rsidRPr="00A424DC">
        <w:rPr>
          <w:rFonts w:eastAsia="Calibri" w:cs="Times New Roman"/>
          <w:color w:val="222222"/>
        </w:rPr>
        <w:t xml:space="preserve">a portion of the input </w:t>
      </w:r>
      <w:proofErr w:type="spellStart"/>
      <w:r w:rsidR="00DA3312" w:rsidRPr="00A424DC">
        <w:rPr>
          <w:rFonts w:eastAsia="Calibri" w:cs="Times New Roman"/>
          <w:color w:val="222222"/>
        </w:rPr>
        <w:t>form</w:t>
      </w:r>
      <w:proofErr w:type="spellEnd"/>
      <w:r w:rsidR="00DA3312">
        <w:rPr>
          <w:rFonts w:eastAsia="Calibri" w:cs="Times New Roman"/>
          <w:color w:val="222222"/>
        </w:rPr>
        <w:t xml:space="preserve"> corresponding to the project budget.</w:t>
      </w:r>
    </w:p>
    <w:p w14:paraId="5DD1F27E" w14:textId="01D2A3AA" w:rsidR="00430677" w:rsidRDefault="00A424DC" w:rsidP="007F5736">
      <w:pPr>
        <w:spacing w:after="0" w:line="240" w:lineRule="auto"/>
        <w:ind w:firstLine="720"/>
        <w:jc w:val="both"/>
        <w:rPr>
          <w:rFonts w:eastAsia="Calibri" w:cs="Times New Roman"/>
          <w:color w:val="000000" w:themeColor="text1"/>
        </w:rPr>
      </w:pPr>
      <w:r w:rsidRPr="00A424DC">
        <w:rPr>
          <w:rFonts w:eastAsia="Calibri" w:cs="Times New Roman"/>
          <w:color w:val="000000" w:themeColor="text1"/>
        </w:rPr>
        <w:t>The results page, shown in the bottom-</w:t>
      </w:r>
      <w:r w:rsidR="00881A11">
        <w:rPr>
          <w:rFonts w:eastAsia="Calibri" w:cs="Times New Roman"/>
          <w:color w:val="000000" w:themeColor="text1"/>
        </w:rPr>
        <w:t xml:space="preserve">left </w:t>
      </w:r>
      <w:r w:rsidRPr="00A424DC">
        <w:rPr>
          <w:rFonts w:eastAsia="Calibri" w:cs="Times New Roman"/>
          <w:color w:val="000000" w:themeColor="text1"/>
        </w:rPr>
        <w:t xml:space="preserve">image, </w:t>
      </w:r>
      <w:r w:rsidR="00A9150B">
        <w:rPr>
          <w:rFonts w:eastAsia="Calibri" w:cs="Times New Roman"/>
          <w:color w:val="000000" w:themeColor="text1"/>
        </w:rPr>
        <w:t xml:space="preserve">ranks and </w:t>
      </w:r>
      <w:r w:rsidRPr="00A424DC">
        <w:rPr>
          <w:rFonts w:eastAsia="Calibri" w:cs="Times New Roman"/>
          <w:color w:val="000000" w:themeColor="text1"/>
        </w:rPr>
        <w:t>displays the most appropriate funding</w:t>
      </w:r>
      <w:r w:rsidR="00FC7F2C">
        <w:rPr>
          <w:rFonts w:eastAsia="Calibri" w:cs="Times New Roman"/>
          <w:color w:val="000000" w:themeColor="text1"/>
        </w:rPr>
        <w:t>/</w:t>
      </w:r>
      <w:r w:rsidRPr="00A424DC">
        <w:rPr>
          <w:rFonts w:eastAsia="Calibri" w:cs="Times New Roman"/>
          <w:color w:val="000000" w:themeColor="text1"/>
        </w:rPr>
        <w:t>financing mechanism</w:t>
      </w:r>
      <w:r w:rsidR="00A9150B">
        <w:rPr>
          <w:rFonts w:eastAsia="Calibri" w:cs="Times New Roman"/>
          <w:color w:val="000000" w:themeColor="text1"/>
        </w:rPr>
        <w:t>s</w:t>
      </w:r>
      <w:r w:rsidR="00881A11">
        <w:rPr>
          <w:rFonts w:eastAsia="Calibri" w:cs="Times New Roman"/>
          <w:color w:val="000000" w:themeColor="text1"/>
        </w:rPr>
        <w:t xml:space="preserve"> for the tested scenario</w:t>
      </w:r>
      <w:r w:rsidRPr="00A424DC">
        <w:rPr>
          <w:rFonts w:eastAsia="Calibri" w:cs="Times New Roman"/>
          <w:color w:val="000000" w:themeColor="text1"/>
        </w:rPr>
        <w:t xml:space="preserve">. </w:t>
      </w:r>
      <w:r w:rsidR="00881A11">
        <w:rPr>
          <w:rFonts w:eastAsia="Calibri" w:cs="Times New Roman"/>
          <w:color w:val="000000" w:themeColor="text1"/>
        </w:rPr>
        <w:t>Steps 3 and 4 in</w:t>
      </w:r>
      <w:r w:rsidR="007F5736">
        <w:rPr>
          <w:rFonts w:eastAsia="Calibri" w:cs="Times New Roman"/>
          <w:color w:val="000000" w:themeColor="text1"/>
        </w:rPr>
        <w:t xml:space="preserve"> </w:t>
      </w:r>
      <w:r w:rsidR="007F5736" w:rsidRPr="007F5736">
        <w:rPr>
          <w:rFonts w:eastAsia="Calibri" w:cs="Times New Roman"/>
          <w:b/>
          <w:color w:val="222222"/>
        </w:rPr>
        <w:t>Figure 5</w:t>
      </w:r>
      <w:r w:rsidR="00881A11">
        <w:rPr>
          <w:rFonts w:eastAsia="Calibri" w:cs="Times New Roman"/>
          <w:color w:val="000000" w:themeColor="text1"/>
        </w:rPr>
        <w:t xml:space="preserve"> zoom into the results to show the details of the table w</w:t>
      </w:r>
      <w:r w:rsidR="008C5488">
        <w:rPr>
          <w:rFonts w:eastAsia="Calibri" w:cs="Times New Roman"/>
          <w:color w:val="000000" w:themeColor="text1"/>
        </w:rPr>
        <w:t>h</w:t>
      </w:r>
      <w:r w:rsidR="00881A11">
        <w:rPr>
          <w:rFonts w:eastAsia="Calibri" w:cs="Times New Roman"/>
          <w:color w:val="000000" w:themeColor="text1"/>
        </w:rPr>
        <w:t xml:space="preserve">ich </w:t>
      </w:r>
      <w:r w:rsidR="00A9150B">
        <w:rPr>
          <w:rFonts w:eastAsia="Calibri" w:cs="Times New Roman"/>
          <w:color w:val="000000" w:themeColor="text1"/>
        </w:rPr>
        <w:t>shows</w:t>
      </w:r>
      <w:r w:rsidR="00881A11">
        <w:rPr>
          <w:rFonts w:eastAsia="Calibri" w:cs="Times New Roman"/>
          <w:color w:val="000000" w:themeColor="text1"/>
        </w:rPr>
        <w:t xml:space="preserve"> associated information</w:t>
      </w:r>
      <w:r w:rsidR="004B1DE7">
        <w:rPr>
          <w:rFonts w:eastAsia="Calibri" w:cs="Times New Roman"/>
          <w:color w:val="000000" w:themeColor="text1"/>
        </w:rPr>
        <w:t xml:space="preserve"> and </w:t>
      </w:r>
      <w:r w:rsidR="00A9150B">
        <w:rPr>
          <w:rFonts w:eastAsia="Calibri" w:cs="Times New Roman"/>
          <w:color w:val="000000" w:themeColor="text1"/>
        </w:rPr>
        <w:t>online resources</w:t>
      </w:r>
      <w:r w:rsidR="004B1DE7">
        <w:rPr>
          <w:rFonts w:eastAsia="Calibri" w:cs="Times New Roman"/>
          <w:color w:val="000000" w:themeColor="text1"/>
        </w:rPr>
        <w:t>.</w:t>
      </w:r>
      <w:r w:rsidR="00C67563">
        <w:rPr>
          <w:rFonts w:eastAsia="Calibri" w:cs="Times New Roman"/>
          <w:color w:val="000000" w:themeColor="text1"/>
        </w:rPr>
        <w:t xml:space="preserve"> </w:t>
      </w:r>
      <w:r w:rsidRPr="00A424DC">
        <w:rPr>
          <w:rFonts w:eastAsia="Calibri" w:cs="Times New Roman"/>
          <w:color w:val="000000" w:themeColor="text1"/>
        </w:rPr>
        <w:t>For this example, the Indexed MFT shows as the most promising. Furthermore, the detailed results</w:t>
      </w:r>
      <w:r w:rsidR="00C67563">
        <w:rPr>
          <w:rFonts w:eastAsia="Calibri" w:cs="Times New Roman"/>
          <w:color w:val="000000" w:themeColor="text1"/>
        </w:rPr>
        <w:t xml:space="preserve"> presented in </w:t>
      </w:r>
      <w:r w:rsidR="00A26D2D">
        <w:rPr>
          <w:rFonts w:eastAsia="Calibri" w:cs="Times New Roman"/>
          <w:color w:val="000000" w:themeColor="text1"/>
        </w:rPr>
        <w:t>S</w:t>
      </w:r>
      <w:r w:rsidR="00C67563">
        <w:rPr>
          <w:rFonts w:eastAsia="Calibri" w:cs="Times New Roman"/>
          <w:color w:val="000000" w:themeColor="text1"/>
        </w:rPr>
        <w:t>tep 5 of</w:t>
      </w:r>
      <w:r w:rsidR="007F5736">
        <w:rPr>
          <w:rFonts w:eastAsia="Calibri" w:cs="Times New Roman"/>
          <w:color w:val="000000" w:themeColor="text1"/>
        </w:rPr>
        <w:t xml:space="preserve"> </w:t>
      </w:r>
      <w:r w:rsidR="007F5736" w:rsidRPr="007F5736">
        <w:rPr>
          <w:rFonts w:eastAsia="Calibri" w:cs="Times New Roman"/>
          <w:b/>
          <w:color w:val="222222"/>
        </w:rPr>
        <w:t>Figure 5</w:t>
      </w:r>
      <w:r w:rsidR="00C67563">
        <w:rPr>
          <w:rFonts w:eastAsia="Calibri" w:cs="Times New Roman"/>
          <w:color w:val="000000" w:themeColor="text1"/>
        </w:rPr>
        <w:t xml:space="preserve"> </w:t>
      </w:r>
      <w:r w:rsidRPr="00A424DC">
        <w:rPr>
          <w:rFonts w:eastAsia="Calibri" w:cs="Times New Roman"/>
          <w:color w:val="000000" w:themeColor="text1"/>
        </w:rPr>
        <w:t xml:space="preserve">provide further insight on the AHP process, displaying predictability and stability as most important in a funding or financing source, while the ability to enforce and ease of implementation are ranked as least important. Overall, users </w:t>
      </w:r>
      <w:r w:rsidR="00A9150B">
        <w:rPr>
          <w:rFonts w:eastAsia="Calibri" w:cs="Times New Roman"/>
          <w:color w:val="000000" w:themeColor="text1"/>
        </w:rPr>
        <w:t>are</w:t>
      </w:r>
      <w:r w:rsidRPr="00A424DC">
        <w:rPr>
          <w:rFonts w:eastAsia="Calibri" w:cs="Times New Roman"/>
          <w:color w:val="000000" w:themeColor="text1"/>
        </w:rPr>
        <w:t xml:space="preserve"> able to use both results pages to better understand what criteria among the mechanisms should be most sought for this project. In the case where a new mechanism is not coded within this database, the criteria weights would likely apply to new mechanisms considered in the future.</w:t>
      </w:r>
    </w:p>
    <w:p w14:paraId="56CF383A" w14:textId="0CEC3A84" w:rsidR="00A51112" w:rsidRDefault="00E901F2" w:rsidP="00807DF8">
      <w:pPr>
        <w:spacing w:after="0" w:line="240" w:lineRule="auto"/>
        <w:jc w:val="both"/>
        <w:rPr>
          <w:rFonts w:eastAsia="Calibri" w:cs="Times New Roman"/>
          <w:color w:val="000000" w:themeColor="text1"/>
        </w:rPr>
      </w:pPr>
      <w:r w:rsidRPr="00E901F2">
        <w:rPr>
          <w:noProof/>
        </w:rPr>
        <w:lastRenderedPageBreak/>
        <w:drawing>
          <wp:inline distT="0" distB="0" distL="0" distR="0" wp14:anchorId="1F859133" wp14:editId="332209F1">
            <wp:extent cx="6071616" cy="7790688"/>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1616" cy="7790688"/>
                    </a:xfrm>
                    <a:prstGeom prst="rect">
                      <a:avLst/>
                    </a:prstGeom>
                    <a:noFill/>
                    <a:ln>
                      <a:noFill/>
                    </a:ln>
                  </pic:spPr>
                </pic:pic>
              </a:graphicData>
            </a:graphic>
          </wp:inline>
        </w:drawing>
      </w:r>
    </w:p>
    <w:p w14:paraId="23B02AB7" w14:textId="5BE1AE70" w:rsidR="000C7AEC" w:rsidRPr="00430677" w:rsidRDefault="000C7AEC" w:rsidP="00430677">
      <w:pPr>
        <w:spacing w:after="0" w:line="240" w:lineRule="auto"/>
        <w:jc w:val="both"/>
        <w:rPr>
          <w:rFonts w:eastAsia="Calibri" w:cs="Times New Roman"/>
          <w:color w:val="000000" w:themeColor="text1"/>
        </w:rPr>
      </w:pPr>
      <w:bookmarkStart w:id="54" w:name="_Ref78199994"/>
    </w:p>
    <w:p w14:paraId="264E8DC8" w14:textId="36925831" w:rsidR="00A26D2D" w:rsidRDefault="00A26D2D" w:rsidP="00A26D2D">
      <w:pPr>
        <w:spacing w:after="60" w:line="240" w:lineRule="auto"/>
        <w:jc w:val="both"/>
        <w:rPr>
          <w:rFonts w:eastAsia="Times New Roman" w:cs="Times New Roman"/>
          <w:b/>
          <w:bCs/>
          <w:color w:val="000000" w:themeColor="text1"/>
          <w:szCs w:val="16"/>
        </w:rPr>
      </w:pPr>
      <w:r w:rsidRPr="00A424DC">
        <w:rPr>
          <w:rFonts w:eastAsia="Times New Roman" w:cs="Times New Roman"/>
          <w:b/>
          <w:bCs/>
          <w:color w:val="000000" w:themeColor="text1"/>
          <w:szCs w:val="16"/>
        </w:rPr>
        <w:t xml:space="preserve">Figure </w:t>
      </w:r>
      <w:r w:rsidRPr="00A424DC">
        <w:rPr>
          <w:rFonts w:eastAsia="Times New Roman" w:cs="Times New Roman"/>
          <w:b/>
          <w:bCs/>
          <w:color w:val="000000" w:themeColor="text1"/>
          <w:szCs w:val="16"/>
        </w:rPr>
        <w:fldChar w:fldCharType="begin"/>
      </w:r>
      <w:r w:rsidRPr="00A424DC">
        <w:rPr>
          <w:rFonts w:eastAsia="Times New Roman" w:cs="Times New Roman"/>
          <w:b/>
          <w:bCs/>
          <w:color w:val="000000" w:themeColor="text1"/>
          <w:szCs w:val="16"/>
        </w:rPr>
        <w:instrText xml:space="preserve"> SEQ Figure \* ARABIC </w:instrText>
      </w:r>
      <w:r w:rsidRPr="00A424DC">
        <w:rPr>
          <w:rFonts w:eastAsia="Times New Roman" w:cs="Times New Roman"/>
          <w:b/>
          <w:bCs/>
          <w:color w:val="000000" w:themeColor="text1"/>
          <w:szCs w:val="16"/>
        </w:rPr>
        <w:fldChar w:fldCharType="separate"/>
      </w:r>
      <w:r w:rsidR="00210285">
        <w:rPr>
          <w:rFonts w:eastAsia="Times New Roman" w:cs="Times New Roman"/>
          <w:b/>
          <w:bCs/>
          <w:noProof/>
          <w:color w:val="000000" w:themeColor="text1"/>
          <w:szCs w:val="16"/>
        </w:rPr>
        <w:t>5</w:t>
      </w:r>
      <w:r w:rsidRPr="00A424DC">
        <w:rPr>
          <w:rFonts w:eastAsia="Times New Roman" w:cs="Times New Roman"/>
          <w:b/>
          <w:bCs/>
          <w:noProof/>
          <w:color w:val="000000" w:themeColor="text1"/>
          <w:szCs w:val="16"/>
        </w:rPr>
        <w:fldChar w:fldCharType="end"/>
      </w:r>
      <w:bookmarkEnd w:id="54"/>
      <w:r w:rsidRPr="00A424DC">
        <w:rPr>
          <w:rFonts w:eastAsia="Times New Roman" w:cs="Times New Roman"/>
          <w:b/>
          <w:bCs/>
          <w:color w:val="000000" w:themeColor="text1"/>
          <w:szCs w:val="16"/>
        </w:rPr>
        <w:t xml:space="preserve"> Steps of Appropriateness Functions within </w:t>
      </w:r>
      <w:r>
        <w:rPr>
          <w:rFonts w:eastAsia="Times New Roman" w:cs="Times New Roman"/>
          <w:b/>
          <w:bCs/>
          <w:color w:val="000000" w:themeColor="text1"/>
          <w:szCs w:val="16"/>
        </w:rPr>
        <w:t>FUND</w:t>
      </w:r>
      <w:r w:rsidRPr="00A424DC">
        <w:rPr>
          <w:rFonts w:eastAsia="Times New Roman" w:cs="Times New Roman"/>
          <w:b/>
          <w:bCs/>
          <w:color w:val="000000" w:themeColor="text1"/>
          <w:szCs w:val="16"/>
        </w:rPr>
        <w:t xml:space="preserve"> Database</w:t>
      </w:r>
    </w:p>
    <w:p w14:paraId="718C699D" w14:textId="77777777" w:rsidR="00E901F2" w:rsidRPr="00A424DC" w:rsidRDefault="00E901F2" w:rsidP="00A26D2D">
      <w:pPr>
        <w:spacing w:after="60" w:line="240" w:lineRule="auto"/>
        <w:jc w:val="both"/>
        <w:rPr>
          <w:rFonts w:eastAsia="Calibri"/>
          <w:b/>
          <w:bCs/>
        </w:rPr>
      </w:pPr>
    </w:p>
    <w:p w14:paraId="7A4697C9" w14:textId="77777777" w:rsidR="006A2D7F" w:rsidRPr="001A1C58" w:rsidRDefault="006A2D7F" w:rsidP="00807DF8">
      <w:pPr>
        <w:pStyle w:val="Heading2"/>
        <w:jc w:val="both"/>
      </w:pPr>
      <w:r w:rsidRPr="001A1C58">
        <w:t>Funding and Financing Revenue Projections</w:t>
      </w:r>
    </w:p>
    <w:p w14:paraId="5FF95AEB" w14:textId="12958646" w:rsidR="00957B78" w:rsidRDefault="006A2D7F" w:rsidP="00807DF8">
      <w:pPr>
        <w:shd w:val="clear" w:color="auto" w:fill="FFFFFF" w:themeFill="background1"/>
        <w:spacing w:after="0" w:line="240" w:lineRule="auto"/>
        <w:jc w:val="both"/>
        <w:rPr>
          <w:rFonts w:eastAsia="Times New Roman" w:cs="Times New Roman"/>
          <w:color w:val="222222"/>
          <w:szCs w:val="20"/>
        </w:rPr>
      </w:pPr>
      <w:r w:rsidRPr="001A1C58">
        <w:rPr>
          <w:rFonts w:eastAsia="Times New Roman" w:cs="Times New Roman"/>
          <w:color w:val="222222"/>
        </w:rPr>
        <w:t>The Projections module follows a similar process as the Appropriateness module. Here, profiles containing economic scenarios can be edited and saved. Then, on the results page, t</w:t>
      </w:r>
      <w:r w:rsidRPr="001A1C58">
        <w:rPr>
          <w:rFonts w:eastAsia="Calibri" w:cs="Times New Roman"/>
          <w:color w:val="222222"/>
        </w:rPr>
        <w:t>he first financial revenue graph shows revenue sources projected from y</w:t>
      </w:r>
      <w:bookmarkStart w:id="55" w:name="_GoBack"/>
      <w:bookmarkEnd w:id="55"/>
      <w:r w:rsidRPr="001A1C58">
        <w:rPr>
          <w:rFonts w:eastAsia="Calibri" w:cs="Times New Roman"/>
          <w:color w:val="222222"/>
        </w:rPr>
        <w:t>ear 2020 onward. Each revenue source is color-coded and separate. It is also possible to see a tabular view of the graph contents, as well as non-financial results.</w:t>
      </w:r>
      <w:r w:rsidR="0064538E">
        <w:rPr>
          <w:rFonts w:eastAsia="Calibri" w:cs="Times New Roman"/>
          <w:color w:val="222222"/>
        </w:rPr>
        <w:t xml:space="preserve"> </w:t>
      </w:r>
      <w:r w:rsidRPr="001A1C58">
        <w:rPr>
          <w:rFonts w:eastAsia="Times New Roman" w:cs="Times New Roman"/>
          <w:color w:val="222222"/>
          <w:szCs w:val="20"/>
        </w:rPr>
        <w:t>The specifics of these projections are coded in the embedded spreadsheet for population, employment, and vehicle sales growth rate for Texas</w:t>
      </w:r>
      <w:r w:rsidR="0034477C">
        <w:rPr>
          <w:rFonts w:eastAsia="Times New Roman" w:cs="Times New Roman"/>
          <w:color w:val="222222"/>
          <w:szCs w:val="20"/>
        </w:rPr>
        <w:t xml:space="preserve"> and following the framework presented in</w:t>
      </w:r>
      <w:r w:rsidR="007F5736">
        <w:rPr>
          <w:rFonts w:eastAsia="Times New Roman" w:cs="Times New Roman"/>
          <w:color w:val="222222"/>
          <w:szCs w:val="20"/>
        </w:rPr>
        <w:t xml:space="preserve"> </w:t>
      </w:r>
      <w:r w:rsidR="007F5736" w:rsidRPr="007F5736">
        <w:rPr>
          <w:rFonts w:eastAsia="Calibri" w:cs="Times New Roman"/>
          <w:b/>
          <w:color w:val="222222"/>
        </w:rPr>
        <w:t xml:space="preserve">Figure </w:t>
      </w:r>
      <w:r w:rsidR="007F5736">
        <w:rPr>
          <w:rFonts w:eastAsia="Calibri" w:cs="Times New Roman"/>
          <w:b/>
          <w:color w:val="222222"/>
        </w:rPr>
        <w:t>4</w:t>
      </w:r>
      <w:r w:rsidR="007F5736">
        <w:rPr>
          <w:rFonts w:eastAsia="Times New Roman" w:cs="Times New Roman"/>
          <w:color w:val="222222"/>
          <w:szCs w:val="20"/>
        </w:rPr>
        <w:t xml:space="preserve">. </w:t>
      </w:r>
      <w:r w:rsidRPr="001A1C58">
        <w:rPr>
          <w:rFonts w:eastAsia="Times New Roman" w:cs="Times New Roman"/>
          <w:color w:val="222222"/>
          <w:szCs w:val="20"/>
        </w:rPr>
        <w:t xml:space="preserve">To produce valid results for other states, users would need to </w:t>
      </w:r>
      <w:r w:rsidR="00957B78">
        <w:rPr>
          <w:rFonts w:eastAsia="Times New Roman" w:cs="Times New Roman"/>
          <w:color w:val="222222"/>
          <w:szCs w:val="20"/>
        </w:rPr>
        <w:t>modify the inputs to be compatible with their</w:t>
      </w:r>
      <w:r w:rsidRPr="001A1C58">
        <w:rPr>
          <w:rFonts w:eastAsia="Times New Roman" w:cs="Times New Roman"/>
          <w:color w:val="222222"/>
          <w:szCs w:val="20"/>
        </w:rPr>
        <w:t xml:space="preserve"> respective locale.</w:t>
      </w:r>
      <w:r w:rsidR="00A9150B">
        <w:rPr>
          <w:rFonts w:eastAsia="Times New Roman" w:cs="Times New Roman"/>
          <w:color w:val="222222"/>
          <w:szCs w:val="20"/>
        </w:rPr>
        <w:t xml:space="preserve"> </w:t>
      </w:r>
      <w:r w:rsidR="00957B78">
        <w:rPr>
          <w:rFonts w:eastAsia="Times New Roman" w:cs="Times New Roman"/>
          <w:color w:val="222222"/>
          <w:szCs w:val="20"/>
        </w:rPr>
        <w:t xml:space="preserve">The functionality of the Projections module is </w:t>
      </w:r>
      <w:r w:rsidR="00CD7D62">
        <w:rPr>
          <w:rFonts w:eastAsia="Times New Roman" w:cs="Times New Roman"/>
          <w:color w:val="222222"/>
          <w:szCs w:val="20"/>
        </w:rPr>
        <w:t xml:space="preserve">demonstrated in the context of an economic scenario </w:t>
      </w:r>
      <w:r w:rsidR="00CD7D62" w:rsidRPr="00E6788F">
        <w:rPr>
          <w:rFonts w:eastAsia="Times New Roman" w:cs="Times New Roman"/>
          <w:color w:val="222222"/>
          <w:szCs w:val="20"/>
        </w:rPr>
        <w:t>with the following parameters:</w:t>
      </w:r>
    </w:p>
    <w:p w14:paraId="4E9C5A9F" w14:textId="77777777" w:rsidR="00D82814" w:rsidRDefault="00D82814" w:rsidP="00807DF8">
      <w:pPr>
        <w:shd w:val="clear" w:color="auto" w:fill="FFFFFF" w:themeFill="background1"/>
        <w:spacing w:after="0" w:line="240" w:lineRule="auto"/>
        <w:jc w:val="both"/>
        <w:rPr>
          <w:rFonts w:eastAsia="Times New Roman" w:cs="Times New Roman"/>
          <w:color w:val="222222"/>
          <w:szCs w:val="20"/>
        </w:rPr>
      </w:pPr>
    </w:p>
    <w:p w14:paraId="7B09CED7" w14:textId="1A3289D3" w:rsidR="006A2D7F" w:rsidRDefault="006A2D7F" w:rsidP="00807DF8">
      <w:pPr>
        <w:shd w:val="clear" w:color="auto" w:fill="FFFFFF" w:themeFill="background1"/>
        <w:spacing w:after="0" w:line="240" w:lineRule="auto"/>
        <w:jc w:val="both"/>
        <w:rPr>
          <w:rFonts w:eastAsia="Times New Roman" w:cs="Times New Roman"/>
          <w:color w:val="222222"/>
          <w:szCs w:val="20"/>
        </w:rPr>
        <w:sectPr w:rsidR="006A2D7F" w:rsidSect="00F642E4">
          <w:type w:val="continuous"/>
          <w:pgSz w:w="12240" w:h="15840"/>
          <w:pgMar w:top="1440" w:right="1440" w:bottom="1440" w:left="1440" w:header="720" w:footer="720" w:gutter="0"/>
          <w:cols w:space="720"/>
          <w:titlePg/>
          <w:docGrid w:linePitch="360"/>
        </w:sectPr>
      </w:pPr>
    </w:p>
    <w:p w14:paraId="3843199B" w14:textId="77777777"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Inflation rate: 2.5%</w:t>
      </w:r>
    </w:p>
    <w:p w14:paraId="013A1EBD" w14:textId="77777777"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Highway Cost Index: 120</w:t>
      </w:r>
    </w:p>
    <w:p w14:paraId="2DB9DA74" w14:textId="77777777"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Oil barrel price: $64</w:t>
      </w:r>
    </w:p>
    <w:p w14:paraId="4DFE6AE9" w14:textId="1729EFFE"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Fuel economy inputs (24.1 miles</w:t>
      </w:r>
      <w:r w:rsidR="00B42066">
        <w:rPr>
          <w:rFonts w:eastAsia="Times New Roman" w:cs="Times New Roman"/>
          <w:color w:val="222222"/>
          <w:szCs w:val="20"/>
        </w:rPr>
        <w:t>/</w:t>
      </w:r>
      <w:r w:rsidRPr="00E6788F">
        <w:rPr>
          <w:rFonts w:eastAsia="Times New Roman" w:cs="Times New Roman"/>
          <w:color w:val="222222"/>
          <w:szCs w:val="20"/>
        </w:rPr>
        <w:t>gallon for conventional vehicles and 108.1 miles</w:t>
      </w:r>
      <w:r w:rsidR="00B42066">
        <w:rPr>
          <w:rFonts w:eastAsia="Times New Roman" w:cs="Times New Roman"/>
          <w:color w:val="222222"/>
          <w:szCs w:val="20"/>
        </w:rPr>
        <w:t>/</w:t>
      </w:r>
      <w:r w:rsidRPr="00E6788F">
        <w:rPr>
          <w:rFonts w:eastAsia="Times New Roman" w:cs="Times New Roman"/>
          <w:color w:val="222222"/>
          <w:szCs w:val="20"/>
        </w:rPr>
        <w:t>gallon for hybrid vehicles)</w:t>
      </w:r>
    </w:p>
    <w:p w14:paraId="345838A9" w14:textId="77777777"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VMT fee: 5¢/vehicle-mile</w:t>
      </w:r>
    </w:p>
    <w:p w14:paraId="37827C9E" w14:textId="77777777" w:rsidR="006A2D7F" w:rsidRPr="00E6788F" w:rsidRDefault="006A2D7F" w:rsidP="00C71206">
      <w:pPr>
        <w:numPr>
          <w:ilvl w:val="0"/>
          <w:numId w:val="10"/>
        </w:numPr>
        <w:shd w:val="clear" w:color="auto" w:fill="FFFFFF" w:themeFill="background1"/>
        <w:spacing w:after="0" w:line="240" w:lineRule="auto"/>
        <w:ind w:left="630"/>
        <w:contextualSpacing/>
        <w:rPr>
          <w:rFonts w:eastAsia="Times New Roman" w:cs="Times New Roman"/>
          <w:color w:val="222222"/>
          <w:szCs w:val="20"/>
        </w:rPr>
      </w:pPr>
      <w:r w:rsidRPr="00E6788F">
        <w:rPr>
          <w:rFonts w:eastAsia="Times New Roman" w:cs="Times New Roman"/>
          <w:color w:val="222222"/>
          <w:szCs w:val="20"/>
        </w:rPr>
        <w:t>MFT indexed increase: 5¢ every 3 years (starting in 2025)</w:t>
      </w:r>
    </w:p>
    <w:p w14:paraId="23F38F58" w14:textId="3EE8ADC1"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 xml:space="preserve">Electric vehicle fee: $250 </w:t>
      </w:r>
      <w:r w:rsidR="005E1756" w:rsidRPr="00E6788F">
        <w:rPr>
          <w:rFonts w:eastAsia="Times New Roman" w:cs="Times New Roman"/>
          <w:color w:val="222222"/>
          <w:szCs w:val="20"/>
        </w:rPr>
        <w:t>per</w:t>
      </w:r>
      <w:r w:rsidR="005E1756">
        <w:rPr>
          <w:rFonts w:eastAsia="Times New Roman" w:cs="Times New Roman"/>
          <w:color w:val="222222"/>
          <w:szCs w:val="20"/>
        </w:rPr>
        <w:t>-</w:t>
      </w:r>
      <w:r w:rsidRPr="00E6788F">
        <w:rPr>
          <w:rFonts w:eastAsia="Times New Roman" w:cs="Times New Roman"/>
          <w:color w:val="222222"/>
          <w:szCs w:val="20"/>
        </w:rPr>
        <w:t>vehicle every year</w:t>
      </w:r>
    </w:p>
    <w:p w14:paraId="51CEE38E" w14:textId="7F5E8DB7"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 xml:space="preserve">VMT per capita: 9940 </w:t>
      </w:r>
    </w:p>
    <w:p w14:paraId="08FCAE75" w14:textId="696FA60E" w:rsidR="006A2D7F" w:rsidRPr="00E6788F" w:rsidRDefault="00136452" w:rsidP="00C71206">
      <w:pPr>
        <w:numPr>
          <w:ilvl w:val="0"/>
          <w:numId w:val="10"/>
        </w:numPr>
        <w:shd w:val="clear" w:color="auto" w:fill="FFFFFF" w:themeFill="background1"/>
        <w:spacing w:after="60" w:line="240" w:lineRule="auto"/>
        <w:ind w:left="634"/>
        <w:rPr>
          <w:rFonts w:eastAsia="Times New Roman" w:cs="Times New Roman"/>
          <w:color w:val="222222"/>
          <w:szCs w:val="20"/>
        </w:rPr>
      </w:pPr>
      <w:r>
        <w:rPr>
          <w:rFonts w:eastAsia="Times New Roman" w:cs="Times New Roman"/>
          <w:color w:val="222222"/>
          <w:szCs w:val="20"/>
        </w:rPr>
        <w:t>EV</w:t>
      </w:r>
      <w:r w:rsidR="006A2D7F" w:rsidRPr="00E6788F">
        <w:rPr>
          <w:rFonts w:eastAsia="Times New Roman" w:cs="Times New Roman"/>
          <w:color w:val="222222"/>
          <w:szCs w:val="20"/>
        </w:rPr>
        <w:t xml:space="preserve"> growth rate: 10%</w:t>
      </w:r>
    </w:p>
    <w:p w14:paraId="60BD793F" w14:textId="77777777" w:rsidR="006A2D7F" w:rsidRPr="00E6788F" w:rsidRDefault="006A2D7F" w:rsidP="00C71206">
      <w:pPr>
        <w:numPr>
          <w:ilvl w:val="0"/>
          <w:numId w:val="10"/>
        </w:numPr>
        <w:shd w:val="clear" w:color="auto" w:fill="FFFFFF" w:themeFill="background1"/>
        <w:spacing w:after="60" w:line="240" w:lineRule="auto"/>
        <w:ind w:left="634"/>
        <w:rPr>
          <w:rFonts w:eastAsia="Times New Roman" w:cs="Times New Roman"/>
          <w:color w:val="222222"/>
          <w:szCs w:val="20"/>
        </w:rPr>
      </w:pPr>
      <w:r w:rsidRPr="00E6788F">
        <w:rPr>
          <w:rFonts w:eastAsia="Times New Roman" w:cs="Times New Roman"/>
          <w:color w:val="222222"/>
          <w:szCs w:val="20"/>
        </w:rPr>
        <w:t>Current MFT: 20¢/gallon</w:t>
      </w:r>
    </w:p>
    <w:p w14:paraId="5FE14F4F" w14:textId="3BC0E7BB" w:rsidR="006A2D7F" w:rsidRDefault="006A2D7F" w:rsidP="00C71206">
      <w:pPr>
        <w:numPr>
          <w:ilvl w:val="0"/>
          <w:numId w:val="10"/>
        </w:numPr>
        <w:shd w:val="clear" w:color="auto" w:fill="FFFFFF" w:themeFill="background1"/>
        <w:spacing w:after="0" w:line="240" w:lineRule="auto"/>
        <w:ind w:left="630"/>
        <w:contextualSpacing/>
        <w:rPr>
          <w:rFonts w:eastAsia="Times New Roman" w:cs="Times New Roman"/>
          <w:color w:val="222222"/>
          <w:szCs w:val="20"/>
        </w:rPr>
        <w:sectPr w:rsidR="006A2D7F" w:rsidSect="00E6788F">
          <w:type w:val="continuous"/>
          <w:pgSz w:w="12240" w:h="15840"/>
          <w:pgMar w:top="1440" w:right="1440" w:bottom="1440" w:left="1440" w:header="720" w:footer="720" w:gutter="0"/>
          <w:cols w:num="2" w:space="720"/>
          <w:titlePg/>
          <w:docGrid w:linePitch="360"/>
        </w:sectPr>
      </w:pPr>
      <w:r w:rsidRPr="00E6788F">
        <w:rPr>
          <w:rFonts w:eastAsia="Times New Roman" w:cs="Times New Roman"/>
          <w:color w:val="222222"/>
          <w:szCs w:val="20"/>
        </w:rPr>
        <w:t>Emissions rates: conventional (5.718 tons per year), hybrid (3.024 tons</w:t>
      </w:r>
      <w:r w:rsidR="00B42066">
        <w:rPr>
          <w:rFonts w:eastAsia="Times New Roman" w:cs="Times New Roman"/>
          <w:color w:val="222222"/>
          <w:szCs w:val="20"/>
        </w:rPr>
        <w:t>/</w:t>
      </w:r>
      <w:r w:rsidRPr="00E6788F">
        <w:rPr>
          <w:rFonts w:eastAsia="Times New Roman" w:cs="Times New Roman"/>
          <w:color w:val="222222"/>
          <w:szCs w:val="20"/>
        </w:rPr>
        <w:t>year), electric (2.012 tons</w:t>
      </w:r>
      <w:r w:rsidR="00B42066">
        <w:rPr>
          <w:rFonts w:eastAsia="Times New Roman" w:cs="Times New Roman"/>
          <w:color w:val="222222"/>
          <w:szCs w:val="20"/>
        </w:rPr>
        <w:t>/</w:t>
      </w:r>
      <w:r w:rsidRPr="00E6788F">
        <w:rPr>
          <w:rFonts w:eastAsia="Times New Roman" w:cs="Times New Roman"/>
          <w:color w:val="222222"/>
          <w:szCs w:val="20"/>
        </w:rPr>
        <w:t>year)</w:t>
      </w:r>
    </w:p>
    <w:p w14:paraId="61AC7957" w14:textId="684139F8" w:rsidR="006A2D7F" w:rsidRDefault="006A2D7F" w:rsidP="00807DF8">
      <w:pPr>
        <w:shd w:val="clear" w:color="auto" w:fill="FFFFFF" w:themeFill="background1"/>
        <w:spacing w:after="0" w:line="240" w:lineRule="auto"/>
        <w:ind w:firstLine="720"/>
        <w:jc w:val="both"/>
        <w:rPr>
          <w:rFonts w:eastAsia="Times New Roman" w:cs="Times New Roman"/>
          <w:color w:val="222222"/>
          <w:szCs w:val="20"/>
        </w:rPr>
      </w:pPr>
    </w:p>
    <w:p w14:paraId="30B7F12C" w14:textId="4B002C3F" w:rsidR="006A2D7F" w:rsidRPr="00E6788F" w:rsidRDefault="00F577E7" w:rsidP="00807DF8">
      <w:pPr>
        <w:shd w:val="clear" w:color="auto" w:fill="FFFFFF" w:themeFill="background1"/>
        <w:spacing w:after="0" w:line="240" w:lineRule="auto"/>
        <w:ind w:firstLine="720"/>
        <w:jc w:val="both"/>
        <w:rPr>
          <w:rFonts w:cs="Times New Roman"/>
          <w:szCs w:val="20"/>
        </w:rPr>
      </w:pPr>
      <w:r w:rsidRPr="00E6788F">
        <w:rPr>
          <w:rFonts w:eastAsia="Times New Roman" w:cs="Times New Roman"/>
          <w:color w:val="222222"/>
          <w:szCs w:val="20"/>
        </w:rPr>
        <w:t>The economic status of January 2020 was selected, as it is the base year for these projections and calculations.</w:t>
      </w:r>
      <w:r w:rsidR="007F5736">
        <w:rPr>
          <w:rFonts w:eastAsia="Times New Roman" w:cs="Times New Roman"/>
          <w:color w:val="222222"/>
          <w:szCs w:val="20"/>
        </w:rPr>
        <w:t xml:space="preserve"> </w:t>
      </w:r>
      <w:r w:rsidR="007F5736" w:rsidRPr="007F5736">
        <w:rPr>
          <w:rFonts w:eastAsia="Calibri" w:cs="Times New Roman"/>
          <w:b/>
          <w:color w:val="222222"/>
        </w:rPr>
        <w:t xml:space="preserve">Figure </w:t>
      </w:r>
      <w:r w:rsidR="007F5736">
        <w:rPr>
          <w:rFonts w:eastAsia="Calibri" w:cs="Times New Roman"/>
          <w:b/>
          <w:color w:val="222222"/>
        </w:rPr>
        <w:t>6</w:t>
      </w:r>
      <w:r>
        <w:rPr>
          <w:rFonts w:eastAsia="Times New Roman" w:cs="Times New Roman"/>
          <w:color w:val="222222"/>
          <w:szCs w:val="20"/>
        </w:rPr>
        <w:t xml:space="preserve"> </w:t>
      </w:r>
      <w:r>
        <w:rPr>
          <w:rFonts w:eastAsia="Calibri" w:cs="Times New Roman"/>
          <w:color w:val="222222"/>
        </w:rPr>
        <w:t xml:space="preserve">presents how the FUND database </w:t>
      </w:r>
      <w:r w:rsidR="00A9150B">
        <w:rPr>
          <w:rFonts w:eastAsia="Calibri" w:cs="Times New Roman"/>
          <w:color w:val="222222"/>
        </w:rPr>
        <w:t xml:space="preserve">collects parameters, </w:t>
      </w:r>
      <w:r>
        <w:rPr>
          <w:rFonts w:eastAsia="Calibri" w:cs="Times New Roman"/>
          <w:color w:val="222222"/>
        </w:rPr>
        <w:t>run</w:t>
      </w:r>
      <w:r w:rsidR="00A9150B">
        <w:rPr>
          <w:rFonts w:eastAsia="Calibri" w:cs="Times New Roman"/>
          <w:color w:val="222222"/>
        </w:rPr>
        <w:t>s</w:t>
      </w:r>
      <w:r>
        <w:rPr>
          <w:rFonts w:eastAsia="Calibri" w:cs="Times New Roman"/>
          <w:color w:val="222222"/>
        </w:rPr>
        <w:t xml:space="preserve"> </w:t>
      </w:r>
      <w:r w:rsidR="00A9150B">
        <w:rPr>
          <w:rFonts w:eastAsia="Calibri" w:cs="Times New Roman"/>
          <w:color w:val="222222"/>
        </w:rPr>
        <w:t xml:space="preserve">the </w:t>
      </w:r>
      <w:r>
        <w:rPr>
          <w:rFonts w:eastAsia="Calibri" w:cs="Times New Roman"/>
          <w:color w:val="222222"/>
        </w:rPr>
        <w:t>scenario</w:t>
      </w:r>
      <w:r w:rsidR="00A9150B">
        <w:rPr>
          <w:rFonts w:eastAsia="Calibri" w:cs="Times New Roman"/>
          <w:color w:val="222222"/>
        </w:rPr>
        <w:t>,</w:t>
      </w:r>
      <w:r>
        <w:rPr>
          <w:rFonts w:eastAsia="Calibri" w:cs="Times New Roman"/>
          <w:color w:val="222222"/>
        </w:rPr>
        <w:t xml:space="preserve"> and </w:t>
      </w:r>
      <w:r w:rsidR="00A9150B">
        <w:rPr>
          <w:rFonts w:eastAsia="Calibri" w:cs="Times New Roman"/>
          <w:color w:val="222222"/>
        </w:rPr>
        <w:t>displays</w:t>
      </w:r>
      <w:r>
        <w:rPr>
          <w:rFonts w:eastAsia="Calibri" w:cs="Times New Roman"/>
          <w:color w:val="222222"/>
        </w:rPr>
        <w:t xml:space="preserve"> financial results. </w:t>
      </w:r>
      <w:r w:rsidR="005438EE">
        <w:rPr>
          <w:rFonts w:eastAsia="Calibri" w:cs="Times New Roman"/>
          <w:color w:val="222222"/>
        </w:rPr>
        <w:t xml:space="preserve">The database starts with the selection of the Projections module and the corresponding economic profile as shown in </w:t>
      </w:r>
      <w:r>
        <w:rPr>
          <w:rFonts w:eastAsia="Calibri" w:cs="Times New Roman"/>
          <w:color w:val="222222"/>
        </w:rPr>
        <w:t>Step 1</w:t>
      </w:r>
      <w:r w:rsidR="005438EE">
        <w:rPr>
          <w:rFonts w:eastAsia="Times New Roman" w:cs="Times New Roman"/>
          <w:color w:val="222222"/>
          <w:szCs w:val="20"/>
        </w:rPr>
        <w:t xml:space="preserve">. The second step involves modifying the required inputs </w:t>
      </w:r>
      <w:r w:rsidR="00B77EFB">
        <w:rPr>
          <w:rFonts w:eastAsia="Times New Roman" w:cs="Times New Roman"/>
          <w:color w:val="222222"/>
          <w:szCs w:val="20"/>
        </w:rPr>
        <w:t>adjusting the selected scenario as needed. T</w:t>
      </w:r>
      <w:r w:rsidR="006A2D7F" w:rsidRPr="00E6788F">
        <w:rPr>
          <w:rFonts w:eastAsia="Times New Roman" w:cs="Times New Roman"/>
          <w:color w:val="222222"/>
          <w:szCs w:val="20"/>
        </w:rPr>
        <w:t>he results</w:t>
      </w:r>
      <w:r w:rsidR="00B77EFB">
        <w:rPr>
          <w:rFonts w:eastAsia="Times New Roman" w:cs="Times New Roman"/>
          <w:color w:val="222222"/>
          <w:szCs w:val="20"/>
        </w:rPr>
        <w:t xml:space="preserve"> page displays</w:t>
      </w:r>
      <w:r w:rsidR="008C5488">
        <w:rPr>
          <w:rFonts w:eastAsia="Times New Roman" w:cs="Times New Roman"/>
          <w:color w:val="222222"/>
          <w:szCs w:val="20"/>
        </w:rPr>
        <w:t xml:space="preserve"> </w:t>
      </w:r>
      <w:r w:rsidR="006A2D7F" w:rsidRPr="00E6788F">
        <w:rPr>
          <w:rFonts w:eastAsia="Times New Roman" w:cs="Times New Roman"/>
          <w:color w:val="222222"/>
          <w:szCs w:val="20"/>
        </w:rPr>
        <w:t xml:space="preserve">the impacts of these new fees on the revenues from these sources over 30 years. </w:t>
      </w:r>
      <w:r w:rsidR="003A7C66">
        <w:rPr>
          <w:rFonts w:eastAsia="Times New Roman" w:cs="Times New Roman"/>
          <w:color w:val="222222"/>
          <w:szCs w:val="20"/>
        </w:rPr>
        <w:t xml:space="preserve">The cash flow diagram </w:t>
      </w:r>
      <w:r w:rsidR="000A302E">
        <w:rPr>
          <w:rFonts w:eastAsia="Times New Roman" w:cs="Times New Roman"/>
          <w:color w:val="222222"/>
          <w:szCs w:val="20"/>
        </w:rPr>
        <w:t xml:space="preserve">presented in </w:t>
      </w:r>
      <w:r w:rsidR="003A7C66">
        <w:rPr>
          <w:rFonts w:eastAsia="Times New Roman" w:cs="Times New Roman"/>
          <w:color w:val="222222"/>
          <w:szCs w:val="20"/>
        </w:rPr>
        <w:t>Step 3 within</w:t>
      </w:r>
      <w:r w:rsidR="007F5736">
        <w:rPr>
          <w:rFonts w:eastAsia="Times New Roman" w:cs="Times New Roman"/>
          <w:color w:val="222222"/>
          <w:szCs w:val="20"/>
        </w:rPr>
        <w:t xml:space="preserve"> </w:t>
      </w:r>
      <w:r w:rsidR="007F5736" w:rsidRPr="007F5736">
        <w:rPr>
          <w:rFonts w:eastAsia="Calibri" w:cs="Times New Roman"/>
          <w:b/>
          <w:color w:val="222222"/>
        </w:rPr>
        <w:t xml:space="preserve">Figure </w:t>
      </w:r>
      <w:r w:rsidR="007F5736">
        <w:rPr>
          <w:rFonts w:eastAsia="Calibri" w:cs="Times New Roman"/>
          <w:b/>
          <w:color w:val="222222"/>
        </w:rPr>
        <w:t xml:space="preserve">6 </w:t>
      </w:r>
      <w:r w:rsidR="000A302E">
        <w:rPr>
          <w:rFonts w:eastAsia="Calibri" w:cs="Times New Roman"/>
          <w:color w:val="222222"/>
        </w:rPr>
        <w:t>shows that</w:t>
      </w:r>
      <w:r w:rsidR="006A2D7F" w:rsidRPr="00E6788F">
        <w:rPr>
          <w:rFonts w:eastAsia="Times New Roman" w:cs="Times New Roman"/>
          <w:color w:val="222222"/>
          <w:szCs w:val="20"/>
        </w:rPr>
        <w:t xml:space="preserve"> the periodic increase in the MFT makes a large increase in revenue over the years, but because there is no change in the VMT or carbon tax, the revenue base drops down with inflation. </w:t>
      </w:r>
      <w:r w:rsidR="000A302E">
        <w:rPr>
          <w:rFonts w:eastAsia="Times New Roman" w:cs="Times New Roman"/>
          <w:color w:val="222222"/>
          <w:szCs w:val="20"/>
        </w:rPr>
        <w:t xml:space="preserve">FUND also allows for </w:t>
      </w:r>
      <w:r w:rsidR="00A26D2D">
        <w:rPr>
          <w:rFonts w:eastAsia="Times New Roman" w:cs="Times New Roman"/>
          <w:color w:val="222222"/>
          <w:szCs w:val="20"/>
        </w:rPr>
        <w:t xml:space="preserve">the </w:t>
      </w:r>
      <w:r w:rsidR="000A302E">
        <w:rPr>
          <w:rFonts w:eastAsia="Times New Roman" w:cs="Times New Roman"/>
          <w:color w:val="222222"/>
          <w:szCs w:val="20"/>
        </w:rPr>
        <w:t>tabulation of t</w:t>
      </w:r>
      <w:r w:rsidR="006A2D7F" w:rsidRPr="00E6788F">
        <w:rPr>
          <w:rFonts w:eastAsia="Times New Roman" w:cs="Times New Roman"/>
          <w:color w:val="222222"/>
          <w:szCs w:val="20"/>
        </w:rPr>
        <w:t>he specific numbers related to the different revenue projections</w:t>
      </w:r>
      <w:r w:rsidR="000A302E">
        <w:rPr>
          <w:rFonts w:eastAsia="Times New Roman" w:cs="Times New Roman"/>
          <w:color w:val="222222"/>
          <w:szCs w:val="20"/>
        </w:rPr>
        <w:t xml:space="preserve"> as</w:t>
      </w:r>
      <w:r w:rsidR="006A2D7F" w:rsidRPr="00E6788F">
        <w:rPr>
          <w:rFonts w:eastAsia="Times New Roman" w:cs="Times New Roman"/>
          <w:color w:val="222222"/>
          <w:szCs w:val="20"/>
        </w:rPr>
        <w:t xml:space="preserve"> </w:t>
      </w:r>
      <w:r w:rsidR="000A302E">
        <w:rPr>
          <w:rFonts w:eastAsia="Times New Roman" w:cs="Times New Roman"/>
          <w:color w:val="222222"/>
          <w:szCs w:val="20"/>
        </w:rPr>
        <w:t>presented</w:t>
      </w:r>
      <w:r w:rsidR="006A2D7F" w:rsidRPr="00E6788F">
        <w:rPr>
          <w:rFonts w:eastAsia="Times New Roman" w:cs="Times New Roman"/>
          <w:color w:val="222222"/>
          <w:szCs w:val="20"/>
        </w:rPr>
        <w:t xml:space="preserve"> in </w:t>
      </w:r>
      <w:r w:rsidR="003A7C66">
        <w:rPr>
          <w:rFonts w:eastAsia="Times New Roman" w:cs="Times New Roman"/>
          <w:color w:val="222222"/>
          <w:szCs w:val="20"/>
        </w:rPr>
        <w:t xml:space="preserve">Step 4 </w:t>
      </w:r>
      <w:r w:rsidR="006A2D7F" w:rsidRPr="00E6788F">
        <w:rPr>
          <w:rFonts w:eastAsia="Times New Roman" w:cs="Times New Roman"/>
          <w:color w:val="222222"/>
          <w:szCs w:val="20"/>
        </w:rPr>
        <w:t>within</w:t>
      </w:r>
      <w:r w:rsidR="007F5736">
        <w:rPr>
          <w:rFonts w:eastAsia="Times New Roman" w:cs="Times New Roman"/>
          <w:color w:val="222222"/>
          <w:szCs w:val="20"/>
        </w:rPr>
        <w:t xml:space="preserve"> </w:t>
      </w:r>
      <w:r w:rsidR="007F5736" w:rsidRPr="007F5736">
        <w:rPr>
          <w:rFonts w:eastAsia="Calibri" w:cs="Times New Roman"/>
          <w:b/>
          <w:color w:val="222222"/>
        </w:rPr>
        <w:t xml:space="preserve">Figure </w:t>
      </w:r>
      <w:r w:rsidR="007F5736">
        <w:rPr>
          <w:rFonts w:eastAsia="Calibri" w:cs="Times New Roman"/>
          <w:b/>
          <w:color w:val="222222"/>
        </w:rPr>
        <w:t>6</w:t>
      </w:r>
      <w:r w:rsidR="00A26D2D">
        <w:rPr>
          <w:rFonts w:eastAsia="Times New Roman" w:cs="Times New Roman"/>
          <w:color w:val="222222"/>
          <w:szCs w:val="20"/>
        </w:rPr>
        <w:t xml:space="preserve"> </w:t>
      </w:r>
      <w:r w:rsidR="000A302E">
        <w:rPr>
          <w:rFonts w:eastAsia="Times New Roman" w:cs="Times New Roman"/>
          <w:color w:val="222222"/>
          <w:szCs w:val="20"/>
        </w:rPr>
        <w:t>for EV fees</w:t>
      </w:r>
      <w:r w:rsidR="006A2D7F" w:rsidRPr="00E6788F">
        <w:rPr>
          <w:rFonts w:eastAsia="Times New Roman" w:cs="Times New Roman"/>
          <w:color w:val="222222"/>
          <w:szCs w:val="20"/>
        </w:rPr>
        <w:t xml:space="preserve">. </w:t>
      </w:r>
    </w:p>
    <w:p w14:paraId="7DCBD4E0" w14:textId="3D134E7C" w:rsidR="006A2D7F" w:rsidRDefault="006A2D7F" w:rsidP="00CD0565">
      <w:pPr>
        <w:spacing w:after="0" w:line="240" w:lineRule="auto"/>
        <w:ind w:firstLine="720"/>
        <w:jc w:val="both"/>
        <w:rPr>
          <w:rFonts w:eastAsia="Times New Roman" w:cs="Times New Roman"/>
          <w:color w:val="222222"/>
          <w:szCs w:val="20"/>
        </w:rPr>
      </w:pPr>
      <w:r w:rsidRPr="00E6788F">
        <w:rPr>
          <w:rFonts w:eastAsia="Times New Roman" w:cs="Times New Roman"/>
          <w:color w:val="222222"/>
          <w:szCs w:val="20"/>
        </w:rPr>
        <w:t>These projections and appropriateness scores can be used together to form a cohesive decision-making guide for policymakers, government employees, or consultants who are interested in learning how to connect funding</w:t>
      </w:r>
      <w:r w:rsidR="00BF10E1">
        <w:rPr>
          <w:rFonts w:eastAsia="Times New Roman" w:cs="Times New Roman"/>
          <w:color w:val="222222"/>
          <w:szCs w:val="20"/>
        </w:rPr>
        <w:t>/</w:t>
      </w:r>
      <w:r w:rsidRPr="00E6788F">
        <w:rPr>
          <w:rFonts w:eastAsia="Times New Roman" w:cs="Times New Roman"/>
          <w:color w:val="222222"/>
          <w:szCs w:val="20"/>
        </w:rPr>
        <w:t>financing mechanisms with their specific project</w:t>
      </w:r>
      <w:r w:rsidR="00A26D2D">
        <w:rPr>
          <w:rFonts w:eastAsia="Times New Roman" w:cs="Times New Roman"/>
          <w:color w:val="222222"/>
          <w:szCs w:val="20"/>
        </w:rPr>
        <w:t>s</w:t>
      </w:r>
      <w:r w:rsidRPr="00E6788F">
        <w:rPr>
          <w:rFonts w:eastAsia="Times New Roman" w:cs="Times New Roman"/>
          <w:color w:val="222222"/>
          <w:szCs w:val="20"/>
        </w:rPr>
        <w:t>.</w:t>
      </w:r>
    </w:p>
    <w:p w14:paraId="28B6B1EE" w14:textId="0B348309" w:rsidR="000C006B" w:rsidRDefault="000C006B" w:rsidP="000C006B">
      <w:pPr>
        <w:spacing w:after="0" w:line="240" w:lineRule="auto"/>
        <w:jc w:val="both"/>
        <w:rPr>
          <w:rFonts w:eastAsia="Times New Roman" w:cs="Times New Roman"/>
          <w:color w:val="222222"/>
          <w:szCs w:val="20"/>
        </w:rPr>
      </w:pPr>
      <w:r w:rsidRPr="000C006B">
        <w:rPr>
          <w:noProof/>
        </w:rPr>
        <w:lastRenderedPageBreak/>
        <w:drawing>
          <wp:inline distT="0" distB="0" distL="0" distR="0" wp14:anchorId="018A85C5" wp14:editId="35B7D7AF">
            <wp:extent cx="6080760" cy="71414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0760" cy="7141464"/>
                    </a:xfrm>
                    <a:prstGeom prst="rect">
                      <a:avLst/>
                    </a:prstGeom>
                    <a:noFill/>
                    <a:ln>
                      <a:noFill/>
                    </a:ln>
                  </pic:spPr>
                </pic:pic>
              </a:graphicData>
            </a:graphic>
          </wp:inline>
        </w:drawing>
      </w:r>
    </w:p>
    <w:p w14:paraId="6DFC6D1E" w14:textId="5D7681F0" w:rsidR="008A2295" w:rsidRPr="008A2295" w:rsidRDefault="008A2295" w:rsidP="00D82814">
      <w:pPr>
        <w:spacing w:after="120" w:line="240" w:lineRule="auto"/>
        <w:jc w:val="both"/>
        <w:rPr>
          <w:rFonts w:cs="Times New Roman"/>
          <w:b/>
          <w:bCs/>
        </w:rPr>
      </w:pPr>
      <w:bookmarkStart w:id="56" w:name="_Ref78200055"/>
      <w:r w:rsidRPr="008A2295">
        <w:rPr>
          <w:rFonts w:cs="Times New Roman"/>
          <w:b/>
          <w:bCs/>
          <w:szCs w:val="16"/>
        </w:rPr>
        <w:t xml:space="preserve">Figure </w:t>
      </w:r>
      <w:r w:rsidRPr="008A2295">
        <w:rPr>
          <w:rFonts w:cs="Times New Roman"/>
          <w:b/>
          <w:bCs/>
          <w:szCs w:val="16"/>
        </w:rPr>
        <w:fldChar w:fldCharType="begin"/>
      </w:r>
      <w:r w:rsidRPr="008A2295">
        <w:rPr>
          <w:rFonts w:cs="Times New Roman"/>
          <w:b/>
          <w:bCs/>
          <w:szCs w:val="16"/>
        </w:rPr>
        <w:instrText xml:space="preserve"> SEQ Figure \* ARABIC </w:instrText>
      </w:r>
      <w:r w:rsidRPr="008A2295">
        <w:rPr>
          <w:rFonts w:cs="Times New Roman"/>
          <w:b/>
          <w:bCs/>
          <w:szCs w:val="16"/>
        </w:rPr>
        <w:fldChar w:fldCharType="separate"/>
      </w:r>
      <w:r w:rsidR="00210285">
        <w:rPr>
          <w:rFonts w:cs="Times New Roman"/>
          <w:b/>
          <w:bCs/>
          <w:noProof/>
          <w:szCs w:val="16"/>
        </w:rPr>
        <w:t>6</w:t>
      </w:r>
      <w:r w:rsidRPr="008A2295">
        <w:rPr>
          <w:rFonts w:cs="Times New Roman"/>
          <w:b/>
          <w:bCs/>
          <w:noProof/>
          <w:szCs w:val="16"/>
        </w:rPr>
        <w:fldChar w:fldCharType="end"/>
      </w:r>
      <w:bookmarkEnd w:id="56"/>
      <w:r w:rsidRPr="008A2295">
        <w:rPr>
          <w:rFonts w:cs="Times New Roman"/>
          <w:b/>
          <w:bCs/>
          <w:szCs w:val="16"/>
        </w:rPr>
        <w:t xml:space="preserve"> Steps of Projections Functions within FUND Database</w:t>
      </w:r>
    </w:p>
    <w:p w14:paraId="1064CE99" w14:textId="77777777" w:rsidR="00E6788F" w:rsidRDefault="00E6788F" w:rsidP="00D82814">
      <w:pPr>
        <w:spacing w:after="0" w:line="240" w:lineRule="auto"/>
        <w:jc w:val="both"/>
        <w:rPr>
          <w:b/>
          <w:bCs/>
        </w:rPr>
      </w:pPr>
    </w:p>
    <w:p w14:paraId="598F1B0F" w14:textId="77777777" w:rsidR="00F14F9E" w:rsidRDefault="00F14F9E" w:rsidP="00D82814">
      <w:pPr>
        <w:pStyle w:val="Heading1"/>
        <w:jc w:val="both"/>
      </w:pPr>
      <w:r>
        <w:t xml:space="preserve">Conclusion and Further </w:t>
      </w:r>
      <w:r w:rsidRPr="00F14F9E">
        <w:t>Improvements</w:t>
      </w:r>
    </w:p>
    <w:p w14:paraId="5AE349B1" w14:textId="037D508E" w:rsidR="00BA1DCF" w:rsidRPr="00F14F9E" w:rsidRDefault="00F14F9E" w:rsidP="00D82814">
      <w:pPr>
        <w:spacing w:after="0" w:line="240" w:lineRule="auto"/>
        <w:jc w:val="both"/>
        <w:rPr>
          <w:rFonts w:eastAsia="Calibri" w:cs="Times New Roman"/>
        </w:rPr>
      </w:pPr>
      <w:r w:rsidRPr="00F14F9E">
        <w:rPr>
          <w:rFonts w:cs="Times New Roman"/>
        </w:rPr>
        <w:t xml:space="preserve">In this paper, we have developed a decision-making framework and interactive tool </w:t>
      </w:r>
      <w:r w:rsidR="00EF098A">
        <w:rPr>
          <w:rFonts w:cs="Times New Roman"/>
        </w:rPr>
        <w:t xml:space="preserve">that can </w:t>
      </w:r>
      <w:r w:rsidRPr="00F14F9E">
        <w:rPr>
          <w:rFonts w:cs="Times New Roman"/>
        </w:rPr>
        <w:t xml:space="preserve">aid </w:t>
      </w:r>
      <w:r w:rsidR="00EF098A">
        <w:rPr>
          <w:rFonts w:cs="Times New Roman"/>
        </w:rPr>
        <w:t xml:space="preserve">transportation agencies in </w:t>
      </w:r>
      <w:r w:rsidRPr="00F14F9E">
        <w:rPr>
          <w:rFonts w:cs="Times New Roman"/>
        </w:rPr>
        <w:t>systematically evaluating funding</w:t>
      </w:r>
      <w:r w:rsidR="00797808">
        <w:rPr>
          <w:rFonts w:cs="Times New Roman"/>
        </w:rPr>
        <w:t>/</w:t>
      </w:r>
      <w:r w:rsidRPr="00F14F9E">
        <w:rPr>
          <w:rFonts w:cs="Times New Roman"/>
        </w:rPr>
        <w:t xml:space="preserve">financing mechanisms. The framework is housed </w:t>
      </w:r>
      <w:r w:rsidR="00EF098A">
        <w:rPr>
          <w:rFonts w:cs="Times New Roman"/>
        </w:rPr>
        <w:t>with</w:t>
      </w:r>
      <w:r w:rsidRPr="00F14F9E">
        <w:rPr>
          <w:rFonts w:cs="Times New Roman"/>
        </w:rPr>
        <w:t xml:space="preserve">in a Microsoft Access application called </w:t>
      </w:r>
      <w:r w:rsidR="004404F6">
        <w:rPr>
          <w:rFonts w:cs="Times New Roman"/>
        </w:rPr>
        <w:t>FUND</w:t>
      </w:r>
      <w:r w:rsidRPr="00F14F9E">
        <w:rPr>
          <w:rFonts w:cs="Times New Roman"/>
        </w:rPr>
        <w:t xml:space="preserve"> that involves Appropriateness and Projections </w:t>
      </w:r>
      <w:r w:rsidRPr="00F14F9E">
        <w:rPr>
          <w:rFonts w:cs="Times New Roman"/>
        </w:rPr>
        <w:lastRenderedPageBreak/>
        <w:t xml:space="preserve">modules. In doing so, we provide </w:t>
      </w:r>
      <w:r w:rsidR="00EF098A">
        <w:rPr>
          <w:rFonts w:cs="Times New Roman"/>
        </w:rPr>
        <w:t xml:space="preserve">transportation agencies </w:t>
      </w:r>
      <w:r w:rsidRPr="00F14F9E">
        <w:rPr>
          <w:rFonts w:cs="Times New Roman"/>
        </w:rPr>
        <w:t xml:space="preserve">with a workable platform to </w:t>
      </w:r>
      <w:r w:rsidR="00EF098A">
        <w:rPr>
          <w:rFonts w:cs="Times New Roman"/>
        </w:rPr>
        <w:t xml:space="preserve">undertake careful funding/financing </w:t>
      </w:r>
      <w:r w:rsidRPr="00F14F9E">
        <w:rPr>
          <w:rFonts w:cs="Times New Roman"/>
        </w:rPr>
        <w:t>evaluations and effectively communicate findings to both policymakers and the public. Financing</w:t>
      </w:r>
      <w:r w:rsidR="00492F21">
        <w:rPr>
          <w:rFonts w:cs="Times New Roman"/>
        </w:rPr>
        <w:t>/</w:t>
      </w:r>
      <w:r w:rsidRPr="00F14F9E">
        <w:rPr>
          <w:rFonts w:cs="Times New Roman"/>
        </w:rPr>
        <w:t>funding concepts and rankings are conveyed using a simple, quantitative, multi-criteria, and systematic approach supplemented by visuals.</w:t>
      </w:r>
      <w:r w:rsidR="00EF098A" w:rsidRPr="00F14F9E" w:rsidDel="00EF098A">
        <w:rPr>
          <w:rFonts w:cs="Times New Roman"/>
        </w:rPr>
        <w:t xml:space="preserve"> </w:t>
      </w:r>
      <w:r w:rsidR="00EF098A">
        <w:rPr>
          <w:rFonts w:cs="Times New Roman"/>
        </w:rPr>
        <w:t xml:space="preserve">The intent is that </w:t>
      </w:r>
      <w:r w:rsidRPr="00F14F9E">
        <w:rPr>
          <w:rFonts w:cs="Times New Roman"/>
        </w:rPr>
        <w:t xml:space="preserve">the </w:t>
      </w:r>
      <w:r w:rsidR="00EF098A">
        <w:rPr>
          <w:rFonts w:cs="Times New Roman"/>
        </w:rPr>
        <w:t xml:space="preserve">proposed tool can serve as a valuable aid and a complement to additional subjective decision-making factors when </w:t>
      </w:r>
      <w:r w:rsidRPr="00F14F9E">
        <w:rPr>
          <w:rFonts w:cs="Times New Roman"/>
        </w:rPr>
        <w:t>compar</w:t>
      </w:r>
      <w:r w:rsidR="00EF098A">
        <w:rPr>
          <w:rFonts w:cs="Times New Roman"/>
        </w:rPr>
        <w:t>ing</w:t>
      </w:r>
      <w:r w:rsidRPr="00F14F9E">
        <w:rPr>
          <w:rFonts w:cs="Times New Roman"/>
        </w:rPr>
        <w:t xml:space="preserve"> options</w:t>
      </w:r>
      <w:r w:rsidR="00EF098A">
        <w:rPr>
          <w:rFonts w:cs="Times New Roman"/>
        </w:rPr>
        <w:t xml:space="preserve"> and</w:t>
      </w:r>
      <w:r w:rsidRPr="00F14F9E">
        <w:rPr>
          <w:rFonts w:cs="Times New Roman"/>
        </w:rPr>
        <w:t xml:space="preserve"> </w:t>
      </w:r>
      <w:r w:rsidR="00EF098A">
        <w:rPr>
          <w:rFonts w:cs="Times New Roman"/>
        </w:rPr>
        <w:t>undertaking</w:t>
      </w:r>
      <w:r w:rsidRPr="00F14F9E">
        <w:rPr>
          <w:rFonts w:cs="Times New Roman"/>
        </w:rPr>
        <w:t xml:space="preserve"> scenario analysis</w:t>
      </w:r>
      <w:r w:rsidR="00EF098A">
        <w:rPr>
          <w:rFonts w:cs="Times New Roman"/>
        </w:rPr>
        <w:t xml:space="preserve">. </w:t>
      </w:r>
      <w:r w:rsidR="00BA1DCF">
        <w:rPr>
          <w:rFonts w:cs="Times New Roman"/>
        </w:rPr>
        <w:t xml:space="preserve">A particularly salient aspect of our research and proposed tool is that it explicitly links </w:t>
      </w:r>
      <w:r w:rsidR="00BA1DCF" w:rsidRPr="00F14F9E">
        <w:rPr>
          <w:rFonts w:eastAsia="Calibri" w:cs="Times New Roman"/>
        </w:rPr>
        <w:t>project characteristics with the funding landscape</w:t>
      </w:r>
      <w:r w:rsidR="00BA1DCF">
        <w:rPr>
          <w:rFonts w:eastAsia="Calibri" w:cs="Times New Roman"/>
        </w:rPr>
        <w:t xml:space="preserve">, an issue that has received little attention in the </w:t>
      </w:r>
      <w:r w:rsidR="00492F21">
        <w:rPr>
          <w:rFonts w:eastAsia="Calibri" w:cs="Times New Roman"/>
        </w:rPr>
        <w:t>literature but</w:t>
      </w:r>
      <w:r w:rsidR="00BA1DCF">
        <w:rPr>
          <w:rFonts w:eastAsia="Calibri" w:cs="Times New Roman"/>
        </w:rPr>
        <w:t xml:space="preserve"> represents a critical element of decision-making. </w:t>
      </w:r>
      <w:r w:rsidR="00BA1DCF" w:rsidRPr="00F14F9E" w:rsidDel="00BA1DCF">
        <w:rPr>
          <w:rFonts w:eastAsia="Calibri" w:cs="Times New Roman"/>
        </w:rPr>
        <w:t xml:space="preserve"> </w:t>
      </w:r>
    </w:p>
    <w:p w14:paraId="7C8B3C37" w14:textId="7DC92794" w:rsidR="00F14F9E" w:rsidRPr="00F14F9E" w:rsidRDefault="00492F21" w:rsidP="00BF7682">
      <w:pPr>
        <w:spacing w:after="0" w:line="240" w:lineRule="auto"/>
        <w:ind w:firstLine="720"/>
        <w:jc w:val="both"/>
        <w:rPr>
          <w:rFonts w:eastAsia="Calibri" w:cs="Times New Roman"/>
        </w:rPr>
      </w:pPr>
      <w:r>
        <w:rPr>
          <w:rFonts w:eastAsia="Calibri" w:cs="Times New Roman"/>
        </w:rPr>
        <w:t>Naturally</w:t>
      </w:r>
      <w:r w:rsidR="00F14F9E" w:rsidRPr="00F14F9E">
        <w:rPr>
          <w:rFonts w:eastAsia="Calibri" w:cs="Times New Roman"/>
        </w:rPr>
        <w:t>, the framework still lacks validation from practitioners in the field. Going forward, communications with subject matter experts through conferences, interviews, and surveys should be prioritized to expand the selection of project scenarios to cover a wider array of project characteristics and fine-tune the decision criteria scores. Such efforts are indispensable to ensure accurate and reliable results and, ultimately, state-level funding and financing decisions. For the time being, we expect that publishing a beta version of the tool to showcase the framework can spur the necessary discussions</w:t>
      </w:r>
      <w:r w:rsidR="0085445B">
        <w:rPr>
          <w:rFonts w:eastAsia="Calibri" w:cs="Times New Roman"/>
        </w:rPr>
        <w:t xml:space="preserve">; this tool and supplemental information is available online at </w:t>
      </w:r>
      <w:hyperlink r:id="rId32" w:history="1">
        <w:r w:rsidR="00634965" w:rsidRPr="00B25043">
          <w:rPr>
            <w:rStyle w:val="Hyperlink"/>
            <w:rFonts w:eastAsia="Calibri" w:cs="Times New Roman"/>
          </w:rPr>
          <w:t>https://github.com/ut-ctr-nmc/fund</w:t>
        </w:r>
      </w:hyperlink>
      <w:r w:rsidR="00F14F9E" w:rsidRPr="00F14F9E">
        <w:rPr>
          <w:rFonts w:eastAsia="Calibri" w:cs="Times New Roman"/>
        </w:rPr>
        <w:t>.</w:t>
      </w:r>
      <w:r w:rsidR="00634965">
        <w:rPr>
          <w:rFonts w:eastAsia="Calibri" w:cs="Times New Roman"/>
        </w:rPr>
        <w:t xml:space="preserve"> </w:t>
      </w:r>
      <w:r w:rsidR="00F14F9E" w:rsidRPr="00F14F9E">
        <w:rPr>
          <w:rFonts w:eastAsia="Calibri" w:cs="Times New Roman"/>
        </w:rPr>
        <w:t xml:space="preserve">Future work can also target experimenting with MCDA methods other than AHP and comparing the reliability of the results. </w:t>
      </w:r>
    </w:p>
    <w:p w14:paraId="198FC951" w14:textId="1807187B" w:rsidR="00E6788F" w:rsidRDefault="00E6788F" w:rsidP="00BF7682">
      <w:pPr>
        <w:spacing w:after="0" w:line="240" w:lineRule="auto"/>
        <w:jc w:val="both"/>
        <w:rPr>
          <w:b/>
          <w:bCs/>
        </w:rPr>
      </w:pPr>
    </w:p>
    <w:p w14:paraId="1F21AA52" w14:textId="4BA1F7D4" w:rsidR="00AC64C6" w:rsidRPr="00F14F9E" w:rsidRDefault="00F14F9E" w:rsidP="00BF7682">
      <w:pPr>
        <w:pStyle w:val="Heading1"/>
        <w:jc w:val="both"/>
      </w:pPr>
      <w:r w:rsidRPr="00F14F9E">
        <w:t>Acknowledgments</w:t>
      </w:r>
    </w:p>
    <w:p w14:paraId="5DE08CBF" w14:textId="5FAC1824" w:rsidR="00F14F9E" w:rsidRDefault="0016455F" w:rsidP="00BF7682">
      <w:pPr>
        <w:spacing w:after="0" w:line="240" w:lineRule="auto"/>
        <w:jc w:val="both"/>
        <w:rPr>
          <w:rFonts w:eastAsia="Calibri"/>
        </w:rPr>
      </w:pPr>
      <w:r>
        <w:rPr>
          <w:rFonts w:eastAsia="Calibri"/>
        </w:rPr>
        <w:t xml:space="preserve">The authors thank the </w:t>
      </w:r>
      <w:r w:rsidR="00F14F9E" w:rsidRPr="00F14F9E">
        <w:rPr>
          <w:rFonts w:eastAsia="Calibri"/>
        </w:rPr>
        <w:t>Texas Department of Transportation</w:t>
      </w:r>
      <w:r>
        <w:rPr>
          <w:rFonts w:eastAsia="Calibri"/>
        </w:rPr>
        <w:t xml:space="preserve"> (TxDOT) for financially supporting this research under project </w:t>
      </w:r>
      <w:r w:rsidR="00F14F9E" w:rsidRPr="00F14F9E">
        <w:rPr>
          <w:rFonts w:eastAsia="Calibri"/>
        </w:rPr>
        <w:t>0-7065</w:t>
      </w:r>
      <w:r>
        <w:rPr>
          <w:rFonts w:eastAsia="Calibri"/>
        </w:rPr>
        <w:t>, “</w:t>
      </w:r>
      <w:r w:rsidRPr="0016455F">
        <w:rPr>
          <w:rFonts w:eastAsia="Calibri"/>
        </w:rPr>
        <w:t>Develop Innovative Financing Mechanisms in a Fast-Changing Texas Transportation Landscape</w:t>
      </w:r>
      <w:r>
        <w:rPr>
          <w:rFonts w:eastAsia="Calibri"/>
        </w:rPr>
        <w:t xml:space="preserve">”. </w:t>
      </w:r>
      <w:r w:rsidR="00F14F9E" w:rsidRPr="00F14F9E">
        <w:rPr>
          <w:rFonts w:eastAsia="Calibri"/>
        </w:rPr>
        <w:t xml:space="preserve">The authors also gratefully thank Shuqing Kang who conducted early research efforts. </w:t>
      </w:r>
    </w:p>
    <w:p w14:paraId="6826F3EB" w14:textId="1582AC4F" w:rsidR="00BF7682" w:rsidRDefault="00BF7682" w:rsidP="00BF7682">
      <w:pPr>
        <w:spacing w:after="0" w:line="240" w:lineRule="auto"/>
        <w:jc w:val="both"/>
        <w:rPr>
          <w:rFonts w:eastAsia="Calibri"/>
        </w:rPr>
      </w:pPr>
    </w:p>
    <w:p w14:paraId="51190F04" w14:textId="0AA59F20" w:rsidR="00BF7682" w:rsidRPr="00BF7682" w:rsidRDefault="00BF7682" w:rsidP="00BF7682">
      <w:pPr>
        <w:spacing w:after="0" w:line="240" w:lineRule="auto"/>
        <w:jc w:val="both"/>
        <w:rPr>
          <w:b/>
          <w:i/>
        </w:rPr>
      </w:pPr>
      <w:r w:rsidRPr="00BF7682">
        <w:rPr>
          <w:b/>
          <w:i/>
        </w:rPr>
        <w:t>Author Contribution Statement</w:t>
      </w:r>
    </w:p>
    <w:p w14:paraId="1DB6EA27" w14:textId="671380C7" w:rsidR="00BF7682" w:rsidRDefault="00BF7682" w:rsidP="00BF7682">
      <w:pPr>
        <w:spacing w:after="0" w:line="240" w:lineRule="auto"/>
        <w:jc w:val="both"/>
        <w:rPr>
          <w:rFonts w:cs="Times New Roman"/>
        </w:rPr>
      </w:pPr>
      <w:r>
        <w:rPr>
          <w:rFonts w:cs="Times New Roman"/>
        </w:rPr>
        <w:t xml:space="preserve">The authors confirm contribution to the paper as follows: study conception and design: A. </w:t>
      </w:r>
      <w:r w:rsidRPr="00BF7682">
        <w:rPr>
          <w:rFonts w:cs="Times New Roman"/>
        </w:rPr>
        <w:t xml:space="preserve">Haddad, </w:t>
      </w:r>
      <w:r>
        <w:rPr>
          <w:rFonts w:cs="Times New Roman"/>
        </w:rPr>
        <w:t xml:space="preserve">G. </w:t>
      </w:r>
      <w:r w:rsidRPr="00BF7682">
        <w:rPr>
          <w:rFonts w:cs="Times New Roman"/>
        </w:rPr>
        <w:t xml:space="preserve">Blazanin, </w:t>
      </w:r>
      <w:r>
        <w:rPr>
          <w:rFonts w:cs="Times New Roman"/>
        </w:rPr>
        <w:t xml:space="preserve">K. </w:t>
      </w:r>
      <w:r w:rsidRPr="00BF7682">
        <w:rPr>
          <w:rFonts w:cs="Times New Roman"/>
        </w:rPr>
        <w:t xml:space="preserve">Perrine, and </w:t>
      </w:r>
      <w:r>
        <w:rPr>
          <w:rFonts w:cs="Times New Roman"/>
        </w:rPr>
        <w:t xml:space="preserve">C. </w:t>
      </w:r>
      <w:r w:rsidRPr="00BF7682">
        <w:rPr>
          <w:rFonts w:cs="Times New Roman"/>
        </w:rPr>
        <w:t>Bhat;</w:t>
      </w:r>
      <w:r>
        <w:rPr>
          <w:rFonts w:cs="Times New Roman"/>
        </w:rPr>
        <w:t xml:space="preserve"> data collection: A. </w:t>
      </w:r>
      <w:r w:rsidRPr="00BF7682">
        <w:rPr>
          <w:rFonts w:cs="Times New Roman"/>
        </w:rPr>
        <w:t xml:space="preserve">Haddad, </w:t>
      </w:r>
      <w:r>
        <w:rPr>
          <w:rFonts w:cs="Times New Roman"/>
        </w:rPr>
        <w:t xml:space="preserve">G. </w:t>
      </w:r>
      <w:r w:rsidRPr="00BF7682">
        <w:rPr>
          <w:rFonts w:cs="Times New Roman"/>
        </w:rPr>
        <w:t xml:space="preserve">Blazanin, </w:t>
      </w:r>
      <w:r>
        <w:rPr>
          <w:rFonts w:cs="Times New Roman"/>
        </w:rPr>
        <w:t xml:space="preserve">K. </w:t>
      </w:r>
      <w:r w:rsidRPr="00BF7682">
        <w:rPr>
          <w:rFonts w:cs="Times New Roman"/>
        </w:rPr>
        <w:t xml:space="preserve">Perrine, and </w:t>
      </w:r>
      <w:r>
        <w:rPr>
          <w:rFonts w:cs="Times New Roman"/>
        </w:rPr>
        <w:t xml:space="preserve">C. </w:t>
      </w:r>
      <w:r w:rsidRPr="00BF7682">
        <w:rPr>
          <w:rFonts w:cs="Times New Roman"/>
        </w:rPr>
        <w:t>Bhat</w:t>
      </w:r>
      <w:r>
        <w:rPr>
          <w:rFonts w:cs="Times New Roman"/>
        </w:rPr>
        <w:t xml:space="preserve">; analysis and interpretation of results: A. </w:t>
      </w:r>
      <w:r w:rsidRPr="00BF7682">
        <w:rPr>
          <w:rFonts w:cs="Times New Roman"/>
        </w:rPr>
        <w:t xml:space="preserve">Haddad, </w:t>
      </w:r>
      <w:r>
        <w:rPr>
          <w:rFonts w:cs="Times New Roman"/>
        </w:rPr>
        <w:t xml:space="preserve">G. </w:t>
      </w:r>
      <w:r w:rsidRPr="00BF7682">
        <w:rPr>
          <w:rFonts w:cs="Times New Roman"/>
        </w:rPr>
        <w:t xml:space="preserve">Blazanin, </w:t>
      </w:r>
      <w:r>
        <w:rPr>
          <w:rFonts w:cs="Times New Roman"/>
        </w:rPr>
        <w:t xml:space="preserve">K. </w:t>
      </w:r>
      <w:r w:rsidRPr="00BF7682">
        <w:rPr>
          <w:rFonts w:cs="Times New Roman"/>
        </w:rPr>
        <w:t xml:space="preserve">Perrine, and </w:t>
      </w:r>
      <w:r>
        <w:rPr>
          <w:rFonts w:cs="Times New Roman"/>
        </w:rPr>
        <w:t xml:space="preserve">C. </w:t>
      </w:r>
      <w:r w:rsidRPr="00BF7682">
        <w:rPr>
          <w:rFonts w:cs="Times New Roman"/>
        </w:rPr>
        <w:t>Bhat</w:t>
      </w:r>
      <w:r>
        <w:rPr>
          <w:rFonts w:cs="Times New Roman"/>
        </w:rPr>
        <w:t xml:space="preserve">; draft manuscript preparation: A. </w:t>
      </w:r>
      <w:r w:rsidRPr="00BF7682">
        <w:rPr>
          <w:rFonts w:cs="Times New Roman"/>
        </w:rPr>
        <w:t xml:space="preserve">Haddad, </w:t>
      </w:r>
      <w:r>
        <w:rPr>
          <w:rFonts w:cs="Times New Roman"/>
        </w:rPr>
        <w:t xml:space="preserve">G. </w:t>
      </w:r>
      <w:r w:rsidRPr="00BF7682">
        <w:rPr>
          <w:rFonts w:cs="Times New Roman"/>
        </w:rPr>
        <w:t xml:space="preserve">Blazanin, </w:t>
      </w:r>
      <w:r>
        <w:rPr>
          <w:rFonts w:cs="Times New Roman"/>
        </w:rPr>
        <w:t xml:space="preserve">K. </w:t>
      </w:r>
      <w:r w:rsidRPr="00BF7682">
        <w:rPr>
          <w:rFonts w:cs="Times New Roman"/>
        </w:rPr>
        <w:t xml:space="preserve">Perrine, and </w:t>
      </w:r>
      <w:r>
        <w:rPr>
          <w:rFonts w:cs="Times New Roman"/>
        </w:rPr>
        <w:t xml:space="preserve">C. </w:t>
      </w:r>
      <w:r w:rsidRPr="00BF7682">
        <w:rPr>
          <w:rFonts w:cs="Times New Roman"/>
        </w:rPr>
        <w:t>Bhat</w:t>
      </w:r>
      <w:r>
        <w:rPr>
          <w:rFonts w:cs="Times New Roman"/>
        </w:rPr>
        <w:t>. All authors reviewed the results and approved the final version of the manuscript.</w:t>
      </w:r>
    </w:p>
    <w:p w14:paraId="252F9246" w14:textId="77777777" w:rsidR="009C0681" w:rsidRPr="005617FF" w:rsidRDefault="009C0681" w:rsidP="00807DF8">
      <w:pPr>
        <w:spacing w:after="0" w:line="240" w:lineRule="auto"/>
        <w:jc w:val="both"/>
        <w:rPr>
          <w:rFonts w:cs="Times New Roman"/>
          <w:b/>
          <w:noProof/>
          <w:color w:val="000000" w:themeColor="text1"/>
        </w:rPr>
        <w:sectPr w:rsidR="009C0681" w:rsidRPr="005617FF" w:rsidSect="00F642E4">
          <w:type w:val="continuous"/>
          <w:pgSz w:w="12240" w:h="15840"/>
          <w:pgMar w:top="1440" w:right="1440" w:bottom="1440" w:left="1440" w:header="720" w:footer="720" w:gutter="0"/>
          <w:cols w:space="720"/>
          <w:titlePg/>
          <w:docGrid w:linePitch="360"/>
        </w:sectPr>
      </w:pPr>
    </w:p>
    <w:p w14:paraId="2B5440A1" w14:textId="7F9228AE" w:rsidR="00D94AF5" w:rsidRPr="005617FF" w:rsidRDefault="0099587D" w:rsidP="00807DF8">
      <w:pPr>
        <w:spacing w:after="0" w:line="240" w:lineRule="auto"/>
        <w:jc w:val="both"/>
        <w:rPr>
          <w:rFonts w:cs="Times New Roman"/>
          <w:b/>
          <w:noProof/>
          <w:color w:val="000000" w:themeColor="text1"/>
        </w:rPr>
      </w:pPr>
      <w:r w:rsidRPr="005617FF">
        <w:rPr>
          <w:rFonts w:cs="Times New Roman"/>
          <w:b/>
          <w:noProof/>
          <w:color w:val="000000" w:themeColor="text1"/>
        </w:rPr>
        <w:lastRenderedPageBreak/>
        <w:t>REFERENCES</w:t>
      </w:r>
    </w:p>
    <w:bookmarkEnd w:id="0"/>
    <w:bookmarkEnd w:id="1"/>
    <w:p w14:paraId="6485ABBD" w14:textId="1FB4EE72" w:rsidR="00E00D60" w:rsidRPr="00E00D60" w:rsidRDefault="00E00D60" w:rsidP="000E3B8F">
      <w:pPr>
        <w:widowControl w:val="0"/>
        <w:autoSpaceDE w:val="0"/>
        <w:autoSpaceDN w:val="0"/>
        <w:adjustRightInd w:val="0"/>
        <w:spacing w:line="240" w:lineRule="auto"/>
        <w:rPr>
          <w:rFonts w:cs="Times New Roman"/>
          <w:noProof/>
          <w:szCs w:val="24"/>
        </w:rPr>
      </w:pPr>
      <w:r>
        <w:rPr>
          <w:rFonts w:cs="Times New Roman"/>
          <w:noProof/>
        </w:rPr>
        <w:fldChar w:fldCharType="begin" w:fldLock="1"/>
      </w:r>
      <w:r>
        <w:rPr>
          <w:rFonts w:cs="Times New Roman"/>
          <w:noProof/>
        </w:rPr>
        <w:instrText xml:space="preserve">ADDIN Mendeley Bibliography CSL_BIBLIOGRAPHY </w:instrText>
      </w:r>
      <w:r>
        <w:rPr>
          <w:rFonts w:cs="Times New Roman"/>
          <w:noProof/>
        </w:rPr>
        <w:fldChar w:fldCharType="separate"/>
      </w:r>
      <w:r w:rsidRPr="00E00D60">
        <w:rPr>
          <w:rFonts w:cs="Times New Roman"/>
          <w:noProof/>
          <w:szCs w:val="24"/>
        </w:rPr>
        <w:t>1. ASCE. Report Card for America’s Infrastructure. https://www.asce.org/infrastructure/. Accessed Jul</w:t>
      </w:r>
      <w:r w:rsidR="00D82814">
        <w:rPr>
          <w:rFonts w:cs="Times New Roman"/>
          <w:noProof/>
          <w:szCs w:val="24"/>
        </w:rPr>
        <w:t>y</w:t>
      </w:r>
      <w:r w:rsidRPr="00E00D60">
        <w:rPr>
          <w:rFonts w:cs="Times New Roman"/>
          <w:noProof/>
          <w:szCs w:val="24"/>
        </w:rPr>
        <w:t xml:space="preserve"> 15, 2021.</w:t>
      </w:r>
    </w:p>
    <w:p w14:paraId="771A6678" w14:textId="50B343C7"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2. Ali, M., A. Dulcy, M. Fred, V. Antonio, and V. Vanessa. Assessment of Public Perceptions of Innovative Financing for Infrastructure. </w:t>
      </w:r>
      <w:r w:rsidRPr="00E00D60">
        <w:rPr>
          <w:rFonts w:cs="Times New Roman"/>
          <w:i/>
          <w:iCs/>
          <w:noProof/>
          <w:szCs w:val="24"/>
        </w:rPr>
        <w:t>Construction Research Congress 2012</w:t>
      </w:r>
      <w:r w:rsidRPr="00E00D60">
        <w:rPr>
          <w:rFonts w:cs="Times New Roman"/>
          <w:noProof/>
          <w:szCs w:val="24"/>
        </w:rPr>
        <w:t>. 2260–2269. https://doi.org/10.1061/9780784412329.227.</w:t>
      </w:r>
    </w:p>
    <w:p w14:paraId="4ADA109D" w14:textId="083C0010"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3. Heleman, J., and B. Wright. </w:t>
      </w:r>
      <w:r w:rsidRPr="00E00D60">
        <w:rPr>
          <w:rFonts w:cs="Times New Roman"/>
          <w:i/>
          <w:iCs/>
          <w:noProof/>
          <w:szCs w:val="24"/>
        </w:rPr>
        <w:t>Texas’ Motor Fuels Taxes</w:t>
      </w:r>
      <w:r w:rsidRPr="00E00D60">
        <w:rPr>
          <w:rFonts w:cs="Times New Roman"/>
          <w:noProof/>
          <w:szCs w:val="24"/>
        </w:rPr>
        <w:t>. 2016.</w:t>
      </w:r>
    </w:p>
    <w:p w14:paraId="2ABC3D2A" w14:textId="00DB2654"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4. Halbrook, S., and J. Donald. </w:t>
      </w:r>
      <w:r w:rsidRPr="00E00D60">
        <w:rPr>
          <w:rFonts w:cs="Times New Roman"/>
          <w:i/>
          <w:iCs/>
          <w:noProof/>
          <w:szCs w:val="24"/>
        </w:rPr>
        <w:t>Motor Fuels Taxes in a Changing Texas Transportation Scene</w:t>
      </w:r>
      <w:r w:rsidRPr="00E00D60">
        <w:rPr>
          <w:rFonts w:cs="Times New Roman"/>
          <w:noProof/>
          <w:szCs w:val="24"/>
        </w:rPr>
        <w:t>. 2019.</w:t>
      </w:r>
    </w:p>
    <w:p w14:paraId="12833DD7" w14:textId="15204B52" w:rsidR="00E00D60" w:rsidRPr="004A66EF"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5. Board, T. R. The Fuel Tax and Alternatives for Transportation Funding. </w:t>
      </w:r>
      <w:r w:rsidRPr="00E00D60">
        <w:rPr>
          <w:rFonts w:cs="Times New Roman"/>
          <w:i/>
          <w:iCs/>
          <w:noProof/>
          <w:szCs w:val="24"/>
        </w:rPr>
        <w:t>Special Report 285</w:t>
      </w:r>
      <w:r w:rsidRPr="004A66EF">
        <w:rPr>
          <w:rFonts w:cs="Times New Roman"/>
          <w:iCs/>
          <w:noProof/>
          <w:szCs w:val="24"/>
        </w:rPr>
        <w:t>, The National Academies of Press</w:t>
      </w:r>
      <w:r w:rsidRPr="004A66EF">
        <w:rPr>
          <w:rFonts w:cs="Times New Roman"/>
          <w:noProof/>
          <w:szCs w:val="24"/>
        </w:rPr>
        <w:t xml:space="preserve">, </w:t>
      </w:r>
      <w:r w:rsidR="004A66EF" w:rsidRPr="004A66EF">
        <w:rPr>
          <w:rFonts w:cs="Times New Roman"/>
          <w:iCs/>
          <w:noProof/>
          <w:szCs w:val="24"/>
        </w:rPr>
        <w:t xml:space="preserve">Washington, D.C., </w:t>
      </w:r>
      <w:r w:rsidRPr="004A66EF">
        <w:rPr>
          <w:rFonts w:cs="Times New Roman"/>
          <w:noProof/>
          <w:szCs w:val="24"/>
        </w:rPr>
        <w:t>2006.</w:t>
      </w:r>
    </w:p>
    <w:p w14:paraId="4FE822D1" w14:textId="362F8E3A"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6. Small, K. A. Using the Revenues from Congestion Pricing. </w:t>
      </w:r>
      <w:r w:rsidRPr="00E00D60">
        <w:rPr>
          <w:rFonts w:cs="Times New Roman"/>
          <w:i/>
          <w:iCs/>
          <w:noProof/>
          <w:szCs w:val="24"/>
        </w:rPr>
        <w:t>Transportation</w:t>
      </w:r>
      <w:r w:rsidRPr="00E00D60">
        <w:rPr>
          <w:rFonts w:cs="Times New Roman"/>
          <w:noProof/>
          <w:szCs w:val="24"/>
        </w:rPr>
        <w:t xml:space="preserve">, </w:t>
      </w:r>
      <w:r w:rsidR="00D82814">
        <w:rPr>
          <w:rFonts w:cs="Times New Roman"/>
          <w:noProof/>
          <w:szCs w:val="24"/>
        </w:rPr>
        <w:t xml:space="preserve">1992. </w:t>
      </w:r>
      <w:r w:rsidRPr="00E00D60">
        <w:rPr>
          <w:rFonts w:cs="Times New Roman"/>
          <w:noProof/>
          <w:szCs w:val="24"/>
        </w:rPr>
        <w:t>19</w:t>
      </w:r>
      <w:r w:rsidR="00D82814">
        <w:rPr>
          <w:rFonts w:cs="Times New Roman"/>
          <w:noProof/>
          <w:szCs w:val="24"/>
        </w:rPr>
        <w:t>(</w:t>
      </w:r>
      <w:r w:rsidRPr="00E00D60">
        <w:rPr>
          <w:rFonts w:cs="Times New Roman"/>
          <w:noProof/>
          <w:szCs w:val="24"/>
        </w:rPr>
        <w:t>4</w:t>
      </w:r>
      <w:r w:rsidR="00D82814">
        <w:rPr>
          <w:rFonts w:cs="Times New Roman"/>
          <w:noProof/>
          <w:szCs w:val="24"/>
        </w:rPr>
        <w:t>):</w:t>
      </w:r>
      <w:r w:rsidRPr="00E00D60">
        <w:rPr>
          <w:rFonts w:cs="Times New Roman"/>
          <w:noProof/>
          <w:szCs w:val="24"/>
        </w:rPr>
        <w:t xml:space="preserve"> 359–381. https://doi.org/10.1007/BF01098639.</w:t>
      </w:r>
    </w:p>
    <w:p w14:paraId="178C913B" w14:textId="6530143B"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7. Ubbels, B., P. Nijkamp, E. Verhoef, S. Potter, and M. Enoch. Alternative Ways of Funding Public Transport: A Case Study Assessment. </w:t>
      </w:r>
      <w:r w:rsidRPr="00E00D60">
        <w:rPr>
          <w:rFonts w:cs="Times New Roman"/>
          <w:i/>
          <w:iCs/>
          <w:noProof/>
          <w:szCs w:val="24"/>
        </w:rPr>
        <w:t>European Journal of Transport and Infrastructure Research</w:t>
      </w:r>
      <w:r w:rsidRPr="00E00D60">
        <w:rPr>
          <w:rFonts w:cs="Times New Roman"/>
          <w:noProof/>
          <w:szCs w:val="24"/>
        </w:rPr>
        <w:t xml:space="preserve">, </w:t>
      </w:r>
      <w:r w:rsidR="00D82814">
        <w:rPr>
          <w:rFonts w:cs="Times New Roman"/>
          <w:noProof/>
          <w:szCs w:val="24"/>
        </w:rPr>
        <w:t>2001. 1(1):</w:t>
      </w:r>
      <w:r w:rsidRPr="00E00D60">
        <w:rPr>
          <w:rFonts w:cs="Times New Roman"/>
          <w:noProof/>
          <w:szCs w:val="24"/>
        </w:rPr>
        <w:t xml:space="preserve"> 73–89. https://doi.org/10.18757/ejtir.2001.1.1.2629.</w:t>
      </w:r>
    </w:p>
    <w:p w14:paraId="06AC4E18" w14:textId="228AEC2F"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8. Gu, Z., Z. Liu, Q. Cheng, and M. Saberi. Congestion Pricing Practices and Public Acceptance: A Review of Evidence. </w:t>
      </w:r>
      <w:r w:rsidRPr="00E00D60">
        <w:rPr>
          <w:rFonts w:cs="Times New Roman"/>
          <w:i/>
          <w:iCs/>
          <w:noProof/>
          <w:szCs w:val="24"/>
        </w:rPr>
        <w:t>Case Studies on Transport Policy</w:t>
      </w:r>
      <w:r w:rsidRPr="00E00D60">
        <w:rPr>
          <w:rFonts w:cs="Times New Roman"/>
          <w:noProof/>
          <w:szCs w:val="24"/>
        </w:rPr>
        <w:t xml:space="preserve">, </w:t>
      </w:r>
      <w:r w:rsidR="00D82814">
        <w:rPr>
          <w:rFonts w:cs="Times New Roman"/>
          <w:noProof/>
          <w:szCs w:val="24"/>
        </w:rPr>
        <w:t xml:space="preserve">2018. 6(1): </w:t>
      </w:r>
      <w:r w:rsidRPr="00E00D60">
        <w:rPr>
          <w:rFonts w:cs="Times New Roman"/>
          <w:noProof/>
          <w:szCs w:val="24"/>
        </w:rPr>
        <w:t>94–101. https://doi.org/https://doi.org/10.1016/j.cstp.2018.01.004.</w:t>
      </w:r>
    </w:p>
    <w:p w14:paraId="1B3C910A" w14:textId="23D6D921"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9. FHWA Center for Innovative Finance Support. Innovative Finance Quarterly. https://www.fhwa.dot.gov/ipd/finance/resources/general/if_quarterly/. Accessed Jul</w:t>
      </w:r>
      <w:r w:rsidR="00D82814">
        <w:rPr>
          <w:rFonts w:cs="Times New Roman"/>
          <w:noProof/>
          <w:szCs w:val="24"/>
        </w:rPr>
        <w:t>y</w:t>
      </w:r>
      <w:r w:rsidRPr="00E00D60">
        <w:rPr>
          <w:rFonts w:cs="Times New Roman"/>
          <w:noProof/>
          <w:szCs w:val="24"/>
        </w:rPr>
        <w:t xml:space="preserve"> 13, 2021.</w:t>
      </w:r>
    </w:p>
    <w:p w14:paraId="7D94E773" w14:textId="39244ACE"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10.Varn, J., G. Eucalitto, and S. Gander. </w:t>
      </w:r>
      <w:r w:rsidRPr="00E00D60">
        <w:rPr>
          <w:rFonts w:cs="Times New Roman"/>
          <w:i/>
          <w:iCs/>
          <w:noProof/>
          <w:szCs w:val="24"/>
        </w:rPr>
        <w:t>Planning for State Transportation Revenue in a Coming Era of Electric Vehicles</w:t>
      </w:r>
      <w:r w:rsidRPr="00E00D60">
        <w:rPr>
          <w:rFonts w:cs="Times New Roman"/>
          <w:noProof/>
          <w:szCs w:val="24"/>
        </w:rPr>
        <w:t>. National Governors Association Center for Best Practices, Washington, D</w:t>
      </w:r>
      <w:r w:rsidR="00D82814">
        <w:rPr>
          <w:rFonts w:cs="Times New Roman"/>
          <w:noProof/>
          <w:szCs w:val="24"/>
        </w:rPr>
        <w:t>.</w:t>
      </w:r>
      <w:r w:rsidRPr="00E00D60">
        <w:rPr>
          <w:rFonts w:cs="Times New Roman"/>
          <w:noProof/>
          <w:szCs w:val="24"/>
        </w:rPr>
        <w:t>C</w:t>
      </w:r>
      <w:r w:rsidR="00D82814">
        <w:rPr>
          <w:rFonts w:cs="Times New Roman"/>
          <w:noProof/>
          <w:szCs w:val="24"/>
        </w:rPr>
        <w:t>.</w:t>
      </w:r>
      <w:r w:rsidRPr="00E00D60">
        <w:rPr>
          <w:rFonts w:cs="Times New Roman"/>
          <w:noProof/>
          <w:szCs w:val="24"/>
        </w:rPr>
        <w:t>, 2020.</w:t>
      </w:r>
    </w:p>
    <w:p w14:paraId="5480172B" w14:textId="13D88D3B"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11. FHWA Center for Innovative Finance Support. </w:t>
      </w:r>
      <w:r w:rsidRPr="00E00D60">
        <w:rPr>
          <w:rFonts w:cs="Times New Roman"/>
          <w:i/>
          <w:iCs/>
          <w:noProof/>
          <w:szCs w:val="24"/>
        </w:rPr>
        <w:t>Value Capture Resources</w:t>
      </w:r>
      <w:r w:rsidRPr="00E00D60">
        <w:rPr>
          <w:rFonts w:cs="Times New Roman"/>
          <w:noProof/>
          <w:szCs w:val="24"/>
        </w:rPr>
        <w:t>. 2019.</w:t>
      </w:r>
    </w:p>
    <w:p w14:paraId="5105B824" w14:textId="75AEBC0A"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12. Clegg, A. </w:t>
      </w:r>
      <w:r w:rsidRPr="00E00D60">
        <w:rPr>
          <w:rFonts w:cs="Times New Roman"/>
          <w:i/>
          <w:iCs/>
          <w:noProof/>
          <w:szCs w:val="24"/>
        </w:rPr>
        <w:t>State Transportation Funding Proposals</w:t>
      </w:r>
      <w:r w:rsidRPr="00E00D60">
        <w:rPr>
          <w:rFonts w:cs="Times New Roman"/>
          <w:noProof/>
          <w:szCs w:val="24"/>
        </w:rPr>
        <w:t>. 2019.</w:t>
      </w:r>
    </w:p>
    <w:p w14:paraId="63763004" w14:textId="6B8852B6"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13. Pulipati, S. B., S. P. Mattingly, and C. Casey. Evaluating State Level Transportation Revenue Alternatives. </w:t>
      </w:r>
      <w:r w:rsidRPr="00E00D60">
        <w:rPr>
          <w:rFonts w:cs="Times New Roman"/>
          <w:i/>
          <w:iCs/>
          <w:noProof/>
          <w:szCs w:val="24"/>
        </w:rPr>
        <w:t>Case Studies on Transport Policy</w:t>
      </w:r>
      <w:r w:rsidRPr="00E00D60">
        <w:rPr>
          <w:rFonts w:cs="Times New Roman"/>
          <w:noProof/>
          <w:szCs w:val="24"/>
        </w:rPr>
        <w:t xml:space="preserve">, </w:t>
      </w:r>
      <w:r w:rsidR="004A66EF">
        <w:rPr>
          <w:rFonts w:cs="Times New Roman"/>
          <w:noProof/>
          <w:szCs w:val="24"/>
        </w:rPr>
        <w:t>2017. 5(3):</w:t>
      </w:r>
      <w:r w:rsidRPr="00E00D60">
        <w:rPr>
          <w:rFonts w:cs="Times New Roman"/>
          <w:noProof/>
          <w:szCs w:val="24"/>
        </w:rPr>
        <w:t xml:space="preserve"> 467–482. https://doi.org/https://doi.org/10.1016/j.cstp.2017.06.002.</w:t>
      </w:r>
    </w:p>
    <w:p w14:paraId="481CFBB8" w14:textId="3FA4F55F"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14. Weinstein, A., J. Dill, T. Goldman, J. Hall, F. Holtzman, and J. Recker. </w:t>
      </w:r>
      <w:r w:rsidRPr="00E00D60">
        <w:rPr>
          <w:rFonts w:cs="Times New Roman"/>
          <w:i/>
          <w:iCs/>
          <w:noProof/>
          <w:szCs w:val="24"/>
        </w:rPr>
        <w:t>Transportation Financing Opportunities for the State of California</w:t>
      </w:r>
      <w:r w:rsidRPr="00E00D60">
        <w:rPr>
          <w:rFonts w:cs="Times New Roman"/>
          <w:noProof/>
          <w:szCs w:val="24"/>
        </w:rPr>
        <w:t>. 2006.</w:t>
      </w:r>
    </w:p>
    <w:p w14:paraId="1AF19BC3" w14:textId="366611BB"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15. AASHTO. </w:t>
      </w:r>
      <w:r w:rsidRPr="00E00D60">
        <w:rPr>
          <w:rFonts w:cs="Times New Roman"/>
          <w:i/>
          <w:iCs/>
          <w:noProof/>
          <w:szCs w:val="24"/>
        </w:rPr>
        <w:t>Matrix of Illustrative Surface Transportation Revenue Options</w:t>
      </w:r>
      <w:r w:rsidRPr="00E00D60">
        <w:rPr>
          <w:rFonts w:cs="Times New Roman"/>
          <w:noProof/>
          <w:szCs w:val="24"/>
        </w:rPr>
        <w:t>. 2019.</w:t>
      </w:r>
    </w:p>
    <w:p w14:paraId="41F13A1E" w14:textId="04C31312"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16. Dye Management Group. </w:t>
      </w:r>
      <w:r w:rsidRPr="00E00D60">
        <w:rPr>
          <w:rFonts w:cs="Times New Roman"/>
          <w:i/>
          <w:iCs/>
          <w:noProof/>
          <w:szCs w:val="24"/>
        </w:rPr>
        <w:t>Texas Transportation Funding Challenge: Findings and Analysis</w:t>
      </w:r>
      <w:r w:rsidRPr="00E00D60">
        <w:rPr>
          <w:rFonts w:cs="Times New Roman"/>
          <w:noProof/>
          <w:szCs w:val="24"/>
        </w:rPr>
        <w:t>. 2009.</w:t>
      </w:r>
    </w:p>
    <w:p w14:paraId="5E4F662A" w14:textId="4ABF4EBD"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17. Cambridge Systematics. </w:t>
      </w:r>
      <w:r w:rsidRPr="00E00D60">
        <w:rPr>
          <w:rFonts w:cs="Times New Roman"/>
          <w:i/>
          <w:iCs/>
          <w:noProof/>
          <w:szCs w:val="24"/>
        </w:rPr>
        <w:t>Study of Indiana Transportation Infrastructure Funding Mechanisms</w:t>
      </w:r>
      <w:r w:rsidRPr="00E00D60">
        <w:rPr>
          <w:rFonts w:cs="Times New Roman"/>
          <w:noProof/>
          <w:szCs w:val="24"/>
        </w:rPr>
        <w:t>. 2015.</w:t>
      </w:r>
    </w:p>
    <w:p w14:paraId="270F4E39" w14:textId="283C8127"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18. TTI. </w:t>
      </w:r>
      <w:r w:rsidRPr="00E00D60">
        <w:rPr>
          <w:rFonts w:cs="Times New Roman"/>
          <w:i/>
          <w:iCs/>
          <w:noProof/>
          <w:szCs w:val="24"/>
        </w:rPr>
        <w:t>How to Fund Transportation</w:t>
      </w:r>
      <w:r w:rsidRPr="00E00D60">
        <w:rPr>
          <w:rFonts w:cs="Times New Roman"/>
          <w:noProof/>
          <w:szCs w:val="24"/>
        </w:rPr>
        <w:t>. 2019.</w:t>
      </w:r>
    </w:p>
    <w:p w14:paraId="1138A8F1" w14:textId="202BB5ED" w:rsidR="00E00D60" w:rsidRPr="00747B69" w:rsidRDefault="00E00D60" w:rsidP="004A66EF">
      <w:pPr>
        <w:autoSpaceDE w:val="0"/>
        <w:autoSpaceDN w:val="0"/>
        <w:adjustRightInd w:val="0"/>
        <w:spacing w:before="240" w:line="240" w:lineRule="auto"/>
      </w:pPr>
      <w:r w:rsidRPr="00E00D60">
        <w:rPr>
          <w:rFonts w:cs="Times New Roman"/>
          <w:noProof/>
          <w:szCs w:val="24"/>
        </w:rPr>
        <w:lastRenderedPageBreak/>
        <w:t xml:space="preserve">19. </w:t>
      </w:r>
      <w:r w:rsidR="004A66EF">
        <w:rPr>
          <w:rFonts w:cs="Times New Roman"/>
          <w:noProof/>
          <w:szCs w:val="24"/>
        </w:rPr>
        <w:t xml:space="preserve"> </w:t>
      </w:r>
      <w:r w:rsidR="004A66EF" w:rsidRPr="00747B69">
        <w:t xml:space="preserve">National Academies of Sciences, Engineering, and Medicine. </w:t>
      </w:r>
      <w:r w:rsidR="004A66EF" w:rsidRPr="00747B69">
        <w:rPr>
          <w:i/>
        </w:rPr>
        <w:t>Local and Regional Funding Mechanisms for Public Transportation</w:t>
      </w:r>
      <w:r w:rsidR="004A66EF" w:rsidRPr="00747B69">
        <w:t xml:space="preserve">. </w:t>
      </w:r>
      <w:r w:rsidR="00747B69" w:rsidRPr="00747B69">
        <w:t xml:space="preserve">Transit Cooperative Research Program Report 129, </w:t>
      </w:r>
      <w:r w:rsidR="004A66EF" w:rsidRPr="00747B69">
        <w:t>The National Academies Press</w:t>
      </w:r>
      <w:r w:rsidR="00747B69" w:rsidRPr="00747B69">
        <w:t>, Washington, D.C., 2009</w:t>
      </w:r>
      <w:r w:rsidR="004A66EF" w:rsidRPr="00747B69">
        <w:t>. https://doi.org/10.17226/14187</w:t>
      </w:r>
      <w:r w:rsidRPr="00747B69">
        <w:t>.</w:t>
      </w:r>
    </w:p>
    <w:p w14:paraId="45B5DCEC" w14:textId="5D8C2D13" w:rsidR="00E00D60" w:rsidRPr="00747B69" w:rsidRDefault="00E00D60" w:rsidP="000E3B8F">
      <w:pPr>
        <w:widowControl w:val="0"/>
        <w:autoSpaceDE w:val="0"/>
        <w:autoSpaceDN w:val="0"/>
        <w:adjustRightInd w:val="0"/>
        <w:spacing w:before="240" w:line="240" w:lineRule="auto"/>
      </w:pPr>
      <w:r w:rsidRPr="00E00D60">
        <w:rPr>
          <w:rFonts w:cs="Times New Roman"/>
          <w:noProof/>
          <w:szCs w:val="24"/>
        </w:rPr>
        <w:t xml:space="preserve">20. </w:t>
      </w:r>
      <w:r w:rsidR="00747B69" w:rsidRPr="00747B69">
        <w:t xml:space="preserve">National Academies of Sciences, Engineering, and Medicine. </w:t>
      </w:r>
      <w:r w:rsidR="00747B69" w:rsidRPr="00747B69">
        <w:rPr>
          <w:i/>
        </w:rPr>
        <w:t>Future Financing Options to Meet Highway and Transit Needs</w:t>
      </w:r>
      <w:r w:rsidR="00747B69" w:rsidRPr="00747B69">
        <w:t>. National Cooperative Highway Research Program Web-Only Document 102, The National Academies Press, Washington, D.C., 2006. https://doi.org/10.17226/23200.</w:t>
      </w:r>
    </w:p>
    <w:p w14:paraId="6CE92C7D" w14:textId="170762A0"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21. Persad, K., L. Loftus-Otway, R. Harrison, A. Cruz-Ross, P. Singh, S. Chi, and P. Franco. Evaluation of TxDOT’s JACK Model for Revenue and Expenditure Projections. </w:t>
      </w:r>
      <w:r w:rsidR="00747B69">
        <w:rPr>
          <w:rFonts w:cs="Times New Roman"/>
          <w:noProof/>
          <w:szCs w:val="24"/>
        </w:rPr>
        <w:t xml:space="preserve">Report </w:t>
      </w:r>
      <w:r w:rsidR="00747B69">
        <w:t>FHWA/TX-09/0-6395-CT-1, Center for Transportation Research</w:t>
      </w:r>
      <w:r w:rsidR="00747B69">
        <w:rPr>
          <w:rFonts w:cs="Times New Roman"/>
          <w:noProof/>
          <w:szCs w:val="24"/>
        </w:rPr>
        <w:t xml:space="preserve">, </w:t>
      </w:r>
      <w:r w:rsidR="00747B69">
        <w:t>The University of Texas at Austin,</w:t>
      </w:r>
      <w:r w:rsidR="00747B69" w:rsidRPr="00E00D60">
        <w:rPr>
          <w:rFonts w:cs="Times New Roman"/>
          <w:noProof/>
          <w:szCs w:val="24"/>
        </w:rPr>
        <w:t xml:space="preserve"> </w:t>
      </w:r>
      <w:r w:rsidRPr="00E00D60">
        <w:rPr>
          <w:rFonts w:cs="Times New Roman"/>
          <w:noProof/>
          <w:szCs w:val="24"/>
        </w:rPr>
        <w:t>2009.</w:t>
      </w:r>
    </w:p>
    <w:p w14:paraId="485CA0AF" w14:textId="722CAE90"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22. Castiglione, J., R. D. Ellis, and B. Glover. The Transportation Revenue Estimator and Needs Determination System (TRENDS) Model.</w:t>
      </w:r>
    </w:p>
    <w:p w14:paraId="248D3B5C" w14:textId="2DBB8BAD"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23. Cambridge Systematics, I., L. D’Artagnan Consulting, and Indiana University. INDOT Revenue Cost Model. https://www.in.gov/indot/3410.htm. Accessed Jul</w:t>
      </w:r>
      <w:r w:rsidR="00B5108E">
        <w:rPr>
          <w:rFonts w:cs="Times New Roman"/>
          <w:noProof/>
          <w:szCs w:val="24"/>
        </w:rPr>
        <w:t>y</w:t>
      </w:r>
      <w:r w:rsidRPr="00E00D60">
        <w:rPr>
          <w:rFonts w:cs="Times New Roman"/>
          <w:noProof/>
          <w:szCs w:val="24"/>
        </w:rPr>
        <w:t xml:space="preserve"> 13, 2021.</w:t>
      </w:r>
    </w:p>
    <w:p w14:paraId="592AED78" w14:textId="07B80F3B"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24. Atkinson, R. D., and N. S. T. I. F. Commission. Paying Our Way: A New Framework for Transportation Finance, Final Report, February 2009. 2009.</w:t>
      </w:r>
    </w:p>
    <w:p w14:paraId="5EE50582" w14:textId="5D91CCD6"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25. Broniewicz, E., and K. Ogrodnik. Multi-Criteria Analysis of Transport Infrastructure Projects. </w:t>
      </w:r>
      <w:r w:rsidRPr="00E00D60">
        <w:rPr>
          <w:rFonts w:cs="Times New Roman"/>
          <w:i/>
          <w:iCs/>
          <w:noProof/>
          <w:szCs w:val="24"/>
        </w:rPr>
        <w:t>Transportation Research Part D</w:t>
      </w:r>
      <w:r w:rsidRPr="00E00D60">
        <w:rPr>
          <w:rFonts w:cs="Times New Roman"/>
          <w:noProof/>
          <w:szCs w:val="24"/>
        </w:rPr>
        <w:t xml:space="preserve">, </w:t>
      </w:r>
      <w:r w:rsidR="004A66EF">
        <w:rPr>
          <w:rFonts w:cs="Times New Roman"/>
          <w:noProof/>
          <w:szCs w:val="24"/>
        </w:rPr>
        <w:t xml:space="preserve">2020. </w:t>
      </w:r>
      <w:r w:rsidRPr="00E00D60">
        <w:rPr>
          <w:rFonts w:cs="Times New Roman"/>
          <w:noProof/>
          <w:szCs w:val="24"/>
        </w:rPr>
        <w:t>83</w:t>
      </w:r>
      <w:r w:rsidR="004A66EF">
        <w:rPr>
          <w:rFonts w:cs="Times New Roman"/>
          <w:noProof/>
          <w:szCs w:val="24"/>
        </w:rPr>
        <w:t>:</w:t>
      </w:r>
      <w:r w:rsidRPr="00E00D60">
        <w:rPr>
          <w:rFonts w:cs="Times New Roman"/>
          <w:noProof/>
          <w:szCs w:val="24"/>
        </w:rPr>
        <w:t xml:space="preserve"> 102351.</w:t>
      </w:r>
      <w:r w:rsidR="00B5108E">
        <w:rPr>
          <w:rFonts w:cs="Times New Roman"/>
          <w:noProof/>
          <w:szCs w:val="24"/>
        </w:rPr>
        <w:t xml:space="preserve"> </w:t>
      </w:r>
      <w:r w:rsidRPr="00B5108E">
        <w:rPr>
          <w:rFonts w:cs="Times New Roman"/>
          <w:noProof/>
          <w:szCs w:val="21"/>
        </w:rPr>
        <w:t>https://doi.org/https://doi.org/10.1016/j.trd.2020.102351.</w:t>
      </w:r>
    </w:p>
    <w:p w14:paraId="1311422B" w14:textId="47384F46"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26. Ishizaka, A., and P. Nemery. </w:t>
      </w:r>
      <w:r w:rsidRPr="00E00D60">
        <w:rPr>
          <w:rFonts w:cs="Times New Roman"/>
          <w:i/>
          <w:iCs/>
          <w:noProof/>
          <w:szCs w:val="24"/>
        </w:rPr>
        <w:t>Multi-Criteria Decision Analysis: Methods and Software</w:t>
      </w:r>
      <w:r w:rsidRPr="00E00D60">
        <w:rPr>
          <w:rFonts w:cs="Times New Roman"/>
          <w:noProof/>
          <w:szCs w:val="24"/>
        </w:rPr>
        <w:t>. John Wiley &amp; Sons, 2013.</w:t>
      </w:r>
    </w:p>
    <w:p w14:paraId="18241B5A" w14:textId="5646143C"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27. Sorensen, P., L. Ecola, and M. Wachs. </w:t>
      </w:r>
      <w:r w:rsidRPr="00E00D60">
        <w:rPr>
          <w:rFonts w:cs="Times New Roman"/>
          <w:i/>
          <w:iCs/>
          <w:noProof/>
          <w:szCs w:val="24"/>
        </w:rPr>
        <w:t>Mileage-Based User Fees for Transportation Funding: A Primer for State and Local Decisionmakers</w:t>
      </w:r>
      <w:r w:rsidRPr="00E00D60">
        <w:rPr>
          <w:rFonts w:cs="Times New Roman"/>
          <w:noProof/>
          <w:szCs w:val="24"/>
        </w:rPr>
        <w:t>. Rand Corporation, 2012.</w:t>
      </w:r>
    </w:p>
    <w:p w14:paraId="3C3A1A39" w14:textId="63B88A61" w:rsidR="00E00D60" w:rsidRPr="00E00D60" w:rsidRDefault="00E00D60" w:rsidP="000E3B8F">
      <w:pPr>
        <w:widowControl w:val="0"/>
        <w:autoSpaceDE w:val="0"/>
        <w:autoSpaceDN w:val="0"/>
        <w:adjustRightInd w:val="0"/>
        <w:spacing w:before="240" w:line="240" w:lineRule="auto"/>
        <w:rPr>
          <w:rFonts w:cs="Times New Roman"/>
          <w:noProof/>
          <w:szCs w:val="24"/>
        </w:rPr>
      </w:pPr>
      <w:r w:rsidRPr="00E00D60">
        <w:rPr>
          <w:rFonts w:cs="Times New Roman"/>
          <w:noProof/>
          <w:szCs w:val="24"/>
        </w:rPr>
        <w:t xml:space="preserve">28. D’Angelo, D., T. Edun, P. Hovy, H. Ladley, S. Page, T. Bishop, and S. Natzke. </w:t>
      </w:r>
      <w:r w:rsidRPr="00E00D60">
        <w:rPr>
          <w:rFonts w:cs="Times New Roman"/>
          <w:i/>
          <w:iCs/>
          <w:noProof/>
          <w:szCs w:val="24"/>
        </w:rPr>
        <w:t>Value Capture Implementation Manual: Capitalizing on the Value Created by Transportation</w:t>
      </w:r>
      <w:r w:rsidRPr="00E00D60">
        <w:rPr>
          <w:rFonts w:cs="Times New Roman"/>
          <w:noProof/>
          <w:szCs w:val="24"/>
        </w:rPr>
        <w:t xml:space="preserve">. </w:t>
      </w:r>
      <w:r w:rsidR="00B5108E">
        <w:rPr>
          <w:rFonts w:cs="Times New Roman"/>
          <w:noProof/>
          <w:szCs w:val="24"/>
        </w:rPr>
        <w:t xml:space="preserve">Report </w:t>
      </w:r>
      <w:r w:rsidR="00B5108E">
        <w:t>FHWA-HIN-19-004</w:t>
      </w:r>
      <w:r w:rsidR="00B5108E">
        <w:rPr>
          <w:rFonts w:cs="Times New Roman"/>
          <w:noProof/>
          <w:szCs w:val="24"/>
        </w:rPr>
        <w:t xml:space="preserve">, </w:t>
      </w:r>
      <w:r w:rsidRPr="00E00D60">
        <w:rPr>
          <w:rFonts w:cs="Times New Roman"/>
          <w:noProof/>
          <w:szCs w:val="24"/>
        </w:rPr>
        <w:t>Federal Highway Administration</w:t>
      </w:r>
      <w:r w:rsidR="00B5108E">
        <w:rPr>
          <w:rFonts w:cs="Times New Roman"/>
          <w:noProof/>
          <w:szCs w:val="24"/>
        </w:rPr>
        <w:t>,</w:t>
      </w:r>
      <w:r w:rsidRPr="00E00D60">
        <w:rPr>
          <w:rFonts w:cs="Times New Roman"/>
          <w:noProof/>
          <w:szCs w:val="24"/>
        </w:rPr>
        <w:t xml:space="preserve"> </w:t>
      </w:r>
      <w:r w:rsidR="00B5108E">
        <w:t>Office of Policy and Governmental Affairs</w:t>
      </w:r>
      <w:r w:rsidRPr="00E00D60">
        <w:rPr>
          <w:rFonts w:cs="Times New Roman"/>
          <w:noProof/>
          <w:szCs w:val="24"/>
        </w:rPr>
        <w:t>, 2019.</w:t>
      </w:r>
    </w:p>
    <w:p w14:paraId="1C0CBDF9" w14:textId="079E24C3" w:rsidR="00E00D60" w:rsidRPr="00E00D60" w:rsidRDefault="00E00D60" w:rsidP="000E3B8F">
      <w:pPr>
        <w:widowControl w:val="0"/>
        <w:autoSpaceDE w:val="0"/>
        <w:autoSpaceDN w:val="0"/>
        <w:adjustRightInd w:val="0"/>
        <w:spacing w:before="240" w:line="240" w:lineRule="auto"/>
        <w:rPr>
          <w:rFonts w:cs="Times New Roman"/>
          <w:noProof/>
        </w:rPr>
      </w:pPr>
      <w:r w:rsidRPr="00E00D60">
        <w:rPr>
          <w:rFonts w:cs="Times New Roman"/>
          <w:noProof/>
          <w:szCs w:val="24"/>
        </w:rPr>
        <w:t xml:space="preserve">29. Merriman, D. F. Does TIF Make It More Difficult to Manage Municipal Bud Gets? A Simulation Model and Directions for Future Research. </w:t>
      </w:r>
      <w:r w:rsidR="00B5108E">
        <w:rPr>
          <w:rFonts w:cs="Times New Roman"/>
          <w:noProof/>
          <w:szCs w:val="24"/>
        </w:rPr>
        <w:t xml:space="preserve">In </w:t>
      </w:r>
      <w:r w:rsidRPr="00E00D60">
        <w:rPr>
          <w:rFonts w:cs="Times New Roman"/>
          <w:i/>
          <w:iCs/>
          <w:noProof/>
          <w:szCs w:val="24"/>
        </w:rPr>
        <w:t>Municipal Revenues and Land Policies</w:t>
      </w:r>
      <w:r w:rsidR="00B5108E">
        <w:rPr>
          <w:rFonts w:cs="Times New Roman"/>
          <w:i/>
          <w:iCs/>
          <w:noProof/>
          <w:szCs w:val="24"/>
        </w:rPr>
        <w:t xml:space="preserve"> </w:t>
      </w:r>
      <w:r w:rsidR="00B5108E" w:rsidRPr="00B5108E">
        <w:rPr>
          <w:rFonts w:cs="Times New Roman"/>
          <w:iCs/>
          <w:noProof/>
          <w:szCs w:val="24"/>
        </w:rPr>
        <w:t>(G.K. Ingram and Y-H. H</w:t>
      </w:r>
      <w:r w:rsidR="00B5108E">
        <w:rPr>
          <w:rFonts w:cs="Times New Roman"/>
          <w:iCs/>
          <w:noProof/>
          <w:szCs w:val="24"/>
        </w:rPr>
        <w:t>o</w:t>
      </w:r>
      <w:r w:rsidR="00B5108E" w:rsidRPr="00B5108E">
        <w:rPr>
          <w:rFonts w:cs="Times New Roman"/>
          <w:iCs/>
          <w:noProof/>
          <w:szCs w:val="24"/>
        </w:rPr>
        <w:t>ng</w:t>
      </w:r>
      <w:r w:rsidRPr="00E00D60">
        <w:rPr>
          <w:rFonts w:cs="Times New Roman"/>
          <w:noProof/>
          <w:szCs w:val="24"/>
        </w:rPr>
        <w:t>,</w:t>
      </w:r>
      <w:r w:rsidR="00B5108E">
        <w:rPr>
          <w:rFonts w:cs="Times New Roman"/>
          <w:noProof/>
          <w:szCs w:val="24"/>
        </w:rPr>
        <w:t xml:space="preserve"> eds.)</w:t>
      </w:r>
      <w:r w:rsidR="00B5108E" w:rsidRPr="00B5108E">
        <w:rPr>
          <w:rFonts w:ascii="Arial" w:hAnsi="Arial" w:cs="Arial"/>
          <w:color w:val="000000"/>
          <w:sz w:val="27"/>
          <w:szCs w:val="27"/>
          <w:shd w:val="clear" w:color="auto" w:fill="FFFFFF"/>
        </w:rPr>
        <w:t xml:space="preserve"> </w:t>
      </w:r>
      <w:r w:rsidR="00B5108E" w:rsidRPr="00B5108E">
        <w:t>Lincoln Institute of Land Policy, Columbia University Press</w:t>
      </w:r>
      <w:r w:rsidR="00B5108E">
        <w:t>, Ch. 11,</w:t>
      </w:r>
      <w:r w:rsidRPr="00B5108E">
        <w:t xml:space="preserve"> 2</w:t>
      </w:r>
      <w:r w:rsidRPr="00E00D60">
        <w:rPr>
          <w:rFonts w:cs="Times New Roman"/>
          <w:noProof/>
          <w:szCs w:val="24"/>
        </w:rPr>
        <w:t>010.</w:t>
      </w:r>
    </w:p>
    <w:p w14:paraId="059D7FC8" w14:textId="15A809D4" w:rsidR="00470323" w:rsidRPr="0070674C" w:rsidRDefault="00E00D60" w:rsidP="000E3B8F">
      <w:pPr>
        <w:widowControl w:val="0"/>
        <w:autoSpaceDE w:val="0"/>
        <w:autoSpaceDN w:val="0"/>
        <w:adjustRightInd w:val="0"/>
        <w:spacing w:before="240" w:line="240" w:lineRule="auto"/>
        <w:jc w:val="both"/>
        <w:rPr>
          <w:rFonts w:cs="Times New Roman"/>
          <w:noProof/>
        </w:rPr>
      </w:pPr>
      <w:r>
        <w:rPr>
          <w:rFonts w:cs="Times New Roman"/>
          <w:noProof/>
        </w:rPr>
        <w:fldChar w:fldCharType="end"/>
      </w:r>
    </w:p>
    <w:sectPr w:rsidR="00470323" w:rsidRPr="0070674C" w:rsidSect="009D6BDB">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92215" w16cex:dateUtc="2021-07-26T16:59:00Z"/>
</w16cex:commentsExtensible>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FD41A" w14:textId="77777777" w:rsidR="00800FFF" w:rsidRDefault="00800FFF" w:rsidP="00D913C8">
      <w:pPr>
        <w:spacing w:after="0" w:line="240" w:lineRule="auto"/>
      </w:pPr>
      <w:r>
        <w:separator/>
      </w:r>
    </w:p>
    <w:p w14:paraId="0918BC05" w14:textId="77777777" w:rsidR="00800FFF" w:rsidRDefault="00800FFF"/>
    <w:p w14:paraId="14F1C5BD" w14:textId="77777777" w:rsidR="00800FFF" w:rsidRDefault="00800FFF" w:rsidP="003E5C87"/>
  </w:endnote>
  <w:endnote w:type="continuationSeparator" w:id="0">
    <w:p w14:paraId="7D7AB05B" w14:textId="77777777" w:rsidR="00800FFF" w:rsidRDefault="00800FFF" w:rsidP="00D913C8">
      <w:pPr>
        <w:spacing w:after="0" w:line="240" w:lineRule="auto"/>
      </w:pPr>
      <w:r>
        <w:continuationSeparator/>
      </w:r>
    </w:p>
    <w:p w14:paraId="66CC8180" w14:textId="77777777" w:rsidR="00800FFF" w:rsidRDefault="00800FFF"/>
    <w:p w14:paraId="4E9101D0" w14:textId="77777777" w:rsidR="00800FFF" w:rsidRDefault="00800FFF" w:rsidP="003E5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WNYHL+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774523"/>
      <w:docPartObj>
        <w:docPartGallery w:val="Page Numbers (Bottom of Page)"/>
        <w:docPartUnique/>
      </w:docPartObj>
    </w:sdtPr>
    <w:sdtEndPr>
      <w:rPr>
        <w:noProof/>
      </w:rPr>
    </w:sdtEndPr>
    <w:sdtContent>
      <w:p w14:paraId="543F7313" w14:textId="77777777" w:rsidR="00634965" w:rsidRDefault="00634965">
        <w:pPr>
          <w:pStyle w:val="Footer"/>
          <w:jc w:val="center"/>
        </w:pPr>
      </w:p>
      <w:p w14:paraId="7F5EF877" w14:textId="086F0218" w:rsidR="00634965" w:rsidRDefault="00F642E4">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761E" w14:textId="6BFF03A3" w:rsidR="00634965" w:rsidRDefault="00634965" w:rsidP="002102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997321"/>
      <w:docPartObj>
        <w:docPartGallery w:val="Page Numbers (Bottom of Page)"/>
        <w:docPartUnique/>
      </w:docPartObj>
    </w:sdtPr>
    <w:sdtEndPr>
      <w:rPr>
        <w:noProof/>
      </w:rPr>
    </w:sdtEndPr>
    <w:sdtContent>
      <w:p w14:paraId="366CE96F" w14:textId="3EF63107" w:rsidR="00634965" w:rsidRDefault="00634965" w:rsidP="004D0A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2CFBB" w14:textId="77777777" w:rsidR="00800FFF" w:rsidRDefault="00800FFF" w:rsidP="00D913C8">
      <w:pPr>
        <w:spacing w:after="0" w:line="240" w:lineRule="auto"/>
      </w:pPr>
      <w:r>
        <w:separator/>
      </w:r>
    </w:p>
    <w:p w14:paraId="4BC81612" w14:textId="77777777" w:rsidR="00800FFF" w:rsidRDefault="00800FFF"/>
    <w:p w14:paraId="560381E9" w14:textId="77777777" w:rsidR="00800FFF" w:rsidRDefault="00800FFF" w:rsidP="003E5C87"/>
  </w:footnote>
  <w:footnote w:type="continuationSeparator" w:id="0">
    <w:p w14:paraId="72101263" w14:textId="77777777" w:rsidR="00800FFF" w:rsidRDefault="00800FFF" w:rsidP="00D913C8">
      <w:pPr>
        <w:spacing w:after="0" w:line="240" w:lineRule="auto"/>
      </w:pPr>
      <w:r>
        <w:continuationSeparator/>
      </w:r>
    </w:p>
    <w:p w14:paraId="6D9E5094" w14:textId="77777777" w:rsidR="00800FFF" w:rsidRDefault="00800FFF"/>
    <w:p w14:paraId="6D863E44" w14:textId="77777777" w:rsidR="00800FFF" w:rsidRDefault="00800FFF" w:rsidP="003E5C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32FB2" w14:textId="335E1808" w:rsidR="00634965" w:rsidRPr="004D0A64" w:rsidRDefault="00634965">
    <w:pPr>
      <w:pStyle w:val="Header"/>
      <w:rPr>
        <w:rFonts w:cs="Times New Roman"/>
        <w:i/>
      </w:rPr>
    </w:pPr>
    <w:r w:rsidRPr="004D0A64">
      <w:rPr>
        <w:rFonts w:cs="Times New Roman"/>
        <w:i/>
      </w:rPr>
      <w:t>Haddad, Blazanin, Perrine, and Bhat</w:t>
    </w:r>
    <w:r w:rsidRPr="004D0A64">
      <w:rPr>
        <w:rFonts w:cs="Times New Roman"/>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4A76" w14:textId="77777777" w:rsidR="00634965" w:rsidRDefault="00634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F5505"/>
    <w:multiLevelType w:val="hybridMultilevel"/>
    <w:tmpl w:val="D812A6E2"/>
    <w:lvl w:ilvl="0" w:tplc="AD3C5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AA0BD4"/>
    <w:multiLevelType w:val="hybridMultilevel"/>
    <w:tmpl w:val="EB70B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85359A"/>
    <w:multiLevelType w:val="hybridMultilevel"/>
    <w:tmpl w:val="0630C4A8"/>
    <w:lvl w:ilvl="0" w:tplc="AD3C521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5960EC"/>
    <w:multiLevelType w:val="hybridMultilevel"/>
    <w:tmpl w:val="EBD29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DE414F"/>
    <w:multiLevelType w:val="hybridMultilevel"/>
    <w:tmpl w:val="97262FD6"/>
    <w:lvl w:ilvl="0" w:tplc="B0E4A73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2945A9"/>
    <w:multiLevelType w:val="hybridMultilevel"/>
    <w:tmpl w:val="9746CA22"/>
    <w:lvl w:ilvl="0" w:tplc="50AAE1A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B125D4"/>
    <w:multiLevelType w:val="hybridMultilevel"/>
    <w:tmpl w:val="E3D0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C2B66"/>
    <w:multiLevelType w:val="hybridMultilevel"/>
    <w:tmpl w:val="5268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3865DB"/>
    <w:multiLevelType w:val="hybridMultilevel"/>
    <w:tmpl w:val="DCEAA21A"/>
    <w:lvl w:ilvl="0" w:tplc="BF8A907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8F6B86"/>
    <w:multiLevelType w:val="hybridMultilevel"/>
    <w:tmpl w:val="6F40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7"/>
  </w:num>
  <w:num w:numId="7">
    <w:abstractNumId w:val="8"/>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wMLM0NzQ3MDAxNTZR0lEKTi0uzszPAykwMagFALiUrqQtAAAA"/>
  </w:docVars>
  <w:rsids>
    <w:rsidRoot w:val="00EA10CC"/>
    <w:rsid w:val="00000307"/>
    <w:rsid w:val="000019C3"/>
    <w:rsid w:val="00002A4D"/>
    <w:rsid w:val="00012950"/>
    <w:rsid w:val="00014BF2"/>
    <w:rsid w:val="000161A6"/>
    <w:rsid w:val="00017C4C"/>
    <w:rsid w:val="00017E8F"/>
    <w:rsid w:val="000226F3"/>
    <w:rsid w:val="00025214"/>
    <w:rsid w:val="00026A66"/>
    <w:rsid w:val="00027D83"/>
    <w:rsid w:val="000312D4"/>
    <w:rsid w:val="000356DD"/>
    <w:rsid w:val="00035C82"/>
    <w:rsid w:val="00036871"/>
    <w:rsid w:val="000369D9"/>
    <w:rsid w:val="000376C0"/>
    <w:rsid w:val="0004075F"/>
    <w:rsid w:val="00041722"/>
    <w:rsid w:val="000418B9"/>
    <w:rsid w:val="00044324"/>
    <w:rsid w:val="000449B4"/>
    <w:rsid w:val="000457FF"/>
    <w:rsid w:val="00045821"/>
    <w:rsid w:val="000519E9"/>
    <w:rsid w:val="0005314C"/>
    <w:rsid w:val="00055C60"/>
    <w:rsid w:val="00055E6C"/>
    <w:rsid w:val="0005706D"/>
    <w:rsid w:val="00057652"/>
    <w:rsid w:val="00062A09"/>
    <w:rsid w:val="0006347C"/>
    <w:rsid w:val="000647F0"/>
    <w:rsid w:val="0006531D"/>
    <w:rsid w:val="000660FA"/>
    <w:rsid w:val="0006773E"/>
    <w:rsid w:val="00067BB0"/>
    <w:rsid w:val="0007024B"/>
    <w:rsid w:val="000712BF"/>
    <w:rsid w:val="00071FEE"/>
    <w:rsid w:val="00074437"/>
    <w:rsid w:val="00074820"/>
    <w:rsid w:val="000759AE"/>
    <w:rsid w:val="00076C47"/>
    <w:rsid w:val="00077AF8"/>
    <w:rsid w:val="00077D54"/>
    <w:rsid w:val="00080715"/>
    <w:rsid w:val="00080F98"/>
    <w:rsid w:val="0008109D"/>
    <w:rsid w:val="00084330"/>
    <w:rsid w:val="000845DE"/>
    <w:rsid w:val="0008479B"/>
    <w:rsid w:val="00085489"/>
    <w:rsid w:val="00085D20"/>
    <w:rsid w:val="00086CCF"/>
    <w:rsid w:val="0008743C"/>
    <w:rsid w:val="000906E8"/>
    <w:rsid w:val="0009295D"/>
    <w:rsid w:val="0009311A"/>
    <w:rsid w:val="000936E8"/>
    <w:rsid w:val="000936FF"/>
    <w:rsid w:val="000937BB"/>
    <w:rsid w:val="00094FE0"/>
    <w:rsid w:val="000967A5"/>
    <w:rsid w:val="000A0593"/>
    <w:rsid w:val="000A302E"/>
    <w:rsid w:val="000A31A3"/>
    <w:rsid w:val="000A5901"/>
    <w:rsid w:val="000A5F9C"/>
    <w:rsid w:val="000A79E7"/>
    <w:rsid w:val="000B23F5"/>
    <w:rsid w:val="000B2FDC"/>
    <w:rsid w:val="000B3885"/>
    <w:rsid w:val="000B4182"/>
    <w:rsid w:val="000B5180"/>
    <w:rsid w:val="000B5701"/>
    <w:rsid w:val="000B7074"/>
    <w:rsid w:val="000C006B"/>
    <w:rsid w:val="000C12ED"/>
    <w:rsid w:val="000C1529"/>
    <w:rsid w:val="000C43DE"/>
    <w:rsid w:val="000C47BC"/>
    <w:rsid w:val="000C5DA1"/>
    <w:rsid w:val="000C780A"/>
    <w:rsid w:val="000C7AEC"/>
    <w:rsid w:val="000D0542"/>
    <w:rsid w:val="000D1A81"/>
    <w:rsid w:val="000D32AB"/>
    <w:rsid w:val="000D43F0"/>
    <w:rsid w:val="000D6A4A"/>
    <w:rsid w:val="000E08B3"/>
    <w:rsid w:val="000E0E87"/>
    <w:rsid w:val="000E2E43"/>
    <w:rsid w:val="000E36E0"/>
    <w:rsid w:val="000E38FD"/>
    <w:rsid w:val="000E3B8F"/>
    <w:rsid w:val="000E4331"/>
    <w:rsid w:val="000E5B1F"/>
    <w:rsid w:val="000E7720"/>
    <w:rsid w:val="000F0287"/>
    <w:rsid w:val="000F218C"/>
    <w:rsid w:val="000F35B0"/>
    <w:rsid w:val="000F4203"/>
    <w:rsid w:val="000F5B97"/>
    <w:rsid w:val="000F5D9A"/>
    <w:rsid w:val="000F6860"/>
    <w:rsid w:val="000F720E"/>
    <w:rsid w:val="000F72A3"/>
    <w:rsid w:val="000F772E"/>
    <w:rsid w:val="0010021E"/>
    <w:rsid w:val="00100E90"/>
    <w:rsid w:val="00102FC2"/>
    <w:rsid w:val="00103CFA"/>
    <w:rsid w:val="00103FE5"/>
    <w:rsid w:val="00106323"/>
    <w:rsid w:val="00106364"/>
    <w:rsid w:val="00110ABA"/>
    <w:rsid w:val="001114CF"/>
    <w:rsid w:val="0011162E"/>
    <w:rsid w:val="00112F2F"/>
    <w:rsid w:val="00113F57"/>
    <w:rsid w:val="00114967"/>
    <w:rsid w:val="001158AD"/>
    <w:rsid w:val="00120C02"/>
    <w:rsid w:val="0012168B"/>
    <w:rsid w:val="00121780"/>
    <w:rsid w:val="0012263B"/>
    <w:rsid w:val="001228C8"/>
    <w:rsid w:val="00122F10"/>
    <w:rsid w:val="0012418B"/>
    <w:rsid w:val="00125F92"/>
    <w:rsid w:val="00126A74"/>
    <w:rsid w:val="0013095F"/>
    <w:rsid w:val="00131574"/>
    <w:rsid w:val="001352B7"/>
    <w:rsid w:val="00135633"/>
    <w:rsid w:val="00136452"/>
    <w:rsid w:val="00136B26"/>
    <w:rsid w:val="00137832"/>
    <w:rsid w:val="00137E6C"/>
    <w:rsid w:val="001405BC"/>
    <w:rsid w:val="00140A9A"/>
    <w:rsid w:val="00140EA2"/>
    <w:rsid w:val="00142BEA"/>
    <w:rsid w:val="001433CA"/>
    <w:rsid w:val="001442F8"/>
    <w:rsid w:val="00151205"/>
    <w:rsid w:val="001539F6"/>
    <w:rsid w:val="00154269"/>
    <w:rsid w:val="00154330"/>
    <w:rsid w:val="001555ED"/>
    <w:rsid w:val="00156A08"/>
    <w:rsid w:val="00157315"/>
    <w:rsid w:val="00162C50"/>
    <w:rsid w:val="00163C35"/>
    <w:rsid w:val="0016455F"/>
    <w:rsid w:val="00167E1A"/>
    <w:rsid w:val="0017046B"/>
    <w:rsid w:val="001715FF"/>
    <w:rsid w:val="0017184D"/>
    <w:rsid w:val="00172A15"/>
    <w:rsid w:val="00172B8D"/>
    <w:rsid w:val="00174BC1"/>
    <w:rsid w:val="00174C2C"/>
    <w:rsid w:val="00176143"/>
    <w:rsid w:val="00176B94"/>
    <w:rsid w:val="00176E20"/>
    <w:rsid w:val="00177F5A"/>
    <w:rsid w:val="00181DF8"/>
    <w:rsid w:val="00184020"/>
    <w:rsid w:val="00184697"/>
    <w:rsid w:val="0018651B"/>
    <w:rsid w:val="001873D4"/>
    <w:rsid w:val="001917DD"/>
    <w:rsid w:val="00194191"/>
    <w:rsid w:val="00194693"/>
    <w:rsid w:val="00196A66"/>
    <w:rsid w:val="001A044E"/>
    <w:rsid w:val="001A0860"/>
    <w:rsid w:val="001A08FA"/>
    <w:rsid w:val="001A1C58"/>
    <w:rsid w:val="001A1ED9"/>
    <w:rsid w:val="001A51FB"/>
    <w:rsid w:val="001A6D1C"/>
    <w:rsid w:val="001A76DD"/>
    <w:rsid w:val="001B010A"/>
    <w:rsid w:val="001B0EDB"/>
    <w:rsid w:val="001B1D4A"/>
    <w:rsid w:val="001B210F"/>
    <w:rsid w:val="001B27E7"/>
    <w:rsid w:val="001B50EE"/>
    <w:rsid w:val="001B6127"/>
    <w:rsid w:val="001C0537"/>
    <w:rsid w:val="001C1CA9"/>
    <w:rsid w:val="001C377F"/>
    <w:rsid w:val="001C450B"/>
    <w:rsid w:val="001C50F8"/>
    <w:rsid w:val="001C54C3"/>
    <w:rsid w:val="001C7D5B"/>
    <w:rsid w:val="001D2D58"/>
    <w:rsid w:val="001D2F9D"/>
    <w:rsid w:val="001D43C3"/>
    <w:rsid w:val="001D5A0D"/>
    <w:rsid w:val="001D7BFA"/>
    <w:rsid w:val="001E15AC"/>
    <w:rsid w:val="001E191E"/>
    <w:rsid w:val="001E49D9"/>
    <w:rsid w:val="001E72BC"/>
    <w:rsid w:val="001E7A47"/>
    <w:rsid w:val="001F08B3"/>
    <w:rsid w:val="001F1F85"/>
    <w:rsid w:val="001F22AC"/>
    <w:rsid w:val="001F3264"/>
    <w:rsid w:val="001F32CB"/>
    <w:rsid w:val="001F4731"/>
    <w:rsid w:val="001F7F26"/>
    <w:rsid w:val="002001C9"/>
    <w:rsid w:val="00200634"/>
    <w:rsid w:val="00202764"/>
    <w:rsid w:val="00204020"/>
    <w:rsid w:val="002041BE"/>
    <w:rsid w:val="00205D8B"/>
    <w:rsid w:val="00206D6F"/>
    <w:rsid w:val="00207DB1"/>
    <w:rsid w:val="00210285"/>
    <w:rsid w:val="00210CBB"/>
    <w:rsid w:val="0021202D"/>
    <w:rsid w:val="0021277A"/>
    <w:rsid w:val="00213C92"/>
    <w:rsid w:val="00216D7C"/>
    <w:rsid w:val="00220D28"/>
    <w:rsid w:val="00220F9F"/>
    <w:rsid w:val="00221951"/>
    <w:rsid w:val="00221C90"/>
    <w:rsid w:val="00222656"/>
    <w:rsid w:val="00222BF1"/>
    <w:rsid w:val="002232B6"/>
    <w:rsid w:val="002234E2"/>
    <w:rsid w:val="00223FFF"/>
    <w:rsid w:val="002248AA"/>
    <w:rsid w:val="00226E48"/>
    <w:rsid w:val="00227BB3"/>
    <w:rsid w:val="0023196F"/>
    <w:rsid w:val="002326F9"/>
    <w:rsid w:val="0023363C"/>
    <w:rsid w:val="00233CA9"/>
    <w:rsid w:val="0023402D"/>
    <w:rsid w:val="00234354"/>
    <w:rsid w:val="00236673"/>
    <w:rsid w:val="002419C8"/>
    <w:rsid w:val="0024436D"/>
    <w:rsid w:val="002464B3"/>
    <w:rsid w:val="00246890"/>
    <w:rsid w:val="00247FD3"/>
    <w:rsid w:val="002506AE"/>
    <w:rsid w:val="00250F5C"/>
    <w:rsid w:val="002532C8"/>
    <w:rsid w:val="00254C6B"/>
    <w:rsid w:val="00261B70"/>
    <w:rsid w:val="0026686E"/>
    <w:rsid w:val="0027115E"/>
    <w:rsid w:val="00271218"/>
    <w:rsid w:val="002718D3"/>
    <w:rsid w:val="00272353"/>
    <w:rsid w:val="002729F2"/>
    <w:rsid w:val="00272A6B"/>
    <w:rsid w:val="00275499"/>
    <w:rsid w:val="002763DF"/>
    <w:rsid w:val="002778F0"/>
    <w:rsid w:val="00277C90"/>
    <w:rsid w:val="00281AD6"/>
    <w:rsid w:val="00282D58"/>
    <w:rsid w:val="0028317E"/>
    <w:rsid w:val="00283656"/>
    <w:rsid w:val="0029041A"/>
    <w:rsid w:val="00291D34"/>
    <w:rsid w:val="00293D75"/>
    <w:rsid w:val="0029533E"/>
    <w:rsid w:val="00295A46"/>
    <w:rsid w:val="00296959"/>
    <w:rsid w:val="002A0824"/>
    <w:rsid w:val="002A0CD9"/>
    <w:rsid w:val="002A1DC8"/>
    <w:rsid w:val="002A493E"/>
    <w:rsid w:val="002A6645"/>
    <w:rsid w:val="002B0240"/>
    <w:rsid w:val="002B06C0"/>
    <w:rsid w:val="002B20AA"/>
    <w:rsid w:val="002B2C04"/>
    <w:rsid w:val="002B5AB4"/>
    <w:rsid w:val="002B67B7"/>
    <w:rsid w:val="002B6838"/>
    <w:rsid w:val="002C00AB"/>
    <w:rsid w:val="002C15B4"/>
    <w:rsid w:val="002C1652"/>
    <w:rsid w:val="002C2AAF"/>
    <w:rsid w:val="002C3085"/>
    <w:rsid w:val="002C34F1"/>
    <w:rsid w:val="002C35BB"/>
    <w:rsid w:val="002D2ED6"/>
    <w:rsid w:val="002D33FD"/>
    <w:rsid w:val="002D5B7F"/>
    <w:rsid w:val="002D6E67"/>
    <w:rsid w:val="002E4136"/>
    <w:rsid w:val="002E5622"/>
    <w:rsid w:val="002E5B28"/>
    <w:rsid w:val="002E6209"/>
    <w:rsid w:val="002F00A2"/>
    <w:rsid w:val="002F1802"/>
    <w:rsid w:val="002F45A0"/>
    <w:rsid w:val="002F61D5"/>
    <w:rsid w:val="003011D6"/>
    <w:rsid w:val="00301805"/>
    <w:rsid w:val="003026B9"/>
    <w:rsid w:val="0030285C"/>
    <w:rsid w:val="00304DF6"/>
    <w:rsid w:val="00306E5A"/>
    <w:rsid w:val="00307495"/>
    <w:rsid w:val="00310705"/>
    <w:rsid w:val="00311051"/>
    <w:rsid w:val="003114D2"/>
    <w:rsid w:val="003142F9"/>
    <w:rsid w:val="00315CB6"/>
    <w:rsid w:val="0031633B"/>
    <w:rsid w:val="00316379"/>
    <w:rsid w:val="0031648B"/>
    <w:rsid w:val="003202E1"/>
    <w:rsid w:val="0032139C"/>
    <w:rsid w:val="00321B2A"/>
    <w:rsid w:val="003225C5"/>
    <w:rsid w:val="00324EB8"/>
    <w:rsid w:val="003268A5"/>
    <w:rsid w:val="00326E18"/>
    <w:rsid w:val="003302F4"/>
    <w:rsid w:val="00331234"/>
    <w:rsid w:val="00332362"/>
    <w:rsid w:val="00333698"/>
    <w:rsid w:val="00334ACF"/>
    <w:rsid w:val="00335B7D"/>
    <w:rsid w:val="00336350"/>
    <w:rsid w:val="00336683"/>
    <w:rsid w:val="00337C10"/>
    <w:rsid w:val="00340CA3"/>
    <w:rsid w:val="00342933"/>
    <w:rsid w:val="00342BA5"/>
    <w:rsid w:val="0034477C"/>
    <w:rsid w:val="00344DDC"/>
    <w:rsid w:val="0034599C"/>
    <w:rsid w:val="00345A6D"/>
    <w:rsid w:val="0034603A"/>
    <w:rsid w:val="00351233"/>
    <w:rsid w:val="00353E69"/>
    <w:rsid w:val="00355DB7"/>
    <w:rsid w:val="003567B2"/>
    <w:rsid w:val="00357999"/>
    <w:rsid w:val="00360A08"/>
    <w:rsid w:val="003643DE"/>
    <w:rsid w:val="003663C2"/>
    <w:rsid w:val="0036650E"/>
    <w:rsid w:val="00366814"/>
    <w:rsid w:val="00367513"/>
    <w:rsid w:val="00373FAE"/>
    <w:rsid w:val="0037472D"/>
    <w:rsid w:val="0037481C"/>
    <w:rsid w:val="00377543"/>
    <w:rsid w:val="00380FD5"/>
    <w:rsid w:val="0038152C"/>
    <w:rsid w:val="00381EA6"/>
    <w:rsid w:val="00381F9D"/>
    <w:rsid w:val="00383763"/>
    <w:rsid w:val="003838BC"/>
    <w:rsid w:val="003849CE"/>
    <w:rsid w:val="00385AB1"/>
    <w:rsid w:val="00386400"/>
    <w:rsid w:val="0039170B"/>
    <w:rsid w:val="00395473"/>
    <w:rsid w:val="003A0155"/>
    <w:rsid w:val="003A08C6"/>
    <w:rsid w:val="003A27F7"/>
    <w:rsid w:val="003A303E"/>
    <w:rsid w:val="003A398E"/>
    <w:rsid w:val="003A4088"/>
    <w:rsid w:val="003A45E2"/>
    <w:rsid w:val="003A552C"/>
    <w:rsid w:val="003A7A9C"/>
    <w:rsid w:val="003A7C66"/>
    <w:rsid w:val="003B0F6B"/>
    <w:rsid w:val="003B329D"/>
    <w:rsid w:val="003B4ECA"/>
    <w:rsid w:val="003B6E20"/>
    <w:rsid w:val="003C07F3"/>
    <w:rsid w:val="003C1172"/>
    <w:rsid w:val="003C2554"/>
    <w:rsid w:val="003C3D3C"/>
    <w:rsid w:val="003C5A2E"/>
    <w:rsid w:val="003C6019"/>
    <w:rsid w:val="003C61D5"/>
    <w:rsid w:val="003D01D8"/>
    <w:rsid w:val="003D0C73"/>
    <w:rsid w:val="003D1D06"/>
    <w:rsid w:val="003D2CE9"/>
    <w:rsid w:val="003D3E25"/>
    <w:rsid w:val="003D3ED3"/>
    <w:rsid w:val="003D506A"/>
    <w:rsid w:val="003D63AD"/>
    <w:rsid w:val="003D6965"/>
    <w:rsid w:val="003E1CFC"/>
    <w:rsid w:val="003E2854"/>
    <w:rsid w:val="003E5C87"/>
    <w:rsid w:val="003E74B6"/>
    <w:rsid w:val="003F140F"/>
    <w:rsid w:val="003F2425"/>
    <w:rsid w:val="003F3E22"/>
    <w:rsid w:val="003F680A"/>
    <w:rsid w:val="003F7D46"/>
    <w:rsid w:val="00400F56"/>
    <w:rsid w:val="0040122F"/>
    <w:rsid w:val="00402425"/>
    <w:rsid w:val="00403CD9"/>
    <w:rsid w:val="00414761"/>
    <w:rsid w:val="004148A6"/>
    <w:rsid w:val="0041612C"/>
    <w:rsid w:val="00416271"/>
    <w:rsid w:val="0041751C"/>
    <w:rsid w:val="00417E60"/>
    <w:rsid w:val="00420318"/>
    <w:rsid w:val="0042102C"/>
    <w:rsid w:val="004228B1"/>
    <w:rsid w:val="00422D39"/>
    <w:rsid w:val="004241CB"/>
    <w:rsid w:val="00424F2C"/>
    <w:rsid w:val="00425D14"/>
    <w:rsid w:val="0042644B"/>
    <w:rsid w:val="00426BD7"/>
    <w:rsid w:val="00430362"/>
    <w:rsid w:val="00430677"/>
    <w:rsid w:val="00433F4E"/>
    <w:rsid w:val="00435129"/>
    <w:rsid w:val="00435C1C"/>
    <w:rsid w:val="004379CC"/>
    <w:rsid w:val="00437ABC"/>
    <w:rsid w:val="004404F6"/>
    <w:rsid w:val="00440AFC"/>
    <w:rsid w:val="004421E1"/>
    <w:rsid w:val="0044249D"/>
    <w:rsid w:val="00444977"/>
    <w:rsid w:val="00444ADE"/>
    <w:rsid w:val="00444CBA"/>
    <w:rsid w:val="00446B6C"/>
    <w:rsid w:val="004523AA"/>
    <w:rsid w:val="00454D4D"/>
    <w:rsid w:val="00455803"/>
    <w:rsid w:val="00456097"/>
    <w:rsid w:val="004568FC"/>
    <w:rsid w:val="00464129"/>
    <w:rsid w:val="004660A2"/>
    <w:rsid w:val="00466277"/>
    <w:rsid w:val="004668DF"/>
    <w:rsid w:val="00470323"/>
    <w:rsid w:val="00473082"/>
    <w:rsid w:val="00473224"/>
    <w:rsid w:val="00475B43"/>
    <w:rsid w:val="00475E1C"/>
    <w:rsid w:val="00475F99"/>
    <w:rsid w:val="00481EF3"/>
    <w:rsid w:val="00483276"/>
    <w:rsid w:val="00484E09"/>
    <w:rsid w:val="00487390"/>
    <w:rsid w:val="0048770E"/>
    <w:rsid w:val="0049004C"/>
    <w:rsid w:val="0049172A"/>
    <w:rsid w:val="00492F21"/>
    <w:rsid w:val="00494730"/>
    <w:rsid w:val="00495D83"/>
    <w:rsid w:val="00497C91"/>
    <w:rsid w:val="004A31CE"/>
    <w:rsid w:val="004A6641"/>
    <w:rsid w:val="004A66EF"/>
    <w:rsid w:val="004A77D0"/>
    <w:rsid w:val="004B1DE7"/>
    <w:rsid w:val="004B3A44"/>
    <w:rsid w:val="004B4210"/>
    <w:rsid w:val="004B51CC"/>
    <w:rsid w:val="004B78D3"/>
    <w:rsid w:val="004C1635"/>
    <w:rsid w:val="004C1703"/>
    <w:rsid w:val="004C3732"/>
    <w:rsid w:val="004C7305"/>
    <w:rsid w:val="004D093C"/>
    <w:rsid w:val="004D0A64"/>
    <w:rsid w:val="004D2592"/>
    <w:rsid w:val="004D2868"/>
    <w:rsid w:val="004D2CC5"/>
    <w:rsid w:val="004D57BD"/>
    <w:rsid w:val="004D5B8A"/>
    <w:rsid w:val="004D5F26"/>
    <w:rsid w:val="004D71BC"/>
    <w:rsid w:val="004D795D"/>
    <w:rsid w:val="004E0705"/>
    <w:rsid w:val="004E0A4D"/>
    <w:rsid w:val="004E1917"/>
    <w:rsid w:val="004E1E5E"/>
    <w:rsid w:val="004E5A64"/>
    <w:rsid w:val="004E6706"/>
    <w:rsid w:val="00501221"/>
    <w:rsid w:val="00502D17"/>
    <w:rsid w:val="00504BAF"/>
    <w:rsid w:val="00505CE7"/>
    <w:rsid w:val="00507CAD"/>
    <w:rsid w:val="00507F95"/>
    <w:rsid w:val="005100D0"/>
    <w:rsid w:val="00511271"/>
    <w:rsid w:val="00515608"/>
    <w:rsid w:val="00515909"/>
    <w:rsid w:val="0051744B"/>
    <w:rsid w:val="00517D02"/>
    <w:rsid w:val="00522731"/>
    <w:rsid w:val="005237FD"/>
    <w:rsid w:val="00524953"/>
    <w:rsid w:val="00524BB3"/>
    <w:rsid w:val="00526391"/>
    <w:rsid w:val="005275AC"/>
    <w:rsid w:val="00530B03"/>
    <w:rsid w:val="00532829"/>
    <w:rsid w:val="0053287E"/>
    <w:rsid w:val="00534FA6"/>
    <w:rsid w:val="00536BBC"/>
    <w:rsid w:val="00537A45"/>
    <w:rsid w:val="005416F4"/>
    <w:rsid w:val="00541A75"/>
    <w:rsid w:val="005425E1"/>
    <w:rsid w:val="00543005"/>
    <w:rsid w:val="005438EE"/>
    <w:rsid w:val="0054627E"/>
    <w:rsid w:val="00547472"/>
    <w:rsid w:val="00547CA8"/>
    <w:rsid w:val="0055156C"/>
    <w:rsid w:val="00551DCA"/>
    <w:rsid w:val="00554010"/>
    <w:rsid w:val="005559BA"/>
    <w:rsid w:val="00555B15"/>
    <w:rsid w:val="005617A0"/>
    <w:rsid w:val="005617FF"/>
    <w:rsid w:val="00563752"/>
    <w:rsid w:val="00565985"/>
    <w:rsid w:val="00566158"/>
    <w:rsid w:val="00570A1F"/>
    <w:rsid w:val="00571BFB"/>
    <w:rsid w:val="0057208F"/>
    <w:rsid w:val="0057488F"/>
    <w:rsid w:val="00576CCE"/>
    <w:rsid w:val="00577AE9"/>
    <w:rsid w:val="00577BFE"/>
    <w:rsid w:val="005802C4"/>
    <w:rsid w:val="0058161B"/>
    <w:rsid w:val="00582254"/>
    <w:rsid w:val="0058304E"/>
    <w:rsid w:val="005849DB"/>
    <w:rsid w:val="0058564D"/>
    <w:rsid w:val="0058591E"/>
    <w:rsid w:val="00586163"/>
    <w:rsid w:val="00587298"/>
    <w:rsid w:val="00590188"/>
    <w:rsid w:val="005946CC"/>
    <w:rsid w:val="00595462"/>
    <w:rsid w:val="00595E1C"/>
    <w:rsid w:val="0059682C"/>
    <w:rsid w:val="005973BE"/>
    <w:rsid w:val="00597788"/>
    <w:rsid w:val="005A0B58"/>
    <w:rsid w:val="005A21E3"/>
    <w:rsid w:val="005A4D89"/>
    <w:rsid w:val="005A558C"/>
    <w:rsid w:val="005A79BF"/>
    <w:rsid w:val="005B0930"/>
    <w:rsid w:val="005B20E2"/>
    <w:rsid w:val="005B3058"/>
    <w:rsid w:val="005B5E49"/>
    <w:rsid w:val="005B6E34"/>
    <w:rsid w:val="005B7248"/>
    <w:rsid w:val="005C0077"/>
    <w:rsid w:val="005C185C"/>
    <w:rsid w:val="005C4B46"/>
    <w:rsid w:val="005C65EF"/>
    <w:rsid w:val="005D0E91"/>
    <w:rsid w:val="005D1312"/>
    <w:rsid w:val="005D190D"/>
    <w:rsid w:val="005D1AED"/>
    <w:rsid w:val="005D20BC"/>
    <w:rsid w:val="005D2375"/>
    <w:rsid w:val="005D2BE1"/>
    <w:rsid w:val="005D60CE"/>
    <w:rsid w:val="005D6FB3"/>
    <w:rsid w:val="005E1756"/>
    <w:rsid w:val="005E2316"/>
    <w:rsid w:val="005E33C9"/>
    <w:rsid w:val="005E3B8B"/>
    <w:rsid w:val="005E4264"/>
    <w:rsid w:val="005E4ABA"/>
    <w:rsid w:val="005E5388"/>
    <w:rsid w:val="005E75CF"/>
    <w:rsid w:val="005F011D"/>
    <w:rsid w:val="005F35E2"/>
    <w:rsid w:val="00604D0D"/>
    <w:rsid w:val="0060561C"/>
    <w:rsid w:val="0060734D"/>
    <w:rsid w:val="00607C87"/>
    <w:rsid w:val="006108EC"/>
    <w:rsid w:val="0061146B"/>
    <w:rsid w:val="00611A23"/>
    <w:rsid w:val="006121F5"/>
    <w:rsid w:val="00612493"/>
    <w:rsid w:val="00613466"/>
    <w:rsid w:val="00616375"/>
    <w:rsid w:val="0061653D"/>
    <w:rsid w:val="0062033F"/>
    <w:rsid w:val="00620943"/>
    <w:rsid w:val="00620E11"/>
    <w:rsid w:val="00621731"/>
    <w:rsid w:val="006218B8"/>
    <w:rsid w:val="00622590"/>
    <w:rsid w:val="006231A5"/>
    <w:rsid w:val="006255C1"/>
    <w:rsid w:val="00625E55"/>
    <w:rsid w:val="00627F23"/>
    <w:rsid w:val="00630084"/>
    <w:rsid w:val="006305AD"/>
    <w:rsid w:val="0063084A"/>
    <w:rsid w:val="00631E57"/>
    <w:rsid w:val="00632BBC"/>
    <w:rsid w:val="0063416B"/>
    <w:rsid w:val="0063475C"/>
    <w:rsid w:val="00634965"/>
    <w:rsid w:val="00636FB3"/>
    <w:rsid w:val="00641596"/>
    <w:rsid w:val="0064280A"/>
    <w:rsid w:val="006430C5"/>
    <w:rsid w:val="006442B5"/>
    <w:rsid w:val="0064538E"/>
    <w:rsid w:val="00646DCD"/>
    <w:rsid w:val="00646E9F"/>
    <w:rsid w:val="00647864"/>
    <w:rsid w:val="00650575"/>
    <w:rsid w:val="00652D77"/>
    <w:rsid w:val="006531F7"/>
    <w:rsid w:val="00653BFF"/>
    <w:rsid w:val="00654420"/>
    <w:rsid w:val="00655897"/>
    <w:rsid w:val="006565E2"/>
    <w:rsid w:val="00656600"/>
    <w:rsid w:val="006573B6"/>
    <w:rsid w:val="0066111D"/>
    <w:rsid w:val="00661793"/>
    <w:rsid w:val="00663381"/>
    <w:rsid w:val="0066338D"/>
    <w:rsid w:val="006644CB"/>
    <w:rsid w:val="00665F1A"/>
    <w:rsid w:val="00667B83"/>
    <w:rsid w:val="00670256"/>
    <w:rsid w:val="00670600"/>
    <w:rsid w:val="00671869"/>
    <w:rsid w:val="0067772D"/>
    <w:rsid w:val="00677995"/>
    <w:rsid w:val="006817A6"/>
    <w:rsid w:val="00681B26"/>
    <w:rsid w:val="00682C97"/>
    <w:rsid w:val="00683966"/>
    <w:rsid w:val="00683AF3"/>
    <w:rsid w:val="0068580B"/>
    <w:rsid w:val="00685D1A"/>
    <w:rsid w:val="006865DC"/>
    <w:rsid w:val="0069060D"/>
    <w:rsid w:val="00690C12"/>
    <w:rsid w:val="00694380"/>
    <w:rsid w:val="00694AD6"/>
    <w:rsid w:val="006967AF"/>
    <w:rsid w:val="0069737E"/>
    <w:rsid w:val="00697A8E"/>
    <w:rsid w:val="006A2D7F"/>
    <w:rsid w:val="006A459F"/>
    <w:rsid w:val="006A4915"/>
    <w:rsid w:val="006B1225"/>
    <w:rsid w:val="006B1EE7"/>
    <w:rsid w:val="006B216F"/>
    <w:rsid w:val="006B24AA"/>
    <w:rsid w:val="006B2660"/>
    <w:rsid w:val="006B2C9E"/>
    <w:rsid w:val="006B2D92"/>
    <w:rsid w:val="006B36B2"/>
    <w:rsid w:val="006B7152"/>
    <w:rsid w:val="006C05DA"/>
    <w:rsid w:val="006C0CFA"/>
    <w:rsid w:val="006C1277"/>
    <w:rsid w:val="006C2446"/>
    <w:rsid w:val="006C2DA1"/>
    <w:rsid w:val="006C31B7"/>
    <w:rsid w:val="006C34C4"/>
    <w:rsid w:val="006C6784"/>
    <w:rsid w:val="006C6839"/>
    <w:rsid w:val="006C7C2E"/>
    <w:rsid w:val="006D0168"/>
    <w:rsid w:val="006D127A"/>
    <w:rsid w:val="006D3AC1"/>
    <w:rsid w:val="006D66E6"/>
    <w:rsid w:val="006E0420"/>
    <w:rsid w:val="006E12F7"/>
    <w:rsid w:val="006E4921"/>
    <w:rsid w:val="006E49CB"/>
    <w:rsid w:val="006E4A73"/>
    <w:rsid w:val="006E4DEE"/>
    <w:rsid w:val="006E59CE"/>
    <w:rsid w:val="006E769C"/>
    <w:rsid w:val="006F1061"/>
    <w:rsid w:val="006F1444"/>
    <w:rsid w:val="006F1A1D"/>
    <w:rsid w:val="006F3047"/>
    <w:rsid w:val="006F3B00"/>
    <w:rsid w:val="006F3CFD"/>
    <w:rsid w:val="006F6064"/>
    <w:rsid w:val="007000F3"/>
    <w:rsid w:val="00700A15"/>
    <w:rsid w:val="007017AE"/>
    <w:rsid w:val="00701C09"/>
    <w:rsid w:val="007038DF"/>
    <w:rsid w:val="00704C69"/>
    <w:rsid w:val="00704EFD"/>
    <w:rsid w:val="0070674C"/>
    <w:rsid w:val="007068FD"/>
    <w:rsid w:val="007113BC"/>
    <w:rsid w:val="007119EA"/>
    <w:rsid w:val="00712AB0"/>
    <w:rsid w:val="0071475B"/>
    <w:rsid w:val="00715539"/>
    <w:rsid w:val="00715C16"/>
    <w:rsid w:val="007236CE"/>
    <w:rsid w:val="007239C7"/>
    <w:rsid w:val="007252F3"/>
    <w:rsid w:val="00725451"/>
    <w:rsid w:val="0072592E"/>
    <w:rsid w:val="007268A8"/>
    <w:rsid w:val="00730157"/>
    <w:rsid w:val="00730192"/>
    <w:rsid w:val="007302EC"/>
    <w:rsid w:val="00730DCF"/>
    <w:rsid w:val="007318C5"/>
    <w:rsid w:val="00733C51"/>
    <w:rsid w:val="0073590C"/>
    <w:rsid w:val="007374DF"/>
    <w:rsid w:val="007422FE"/>
    <w:rsid w:val="00744048"/>
    <w:rsid w:val="007448C8"/>
    <w:rsid w:val="00744C47"/>
    <w:rsid w:val="0074672A"/>
    <w:rsid w:val="00746CDD"/>
    <w:rsid w:val="00746F0F"/>
    <w:rsid w:val="00747B69"/>
    <w:rsid w:val="00752A33"/>
    <w:rsid w:val="00752C8D"/>
    <w:rsid w:val="00754937"/>
    <w:rsid w:val="0075535D"/>
    <w:rsid w:val="007574D8"/>
    <w:rsid w:val="00762DEC"/>
    <w:rsid w:val="00764DAD"/>
    <w:rsid w:val="00765815"/>
    <w:rsid w:val="00770310"/>
    <w:rsid w:val="0077083C"/>
    <w:rsid w:val="0077150E"/>
    <w:rsid w:val="0077178C"/>
    <w:rsid w:val="00773F88"/>
    <w:rsid w:val="00774588"/>
    <w:rsid w:val="00775EF2"/>
    <w:rsid w:val="00776135"/>
    <w:rsid w:val="007811BD"/>
    <w:rsid w:val="00781764"/>
    <w:rsid w:val="007817A2"/>
    <w:rsid w:val="00784043"/>
    <w:rsid w:val="00787177"/>
    <w:rsid w:val="007926C5"/>
    <w:rsid w:val="00792E6C"/>
    <w:rsid w:val="00797808"/>
    <w:rsid w:val="007A05E6"/>
    <w:rsid w:val="007A135D"/>
    <w:rsid w:val="007A2A95"/>
    <w:rsid w:val="007A41D0"/>
    <w:rsid w:val="007A5EDA"/>
    <w:rsid w:val="007A6B15"/>
    <w:rsid w:val="007B0736"/>
    <w:rsid w:val="007B3B86"/>
    <w:rsid w:val="007B4761"/>
    <w:rsid w:val="007C20F5"/>
    <w:rsid w:val="007C3941"/>
    <w:rsid w:val="007C4675"/>
    <w:rsid w:val="007C4EFB"/>
    <w:rsid w:val="007C5F21"/>
    <w:rsid w:val="007C623B"/>
    <w:rsid w:val="007D04FF"/>
    <w:rsid w:val="007D08C1"/>
    <w:rsid w:val="007D0903"/>
    <w:rsid w:val="007D0C59"/>
    <w:rsid w:val="007D15DC"/>
    <w:rsid w:val="007D69F0"/>
    <w:rsid w:val="007E1345"/>
    <w:rsid w:val="007E1B82"/>
    <w:rsid w:val="007E22FA"/>
    <w:rsid w:val="007E6471"/>
    <w:rsid w:val="007E6FE5"/>
    <w:rsid w:val="007F175B"/>
    <w:rsid w:val="007F1B63"/>
    <w:rsid w:val="007F35B5"/>
    <w:rsid w:val="007F3CEA"/>
    <w:rsid w:val="007F40C7"/>
    <w:rsid w:val="007F5736"/>
    <w:rsid w:val="00800FFF"/>
    <w:rsid w:val="00804474"/>
    <w:rsid w:val="00805CA1"/>
    <w:rsid w:val="00805CA6"/>
    <w:rsid w:val="00807DF8"/>
    <w:rsid w:val="00813CC0"/>
    <w:rsid w:val="00814479"/>
    <w:rsid w:val="0081584A"/>
    <w:rsid w:val="00817CAF"/>
    <w:rsid w:val="008202D8"/>
    <w:rsid w:val="00821476"/>
    <w:rsid w:val="008238F9"/>
    <w:rsid w:val="0082430E"/>
    <w:rsid w:val="00825A80"/>
    <w:rsid w:val="008348B7"/>
    <w:rsid w:val="00840375"/>
    <w:rsid w:val="00841F30"/>
    <w:rsid w:val="0084239A"/>
    <w:rsid w:val="00842A64"/>
    <w:rsid w:val="0084718C"/>
    <w:rsid w:val="00851C54"/>
    <w:rsid w:val="00852E86"/>
    <w:rsid w:val="00853AA9"/>
    <w:rsid w:val="0085445B"/>
    <w:rsid w:val="00854B34"/>
    <w:rsid w:val="00854E8B"/>
    <w:rsid w:val="008578CC"/>
    <w:rsid w:val="00864DC0"/>
    <w:rsid w:val="00864E7A"/>
    <w:rsid w:val="008654E8"/>
    <w:rsid w:val="00865BCD"/>
    <w:rsid w:val="008671E6"/>
    <w:rsid w:val="0087106E"/>
    <w:rsid w:val="00872AE8"/>
    <w:rsid w:val="00873679"/>
    <w:rsid w:val="00875F55"/>
    <w:rsid w:val="008800A2"/>
    <w:rsid w:val="0088059E"/>
    <w:rsid w:val="00880AAB"/>
    <w:rsid w:val="0088145E"/>
    <w:rsid w:val="00881A11"/>
    <w:rsid w:val="00881CB2"/>
    <w:rsid w:val="00885565"/>
    <w:rsid w:val="00885922"/>
    <w:rsid w:val="00892334"/>
    <w:rsid w:val="00895B3E"/>
    <w:rsid w:val="00896A75"/>
    <w:rsid w:val="008975BD"/>
    <w:rsid w:val="008976D2"/>
    <w:rsid w:val="00897B7D"/>
    <w:rsid w:val="008A1A8A"/>
    <w:rsid w:val="008A2295"/>
    <w:rsid w:val="008A3401"/>
    <w:rsid w:val="008A4198"/>
    <w:rsid w:val="008A455C"/>
    <w:rsid w:val="008A5D6C"/>
    <w:rsid w:val="008B22E6"/>
    <w:rsid w:val="008B2D3A"/>
    <w:rsid w:val="008B44C8"/>
    <w:rsid w:val="008B5F9F"/>
    <w:rsid w:val="008B68E7"/>
    <w:rsid w:val="008B6ADB"/>
    <w:rsid w:val="008C0740"/>
    <w:rsid w:val="008C07F1"/>
    <w:rsid w:val="008C0DF9"/>
    <w:rsid w:val="008C1B2D"/>
    <w:rsid w:val="008C1FE7"/>
    <w:rsid w:val="008C24DE"/>
    <w:rsid w:val="008C2D18"/>
    <w:rsid w:val="008C4335"/>
    <w:rsid w:val="008C5353"/>
    <w:rsid w:val="008C5488"/>
    <w:rsid w:val="008C6689"/>
    <w:rsid w:val="008D2AF5"/>
    <w:rsid w:val="008D3433"/>
    <w:rsid w:val="008D34D7"/>
    <w:rsid w:val="008D4263"/>
    <w:rsid w:val="008D55A7"/>
    <w:rsid w:val="008D6806"/>
    <w:rsid w:val="008D7923"/>
    <w:rsid w:val="008E02A8"/>
    <w:rsid w:val="008E08EE"/>
    <w:rsid w:val="008E12AF"/>
    <w:rsid w:val="008E1433"/>
    <w:rsid w:val="008E31F2"/>
    <w:rsid w:val="008E35EC"/>
    <w:rsid w:val="008E4A46"/>
    <w:rsid w:val="008E6FB3"/>
    <w:rsid w:val="008F139D"/>
    <w:rsid w:val="008F1E11"/>
    <w:rsid w:val="008F2036"/>
    <w:rsid w:val="008F2807"/>
    <w:rsid w:val="008F3FB2"/>
    <w:rsid w:val="008F58D0"/>
    <w:rsid w:val="008F5F12"/>
    <w:rsid w:val="008F6E35"/>
    <w:rsid w:val="008F7CA8"/>
    <w:rsid w:val="009024FB"/>
    <w:rsid w:val="00905C88"/>
    <w:rsid w:val="00906A55"/>
    <w:rsid w:val="00906F93"/>
    <w:rsid w:val="00913FAF"/>
    <w:rsid w:val="00914261"/>
    <w:rsid w:val="00915079"/>
    <w:rsid w:val="00915795"/>
    <w:rsid w:val="00915AAD"/>
    <w:rsid w:val="009166EB"/>
    <w:rsid w:val="00921A61"/>
    <w:rsid w:val="009233A3"/>
    <w:rsid w:val="00926420"/>
    <w:rsid w:val="009267B2"/>
    <w:rsid w:val="009269C4"/>
    <w:rsid w:val="00926D3D"/>
    <w:rsid w:val="00931BAB"/>
    <w:rsid w:val="00931C49"/>
    <w:rsid w:val="00933942"/>
    <w:rsid w:val="009347FA"/>
    <w:rsid w:val="00936AAC"/>
    <w:rsid w:val="00940377"/>
    <w:rsid w:val="0094165D"/>
    <w:rsid w:val="00942550"/>
    <w:rsid w:val="009427E3"/>
    <w:rsid w:val="00943233"/>
    <w:rsid w:val="009432FE"/>
    <w:rsid w:val="009435DE"/>
    <w:rsid w:val="0094391D"/>
    <w:rsid w:val="009446E5"/>
    <w:rsid w:val="00944E83"/>
    <w:rsid w:val="00944EAA"/>
    <w:rsid w:val="0094541E"/>
    <w:rsid w:val="00951045"/>
    <w:rsid w:val="00951EEF"/>
    <w:rsid w:val="00952C8A"/>
    <w:rsid w:val="009535A8"/>
    <w:rsid w:val="00956A58"/>
    <w:rsid w:val="00956F46"/>
    <w:rsid w:val="00957B78"/>
    <w:rsid w:val="00960E1A"/>
    <w:rsid w:val="00961084"/>
    <w:rsid w:val="0096155F"/>
    <w:rsid w:val="00962278"/>
    <w:rsid w:val="00965684"/>
    <w:rsid w:val="009659CE"/>
    <w:rsid w:val="0096708E"/>
    <w:rsid w:val="00967128"/>
    <w:rsid w:val="009704C8"/>
    <w:rsid w:val="00970C4B"/>
    <w:rsid w:val="00974554"/>
    <w:rsid w:val="00974733"/>
    <w:rsid w:val="009747DE"/>
    <w:rsid w:val="0097628C"/>
    <w:rsid w:val="00976E24"/>
    <w:rsid w:val="00976EBB"/>
    <w:rsid w:val="0097740F"/>
    <w:rsid w:val="00977836"/>
    <w:rsid w:val="00977DBE"/>
    <w:rsid w:val="00977F94"/>
    <w:rsid w:val="00982287"/>
    <w:rsid w:val="009833EB"/>
    <w:rsid w:val="0098432C"/>
    <w:rsid w:val="009846AF"/>
    <w:rsid w:val="009846B7"/>
    <w:rsid w:val="00985F33"/>
    <w:rsid w:val="00987FBB"/>
    <w:rsid w:val="0099223E"/>
    <w:rsid w:val="00993634"/>
    <w:rsid w:val="00993890"/>
    <w:rsid w:val="0099484F"/>
    <w:rsid w:val="0099587D"/>
    <w:rsid w:val="00995F3E"/>
    <w:rsid w:val="0099787B"/>
    <w:rsid w:val="00997C67"/>
    <w:rsid w:val="009A174A"/>
    <w:rsid w:val="009A3FD5"/>
    <w:rsid w:val="009A5C64"/>
    <w:rsid w:val="009B1B7F"/>
    <w:rsid w:val="009B38D0"/>
    <w:rsid w:val="009B4EA2"/>
    <w:rsid w:val="009B7762"/>
    <w:rsid w:val="009B7E5A"/>
    <w:rsid w:val="009C059E"/>
    <w:rsid w:val="009C0681"/>
    <w:rsid w:val="009C22AF"/>
    <w:rsid w:val="009C22F5"/>
    <w:rsid w:val="009C575B"/>
    <w:rsid w:val="009C7BD1"/>
    <w:rsid w:val="009C7DBD"/>
    <w:rsid w:val="009D2EB5"/>
    <w:rsid w:val="009D6BDB"/>
    <w:rsid w:val="009E1780"/>
    <w:rsid w:val="009E1C42"/>
    <w:rsid w:val="009E2450"/>
    <w:rsid w:val="009E4354"/>
    <w:rsid w:val="009E4B19"/>
    <w:rsid w:val="009E5202"/>
    <w:rsid w:val="009E6360"/>
    <w:rsid w:val="009E7064"/>
    <w:rsid w:val="009E710D"/>
    <w:rsid w:val="009E7F07"/>
    <w:rsid w:val="009E7F39"/>
    <w:rsid w:val="009F0065"/>
    <w:rsid w:val="009F27E6"/>
    <w:rsid w:val="009F46E6"/>
    <w:rsid w:val="009F508B"/>
    <w:rsid w:val="009F5CEE"/>
    <w:rsid w:val="009F67A2"/>
    <w:rsid w:val="009F6C61"/>
    <w:rsid w:val="009F7252"/>
    <w:rsid w:val="00A0049E"/>
    <w:rsid w:val="00A0182A"/>
    <w:rsid w:val="00A02352"/>
    <w:rsid w:val="00A024AE"/>
    <w:rsid w:val="00A04D74"/>
    <w:rsid w:val="00A07060"/>
    <w:rsid w:val="00A0735A"/>
    <w:rsid w:val="00A07658"/>
    <w:rsid w:val="00A12397"/>
    <w:rsid w:val="00A125EA"/>
    <w:rsid w:val="00A1318B"/>
    <w:rsid w:val="00A1378A"/>
    <w:rsid w:val="00A13E58"/>
    <w:rsid w:val="00A1740D"/>
    <w:rsid w:val="00A212FD"/>
    <w:rsid w:val="00A223BB"/>
    <w:rsid w:val="00A2257A"/>
    <w:rsid w:val="00A26D2D"/>
    <w:rsid w:val="00A33C0D"/>
    <w:rsid w:val="00A35C71"/>
    <w:rsid w:val="00A36778"/>
    <w:rsid w:val="00A41C27"/>
    <w:rsid w:val="00A424DC"/>
    <w:rsid w:val="00A42D64"/>
    <w:rsid w:val="00A43FF1"/>
    <w:rsid w:val="00A44643"/>
    <w:rsid w:val="00A44BC5"/>
    <w:rsid w:val="00A47C8B"/>
    <w:rsid w:val="00A47F2E"/>
    <w:rsid w:val="00A51112"/>
    <w:rsid w:val="00A52C7A"/>
    <w:rsid w:val="00A52EB6"/>
    <w:rsid w:val="00A534E6"/>
    <w:rsid w:val="00A6604A"/>
    <w:rsid w:val="00A6760F"/>
    <w:rsid w:val="00A7101B"/>
    <w:rsid w:val="00A72416"/>
    <w:rsid w:val="00A72894"/>
    <w:rsid w:val="00A73C81"/>
    <w:rsid w:val="00A76305"/>
    <w:rsid w:val="00A768CD"/>
    <w:rsid w:val="00A77A1D"/>
    <w:rsid w:val="00A77B71"/>
    <w:rsid w:val="00A80200"/>
    <w:rsid w:val="00A80499"/>
    <w:rsid w:val="00A8111E"/>
    <w:rsid w:val="00A8517C"/>
    <w:rsid w:val="00A8547B"/>
    <w:rsid w:val="00A86D6C"/>
    <w:rsid w:val="00A90211"/>
    <w:rsid w:val="00A904FE"/>
    <w:rsid w:val="00A90BDF"/>
    <w:rsid w:val="00A9150B"/>
    <w:rsid w:val="00A93FFB"/>
    <w:rsid w:val="00A95BEA"/>
    <w:rsid w:val="00A9654F"/>
    <w:rsid w:val="00A97F89"/>
    <w:rsid w:val="00AA1A56"/>
    <w:rsid w:val="00AA1F9A"/>
    <w:rsid w:val="00AA26BF"/>
    <w:rsid w:val="00AA47EB"/>
    <w:rsid w:val="00AA6473"/>
    <w:rsid w:val="00AA712E"/>
    <w:rsid w:val="00AA73DF"/>
    <w:rsid w:val="00AA7D6B"/>
    <w:rsid w:val="00AB08BB"/>
    <w:rsid w:val="00AB0A73"/>
    <w:rsid w:val="00AB21DD"/>
    <w:rsid w:val="00AB3390"/>
    <w:rsid w:val="00AB3EE4"/>
    <w:rsid w:val="00AB4490"/>
    <w:rsid w:val="00AB4D8A"/>
    <w:rsid w:val="00AB4EC8"/>
    <w:rsid w:val="00AB74DD"/>
    <w:rsid w:val="00AC0C2C"/>
    <w:rsid w:val="00AC1BD0"/>
    <w:rsid w:val="00AC40AB"/>
    <w:rsid w:val="00AC4448"/>
    <w:rsid w:val="00AC5484"/>
    <w:rsid w:val="00AC64C6"/>
    <w:rsid w:val="00AC71D6"/>
    <w:rsid w:val="00AC733F"/>
    <w:rsid w:val="00AC74C0"/>
    <w:rsid w:val="00AD072C"/>
    <w:rsid w:val="00AD0A3B"/>
    <w:rsid w:val="00AD1A8F"/>
    <w:rsid w:val="00AD1D7D"/>
    <w:rsid w:val="00AD2E8E"/>
    <w:rsid w:val="00AD5ED6"/>
    <w:rsid w:val="00AD79F6"/>
    <w:rsid w:val="00AE2922"/>
    <w:rsid w:val="00AE3BC9"/>
    <w:rsid w:val="00AE3D5E"/>
    <w:rsid w:val="00AE4D22"/>
    <w:rsid w:val="00AE6068"/>
    <w:rsid w:val="00AE7494"/>
    <w:rsid w:val="00AF0B45"/>
    <w:rsid w:val="00AF1A90"/>
    <w:rsid w:val="00AF22BD"/>
    <w:rsid w:val="00AF3C22"/>
    <w:rsid w:val="00AF400D"/>
    <w:rsid w:val="00AF440E"/>
    <w:rsid w:val="00AF4D22"/>
    <w:rsid w:val="00AF517C"/>
    <w:rsid w:val="00AF5FF7"/>
    <w:rsid w:val="00B00994"/>
    <w:rsid w:val="00B00A5B"/>
    <w:rsid w:val="00B03C6B"/>
    <w:rsid w:val="00B03EBA"/>
    <w:rsid w:val="00B048F5"/>
    <w:rsid w:val="00B13024"/>
    <w:rsid w:val="00B13A27"/>
    <w:rsid w:val="00B152B3"/>
    <w:rsid w:val="00B16507"/>
    <w:rsid w:val="00B16CBB"/>
    <w:rsid w:val="00B16E6F"/>
    <w:rsid w:val="00B17D26"/>
    <w:rsid w:val="00B222C7"/>
    <w:rsid w:val="00B23050"/>
    <w:rsid w:val="00B23D23"/>
    <w:rsid w:val="00B270C9"/>
    <w:rsid w:val="00B27219"/>
    <w:rsid w:val="00B31F48"/>
    <w:rsid w:val="00B33CD4"/>
    <w:rsid w:val="00B34989"/>
    <w:rsid w:val="00B34B81"/>
    <w:rsid w:val="00B351CC"/>
    <w:rsid w:val="00B35AB9"/>
    <w:rsid w:val="00B3676A"/>
    <w:rsid w:val="00B36915"/>
    <w:rsid w:val="00B36C67"/>
    <w:rsid w:val="00B37048"/>
    <w:rsid w:val="00B42066"/>
    <w:rsid w:val="00B427F4"/>
    <w:rsid w:val="00B461AD"/>
    <w:rsid w:val="00B47380"/>
    <w:rsid w:val="00B50FFF"/>
    <w:rsid w:val="00B5108E"/>
    <w:rsid w:val="00B5221B"/>
    <w:rsid w:val="00B5247A"/>
    <w:rsid w:val="00B533D7"/>
    <w:rsid w:val="00B55E2D"/>
    <w:rsid w:val="00B57474"/>
    <w:rsid w:val="00B6009E"/>
    <w:rsid w:val="00B60ABC"/>
    <w:rsid w:val="00B610E9"/>
    <w:rsid w:val="00B656E5"/>
    <w:rsid w:val="00B67073"/>
    <w:rsid w:val="00B70073"/>
    <w:rsid w:val="00B71013"/>
    <w:rsid w:val="00B72CD5"/>
    <w:rsid w:val="00B7320E"/>
    <w:rsid w:val="00B748B5"/>
    <w:rsid w:val="00B75C53"/>
    <w:rsid w:val="00B76B81"/>
    <w:rsid w:val="00B777C3"/>
    <w:rsid w:val="00B77EFB"/>
    <w:rsid w:val="00B809AB"/>
    <w:rsid w:val="00B80C4E"/>
    <w:rsid w:val="00B818A5"/>
    <w:rsid w:val="00B82025"/>
    <w:rsid w:val="00B830EA"/>
    <w:rsid w:val="00B83A81"/>
    <w:rsid w:val="00B85E90"/>
    <w:rsid w:val="00B86AB8"/>
    <w:rsid w:val="00B872A8"/>
    <w:rsid w:val="00B905E6"/>
    <w:rsid w:val="00B90986"/>
    <w:rsid w:val="00B90F72"/>
    <w:rsid w:val="00B92DD6"/>
    <w:rsid w:val="00B934A9"/>
    <w:rsid w:val="00B93680"/>
    <w:rsid w:val="00B94A55"/>
    <w:rsid w:val="00B95F62"/>
    <w:rsid w:val="00B96923"/>
    <w:rsid w:val="00B96B03"/>
    <w:rsid w:val="00BA17EF"/>
    <w:rsid w:val="00BA1DCF"/>
    <w:rsid w:val="00BA2063"/>
    <w:rsid w:val="00BA2737"/>
    <w:rsid w:val="00BA4EE2"/>
    <w:rsid w:val="00BA7557"/>
    <w:rsid w:val="00BA796F"/>
    <w:rsid w:val="00BB01A3"/>
    <w:rsid w:val="00BB038C"/>
    <w:rsid w:val="00BB050B"/>
    <w:rsid w:val="00BB2DD7"/>
    <w:rsid w:val="00BB3C8D"/>
    <w:rsid w:val="00BB4D18"/>
    <w:rsid w:val="00BB654F"/>
    <w:rsid w:val="00BB699A"/>
    <w:rsid w:val="00BB6D41"/>
    <w:rsid w:val="00BB6DEE"/>
    <w:rsid w:val="00BB79A0"/>
    <w:rsid w:val="00BC19D8"/>
    <w:rsid w:val="00BC25D4"/>
    <w:rsid w:val="00BC4EA1"/>
    <w:rsid w:val="00BC5C5D"/>
    <w:rsid w:val="00BC5F96"/>
    <w:rsid w:val="00BC6523"/>
    <w:rsid w:val="00BD43E9"/>
    <w:rsid w:val="00BD4DCC"/>
    <w:rsid w:val="00BE21DE"/>
    <w:rsid w:val="00BE2991"/>
    <w:rsid w:val="00BE5814"/>
    <w:rsid w:val="00BE5BDE"/>
    <w:rsid w:val="00BE67F6"/>
    <w:rsid w:val="00BE713F"/>
    <w:rsid w:val="00BF02B8"/>
    <w:rsid w:val="00BF0370"/>
    <w:rsid w:val="00BF10E1"/>
    <w:rsid w:val="00BF32CF"/>
    <w:rsid w:val="00BF3534"/>
    <w:rsid w:val="00BF37F1"/>
    <w:rsid w:val="00BF3A73"/>
    <w:rsid w:val="00BF3D8A"/>
    <w:rsid w:val="00BF408B"/>
    <w:rsid w:val="00BF5586"/>
    <w:rsid w:val="00BF67D3"/>
    <w:rsid w:val="00BF7682"/>
    <w:rsid w:val="00C0395B"/>
    <w:rsid w:val="00C03B4F"/>
    <w:rsid w:val="00C03E8A"/>
    <w:rsid w:val="00C04D62"/>
    <w:rsid w:val="00C05330"/>
    <w:rsid w:val="00C05827"/>
    <w:rsid w:val="00C06C97"/>
    <w:rsid w:val="00C073D3"/>
    <w:rsid w:val="00C10034"/>
    <w:rsid w:val="00C12C38"/>
    <w:rsid w:val="00C13EA0"/>
    <w:rsid w:val="00C15240"/>
    <w:rsid w:val="00C204DA"/>
    <w:rsid w:val="00C2078E"/>
    <w:rsid w:val="00C208A7"/>
    <w:rsid w:val="00C214E2"/>
    <w:rsid w:val="00C22F3A"/>
    <w:rsid w:val="00C236A6"/>
    <w:rsid w:val="00C300EC"/>
    <w:rsid w:val="00C30A66"/>
    <w:rsid w:val="00C32B3D"/>
    <w:rsid w:val="00C33840"/>
    <w:rsid w:val="00C34839"/>
    <w:rsid w:val="00C3605E"/>
    <w:rsid w:val="00C36997"/>
    <w:rsid w:val="00C404DF"/>
    <w:rsid w:val="00C41143"/>
    <w:rsid w:val="00C4210E"/>
    <w:rsid w:val="00C44B49"/>
    <w:rsid w:val="00C45D0F"/>
    <w:rsid w:val="00C47505"/>
    <w:rsid w:val="00C47B2E"/>
    <w:rsid w:val="00C47F62"/>
    <w:rsid w:val="00C5018D"/>
    <w:rsid w:val="00C5043B"/>
    <w:rsid w:val="00C52D64"/>
    <w:rsid w:val="00C53ABE"/>
    <w:rsid w:val="00C556F3"/>
    <w:rsid w:val="00C558EC"/>
    <w:rsid w:val="00C576AE"/>
    <w:rsid w:val="00C617B7"/>
    <w:rsid w:val="00C62665"/>
    <w:rsid w:val="00C62F92"/>
    <w:rsid w:val="00C648AD"/>
    <w:rsid w:val="00C67563"/>
    <w:rsid w:val="00C71206"/>
    <w:rsid w:val="00C74610"/>
    <w:rsid w:val="00C75E1B"/>
    <w:rsid w:val="00C7654A"/>
    <w:rsid w:val="00C81BB1"/>
    <w:rsid w:val="00C820C4"/>
    <w:rsid w:val="00C831AD"/>
    <w:rsid w:val="00C86856"/>
    <w:rsid w:val="00C91050"/>
    <w:rsid w:val="00C919DF"/>
    <w:rsid w:val="00C9210B"/>
    <w:rsid w:val="00C92555"/>
    <w:rsid w:val="00C9339B"/>
    <w:rsid w:val="00C93971"/>
    <w:rsid w:val="00C93BBA"/>
    <w:rsid w:val="00C959CE"/>
    <w:rsid w:val="00C97020"/>
    <w:rsid w:val="00CA18DB"/>
    <w:rsid w:val="00CA1DA5"/>
    <w:rsid w:val="00CA26DF"/>
    <w:rsid w:val="00CA3075"/>
    <w:rsid w:val="00CA3258"/>
    <w:rsid w:val="00CA3B48"/>
    <w:rsid w:val="00CA46EB"/>
    <w:rsid w:val="00CA5386"/>
    <w:rsid w:val="00CA72AA"/>
    <w:rsid w:val="00CA74DB"/>
    <w:rsid w:val="00CB02A1"/>
    <w:rsid w:val="00CB1D5F"/>
    <w:rsid w:val="00CB1DBE"/>
    <w:rsid w:val="00CB3AD2"/>
    <w:rsid w:val="00CC23E7"/>
    <w:rsid w:val="00CC3839"/>
    <w:rsid w:val="00CC6900"/>
    <w:rsid w:val="00CD0565"/>
    <w:rsid w:val="00CD5443"/>
    <w:rsid w:val="00CD55D6"/>
    <w:rsid w:val="00CD5C82"/>
    <w:rsid w:val="00CD6B2C"/>
    <w:rsid w:val="00CD6C63"/>
    <w:rsid w:val="00CD7D62"/>
    <w:rsid w:val="00CE0DEE"/>
    <w:rsid w:val="00CE15B9"/>
    <w:rsid w:val="00CE20E6"/>
    <w:rsid w:val="00CE3C79"/>
    <w:rsid w:val="00CE419B"/>
    <w:rsid w:val="00CE5132"/>
    <w:rsid w:val="00CE6839"/>
    <w:rsid w:val="00CF02ED"/>
    <w:rsid w:val="00CF0AF6"/>
    <w:rsid w:val="00CF12AF"/>
    <w:rsid w:val="00CF22A1"/>
    <w:rsid w:val="00CF2393"/>
    <w:rsid w:val="00CF3A31"/>
    <w:rsid w:val="00CF4D33"/>
    <w:rsid w:val="00CF57E1"/>
    <w:rsid w:val="00CF61C4"/>
    <w:rsid w:val="00CF6487"/>
    <w:rsid w:val="00D00762"/>
    <w:rsid w:val="00D015FE"/>
    <w:rsid w:val="00D03808"/>
    <w:rsid w:val="00D04AD7"/>
    <w:rsid w:val="00D04F91"/>
    <w:rsid w:val="00D10567"/>
    <w:rsid w:val="00D124FE"/>
    <w:rsid w:val="00D12D27"/>
    <w:rsid w:val="00D12DC8"/>
    <w:rsid w:val="00D142FB"/>
    <w:rsid w:val="00D15CC8"/>
    <w:rsid w:val="00D16880"/>
    <w:rsid w:val="00D2145B"/>
    <w:rsid w:val="00D21CC8"/>
    <w:rsid w:val="00D222F0"/>
    <w:rsid w:val="00D242A1"/>
    <w:rsid w:val="00D264A0"/>
    <w:rsid w:val="00D26B3F"/>
    <w:rsid w:val="00D303AA"/>
    <w:rsid w:val="00D317F8"/>
    <w:rsid w:val="00D3210A"/>
    <w:rsid w:val="00D33C65"/>
    <w:rsid w:val="00D341BD"/>
    <w:rsid w:val="00D34D0F"/>
    <w:rsid w:val="00D37924"/>
    <w:rsid w:val="00D408A9"/>
    <w:rsid w:val="00D45C37"/>
    <w:rsid w:val="00D47054"/>
    <w:rsid w:val="00D52514"/>
    <w:rsid w:val="00D5293A"/>
    <w:rsid w:val="00D52DFE"/>
    <w:rsid w:val="00D55424"/>
    <w:rsid w:val="00D5593C"/>
    <w:rsid w:val="00D62F30"/>
    <w:rsid w:val="00D63859"/>
    <w:rsid w:val="00D658E1"/>
    <w:rsid w:val="00D659B3"/>
    <w:rsid w:val="00D666BA"/>
    <w:rsid w:val="00D66750"/>
    <w:rsid w:val="00D7071B"/>
    <w:rsid w:val="00D7293C"/>
    <w:rsid w:val="00D72D92"/>
    <w:rsid w:val="00D7505C"/>
    <w:rsid w:val="00D7568F"/>
    <w:rsid w:val="00D75DCD"/>
    <w:rsid w:val="00D761AF"/>
    <w:rsid w:val="00D77D43"/>
    <w:rsid w:val="00D81408"/>
    <w:rsid w:val="00D81A0A"/>
    <w:rsid w:val="00D81BC9"/>
    <w:rsid w:val="00D82814"/>
    <w:rsid w:val="00D835F2"/>
    <w:rsid w:val="00D8404A"/>
    <w:rsid w:val="00D862BF"/>
    <w:rsid w:val="00D868B0"/>
    <w:rsid w:val="00D86952"/>
    <w:rsid w:val="00D913C8"/>
    <w:rsid w:val="00D91AAD"/>
    <w:rsid w:val="00D9228A"/>
    <w:rsid w:val="00D932CB"/>
    <w:rsid w:val="00D94AF5"/>
    <w:rsid w:val="00D96D2A"/>
    <w:rsid w:val="00DA2052"/>
    <w:rsid w:val="00DA2E89"/>
    <w:rsid w:val="00DA3312"/>
    <w:rsid w:val="00DA4E1D"/>
    <w:rsid w:val="00DA7803"/>
    <w:rsid w:val="00DB2AD6"/>
    <w:rsid w:val="00DB375B"/>
    <w:rsid w:val="00DB638E"/>
    <w:rsid w:val="00DC03C3"/>
    <w:rsid w:val="00DC1B40"/>
    <w:rsid w:val="00DC33ED"/>
    <w:rsid w:val="00DC4A18"/>
    <w:rsid w:val="00DC4B89"/>
    <w:rsid w:val="00DC699E"/>
    <w:rsid w:val="00DD161A"/>
    <w:rsid w:val="00DD23C4"/>
    <w:rsid w:val="00DD387A"/>
    <w:rsid w:val="00DD38A1"/>
    <w:rsid w:val="00DD514C"/>
    <w:rsid w:val="00DD635F"/>
    <w:rsid w:val="00DD76BD"/>
    <w:rsid w:val="00DD7972"/>
    <w:rsid w:val="00DE1C8A"/>
    <w:rsid w:val="00DE2B14"/>
    <w:rsid w:val="00DE3512"/>
    <w:rsid w:val="00DE4A25"/>
    <w:rsid w:val="00DE7488"/>
    <w:rsid w:val="00DE78F1"/>
    <w:rsid w:val="00DE7BE7"/>
    <w:rsid w:val="00DF0534"/>
    <w:rsid w:val="00DF0B20"/>
    <w:rsid w:val="00DF0BF9"/>
    <w:rsid w:val="00DF23F8"/>
    <w:rsid w:val="00DF2639"/>
    <w:rsid w:val="00DF2D77"/>
    <w:rsid w:val="00DF5380"/>
    <w:rsid w:val="00DF5608"/>
    <w:rsid w:val="00DF5A96"/>
    <w:rsid w:val="00DF5D87"/>
    <w:rsid w:val="00E00C10"/>
    <w:rsid w:val="00E00D60"/>
    <w:rsid w:val="00E010C3"/>
    <w:rsid w:val="00E016CA"/>
    <w:rsid w:val="00E01EFA"/>
    <w:rsid w:val="00E032EB"/>
    <w:rsid w:val="00E0395C"/>
    <w:rsid w:val="00E03B7D"/>
    <w:rsid w:val="00E05086"/>
    <w:rsid w:val="00E05619"/>
    <w:rsid w:val="00E06D19"/>
    <w:rsid w:val="00E10D28"/>
    <w:rsid w:val="00E11784"/>
    <w:rsid w:val="00E13A4F"/>
    <w:rsid w:val="00E13E67"/>
    <w:rsid w:val="00E13FA8"/>
    <w:rsid w:val="00E16C4E"/>
    <w:rsid w:val="00E20609"/>
    <w:rsid w:val="00E20DB7"/>
    <w:rsid w:val="00E20FEC"/>
    <w:rsid w:val="00E22C1D"/>
    <w:rsid w:val="00E2435A"/>
    <w:rsid w:val="00E258FF"/>
    <w:rsid w:val="00E264E4"/>
    <w:rsid w:val="00E27776"/>
    <w:rsid w:val="00E27990"/>
    <w:rsid w:val="00E27E7F"/>
    <w:rsid w:val="00E3029E"/>
    <w:rsid w:val="00E31653"/>
    <w:rsid w:val="00E330EC"/>
    <w:rsid w:val="00E33AB6"/>
    <w:rsid w:val="00E366F8"/>
    <w:rsid w:val="00E37004"/>
    <w:rsid w:val="00E40E4F"/>
    <w:rsid w:val="00E43746"/>
    <w:rsid w:val="00E4448B"/>
    <w:rsid w:val="00E50D05"/>
    <w:rsid w:val="00E52083"/>
    <w:rsid w:val="00E56986"/>
    <w:rsid w:val="00E56D27"/>
    <w:rsid w:val="00E6081A"/>
    <w:rsid w:val="00E60F3D"/>
    <w:rsid w:val="00E62CA8"/>
    <w:rsid w:val="00E63066"/>
    <w:rsid w:val="00E633D2"/>
    <w:rsid w:val="00E63957"/>
    <w:rsid w:val="00E66B04"/>
    <w:rsid w:val="00E6788F"/>
    <w:rsid w:val="00E67FDA"/>
    <w:rsid w:val="00E700C2"/>
    <w:rsid w:val="00E7085F"/>
    <w:rsid w:val="00E71B1D"/>
    <w:rsid w:val="00E75542"/>
    <w:rsid w:val="00E75AD1"/>
    <w:rsid w:val="00E850B7"/>
    <w:rsid w:val="00E850DA"/>
    <w:rsid w:val="00E853E6"/>
    <w:rsid w:val="00E85744"/>
    <w:rsid w:val="00E85A97"/>
    <w:rsid w:val="00E86F2B"/>
    <w:rsid w:val="00E901F2"/>
    <w:rsid w:val="00E9078A"/>
    <w:rsid w:val="00E9124E"/>
    <w:rsid w:val="00E923F2"/>
    <w:rsid w:val="00E93152"/>
    <w:rsid w:val="00E94DC6"/>
    <w:rsid w:val="00E95972"/>
    <w:rsid w:val="00EA10CC"/>
    <w:rsid w:val="00EA1735"/>
    <w:rsid w:val="00EA19E9"/>
    <w:rsid w:val="00EA211C"/>
    <w:rsid w:val="00EA285E"/>
    <w:rsid w:val="00EA3304"/>
    <w:rsid w:val="00EA390C"/>
    <w:rsid w:val="00EA4B8A"/>
    <w:rsid w:val="00EA5BF3"/>
    <w:rsid w:val="00EA5C20"/>
    <w:rsid w:val="00EA600E"/>
    <w:rsid w:val="00EB2F48"/>
    <w:rsid w:val="00EB307A"/>
    <w:rsid w:val="00EB5157"/>
    <w:rsid w:val="00EB5B33"/>
    <w:rsid w:val="00EB623C"/>
    <w:rsid w:val="00EB6314"/>
    <w:rsid w:val="00EB6CFE"/>
    <w:rsid w:val="00EC3492"/>
    <w:rsid w:val="00EC3D04"/>
    <w:rsid w:val="00ED045C"/>
    <w:rsid w:val="00ED0E51"/>
    <w:rsid w:val="00ED12B5"/>
    <w:rsid w:val="00ED2000"/>
    <w:rsid w:val="00ED3ED8"/>
    <w:rsid w:val="00ED53F2"/>
    <w:rsid w:val="00ED70AF"/>
    <w:rsid w:val="00EE21C1"/>
    <w:rsid w:val="00EE3380"/>
    <w:rsid w:val="00EE34DE"/>
    <w:rsid w:val="00EE4B71"/>
    <w:rsid w:val="00EE54F2"/>
    <w:rsid w:val="00EE6BE7"/>
    <w:rsid w:val="00EF098A"/>
    <w:rsid w:val="00EF0E5F"/>
    <w:rsid w:val="00EF28DE"/>
    <w:rsid w:val="00EF2A3D"/>
    <w:rsid w:val="00EF5B60"/>
    <w:rsid w:val="00F01C26"/>
    <w:rsid w:val="00F041CB"/>
    <w:rsid w:val="00F0433D"/>
    <w:rsid w:val="00F047F1"/>
    <w:rsid w:val="00F05586"/>
    <w:rsid w:val="00F05E66"/>
    <w:rsid w:val="00F10991"/>
    <w:rsid w:val="00F10A5B"/>
    <w:rsid w:val="00F11478"/>
    <w:rsid w:val="00F11687"/>
    <w:rsid w:val="00F11DF6"/>
    <w:rsid w:val="00F14732"/>
    <w:rsid w:val="00F14F9E"/>
    <w:rsid w:val="00F158B8"/>
    <w:rsid w:val="00F169E0"/>
    <w:rsid w:val="00F21D0D"/>
    <w:rsid w:val="00F22F3F"/>
    <w:rsid w:val="00F25544"/>
    <w:rsid w:val="00F30864"/>
    <w:rsid w:val="00F313D5"/>
    <w:rsid w:val="00F31AD9"/>
    <w:rsid w:val="00F31B1E"/>
    <w:rsid w:val="00F326EF"/>
    <w:rsid w:val="00F33C0B"/>
    <w:rsid w:val="00F345A4"/>
    <w:rsid w:val="00F35BC3"/>
    <w:rsid w:val="00F36850"/>
    <w:rsid w:val="00F42141"/>
    <w:rsid w:val="00F42642"/>
    <w:rsid w:val="00F45CC5"/>
    <w:rsid w:val="00F462E4"/>
    <w:rsid w:val="00F46850"/>
    <w:rsid w:val="00F51298"/>
    <w:rsid w:val="00F5182A"/>
    <w:rsid w:val="00F51B9D"/>
    <w:rsid w:val="00F5375C"/>
    <w:rsid w:val="00F53F08"/>
    <w:rsid w:val="00F54ECF"/>
    <w:rsid w:val="00F55307"/>
    <w:rsid w:val="00F5689F"/>
    <w:rsid w:val="00F577E7"/>
    <w:rsid w:val="00F60C6B"/>
    <w:rsid w:val="00F63C59"/>
    <w:rsid w:val="00F642E4"/>
    <w:rsid w:val="00F65226"/>
    <w:rsid w:val="00F67B05"/>
    <w:rsid w:val="00F71549"/>
    <w:rsid w:val="00F74034"/>
    <w:rsid w:val="00F74928"/>
    <w:rsid w:val="00F76C23"/>
    <w:rsid w:val="00F772C0"/>
    <w:rsid w:val="00F77539"/>
    <w:rsid w:val="00F80A10"/>
    <w:rsid w:val="00F82061"/>
    <w:rsid w:val="00F825EE"/>
    <w:rsid w:val="00F85567"/>
    <w:rsid w:val="00F858C6"/>
    <w:rsid w:val="00F8709F"/>
    <w:rsid w:val="00F90822"/>
    <w:rsid w:val="00F913A7"/>
    <w:rsid w:val="00F91D8E"/>
    <w:rsid w:val="00F9229A"/>
    <w:rsid w:val="00F94C4C"/>
    <w:rsid w:val="00F94DB0"/>
    <w:rsid w:val="00F950CA"/>
    <w:rsid w:val="00F95D88"/>
    <w:rsid w:val="00F979FD"/>
    <w:rsid w:val="00FA0D15"/>
    <w:rsid w:val="00FA1265"/>
    <w:rsid w:val="00FA43F8"/>
    <w:rsid w:val="00FA44A5"/>
    <w:rsid w:val="00FA6E3B"/>
    <w:rsid w:val="00FA73CD"/>
    <w:rsid w:val="00FB08D3"/>
    <w:rsid w:val="00FB1315"/>
    <w:rsid w:val="00FB1893"/>
    <w:rsid w:val="00FB2146"/>
    <w:rsid w:val="00FB25A8"/>
    <w:rsid w:val="00FB54FB"/>
    <w:rsid w:val="00FB799B"/>
    <w:rsid w:val="00FC07C0"/>
    <w:rsid w:val="00FC09ED"/>
    <w:rsid w:val="00FC22B2"/>
    <w:rsid w:val="00FC32B1"/>
    <w:rsid w:val="00FC4C8A"/>
    <w:rsid w:val="00FC603A"/>
    <w:rsid w:val="00FC61F1"/>
    <w:rsid w:val="00FC7F2C"/>
    <w:rsid w:val="00FD16A6"/>
    <w:rsid w:val="00FD39A9"/>
    <w:rsid w:val="00FD3F45"/>
    <w:rsid w:val="00FD56FE"/>
    <w:rsid w:val="00FD783E"/>
    <w:rsid w:val="00FE0AF0"/>
    <w:rsid w:val="00FE1A10"/>
    <w:rsid w:val="00FE21E3"/>
    <w:rsid w:val="00FE3C65"/>
    <w:rsid w:val="00FE61B0"/>
    <w:rsid w:val="00FE6E31"/>
    <w:rsid w:val="00FE7947"/>
    <w:rsid w:val="00FF2E4B"/>
    <w:rsid w:val="00FF4765"/>
    <w:rsid w:val="00FF57DE"/>
    <w:rsid w:val="00FF6605"/>
    <w:rsid w:val="00FF78DB"/>
    <w:rsid w:val="2E3C2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CEEFE4"/>
  <w15:docId w15:val="{404831A7-A421-4DF2-A53E-81F77F37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8A1"/>
    <w:rPr>
      <w:rFonts w:ascii="Times New Roman" w:hAnsi="Times New Roman"/>
    </w:rPr>
  </w:style>
  <w:style w:type="paragraph" w:styleId="Heading1">
    <w:name w:val="heading 1"/>
    <w:basedOn w:val="Normal"/>
    <w:next w:val="Normal"/>
    <w:link w:val="Heading1Char"/>
    <w:uiPriority w:val="9"/>
    <w:qFormat/>
    <w:rsid w:val="00926420"/>
    <w:pPr>
      <w:spacing w:after="0" w:line="240" w:lineRule="auto"/>
      <w:outlineLvl w:val="0"/>
    </w:pPr>
    <w:rPr>
      <w:rFonts w:cs="Times New Roman"/>
      <w:b/>
      <w:caps/>
      <w:color w:val="000000" w:themeColor="text1"/>
    </w:rPr>
  </w:style>
  <w:style w:type="paragraph" w:styleId="Heading2">
    <w:name w:val="heading 2"/>
    <w:basedOn w:val="Normal"/>
    <w:next w:val="Normal"/>
    <w:link w:val="Heading2Char"/>
    <w:uiPriority w:val="9"/>
    <w:unhideWhenUsed/>
    <w:qFormat/>
    <w:rsid w:val="00704C69"/>
    <w:pPr>
      <w:spacing w:after="0" w:line="240" w:lineRule="auto"/>
      <w:outlineLvl w:val="1"/>
    </w:pPr>
    <w:rPr>
      <w:rFonts w:cs="Times New Roman"/>
      <w:b/>
      <w:color w:val="000000" w:themeColor="text1"/>
    </w:rPr>
  </w:style>
  <w:style w:type="paragraph" w:styleId="Heading3">
    <w:name w:val="heading 3"/>
    <w:basedOn w:val="Normal"/>
    <w:next w:val="Normal"/>
    <w:link w:val="Heading3Char"/>
    <w:uiPriority w:val="9"/>
    <w:unhideWhenUsed/>
    <w:qFormat/>
    <w:rsid w:val="00704C69"/>
    <w:pPr>
      <w:spacing w:after="0" w:line="240" w:lineRule="auto"/>
      <w:outlineLvl w:val="2"/>
    </w:pPr>
    <w:rPr>
      <w:rFonts w:cs="Times New Roman"/>
      <w:i/>
    </w:rPr>
  </w:style>
  <w:style w:type="paragraph" w:styleId="Heading4">
    <w:name w:val="heading 4"/>
    <w:basedOn w:val="Normal"/>
    <w:next w:val="Normal"/>
    <w:link w:val="Heading4Char"/>
    <w:uiPriority w:val="9"/>
    <w:unhideWhenUsed/>
    <w:qFormat/>
    <w:rsid w:val="00B349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052"/>
    <w:rPr>
      <w:sz w:val="16"/>
      <w:szCs w:val="16"/>
    </w:rPr>
  </w:style>
  <w:style w:type="paragraph" w:styleId="CommentText">
    <w:name w:val="annotation text"/>
    <w:basedOn w:val="Normal"/>
    <w:link w:val="CommentTextChar"/>
    <w:uiPriority w:val="99"/>
    <w:unhideWhenUsed/>
    <w:rsid w:val="00DA2052"/>
    <w:pPr>
      <w:spacing w:line="240" w:lineRule="auto"/>
    </w:pPr>
    <w:rPr>
      <w:sz w:val="20"/>
      <w:szCs w:val="20"/>
    </w:rPr>
  </w:style>
  <w:style w:type="character" w:customStyle="1" w:styleId="CommentTextChar">
    <w:name w:val="Comment Text Char"/>
    <w:basedOn w:val="DefaultParagraphFont"/>
    <w:link w:val="CommentText"/>
    <w:uiPriority w:val="99"/>
    <w:rsid w:val="00DA2052"/>
    <w:rPr>
      <w:sz w:val="20"/>
      <w:szCs w:val="20"/>
    </w:rPr>
  </w:style>
  <w:style w:type="paragraph" w:styleId="CommentSubject">
    <w:name w:val="annotation subject"/>
    <w:basedOn w:val="CommentText"/>
    <w:next w:val="CommentText"/>
    <w:link w:val="CommentSubjectChar"/>
    <w:uiPriority w:val="99"/>
    <w:semiHidden/>
    <w:unhideWhenUsed/>
    <w:rsid w:val="00DA2052"/>
    <w:rPr>
      <w:b/>
      <w:bCs/>
    </w:rPr>
  </w:style>
  <w:style w:type="character" w:customStyle="1" w:styleId="CommentSubjectChar">
    <w:name w:val="Comment Subject Char"/>
    <w:basedOn w:val="CommentTextChar"/>
    <w:link w:val="CommentSubject"/>
    <w:uiPriority w:val="99"/>
    <w:semiHidden/>
    <w:rsid w:val="00DA2052"/>
    <w:rPr>
      <w:b/>
      <w:bCs/>
      <w:sz w:val="20"/>
      <w:szCs w:val="20"/>
    </w:rPr>
  </w:style>
  <w:style w:type="paragraph" w:styleId="BalloonText">
    <w:name w:val="Balloon Text"/>
    <w:basedOn w:val="Normal"/>
    <w:link w:val="BalloonTextChar"/>
    <w:uiPriority w:val="99"/>
    <w:semiHidden/>
    <w:unhideWhenUsed/>
    <w:rsid w:val="00DA2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52"/>
    <w:rPr>
      <w:rFonts w:ascii="Segoe UI" w:hAnsi="Segoe UI" w:cs="Segoe UI"/>
      <w:sz w:val="18"/>
      <w:szCs w:val="18"/>
    </w:rPr>
  </w:style>
  <w:style w:type="paragraph" w:styleId="ListParagraph">
    <w:name w:val="List Paragraph"/>
    <w:basedOn w:val="Normal"/>
    <w:uiPriority w:val="34"/>
    <w:qFormat/>
    <w:rsid w:val="00E75AD1"/>
    <w:pPr>
      <w:ind w:left="720"/>
      <w:contextualSpacing/>
    </w:pPr>
  </w:style>
  <w:style w:type="character" w:styleId="Hyperlink">
    <w:name w:val="Hyperlink"/>
    <w:basedOn w:val="DefaultParagraphFont"/>
    <w:uiPriority w:val="99"/>
    <w:unhideWhenUsed/>
    <w:rsid w:val="00176E20"/>
    <w:rPr>
      <w:color w:val="0563C1" w:themeColor="hyperlink"/>
      <w:u w:val="single"/>
    </w:rPr>
  </w:style>
  <w:style w:type="character" w:customStyle="1" w:styleId="UnresolvedMention1">
    <w:name w:val="Unresolved Mention1"/>
    <w:basedOn w:val="DefaultParagraphFont"/>
    <w:uiPriority w:val="99"/>
    <w:semiHidden/>
    <w:unhideWhenUsed/>
    <w:rsid w:val="009E710D"/>
    <w:rPr>
      <w:color w:val="605E5C"/>
      <w:shd w:val="clear" w:color="auto" w:fill="E1DFDD"/>
    </w:rPr>
  </w:style>
  <w:style w:type="paragraph" w:customStyle="1" w:styleId="Default">
    <w:name w:val="Default"/>
    <w:link w:val="DefaultChar"/>
    <w:rsid w:val="009E710D"/>
    <w:pPr>
      <w:autoSpaceDE w:val="0"/>
      <w:autoSpaceDN w:val="0"/>
      <w:adjustRightInd w:val="0"/>
      <w:spacing w:after="0" w:line="240" w:lineRule="auto"/>
    </w:pPr>
    <w:rPr>
      <w:rFonts w:ascii="MWNYHL+Times-New-Roman,Bold" w:hAnsi="MWNYHL+Times-New-Roman,Bold" w:cs="MWNYHL+Times-New-Roman,Bold"/>
      <w:color w:val="000000"/>
      <w:sz w:val="24"/>
      <w:szCs w:val="24"/>
    </w:rPr>
  </w:style>
  <w:style w:type="character" w:styleId="LineNumber">
    <w:name w:val="line number"/>
    <w:basedOn w:val="DefaultParagraphFont"/>
    <w:uiPriority w:val="99"/>
    <w:semiHidden/>
    <w:unhideWhenUsed/>
    <w:rsid w:val="00511271"/>
  </w:style>
  <w:style w:type="paragraph" w:styleId="Header">
    <w:name w:val="header"/>
    <w:basedOn w:val="Normal"/>
    <w:link w:val="HeaderChar"/>
    <w:uiPriority w:val="99"/>
    <w:unhideWhenUsed/>
    <w:rsid w:val="00D91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3C8"/>
  </w:style>
  <w:style w:type="paragraph" w:styleId="Footer">
    <w:name w:val="footer"/>
    <w:basedOn w:val="Normal"/>
    <w:link w:val="FooterChar"/>
    <w:uiPriority w:val="99"/>
    <w:unhideWhenUsed/>
    <w:rsid w:val="00D91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3C8"/>
  </w:style>
  <w:style w:type="character" w:styleId="FollowedHyperlink">
    <w:name w:val="FollowedHyperlink"/>
    <w:basedOn w:val="DefaultParagraphFont"/>
    <w:uiPriority w:val="99"/>
    <w:semiHidden/>
    <w:unhideWhenUsed/>
    <w:rsid w:val="00D66750"/>
    <w:rPr>
      <w:color w:val="954F72" w:themeColor="followedHyperlink"/>
      <w:u w:val="single"/>
    </w:rPr>
  </w:style>
  <w:style w:type="paragraph" w:styleId="Revision">
    <w:name w:val="Revision"/>
    <w:hidden/>
    <w:uiPriority w:val="99"/>
    <w:semiHidden/>
    <w:rsid w:val="00221951"/>
    <w:pPr>
      <w:spacing w:after="0" w:line="240" w:lineRule="auto"/>
    </w:pPr>
  </w:style>
  <w:style w:type="character" w:customStyle="1" w:styleId="UnresolvedMention2">
    <w:name w:val="Unresolved Mention2"/>
    <w:basedOn w:val="DefaultParagraphFont"/>
    <w:uiPriority w:val="99"/>
    <w:semiHidden/>
    <w:unhideWhenUsed/>
    <w:rsid w:val="00202764"/>
    <w:rPr>
      <w:color w:val="605E5C"/>
      <w:shd w:val="clear" w:color="auto" w:fill="E1DFDD"/>
    </w:rPr>
  </w:style>
  <w:style w:type="character" w:customStyle="1" w:styleId="UnresolvedMention3">
    <w:name w:val="Unresolved Mention3"/>
    <w:basedOn w:val="DefaultParagraphFont"/>
    <w:uiPriority w:val="99"/>
    <w:semiHidden/>
    <w:unhideWhenUsed/>
    <w:rsid w:val="006B2C9E"/>
    <w:rPr>
      <w:color w:val="605E5C"/>
      <w:shd w:val="clear" w:color="auto" w:fill="E1DFDD"/>
    </w:rPr>
  </w:style>
  <w:style w:type="character" w:customStyle="1" w:styleId="DefaultChar">
    <w:name w:val="Default Char"/>
    <w:link w:val="Default"/>
    <w:locked/>
    <w:rsid w:val="0099587D"/>
    <w:rPr>
      <w:rFonts w:ascii="MWNYHL+Times-New-Roman,Bold" w:hAnsi="MWNYHL+Times-New-Roman,Bold" w:cs="MWNYHL+Times-New-Roman,Bold"/>
      <w:color w:val="000000"/>
      <w:sz w:val="24"/>
      <w:szCs w:val="24"/>
    </w:rPr>
  </w:style>
  <w:style w:type="character" w:customStyle="1" w:styleId="Heading1Char">
    <w:name w:val="Heading 1 Char"/>
    <w:basedOn w:val="DefaultParagraphFont"/>
    <w:link w:val="Heading1"/>
    <w:uiPriority w:val="9"/>
    <w:rsid w:val="00926420"/>
    <w:rPr>
      <w:rFonts w:ascii="Times New Roman" w:hAnsi="Times New Roman" w:cs="Times New Roman"/>
      <w:b/>
      <w:caps/>
      <w:color w:val="000000" w:themeColor="text1"/>
    </w:rPr>
  </w:style>
  <w:style w:type="character" w:customStyle="1" w:styleId="Heading2Char">
    <w:name w:val="Heading 2 Char"/>
    <w:basedOn w:val="DefaultParagraphFont"/>
    <w:link w:val="Heading2"/>
    <w:uiPriority w:val="9"/>
    <w:rsid w:val="00704C69"/>
    <w:rPr>
      <w:rFonts w:ascii="Times New Roman" w:hAnsi="Times New Roman" w:cs="Times New Roman"/>
      <w:b/>
      <w:color w:val="000000" w:themeColor="text1"/>
    </w:rPr>
  </w:style>
  <w:style w:type="character" w:customStyle="1" w:styleId="Heading3Char">
    <w:name w:val="Heading 3 Char"/>
    <w:basedOn w:val="DefaultParagraphFont"/>
    <w:link w:val="Heading3"/>
    <w:uiPriority w:val="9"/>
    <w:rsid w:val="00704C69"/>
    <w:rPr>
      <w:rFonts w:ascii="Times New Roman" w:hAnsi="Times New Roman" w:cs="Times New Roman"/>
      <w:i/>
    </w:rPr>
  </w:style>
  <w:style w:type="table" w:customStyle="1" w:styleId="TableGrid1">
    <w:name w:val="Table Grid1"/>
    <w:basedOn w:val="TableNormal"/>
    <w:next w:val="TableGrid"/>
    <w:uiPriority w:val="39"/>
    <w:rsid w:val="0012418B"/>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aliases w:val="Char"/>
    <w:basedOn w:val="Normal"/>
    <w:next w:val="Normal"/>
    <w:link w:val="CaptionChar"/>
    <w:uiPriority w:val="35"/>
    <w:unhideWhenUsed/>
    <w:qFormat/>
    <w:rsid w:val="00301805"/>
    <w:pPr>
      <w:spacing w:after="60" w:line="240" w:lineRule="auto"/>
      <w:jc w:val="center"/>
    </w:pPr>
    <w:rPr>
      <w:rFonts w:eastAsia="Times New Roman" w:cs="Times New Roman"/>
      <w:b/>
      <w:bCs/>
      <w:color w:val="000000" w:themeColor="text1"/>
      <w:sz w:val="24"/>
      <w:szCs w:val="18"/>
    </w:rPr>
  </w:style>
  <w:style w:type="character" w:customStyle="1" w:styleId="CaptionChar">
    <w:name w:val="Caption Char"/>
    <w:aliases w:val="Char Char"/>
    <w:link w:val="Caption"/>
    <w:uiPriority w:val="35"/>
    <w:rsid w:val="00301805"/>
    <w:rPr>
      <w:rFonts w:ascii="Times New Roman" w:eastAsia="Times New Roman" w:hAnsi="Times New Roman" w:cs="Times New Roman"/>
      <w:b/>
      <w:bCs/>
      <w:color w:val="000000" w:themeColor="text1"/>
      <w:sz w:val="24"/>
      <w:szCs w:val="18"/>
    </w:rPr>
  </w:style>
  <w:style w:type="table" w:customStyle="1" w:styleId="TableGrid2">
    <w:name w:val="Table Grid2"/>
    <w:basedOn w:val="TableNormal"/>
    <w:next w:val="TableGrid"/>
    <w:uiPriority w:val="39"/>
    <w:rsid w:val="00690C12"/>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C30A66"/>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B34989"/>
    <w:rPr>
      <w:rFonts w:asciiTheme="majorHAnsi" w:eastAsiaTheme="majorEastAsia" w:hAnsiTheme="majorHAnsi" w:cstheme="majorBidi"/>
      <w:i/>
      <w:iCs/>
      <w:color w:val="2F5496" w:themeColor="accent1" w:themeShade="BF"/>
    </w:rPr>
  </w:style>
  <w:style w:type="table" w:customStyle="1" w:styleId="TableGrid4">
    <w:name w:val="Table Grid4"/>
    <w:basedOn w:val="TableNormal"/>
    <w:next w:val="TableGrid"/>
    <w:uiPriority w:val="39"/>
    <w:rsid w:val="00B34989"/>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B34989"/>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220F9F"/>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nteredfig">
    <w:name w:val="centered fig"/>
    <w:basedOn w:val="Normal"/>
    <w:qFormat/>
    <w:rsid w:val="0038152C"/>
    <w:pPr>
      <w:keepNext/>
      <w:spacing w:after="60" w:line="240" w:lineRule="auto"/>
      <w:jc w:val="center"/>
    </w:pPr>
    <w:rPr>
      <w:noProof/>
      <w:sz w:val="24"/>
    </w:rPr>
  </w:style>
  <w:style w:type="table" w:customStyle="1" w:styleId="TableGrid7">
    <w:name w:val="Table Grid7"/>
    <w:basedOn w:val="TableNormal"/>
    <w:next w:val="TableGrid"/>
    <w:uiPriority w:val="39"/>
    <w:rsid w:val="00AB3390"/>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14F9E"/>
    <w:pPr>
      <w:spacing w:after="0" w:line="240" w:lineRule="auto"/>
    </w:pPr>
  </w:style>
  <w:style w:type="character" w:styleId="Emphasis">
    <w:name w:val="Emphasis"/>
    <w:basedOn w:val="DefaultParagraphFont"/>
    <w:uiPriority w:val="20"/>
    <w:qFormat/>
    <w:rsid w:val="004A66EF"/>
    <w:rPr>
      <w:i/>
      <w:iCs/>
    </w:rPr>
  </w:style>
  <w:style w:type="character" w:styleId="UnresolvedMention">
    <w:name w:val="Unresolved Mention"/>
    <w:basedOn w:val="DefaultParagraphFont"/>
    <w:uiPriority w:val="99"/>
    <w:semiHidden/>
    <w:unhideWhenUsed/>
    <w:rsid w:val="00634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9618">
      <w:bodyDiv w:val="1"/>
      <w:marLeft w:val="0"/>
      <w:marRight w:val="0"/>
      <w:marTop w:val="0"/>
      <w:marBottom w:val="0"/>
      <w:divBdr>
        <w:top w:val="none" w:sz="0" w:space="0" w:color="auto"/>
        <w:left w:val="none" w:sz="0" w:space="0" w:color="auto"/>
        <w:bottom w:val="none" w:sz="0" w:space="0" w:color="auto"/>
        <w:right w:val="none" w:sz="0" w:space="0" w:color="auto"/>
      </w:divBdr>
    </w:div>
    <w:div w:id="34819923">
      <w:bodyDiv w:val="1"/>
      <w:marLeft w:val="0"/>
      <w:marRight w:val="0"/>
      <w:marTop w:val="0"/>
      <w:marBottom w:val="0"/>
      <w:divBdr>
        <w:top w:val="none" w:sz="0" w:space="0" w:color="auto"/>
        <w:left w:val="none" w:sz="0" w:space="0" w:color="auto"/>
        <w:bottom w:val="none" w:sz="0" w:space="0" w:color="auto"/>
        <w:right w:val="none" w:sz="0" w:space="0" w:color="auto"/>
      </w:divBdr>
    </w:div>
    <w:div w:id="145363401">
      <w:bodyDiv w:val="1"/>
      <w:marLeft w:val="0"/>
      <w:marRight w:val="0"/>
      <w:marTop w:val="0"/>
      <w:marBottom w:val="0"/>
      <w:divBdr>
        <w:top w:val="none" w:sz="0" w:space="0" w:color="auto"/>
        <w:left w:val="none" w:sz="0" w:space="0" w:color="auto"/>
        <w:bottom w:val="none" w:sz="0" w:space="0" w:color="auto"/>
        <w:right w:val="none" w:sz="0" w:space="0" w:color="auto"/>
      </w:divBdr>
    </w:div>
    <w:div w:id="203253326">
      <w:bodyDiv w:val="1"/>
      <w:marLeft w:val="0"/>
      <w:marRight w:val="0"/>
      <w:marTop w:val="0"/>
      <w:marBottom w:val="0"/>
      <w:divBdr>
        <w:top w:val="none" w:sz="0" w:space="0" w:color="auto"/>
        <w:left w:val="none" w:sz="0" w:space="0" w:color="auto"/>
        <w:bottom w:val="none" w:sz="0" w:space="0" w:color="auto"/>
        <w:right w:val="none" w:sz="0" w:space="0" w:color="auto"/>
      </w:divBdr>
    </w:div>
    <w:div w:id="691421763">
      <w:bodyDiv w:val="1"/>
      <w:marLeft w:val="0"/>
      <w:marRight w:val="0"/>
      <w:marTop w:val="0"/>
      <w:marBottom w:val="0"/>
      <w:divBdr>
        <w:top w:val="none" w:sz="0" w:space="0" w:color="auto"/>
        <w:left w:val="none" w:sz="0" w:space="0" w:color="auto"/>
        <w:bottom w:val="none" w:sz="0" w:space="0" w:color="auto"/>
        <w:right w:val="none" w:sz="0" w:space="0" w:color="auto"/>
      </w:divBdr>
    </w:div>
    <w:div w:id="838816292">
      <w:bodyDiv w:val="1"/>
      <w:marLeft w:val="0"/>
      <w:marRight w:val="0"/>
      <w:marTop w:val="0"/>
      <w:marBottom w:val="0"/>
      <w:divBdr>
        <w:top w:val="none" w:sz="0" w:space="0" w:color="auto"/>
        <w:left w:val="none" w:sz="0" w:space="0" w:color="auto"/>
        <w:bottom w:val="none" w:sz="0" w:space="0" w:color="auto"/>
        <w:right w:val="none" w:sz="0" w:space="0" w:color="auto"/>
      </w:divBdr>
    </w:div>
    <w:div w:id="881869816">
      <w:bodyDiv w:val="1"/>
      <w:marLeft w:val="0"/>
      <w:marRight w:val="0"/>
      <w:marTop w:val="0"/>
      <w:marBottom w:val="0"/>
      <w:divBdr>
        <w:top w:val="none" w:sz="0" w:space="0" w:color="auto"/>
        <w:left w:val="none" w:sz="0" w:space="0" w:color="auto"/>
        <w:bottom w:val="none" w:sz="0" w:space="0" w:color="auto"/>
        <w:right w:val="none" w:sz="0" w:space="0" w:color="auto"/>
      </w:divBdr>
    </w:div>
    <w:div w:id="1034422919">
      <w:bodyDiv w:val="1"/>
      <w:marLeft w:val="0"/>
      <w:marRight w:val="0"/>
      <w:marTop w:val="0"/>
      <w:marBottom w:val="0"/>
      <w:divBdr>
        <w:top w:val="none" w:sz="0" w:space="0" w:color="auto"/>
        <w:left w:val="none" w:sz="0" w:space="0" w:color="auto"/>
        <w:bottom w:val="none" w:sz="0" w:space="0" w:color="auto"/>
        <w:right w:val="none" w:sz="0" w:space="0" w:color="auto"/>
      </w:divBdr>
    </w:div>
    <w:div w:id="1083991046">
      <w:bodyDiv w:val="1"/>
      <w:marLeft w:val="0"/>
      <w:marRight w:val="0"/>
      <w:marTop w:val="0"/>
      <w:marBottom w:val="0"/>
      <w:divBdr>
        <w:top w:val="none" w:sz="0" w:space="0" w:color="auto"/>
        <w:left w:val="none" w:sz="0" w:space="0" w:color="auto"/>
        <w:bottom w:val="none" w:sz="0" w:space="0" w:color="auto"/>
        <w:right w:val="none" w:sz="0" w:space="0" w:color="auto"/>
      </w:divBdr>
    </w:div>
    <w:div w:id="1165630274">
      <w:bodyDiv w:val="1"/>
      <w:marLeft w:val="0"/>
      <w:marRight w:val="0"/>
      <w:marTop w:val="0"/>
      <w:marBottom w:val="0"/>
      <w:divBdr>
        <w:top w:val="none" w:sz="0" w:space="0" w:color="auto"/>
        <w:left w:val="none" w:sz="0" w:space="0" w:color="auto"/>
        <w:bottom w:val="none" w:sz="0" w:space="0" w:color="auto"/>
        <w:right w:val="none" w:sz="0" w:space="0" w:color="auto"/>
      </w:divBdr>
    </w:div>
    <w:div w:id="1265572921">
      <w:bodyDiv w:val="1"/>
      <w:marLeft w:val="0"/>
      <w:marRight w:val="0"/>
      <w:marTop w:val="0"/>
      <w:marBottom w:val="0"/>
      <w:divBdr>
        <w:top w:val="none" w:sz="0" w:space="0" w:color="auto"/>
        <w:left w:val="none" w:sz="0" w:space="0" w:color="auto"/>
        <w:bottom w:val="none" w:sz="0" w:space="0" w:color="auto"/>
        <w:right w:val="none" w:sz="0" w:space="0" w:color="auto"/>
      </w:divBdr>
    </w:div>
    <w:div w:id="1338993995">
      <w:bodyDiv w:val="1"/>
      <w:marLeft w:val="0"/>
      <w:marRight w:val="0"/>
      <w:marTop w:val="0"/>
      <w:marBottom w:val="0"/>
      <w:divBdr>
        <w:top w:val="none" w:sz="0" w:space="0" w:color="auto"/>
        <w:left w:val="none" w:sz="0" w:space="0" w:color="auto"/>
        <w:bottom w:val="none" w:sz="0" w:space="0" w:color="auto"/>
        <w:right w:val="none" w:sz="0" w:space="0" w:color="auto"/>
      </w:divBdr>
      <w:divsChild>
        <w:div w:id="18360996">
          <w:marLeft w:val="0"/>
          <w:marRight w:val="0"/>
          <w:marTop w:val="0"/>
          <w:marBottom w:val="0"/>
          <w:divBdr>
            <w:top w:val="none" w:sz="0" w:space="0" w:color="auto"/>
            <w:left w:val="none" w:sz="0" w:space="0" w:color="auto"/>
            <w:bottom w:val="none" w:sz="0" w:space="0" w:color="auto"/>
            <w:right w:val="none" w:sz="0" w:space="0" w:color="auto"/>
          </w:divBdr>
          <w:divsChild>
            <w:div w:id="1717003091">
              <w:marLeft w:val="0"/>
              <w:marRight w:val="0"/>
              <w:marTop w:val="0"/>
              <w:marBottom w:val="0"/>
              <w:divBdr>
                <w:top w:val="none" w:sz="0" w:space="0" w:color="auto"/>
                <w:left w:val="none" w:sz="0" w:space="0" w:color="auto"/>
                <w:bottom w:val="none" w:sz="0" w:space="0" w:color="auto"/>
                <w:right w:val="none" w:sz="0" w:space="0" w:color="auto"/>
              </w:divBdr>
            </w:div>
          </w:divsChild>
        </w:div>
        <w:div w:id="26875855">
          <w:marLeft w:val="0"/>
          <w:marRight w:val="0"/>
          <w:marTop w:val="0"/>
          <w:marBottom w:val="0"/>
          <w:divBdr>
            <w:top w:val="none" w:sz="0" w:space="0" w:color="auto"/>
            <w:left w:val="none" w:sz="0" w:space="0" w:color="auto"/>
            <w:bottom w:val="none" w:sz="0" w:space="0" w:color="auto"/>
            <w:right w:val="none" w:sz="0" w:space="0" w:color="auto"/>
          </w:divBdr>
          <w:divsChild>
            <w:div w:id="1882016243">
              <w:marLeft w:val="0"/>
              <w:marRight w:val="0"/>
              <w:marTop w:val="0"/>
              <w:marBottom w:val="0"/>
              <w:divBdr>
                <w:top w:val="none" w:sz="0" w:space="0" w:color="auto"/>
                <w:left w:val="none" w:sz="0" w:space="0" w:color="auto"/>
                <w:bottom w:val="none" w:sz="0" w:space="0" w:color="auto"/>
                <w:right w:val="none" w:sz="0" w:space="0" w:color="auto"/>
              </w:divBdr>
              <w:divsChild>
                <w:div w:id="1187862337">
                  <w:marLeft w:val="0"/>
                  <w:marRight w:val="0"/>
                  <w:marTop w:val="0"/>
                  <w:marBottom w:val="0"/>
                  <w:divBdr>
                    <w:top w:val="none" w:sz="0" w:space="0" w:color="auto"/>
                    <w:left w:val="none" w:sz="0" w:space="0" w:color="auto"/>
                    <w:bottom w:val="none" w:sz="0" w:space="0" w:color="auto"/>
                    <w:right w:val="none" w:sz="0" w:space="0" w:color="auto"/>
                  </w:divBdr>
                  <w:divsChild>
                    <w:div w:id="155845524">
                      <w:marLeft w:val="0"/>
                      <w:marRight w:val="0"/>
                      <w:marTop w:val="0"/>
                      <w:marBottom w:val="0"/>
                      <w:divBdr>
                        <w:top w:val="none" w:sz="0" w:space="0" w:color="auto"/>
                        <w:left w:val="none" w:sz="0" w:space="0" w:color="auto"/>
                        <w:bottom w:val="none" w:sz="0" w:space="0" w:color="auto"/>
                        <w:right w:val="none" w:sz="0" w:space="0" w:color="auto"/>
                      </w:divBdr>
                      <w:divsChild>
                        <w:div w:id="7388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19572">
          <w:marLeft w:val="0"/>
          <w:marRight w:val="0"/>
          <w:marTop w:val="0"/>
          <w:marBottom w:val="0"/>
          <w:divBdr>
            <w:top w:val="none" w:sz="0" w:space="0" w:color="auto"/>
            <w:left w:val="none" w:sz="0" w:space="0" w:color="auto"/>
            <w:bottom w:val="none" w:sz="0" w:space="0" w:color="auto"/>
            <w:right w:val="none" w:sz="0" w:space="0" w:color="auto"/>
          </w:divBdr>
        </w:div>
      </w:divsChild>
    </w:div>
    <w:div w:id="1901288405">
      <w:bodyDiv w:val="1"/>
      <w:marLeft w:val="0"/>
      <w:marRight w:val="0"/>
      <w:marTop w:val="0"/>
      <w:marBottom w:val="0"/>
      <w:divBdr>
        <w:top w:val="none" w:sz="0" w:space="0" w:color="auto"/>
        <w:left w:val="none" w:sz="0" w:space="0" w:color="auto"/>
        <w:bottom w:val="none" w:sz="0" w:space="0" w:color="auto"/>
        <w:right w:val="none" w:sz="0" w:space="0" w:color="auto"/>
      </w:divBdr>
    </w:div>
    <w:div w:id="1965038460">
      <w:bodyDiv w:val="1"/>
      <w:marLeft w:val="0"/>
      <w:marRight w:val="0"/>
      <w:marTop w:val="0"/>
      <w:marBottom w:val="0"/>
      <w:divBdr>
        <w:top w:val="none" w:sz="0" w:space="0" w:color="auto"/>
        <w:left w:val="none" w:sz="0" w:space="0" w:color="auto"/>
        <w:bottom w:val="none" w:sz="0" w:space="0" w:color="auto"/>
        <w:right w:val="none" w:sz="0" w:space="0" w:color="auto"/>
      </w:divBdr>
    </w:div>
    <w:div w:id="2120753362">
      <w:bodyDiv w:val="1"/>
      <w:marLeft w:val="0"/>
      <w:marRight w:val="0"/>
      <w:marTop w:val="0"/>
      <w:marBottom w:val="0"/>
      <w:divBdr>
        <w:top w:val="none" w:sz="0" w:space="0" w:color="auto"/>
        <w:left w:val="none" w:sz="0" w:space="0" w:color="auto"/>
        <w:bottom w:val="none" w:sz="0" w:space="0" w:color="auto"/>
        <w:right w:val="none" w:sz="0" w:space="0" w:color="auto"/>
      </w:divBdr>
    </w:div>
    <w:div w:id="213243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hat@mail.utexas.edu" TargetMode="External"/><Relationship Id="rId17" Type="http://schemas.openxmlformats.org/officeDocument/2006/relationships/image" Target="media/image2.emf"/><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chart" Target="charts/chart1.xml"/><Relationship Id="rId29" Type="http://schemas.openxmlformats.org/officeDocument/2006/relationships/hyperlink" Target="https://github.com/ut-ctr-nmc/fund"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kperrine@utexas.edu" TargetMode="External"/><Relationship Id="rId24" Type="http://schemas.openxmlformats.org/officeDocument/2006/relationships/chart" Target="charts/chart5.xml"/><Relationship Id="rId32" Type="http://schemas.openxmlformats.org/officeDocument/2006/relationships/hyperlink" Target="https://github.com/ut-ctr-nmc/fund"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image" Target="media/image4.emf"/><Relationship Id="rId10" Type="http://schemas.openxmlformats.org/officeDocument/2006/relationships/hyperlink" Target="mailto:ginablazanin@utexas.edu" TargetMode="External"/><Relationship Id="rId19" Type="http://schemas.openxmlformats.org/officeDocument/2006/relationships/header" Target="header2.xml"/><Relationship Id="rId31" Type="http://schemas.openxmlformats.org/officeDocument/2006/relationships/image" Target="media/image6.emf"/><Relationship Id="rId4" Type="http://schemas.openxmlformats.org/officeDocument/2006/relationships/styles" Target="styles.xml"/><Relationship Id="rId9" Type="http://schemas.openxmlformats.org/officeDocument/2006/relationships/hyperlink" Target="mailto:angela.haddad@utexas.edu" TargetMode="Externa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3.png"/><Relationship Id="rId30" Type="http://schemas.openxmlformats.org/officeDocument/2006/relationships/image" Target="media/image5.emf"/><Relationship Id="rId35" Type="http://schemas.microsoft.com/office/2018/08/relationships/commentsExtensible" Target="commentsExtensi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Box\TxDOT%200-7065%20Innovative%20Financing\Work\Task5_Database.v3\Revenue%20Projection\mechanism%20performance%20matri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gel\Box\TxDOT%200-7065%20Innovative%20Financing\Work\Task5_Database.v3\Revenue%20Projection\mechanism%20performance%20matri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gel\Box\TxDOT%200-7065%20Innovative%20Financing\Work\Task5_Database.v3\Revenue%20Projection\mechanism%20performance%20matrix.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gel\Box\TxDOT%200-7065%20Innovative%20Financing\Work\Task5_Database.v3\Revenue%20Projection\mechanism%20performance%20matri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gel\Box\TxDOT%200-7065%20Innovative%20Financing\Work\Task5_Database.v3\Revenue%20Projection\mechanism%20performance%20matri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gel\Box\TxDOT%200-7065%20Innovative%20Financing\Work\Task5_Database.v3\Revenue%20Projection\mechanism%20performance%20matrix.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gel\Box\TxDOT%200-7065%20Innovative%20Financing\Work\Task5_Database.v3\Revenue%20Projection\mechanism%20performance%20matrix.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Interpolation!$B$20</c:f>
              <c:strCache>
                <c:ptCount val="1"/>
                <c:pt idx="0">
                  <c:v>Predictability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Interpolation!$B$21:$B$25</c:f>
              <c:numCache>
                <c:formatCode>General</c:formatCode>
                <c:ptCount val="5"/>
                <c:pt idx="0">
                  <c:v>0</c:v>
                </c:pt>
                <c:pt idx="1">
                  <c:v>1</c:v>
                </c:pt>
                <c:pt idx="2">
                  <c:v>2</c:v>
                </c:pt>
                <c:pt idx="3">
                  <c:v>4</c:v>
                </c:pt>
                <c:pt idx="4">
                  <c:v>5</c:v>
                </c:pt>
              </c:numCache>
            </c:numRef>
          </c:yVal>
          <c:smooth val="0"/>
          <c:extLst>
            <c:ext xmlns:c16="http://schemas.microsoft.com/office/drawing/2014/chart" uri="{C3380CC4-5D6E-409C-BE32-E72D297353CC}">
              <c16:uniqueId val="{00000000-3174-46ED-9F24-40AA3CC4F0D4}"/>
            </c:ext>
          </c:extLst>
        </c:ser>
        <c:ser>
          <c:idx val="1"/>
          <c:order val="1"/>
          <c:tx>
            <c:strRef>
              <c:f>Interpolation!$C$20</c:f>
              <c:strCache>
                <c:ptCount val="1"/>
                <c:pt idx="0">
                  <c:v>Stability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Interpolation!$C$21:$C$25</c:f>
              <c:numCache>
                <c:formatCode>General</c:formatCode>
                <c:ptCount val="5"/>
                <c:pt idx="0">
                  <c:v>0</c:v>
                </c:pt>
                <c:pt idx="1">
                  <c:v>0.5</c:v>
                </c:pt>
                <c:pt idx="2">
                  <c:v>1.5</c:v>
                </c:pt>
                <c:pt idx="3">
                  <c:v>3</c:v>
                </c:pt>
                <c:pt idx="4">
                  <c:v>4</c:v>
                </c:pt>
              </c:numCache>
            </c:numRef>
          </c:yVal>
          <c:smooth val="0"/>
          <c:extLst>
            <c:ext xmlns:c16="http://schemas.microsoft.com/office/drawing/2014/chart" uri="{C3380CC4-5D6E-409C-BE32-E72D297353CC}">
              <c16:uniqueId val="{00000001-3174-46ED-9F24-40AA3CC4F0D4}"/>
            </c:ext>
          </c:extLst>
        </c:ser>
        <c:ser>
          <c:idx val="2"/>
          <c:order val="2"/>
          <c:tx>
            <c:strRef>
              <c:f>Interpolation!$D$20</c:f>
              <c:strCache>
                <c:ptCount val="1"/>
                <c:pt idx="0">
                  <c:v>Sustainability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Interpolation!$D$21:$D$25</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2-3174-46ED-9F24-40AA3CC4F0D4}"/>
            </c:ext>
          </c:extLst>
        </c:ser>
        <c:ser>
          <c:idx val="3"/>
          <c:order val="3"/>
          <c:tx>
            <c:strRef>
              <c:f>Interpolation!$E$20</c:f>
              <c:strCache>
                <c:ptCount val="1"/>
                <c:pt idx="0">
                  <c:v>Revenue Potential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Interpolation!$E$21:$E$25</c:f>
              <c:numCache>
                <c:formatCode>General</c:formatCode>
                <c:ptCount val="5"/>
                <c:pt idx="0">
                  <c:v>0</c:v>
                </c:pt>
                <c:pt idx="1">
                  <c:v>1</c:v>
                </c:pt>
                <c:pt idx="2">
                  <c:v>2</c:v>
                </c:pt>
                <c:pt idx="3">
                  <c:v>4</c:v>
                </c:pt>
                <c:pt idx="4">
                  <c:v>5</c:v>
                </c:pt>
              </c:numCache>
            </c:numRef>
          </c:yVal>
          <c:smooth val="0"/>
          <c:extLst>
            <c:ext xmlns:c16="http://schemas.microsoft.com/office/drawing/2014/chart" uri="{C3380CC4-5D6E-409C-BE32-E72D297353CC}">
              <c16:uniqueId val="{00000003-3174-46ED-9F24-40AA3CC4F0D4}"/>
            </c:ext>
          </c:extLst>
        </c:ser>
        <c:ser>
          <c:idx val="4"/>
          <c:order val="4"/>
          <c:tx>
            <c:strRef>
              <c:f>Interpolation!$F$20</c:f>
              <c:strCache>
                <c:ptCount val="1"/>
                <c:pt idx="0">
                  <c:v>Current Use Status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Interpolation!$F$21:$F$25</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4-3174-46ED-9F24-40AA3CC4F0D4}"/>
            </c:ext>
          </c:extLst>
        </c:ser>
        <c:ser>
          <c:idx val="5"/>
          <c:order val="5"/>
          <c:tx>
            <c:strRef>
              <c:f>Interpolation!$G$20</c:f>
              <c:strCache>
                <c:ptCount val="1"/>
                <c:pt idx="0">
                  <c:v>Ease of Implementation</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Interpolation!$G$21:$G$25</c:f>
              <c:numCache>
                <c:formatCode>General</c:formatCode>
                <c:ptCount val="5"/>
                <c:pt idx="0">
                  <c:v>5</c:v>
                </c:pt>
                <c:pt idx="1">
                  <c:v>4</c:v>
                </c:pt>
                <c:pt idx="2">
                  <c:v>3</c:v>
                </c:pt>
                <c:pt idx="3">
                  <c:v>1</c:v>
                </c:pt>
                <c:pt idx="4">
                  <c:v>0</c:v>
                </c:pt>
              </c:numCache>
            </c:numRef>
          </c:yVal>
          <c:smooth val="0"/>
          <c:extLst>
            <c:ext xmlns:c16="http://schemas.microsoft.com/office/drawing/2014/chart" uri="{C3380CC4-5D6E-409C-BE32-E72D297353CC}">
              <c16:uniqueId val="{00000005-3174-46ED-9F24-40AA3CC4F0D4}"/>
            </c:ext>
          </c:extLst>
        </c:ser>
        <c:ser>
          <c:idx val="6"/>
          <c:order val="6"/>
          <c:tx>
            <c:strRef>
              <c:f>Interpolation!$H$20</c:f>
              <c:strCache>
                <c:ptCount val="1"/>
                <c:pt idx="0">
                  <c:v>Ability to Enforce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Interpolation!$H$21:$H$25</c:f>
              <c:numCache>
                <c:formatCode>General</c:formatCode>
                <c:ptCount val="5"/>
                <c:pt idx="0">
                  <c:v>2</c:v>
                </c:pt>
                <c:pt idx="1">
                  <c:v>2</c:v>
                </c:pt>
                <c:pt idx="2">
                  <c:v>2</c:v>
                </c:pt>
                <c:pt idx="3">
                  <c:v>1</c:v>
                </c:pt>
                <c:pt idx="4">
                  <c:v>0</c:v>
                </c:pt>
              </c:numCache>
            </c:numRef>
          </c:yVal>
          <c:smooth val="0"/>
          <c:extLst>
            <c:ext xmlns:c16="http://schemas.microsoft.com/office/drawing/2014/chart" uri="{C3380CC4-5D6E-409C-BE32-E72D297353CC}">
              <c16:uniqueId val="{00000006-3174-46ED-9F24-40AA3CC4F0D4}"/>
            </c:ext>
          </c:extLst>
        </c:ser>
        <c:ser>
          <c:idx val="7"/>
          <c:order val="7"/>
          <c:tx>
            <c:strRef>
              <c:f>Interpolation!$I$20</c:f>
              <c:strCache>
                <c:ptCount val="1"/>
                <c:pt idx="0">
                  <c:v>Public Acceptance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Interpolation!$I$21:$I$25</c:f>
              <c:numCache>
                <c:formatCode>General</c:formatCode>
                <c:ptCount val="5"/>
                <c:pt idx="0">
                  <c:v>5</c:v>
                </c:pt>
                <c:pt idx="1">
                  <c:v>4</c:v>
                </c:pt>
                <c:pt idx="2">
                  <c:v>3</c:v>
                </c:pt>
                <c:pt idx="3">
                  <c:v>1</c:v>
                </c:pt>
                <c:pt idx="4">
                  <c:v>0</c:v>
                </c:pt>
              </c:numCache>
            </c:numRef>
          </c:yVal>
          <c:smooth val="0"/>
          <c:extLst>
            <c:ext xmlns:c16="http://schemas.microsoft.com/office/drawing/2014/chart" uri="{C3380CC4-5D6E-409C-BE32-E72D297353CC}">
              <c16:uniqueId val="{00000007-3174-46ED-9F24-40AA3CC4F0D4}"/>
            </c:ext>
          </c:extLst>
        </c:ser>
        <c:ser>
          <c:idx val="8"/>
          <c:order val="8"/>
          <c:tx>
            <c:strRef>
              <c:f>Interpolation!$J$20</c:f>
              <c:strCache>
                <c:ptCount val="1"/>
                <c:pt idx="0">
                  <c:v>Promotion of efficient use</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Interpolation!$J$21:$J$25</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8-3174-46ED-9F24-40AA3CC4F0D4}"/>
            </c:ext>
          </c:extLst>
        </c:ser>
        <c:ser>
          <c:idx val="9"/>
          <c:order val="9"/>
          <c:tx>
            <c:strRef>
              <c:f>Interpolation!$K$20</c:f>
              <c:strCache>
                <c:ptCount val="1"/>
                <c:pt idx="0">
                  <c:v>User/Beneficiary Cost</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Interpolation!$K$21:$K$25</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9-3174-46ED-9F24-40AA3CC4F0D4}"/>
            </c:ext>
          </c:extLst>
        </c:ser>
        <c:ser>
          <c:idx val="10"/>
          <c:order val="10"/>
          <c:tx>
            <c:strRef>
              <c:f>Interpolation!$L$20</c:f>
              <c:strCache>
                <c:ptCount val="1"/>
                <c:pt idx="0">
                  <c:v>Promotes Social Equity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Interpolation!$A$21:$A$25</c:f>
              <c:numCache>
                <c:formatCode>General</c:formatCode>
                <c:ptCount val="5"/>
                <c:pt idx="0">
                  <c:v>0</c:v>
                </c:pt>
                <c:pt idx="1">
                  <c:v>1</c:v>
                </c:pt>
                <c:pt idx="2">
                  <c:v>2</c:v>
                </c:pt>
                <c:pt idx="3">
                  <c:v>4</c:v>
                </c:pt>
                <c:pt idx="4">
                  <c:v>5.5</c:v>
                </c:pt>
              </c:numCache>
            </c:numRef>
          </c:xVal>
          <c:yVal>
            <c:numRef>
              <c:f>Interpolation!$L$21:$L$25</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A-3174-46ED-9F24-40AA3CC4F0D4}"/>
            </c:ext>
          </c:extLst>
        </c:ser>
        <c:dLbls>
          <c:showLegendKey val="0"/>
          <c:showVal val="0"/>
          <c:showCatName val="0"/>
          <c:showSerName val="0"/>
          <c:showPercent val="0"/>
          <c:showBubbleSize val="0"/>
        </c:dLbls>
        <c:axId val="45876704"/>
        <c:axId val="255498896"/>
      </c:scatterChart>
      <c:valAx>
        <c:axId val="45876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r>
                  <a:rPr lang="en-US"/>
                  <a:t>Characteristic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255498896"/>
        <c:crosses val="autoZero"/>
        <c:crossBetween val="midCat"/>
      </c:valAx>
      <c:valAx>
        <c:axId val="2554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r>
                  <a:rPr lang="en-US"/>
                  <a:t>Criteria Importance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45876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Interpolation!$B$20</c:f>
              <c:strCache>
                <c:ptCount val="1"/>
                <c:pt idx="0">
                  <c:v>Predictability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Interpolation!$B$28:$B$32</c:f>
              <c:numCache>
                <c:formatCode>General</c:formatCode>
                <c:ptCount val="5"/>
                <c:pt idx="0">
                  <c:v>0</c:v>
                </c:pt>
                <c:pt idx="1">
                  <c:v>2</c:v>
                </c:pt>
                <c:pt idx="2">
                  <c:v>4</c:v>
                </c:pt>
                <c:pt idx="3">
                  <c:v>4</c:v>
                </c:pt>
                <c:pt idx="4">
                  <c:v>4</c:v>
                </c:pt>
              </c:numCache>
            </c:numRef>
          </c:yVal>
          <c:smooth val="0"/>
          <c:extLst>
            <c:ext xmlns:c16="http://schemas.microsoft.com/office/drawing/2014/chart" uri="{C3380CC4-5D6E-409C-BE32-E72D297353CC}">
              <c16:uniqueId val="{00000000-8969-4CFB-9454-B1844AD7F818}"/>
            </c:ext>
          </c:extLst>
        </c:ser>
        <c:ser>
          <c:idx val="1"/>
          <c:order val="1"/>
          <c:tx>
            <c:strRef>
              <c:f>Interpolation!$C$20</c:f>
              <c:strCache>
                <c:ptCount val="1"/>
                <c:pt idx="0">
                  <c:v>Stability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Interpolation!$C$28:$C$32</c:f>
              <c:numCache>
                <c:formatCode>General</c:formatCode>
                <c:ptCount val="5"/>
                <c:pt idx="0">
                  <c:v>0</c:v>
                </c:pt>
                <c:pt idx="1">
                  <c:v>3</c:v>
                </c:pt>
                <c:pt idx="2">
                  <c:v>5</c:v>
                </c:pt>
                <c:pt idx="3">
                  <c:v>5</c:v>
                </c:pt>
                <c:pt idx="4">
                  <c:v>5</c:v>
                </c:pt>
              </c:numCache>
            </c:numRef>
          </c:yVal>
          <c:smooth val="0"/>
          <c:extLst>
            <c:ext xmlns:c16="http://schemas.microsoft.com/office/drawing/2014/chart" uri="{C3380CC4-5D6E-409C-BE32-E72D297353CC}">
              <c16:uniqueId val="{00000001-8969-4CFB-9454-B1844AD7F818}"/>
            </c:ext>
          </c:extLst>
        </c:ser>
        <c:ser>
          <c:idx val="2"/>
          <c:order val="2"/>
          <c:tx>
            <c:strRef>
              <c:f>Interpolation!$D$20</c:f>
              <c:strCache>
                <c:ptCount val="1"/>
                <c:pt idx="0">
                  <c:v>Sustainability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Interpolation!$D$28:$D$32</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2-8969-4CFB-9454-B1844AD7F818}"/>
            </c:ext>
          </c:extLst>
        </c:ser>
        <c:ser>
          <c:idx val="3"/>
          <c:order val="3"/>
          <c:tx>
            <c:strRef>
              <c:f>Interpolation!$E$20</c:f>
              <c:strCache>
                <c:ptCount val="1"/>
                <c:pt idx="0">
                  <c:v>Revenue Potential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Interpolation!$E$28:$E$32</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3-8969-4CFB-9454-B1844AD7F818}"/>
            </c:ext>
          </c:extLst>
        </c:ser>
        <c:ser>
          <c:idx val="4"/>
          <c:order val="4"/>
          <c:tx>
            <c:strRef>
              <c:f>Interpolation!$F$20</c:f>
              <c:strCache>
                <c:ptCount val="1"/>
                <c:pt idx="0">
                  <c:v>Current Use Status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Interpolation!$F$28:$F$32</c:f>
              <c:numCache>
                <c:formatCode>General</c:formatCode>
                <c:ptCount val="5"/>
                <c:pt idx="0">
                  <c:v>5</c:v>
                </c:pt>
                <c:pt idx="1">
                  <c:v>3</c:v>
                </c:pt>
                <c:pt idx="2">
                  <c:v>2</c:v>
                </c:pt>
                <c:pt idx="3">
                  <c:v>2</c:v>
                </c:pt>
                <c:pt idx="4">
                  <c:v>2</c:v>
                </c:pt>
              </c:numCache>
            </c:numRef>
          </c:yVal>
          <c:smooth val="0"/>
          <c:extLst>
            <c:ext xmlns:c16="http://schemas.microsoft.com/office/drawing/2014/chart" uri="{C3380CC4-5D6E-409C-BE32-E72D297353CC}">
              <c16:uniqueId val="{00000004-8969-4CFB-9454-B1844AD7F818}"/>
            </c:ext>
          </c:extLst>
        </c:ser>
        <c:ser>
          <c:idx val="5"/>
          <c:order val="5"/>
          <c:tx>
            <c:strRef>
              <c:f>Interpolation!$G$20</c:f>
              <c:strCache>
                <c:ptCount val="1"/>
                <c:pt idx="0">
                  <c:v>Ease of Implementation</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Interpolation!$G$28:$G$32</c:f>
              <c:numCache>
                <c:formatCode>General</c:formatCode>
                <c:ptCount val="5"/>
                <c:pt idx="0">
                  <c:v>5</c:v>
                </c:pt>
                <c:pt idx="1">
                  <c:v>3</c:v>
                </c:pt>
                <c:pt idx="2">
                  <c:v>2</c:v>
                </c:pt>
                <c:pt idx="3">
                  <c:v>2</c:v>
                </c:pt>
                <c:pt idx="4">
                  <c:v>0</c:v>
                </c:pt>
              </c:numCache>
            </c:numRef>
          </c:yVal>
          <c:smooth val="0"/>
          <c:extLst>
            <c:ext xmlns:c16="http://schemas.microsoft.com/office/drawing/2014/chart" uri="{C3380CC4-5D6E-409C-BE32-E72D297353CC}">
              <c16:uniqueId val="{00000005-8969-4CFB-9454-B1844AD7F818}"/>
            </c:ext>
          </c:extLst>
        </c:ser>
        <c:ser>
          <c:idx val="6"/>
          <c:order val="6"/>
          <c:tx>
            <c:strRef>
              <c:f>Interpolation!$H$20</c:f>
              <c:strCache>
                <c:ptCount val="1"/>
                <c:pt idx="0">
                  <c:v>Ability to Enforce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Interpolation!$H$28:$H$32</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6-8969-4CFB-9454-B1844AD7F818}"/>
            </c:ext>
          </c:extLst>
        </c:ser>
        <c:ser>
          <c:idx val="7"/>
          <c:order val="7"/>
          <c:tx>
            <c:strRef>
              <c:f>Interpolation!$I$20</c:f>
              <c:strCache>
                <c:ptCount val="1"/>
                <c:pt idx="0">
                  <c:v>Public Acceptance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Interpolation!$I$28:$I$32</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7-8969-4CFB-9454-B1844AD7F818}"/>
            </c:ext>
          </c:extLst>
        </c:ser>
        <c:ser>
          <c:idx val="8"/>
          <c:order val="8"/>
          <c:tx>
            <c:strRef>
              <c:f>Interpolation!$J$20</c:f>
              <c:strCache>
                <c:ptCount val="1"/>
                <c:pt idx="0">
                  <c:v>Promotion of efficient use</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Interpolation!$J$28:$J$32</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8-8969-4CFB-9454-B1844AD7F818}"/>
            </c:ext>
          </c:extLst>
        </c:ser>
        <c:ser>
          <c:idx val="9"/>
          <c:order val="9"/>
          <c:tx>
            <c:strRef>
              <c:f>Interpolation!$K$20</c:f>
              <c:strCache>
                <c:ptCount val="1"/>
                <c:pt idx="0">
                  <c:v>User/Beneficiary Cost</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Interpolation!$K$28:$K$32</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9-8969-4CFB-9454-B1844AD7F818}"/>
            </c:ext>
          </c:extLst>
        </c:ser>
        <c:ser>
          <c:idx val="10"/>
          <c:order val="10"/>
          <c:tx>
            <c:strRef>
              <c:f>Interpolation!$L$20</c:f>
              <c:strCache>
                <c:ptCount val="1"/>
                <c:pt idx="0">
                  <c:v>Promotes Social Equity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Interpolation!$A$28:$A$32</c:f>
              <c:numCache>
                <c:formatCode>General</c:formatCode>
                <c:ptCount val="5"/>
                <c:pt idx="0">
                  <c:v>0</c:v>
                </c:pt>
                <c:pt idx="1">
                  <c:v>3</c:v>
                </c:pt>
                <c:pt idx="2">
                  <c:v>4</c:v>
                </c:pt>
                <c:pt idx="3">
                  <c:v>4</c:v>
                </c:pt>
                <c:pt idx="4">
                  <c:v>5</c:v>
                </c:pt>
              </c:numCache>
            </c:numRef>
          </c:xVal>
          <c:yVal>
            <c:numRef>
              <c:f>Interpolation!$L$28:$L$32</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A-8969-4CFB-9454-B1844AD7F818}"/>
            </c:ext>
          </c:extLst>
        </c:ser>
        <c:dLbls>
          <c:showLegendKey val="0"/>
          <c:showVal val="0"/>
          <c:showCatName val="0"/>
          <c:showSerName val="0"/>
          <c:showPercent val="0"/>
          <c:showBubbleSize val="0"/>
        </c:dLbls>
        <c:axId val="45876704"/>
        <c:axId val="255498896"/>
      </c:scatterChart>
      <c:valAx>
        <c:axId val="45876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Characteristic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5498896"/>
        <c:crosses val="autoZero"/>
        <c:crossBetween val="midCat"/>
      </c:valAx>
      <c:valAx>
        <c:axId val="2554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Criteria Importance</a:t>
                </a:r>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876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Interpolation!$B$20</c:f>
              <c:strCache>
                <c:ptCount val="1"/>
                <c:pt idx="0">
                  <c:v>Predictability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Interpolation!$A$35:$A$38</c:f>
              <c:numCache>
                <c:formatCode>General</c:formatCode>
                <c:ptCount val="4"/>
                <c:pt idx="0">
                  <c:v>-1</c:v>
                </c:pt>
                <c:pt idx="1">
                  <c:v>-1</c:v>
                </c:pt>
                <c:pt idx="2">
                  <c:v>0</c:v>
                </c:pt>
                <c:pt idx="3">
                  <c:v>1</c:v>
                </c:pt>
              </c:numCache>
            </c:numRef>
          </c:xVal>
          <c:yVal>
            <c:numRef>
              <c:f>Interpolation!$B$35:$B$38</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0-6D64-4EA2-8ED3-ACF12F9E4788}"/>
            </c:ext>
          </c:extLst>
        </c:ser>
        <c:ser>
          <c:idx val="1"/>
          <c:order val="1"/>
          <c:tx>
            <c:strRef>
              <c:f>Interpolation!$C$20</c:f>
              <c:strCache>
                <c:ptCount val="1"/>
                <c:pt idx="0">
                  <c:v>Stability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Interpolation!$A$35:$A$38</c:f>
              <c:numCache>
                <c:formatCode>General</c:formatCode>
                <c:ptCount val="4"/>
                <c:pt idx="0">
                  <c:v>-1</c:v>
                </c:pt>
                <c:pt idx="1">
                  <c:v>-1</c:v>
                </c:pt>
                <c:pt idx="2">
                  <c:v>0</c:v>
                </c:pt>
                <c:pt idx="3">
                  <c:v>1</c:v>
                </c:pt>
              </c:numCache>
            </c:numRef>
          </c:xVal>
          <c:yVal>
            <c:numRef>
              <c:f>Interpolation!$C$35:$C$38</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1-6D64-4EA2-8ED3-ACF12F9E4788}"/>
            </c:ext>
          </c:extLst>
        </c:ser>
        <c:ser>
          <c:idx val="2"/>
          <c:order val="2"/>
          <c:tx>
            <c:strRef>
              <c:f>Interpolation!$D$20</c:f>
              <c:strCache>
                <c:ptCount val="1"/>
                <c:pt idx="0">
                  <c:v>Sustainability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Interpolation!$A$35:$A$38</c:f>
              <c:numCache>
                <c:formatCode>General</c:formatCode>
                <c:ptCount val="4"/>
                <c:pt idx="0">
                  <c:v>-1</c:v>
                </c:pt>
                <c:pt idx="1">
                  <c:v>-1</c:v>
                </c:pt>
                <c:pt idx="2">
                  <c:v>0</c:v>
                </c:pt>
                <c:pt idx="3">
                  <c:v>1</c:v>
                </c:pt>
              </c:numCache>
            </c:numRef>
          </c:xVal>
          <c:yVal>
            <c:numRef>
              <c:f>Interpolation!$D$35:$D$38</c:f>
              <c:numCache>
                <c:formatCode>General</c:formatCode>
                <c:ptCount val="4"/>
                <c:pt idx="0">
                  <c:v>0</c:v>
                </c:pt>
                <c:pt idx="1">
                  <c:v>0</c:v>
                </c:pt>
                <c:pt idx="2">
                  <c:v>3</c:v>
                </c:pt>
                <c:pt idx="3">
                  <c:v>3</c:v>
                </c:pt>
              </c:numCache>
            </c:numRef>
          </c:yVal>
          <c:smooth val="0"/>
          <c:extLst>
            <c:ext xmlns:c16="http://schemas.microsoft.com/office/drawing/2014/chart" uri="{C3380CC4-5D6E-409C-BE32-E72D297353CC}">
              <c16:uniqueId val="{00000002-6D64-4EA2-8ED3-ACF12F9E4788}"/>
            </c:ext>
          </c:extLst>
        </c:ser>
        <c:ser>
          <c:idx val="3"/>
          <c:order val="3"/>
          <c:tx>
            <c:strRef>
              <c:f>Interpolation!$E$20</c:f>
              <c:strCache>
                <c:ptCount val="1"/>
                <c:pt idx="0">
                  <c:v>Revenue Potential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Interpolation!$A$35:$A$38</c:f>
              <c:numCache>
                <c:formatCode>General</c:formatCode>
                <c:ptCount val="4"/>
                <c:pt idx="0">
                  <c:v>-1</c:v>
                </c:pt>
                <c:pt idx="1">
                  <c:v>-1</c:v>
                </c:pt>
                <c:pt idx="2">
                  <c:v>0</c:v>
                </c:pt>
                <c:pt idx="3">
                  <c:v>1</c:v>
                </c:pt>
              </c:numCache>
            </c:numRef>
          </c:xVal>
          <c:yVal>
            <c:numRef>
              <c:f>Interpolation!$E$35:$E$38</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3-6D64-4EA2-8ED3-ACF12F9E4788}"/>
            </c:ext>
          </c:extLst>
        </c:ser>
        <c:ser>
          <c:idx val="4"/>
          <c:order val="4"/>
          <c:tx>
            <c:strRef>
              <c:f>Interpolation!$F$20</c:f>
              <c:strCache>
                <c:ptCount val="1"/>
                <c:pt idx="0">
                  <c:v>Current Use Status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Interpolation!$A$35:$A$38</c:f>
              <c:numCache>
                <c:formatCode>General</c:formatCode>
                <c:ptCount val="4"/>
                <c:pt idx="0">
                  <c:v>-1</c:v>
                </c:pt>
                <c:pt idx="1">
                  <c:v>-1</c:v>
                </c:pt>
                <c:pt idx="2">
                  <c:v>0</c:v>
                </c:pt>
                <c:pt idx="3">
                  <c:v>1</c:v>
                </c:pt>
              </c:numCache>
            </c:numRef>
          </c:xVal>
          <c:yVal>
            <c:numRef>
              <c:f>Interpolation!$F$35:$F$38</c:f>
              <c:numCache>
                <c:formatCode>General</c:formatCode>
                <c:ptCount val="4"/>
                <c:pt idx="0">
                  <c:v>4</c:v>
                </c:pt>
                <c:pt idx="1">
                  <c:v>4</c:v>
                </c:pt>
                <c:pt idx="2">
                  <c:v>2</c:v>
                </c:pt>
                <c:pt idx="3">
                  <c:v>0</c:v>
                </c:pt>
              </c:numCache>
            </c:numRef>
          </c:yVal>
          <c:smooth val="0"/>
          <c:extLst>
            <c:ext xmlns:c16="http://schemas.microsoft.com/office/drawing/2014/chart" uri="{C3380CC4-5D6E-409C-BE32-E72D297353CC}">
              <c16:uniqueId val="{00000004-6D64-4EA2-8ED3-ACF12F9E4788}"/>
            </c:ext>
          </c:extLst>
        </c:ser>
        <c:ser>
          <c:idx val="5"/>
          <c:order val="5"/>
          <c:tx>
            <c:strRef>
              <c:f>Interpolation!$G$20</c:f>
              <c:strCache>
                <c:ptCount val="1"/>
                <c:pt idx="0">
                  <c:v>Ease of Implementation</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Interpolation!$A$35:$A$38</c:f>
              <c:numCache>
                <c:formatCode>General</c:formatCode>
                <c:ptCount val="4"/>
                <c:pt idx="0">
                  <c:v>-1</c:v>
                </c:pt>
                <c:pt idx="1">
                  <c:v>-1</c:v>
                </c:pt>
                <c:pt idx="2">
                  <c:v>0</c:v>
                </c:pt>
                <c:pt idx="3">
                  <c:v>1</c:v>
                </c:pt>
              </c:numCache>
            </c:numRef>
          </c:xVal>
          <c:yVal>
            <c:numRef>
              <c:f>Interpolation!$G$35:$G$38</c:f>
              <c:numCache>
                <c:formatCode>General</c:formatCode>
                <c:ptCount val="4"/>
                <c:pt idx="0">
                  <c:v>3</c:v>
                </c:pt>
                <c:pt idx="1">
                  <c:v>3</c:v>
                </c:pt>
                <c:pt idx="2">
                  <c:v>1</c:v>
                </c:pt>
                <c:pt idx="3">
                  <c:v>0</c:v>
                </c:pt>
              </c:numCache>
            </c:numRef>
          </c:yVal>
          <c:smooth val="0"/>
          <c:extLst>
            <c:ext xmlns:c16="http://schemas.microsoft.com/office/drawing/2014/chart" uri="{C3380CC4-5D6E-409C-BE32-E72D297353CC}">
              <c16:uniqueId val="{00000005-6D64-4EA2-8ED3-ACF12F9E4788}"/>
            </c:ext>
          </c:extLst>
        </c:ser>
        <c:ser>
          <c:idx val="6"/>
          <c:order val="6"/>
          <c:tx>
            <c:strRef>
              <c:f>Interpolation!$H$20</c:f>
              <c:strCache>
                <c:ptCount val="1"/>
                <c:pt idx="0">
                  <c:v>Ability to Enforce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Interpolation!$A$35:$A$38</c:f>
              <c:numCache>
                <c:formatCode>General</c:formatCode>
                <c:ptCount val="4"/>
                <c:pt idx="0">
                  <c:v>-1</c:v>
                </c:pt>
                <c:pt idx="1">
                  <c:v>-1</c:v>
                </c:pt>
                <c:pt idx="2">
                  <c:v>0</c:v>
                </c:pt>
                <c:pt idx="3">
                  <c:v>1</c:v>
                </c:pt>
              </c:numCache>
            </c:numRef>
          </c:xVal>
          <c:yVal>
            <c:numRef>
              <c:f>Interpolation!$H$35:$H$38</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6-6D64-4EA2-8ED3-ACF12F9E4788}"/>
            </c:ext>
          </c:extLst>
        </c:ser>
        <c:ser>
          <c:idx val="7"/>
          <c:order val="7"/>
          <c:tx>
            <c:strRef>
              <c:f>Interpolation!$I$20</c:f>
              <c:strCache>
                <c:ptCount val="1"/>
                <c:pt idx="0">
                  <c:v>Public Acceptance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Interpolation!$A$35:$A$38</c:f>
              <c:numCache>
                <c:formatCode>General</c:formatCode>
                <c:ptCount val="4"/>
                <c:pt idx="0">
                  <c:v>-1</c:v>
                </c:pt>
                <c:pt idx="1">
                  <c:v>-1</c:v>
                </c:pt>
                <c:pt idx="2">
                  <c:v>0</c:v>
                </c:pt>
                <c:pt idx="3">
                  <c:v>1</c:v>
                </c:pt>
              </c:numCache>
            </c:numRef>
          </c:xVal>
          <c:yVal>
            <c:numRef>
              <c:f>Interpolation!$I$35:$I$38</c:f>
              <c:numCache>
                <c:formatCode>General</c:formatCode>
                <c:ptCount val="4"/>
                <c:pt idx="0">
                  <c:v>2</c:v>
                </c:pt>
                <c:pt idx="1">
                  <c:v>2</c:v>
                </c:pt>
                <c:pt idx="2">
                  <c:v>0</c:v>
                </c:pt>
                <c:pt idx="3">
                  <c:v>0</c:v>
                </c:pt>
              </c:numCache>
            </c:numRef>
          </c:yVal>
          <c:smooth val="0"/>
          <c:extLst>
            <c:ext xmlns:c16="http://schemas.microsoft.com/office/drawing/2014/chart" uri="{C3380CC4-5D6E-409C-BE32-E72D297353CC}">
              <c16:uniqueId val="{00000007-6D64-4EA2-8ED3-ACF12F9E4788}"/>
            </c:ext>
          </c:extLst>
        </c:ser>
        <c:ser>
          <c:idx val="8"/>
          <c:order val="8"/>
          <c:tx>
            <c:strRef>
              <c:f>Interpolation!$J$20</c:f>
              <c:strCache>
                <c:ptCount val="1"/>
                <c:pt idx="0">
                  <c:v>Promotion of efficient use</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Interpolation!$A$35:$A$38</c:f>
              <c:numCache>
                <c:formatCode>General</c:formatCode>
                <c:ptCount val="4"/>
                <c:pt idx="0">
                  <c:v>-1</c:v>
                </c:pt>
                <c:pt idx="1">
                  <c:v>-1</c:v>
                </c:pt>
                <c:pt idx="2">
                  <c:v>0</c:v>
                </c:pt>
                <c:pt idx="3">
                  <c:v>1</c:v>
                </c:pt>
              </c:numCache>
            </c:numRef>
          </c:xVal>
          <c:yVal>
            <c:numRef>
              <c:f>Interpolation!$J$35:$J$38</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8-6D64-4EA2-8ED3-ACF12F9E4788}"/>
            </c:ext>
          </c:extLst>
        </c:ser>
        <c:ser>
          <c:idx val="9"/>
          <c:order val="9"/>
          <c:tx>
            <c:strRef>
              <c:f>Interpolation!$K$20</c:f>
              <c:strCache>
                <c:ptCount val="1"/>
                <c:pt idx="0">
                  <c:v>User/Beneficiary Cost</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Interpolation!$A$35:$A$38</c:f>
              <c:numCache>
                <c:formatCode>General</c:formatCode>
                <c:ptCount val="4"/>
                <c:pt idx="0">
                  <c:v>-1</c:v>
                </c:pt>
                <c:pt idx="1">
                  <c:v>-1</c:v>
                </c:pt>
                <c:pt idx="2">
                  <c:v>0</c:v>
                </c:pt>
                <c:pt idx="3">
                  <c:v>1</c:v>
                </c:pt>
              </c:numCache>
            </c:numRef>
          </c:xVal>
          <c:yVal>
            <c:numRef>
              <c:f>Interpolation!$K$35:$K$38</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9-6D64-4EA2-8ED3-ACF12F9E4788}"/>
            </c:ext>
          </c:extLst>
        </c:ser>
        <c:ser>
          <c:idx val="10"/>
          <c:order val="10"/>
          <c:tx>
            <c:strRef>
              <c:f>Interpolation!$L$20</c:f>
              <c:strCache>
                <c:ptCount val="1"/>
                <c:pt idx="0">
                  <c:v>Promotes Social Equity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Interpolation!$A$35:$A$38</c:f>
              <c:numCache>
                <c:formatCode>General</c:formatCode>
                <c:ptCount val="4"/>
                <c:pt idx="0">
                  <c:v>-1</c:v>
                </c:pt>
                <c:pt idx="1">
                  <c:v>-1</c:v>
                </c:pt>
                <c:pt idx="2">
                  <c:v>0</c:v>
                </c:pt>
                <c:pt idx="3">
                  <c:v>1</c:v>
                </c:pt>
              </c:numCache>
            </c:numRef>
          </c:xVal>
          <c:yVal>
            <c:numRef>
              <c:f>Interpolation!$L$35:$L$38</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A-6D64-4EA2-8ED3-ACF12F9E4788}"/>
            </c:ext>
          </c:extLst>
        </c:ser>
        <c:dLbls>
          <c:showLegendKey val="0"/>
          <c:showVal val="0"/>
          <c:showCatName val="0"/>
          <c:showSerName val="0"/>
          <c:showPercent val="0"/>
          <c:showBubbleSize val="0"/>
        </c:dLbls>
        <c:axId val="45876704"/>
        <c:axId val="255498896"/>
      </c:scatterChart>
      <c:valAx>
        <c:axId val="45876704"/>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Characteristic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5498896"/>
        <c:crosses val="autoZero"/>
        <c:crossBetween val="midCat"/>
      </c:valAx>
      <c:valAx>
        <c:axId val="2554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Criteria Importance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876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Interpolation!$B$20</c:f>
              <c:strCache>
                <c:ptCount val="1"/>
                <c:pt idx="0">
                  <c:v>Predictability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Interpolation!$B$42:$B$46</c:f>
              <c:numCache>
                <c:formatCode>General</c:formatCode>
                <c:ptCount val="5"/>
                <c:pt idx="0">
                  <c:v>0</c:v>
                </c:pt>
                <c:pt idx="1">
                  <c:v>1</c:v>
                </c:pt>
                <c:pt idx="2">
                  <c:v>2.5</c:v>
                </c:pt>
                <c:pt idx="3">
                  <c:v>3.5</c:v>
                </c:pt>
                <c:pt idx="4">
                  <c:v>4</c:v>
                </c:pt>
              </c:numCache>
            </c:numRef>
          </c:yVal>
          <c:smooth val="0"/>
          <c:extLst>
            <c:ext xmlns:c16="http://schemas.microsoft.com/office/drawing/2014/chart" uri="{C3380CC4-5D6E-409C-BE32-E72D297353CC}">
              <c16:uniqueId val="{00000000-A2A7-44CC-B65D-BDE5F20C6B31}"/>
            </c:ext>
          </c:extLst>
        </c:ser>
        <c:ser>
          <c:idx val="1"/>
          <c:order val="1"/>
          <c:tx>
            <c:strRef>
              <c:f>Interpolation!$C$20</c:f>
              <c:strCache>
                <c:ptCount val="1"/>
                <c:pt idx="0">
                  <c:v>Stability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Interpolation!$C$42:$C$46</c:f>
              <c:numCache>
                <c:formatCode>General</c:formatCode>
                <c:ptCount val="5"/>
                <c:pt idx="0">
                  <c:v>0</c:v>
                </c:pt>
                <c:pt idx="1">
                  <c:v>1</c:v>
                </c:pt>
                <c:pt idx="2">
                  <c:v>2.5</c:v>
                </c:pt>
                <c:pt idx="3">
                  <c:v>3.5</c:v>
                </c:pt>
                <c:pt idx="4">
                  <c:v>4</c:v>
                </c:pt>
              </c:numCache>
            </c:numRef>
          </c:yVal>
          <c:smooth val="0"/>
          <c:extLst>
            <c:ext xmlns:c16="http://schemas.microsoft.com/office/drawing/2014/chart" uri="{C3380CC4-5D6E-409C-BE32-E72D297353CC}">
              <c16:uniqueId val="{00000001-A2A7-44CC-B65D-BDE5F20C6B31}"/>
            </c:ext>
          </c:extLst>
        </c:ser>
        <c:ser>
          <c:idx val="2"/>
          <c:order val="2"/>
          <c:tx>
            <c:strRef>
              <c:f>Interpolation!$D$20</c:f>
              <c:strCache>
                <c:ptCount val="1"/>
                <c:pt idx="0">
                  <c:v>Sustainability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Interpolation!$D$42:$D$46</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2-A2A7-44CC-B65D-BDE5F20C6B31}"/>
            </c:ext>
          </c:extLst>
        </c:ser>
        <c:ser>
          <c:idx val="3"/>
          <c:order val="3"/>
          <c:tx>
            <c:strRef>
              <c:f>Interpolation!$E$20</c:f>
              <c:strCache>
                <c:ptCount val="1"/>
                <c:pt idx="0">
                  <c:v>Revenue Potential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Interpolation!$E$42:$E$46</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3-A2A7-44CC-B65D-BDE5F20C6B31}"/>
            </c:ext>
          </c:extLst>
        </c:ser>
        <c:ser>
          <c:idx val="4"/>
          <c:order val="4"/>
          <c:tx>
            <c:strRef>
              <c:f>Interpolation!$F$20</c:f>
              <c:strCache>
                <c:ptCount val="1"/>
                <c:pt idx="0">
                  <c:v>Current Use Status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Interpolation!$F$42:$F$46</c:f>
              <c:numCache>
                <c:formatCode>General</c:formatCode>
                <c:ptCount val="5"/>
                <c:pt idx="0">
                  <c:v>5</c:v>
                </c:pt>
                <c:pt idx="1">
                  <c:v>4</c:v>
                </c:pt>
                <c:pt idx="2">
                  <c:v>4</c:v>
                </c:pt>
                <c:pt idx="3">
                  <c:v>3.5</c:v>
                </c:pt>
                <c:pt idx="4">
                  <c:v>3</c:v>
                </c:pt>
              </c:numCache>
            </c:numRef>
          </c:yVal>
          <c:smooth val="0"/>
          <c:extLst>
            <c:ext xmlns:c16="http://schemas.microsoft.com/office/drawing/2014/chart" uri="{C3380CC4-5D6E-409C-BE32-E72D297353CC}">
              <c16:uniqueId val="{00000004-A2A7-44CC-B65D-BDE5F20C6B31}"/>
            </c:ext>
          </c:extLst>
        </c:ser>
        <c:ser>
          <c:idx val="5"/>
          <c:order val="5"/>
          <c:tx>
            <c:strRef>
              <c:f>Interpolation!$G$20</c:f>
              <c:strCache>
                <c:ptCount val="1"/>
                <c:pt idx="0">
                  <c:v>Ease of Implementation</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Interpolation!$G$42:$G$46</c:f>
              <c:numCache>
                <c:formatCode>General</c:formatCode>
                <c:ptCount val="5"/>
                <c:pt idx="0">
                  <c:v>5</c:v>
                </c:pt>
                <c:pt idx="1">
                  <c:v>3</c:v>
                </c:pt>
                <c:pt idx="2">
                  <c:v>2</c:v>
                </c:pt>
                <c:pt idx="3">
                  <c:v>1</c:v>
                </c:pt>
                <c:pt idx="4">
                  <c:v>0</c:v>
                </c:pt>
              </c:numCache>
            </c:numRef>
          </c:yVal>
          <c:smooth val="0"/>
          <c:extLst>
            <c:ext xmlns:c16="http://schemas.microsoft.com/office/drawing/2014/chart" uri="{C3380CC4-5D6E-409C-BE32-E72D297353CC}">
              <c16:uniqueId val="{00000005-A2A7-44CC-B65D-BDE5F20C6B31}"/>
            </c:ext>
          </c:extLst>
        </c:ser>
        <c:ser>
          <c:idx val="6"/>
          <c:order val="6"/>
          <c:tx>
            <c:strRef>
              <c:f>Interpolation!$H$20</c:f>
              <c:strCache>
                <c:ptCount val="1"/>
                <c:pt idx="0">
                  <c:v>Ability to Enforce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Interpolation!$H$42:$H$46</c:f>
              <c:numCache>
                <c:formatCode>General</c:formatCode>
                <c:ptCount val="5"/>
                <c:pt idx="0">
                  <c:v>3</c:v>
                </c:pt>
                <c:pt idx="1">
                  <c:v>1</c:v>
                </c:pt>
                <c:pt idx="2">
                  <c:v>1</c:v>
                </c:pt>
                <c:pt idx="3">
                  <c:v>1</c:v>
                </c:pt>
                <c:pt idx="4">
                  <c:v>0</c:v>
                </c:pt>
              </c:numCache>
            </c:numRef>
          </c:yVal>
          <c:smooth val="0"/>
          <c:extLst>
            <c:ext xmlns:c16="http://schemas.microsoft.com/office/drawing/2014/chart" uri="{C3380CC4-5D6E-409C-BE32-E72D297353CC}">
              <c16:uniqueId val="{00000006-A2A7-44CC-B65D-BDE5F20C6B31}"/>
            </c:ext>
          </c:extLst>
        </c:ser>
        <c:ser>
          <c:idx val="7"/>
          <c:order val="7"/>
          <c:tx>
            <c:strRef>
              <c:f>Interpolation!$I$20</c:f>
              <c:strCache>
                <c:ptCount val="1"/>
                <c:pt idx="0">
                  <c:v>Public Acceptance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Interpolation!$I$42:$I$46</c:f>
              <c:numCache>
                <c:formatCode>General</c:formatCode>
                <c:ptCount val="5"/>
                <c:pt idx="0">
                  <c:v>5</c:v>
                </c:pt>
                <c:pt idx="1">
                  <c:v>3</c:v>
                </c:pt>
                <c:pt idx="2">
                  <c:v>2</c:v>
                </c:pt>
                <c:pt idx="3">
                  <c:v>1</c:v>
                </c:pt>
                <c:pt idx="4">
                  <c:v>0</c:v>
                </c:pt>
              </c:numCache>
            </c:numRef>
          </c:yVal>
          <c:smooth val="0"/>
          <c:extLst>
            <c:ext xmlns:c16="http://schemas.microsoft.com/office/drawing/2014/chart" uri="{C3380CC4-5D6E-409C-BE32-E72D297353CC}">
              <c16:uniqueId val="{00000007-A2A7-44CC-B65D-BDE5F20C6B31}"/>
            </c:ext>
          </c:extLst>
        </c:ser>
        <c:ser>
          <c:idx val="8"/>
          <c:order val="8"/>
          <c:tx>
            <c:strRef>
              <c:f>Interpolation!$J$20</c:f>
              <c:strCache>
                <c:ptCount val="1"/>
                <c:pt idx="0">
                  <c:v>Promotion of efficient use</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Interpolation!$J$42:$J$46</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8-A2A7-44CC-B65D-BDE5F20C6B31}"/>
            </c:ext>
          </c:extLst>
        </c:ser>
        <c:ser>
          <c:idx val="9"/>
          <c:order val="9"/>
          <c:tx>
            <c:strRef>
              <c:f>Interpolation!$K$20</c:f>
              <c:strCache>
                <c:ptCount val="1"/>
                <c:pt idx="0">
                  <c:v>User/Beneficiary Cost</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Interpolation!$K$42:$K$46</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9-A2A7-44CC-B65D-BDE5F20C6B31}"/>
            </c:ext>
          </c:extLst>
        </c:ser>
        <c:ser>
          <c:idx val="10"/>
          <c:order val="10"/>
          <c:tx>
            <c:strRef>
              <c:f>Interpolation!$L$20</c:f>
              <c:strCache>
                <c:ptCount val="1"/>
                <c:pt idx="0">
                  <c:v>Promotes Social Equity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Interpolation!$A$42:$A$46</c:f>
              <c:numCache>
                <c:formatCode>General</c:formatCode>
                <c:ptCount val="5"/>
                <c:pt idx="0">
                  <c:v>0</c:v>
                </c:pt>
                <c:pt idx="1">
                  <c:v>2</c:v>
                </c:pt>
                <c:pt idx="2">
                  <c:v>3</c:v>
                </c:pt>
                <c:pt idx="3">
                  <c:v>4.2</c:v>
                </c:pt>
                <c:pt idx="4">
                  <c:v>5.2</c:v>
                </c:pt>
              </c:numCache>
            </c:numRef>
          </c:xVal>
          <c:yVal>
            <c:numRef>
              <c:f>Interpolation!$L$42:$L$46</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A-A2A7-44CC-B65D-BDE5F20C6B31}"/>
            </c:ext>
          </c:extLst>
        </c:ser>
        <c:dLbls>
          <c:showLegendKey val="0"/>
          <c:showVal val="0"/>
          <c:showCatName val="0"/>
          <c:showSerName val="0"/>
          <c:showPercent val="0"/>
          <c:showBubbleSize val="0"/>
        </c:dLbls>
        <c:axId val="45876704"/>
        <c:axId val="255498896"/>
      </c:scatterChart>
      <c:valAx>
        <c:axId val="45876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Characteristic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5498896"/>
        <c:crosses val="autoZero"/>
        <c:crossBetween val="midCat"/>
      </c:valAx>
      <c:valAx>
        <c:axId val="2554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Criteria Importance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876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Interpolation!$B$20</c:f>
              <c:strCache>
                <c:ptCount val="1"/>
                <c:pt idx="0">
                  <c:v>Predictability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Interpolation!$A$56:$A$59</c:f>
              <c:numCache>
                <c:formatCode>General</c:formatCode>
                <c:ptCount val="4"/>
                <c:pt idx="0">
                  <c:v>0</c:v>
                </c:pt>
                <c:pt idx="1">
                  <c:v>0</c:v>
                </c:pt>
                <c:pt idx="2">
                  <c:v>1</c:v>
                </c:pt>
                <c:pt idx="3">
                  <c:v>1</c:v>
                </c:pt>
              </c:numCache>
            </c:numRef>
          </c:xVal>
          <c:yVal>
            <c:numRef>
              <c:f>Interpolation!$B$56:$B$59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0-F112-4BAD-8526-77CA291CF970}"/>
            </c:ext>
          </c:extLst>
        </c:ser>
        <c:ser>
          <c:idx val="1"/>
          <c:order val="1"/>
          <c:tx>
            <c:strRef>
              <c:f>Interpolation!$C$20</c:f>
              <c:strCache>
                <c:ptCount val="1"/>
                <c:pt idx="0">
                  <c:v>Stability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Interpolation!$A$56:$A$59</c:f>
              <c:numCache>
                <c:formatCode>General</c:formatCode>
                <c:ptCount val="4"/>
                <c:pt idx="0">
                  <c:v>0</c:v>
                </c:pt>
                <c:pt idx="1">
                  <c:v>0</c:v>
                </c:pt>
                <c:pt idx="2">
                  <c:v>1</c:v>
                </c:pt>
                <c:pt idx="3">
                  <c:v>1</c:v>
                </c:pt>
              </c:numCache>
            </c:numRef>
          </c:xVal>
          <c:yVal>
            <c:numRef>
              <c:f>Interpolation!$C$56:$C$59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1-F112-4BAD-8526-77CA291CF970}"/>
            </c:ext>
          </c:extLst>
        </c:ser>
        <c:ser>
          <c:idx val="2"/>
          <c:order val="2"/>
          <c:tx>
            <c:strRef>
              <c:f>Interpolation!$D$20</c:f>
              <c:strCache>
                <c:ptCount val="1"/>
                <c:pt idx="0">
                  <c:v>Sustainability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Interpolation!$A$56:$A$59</c:f>
              <c:numCache>
                <c:formatCode>General</c:formatCode>
                <c:ptCount val="4"/>
                <c:pt idx="0">
                  <c:v>0</c:v>
                </c:pt>
                <c:pt idx="1">
                  <c:v>0</c:v>
                </c:pt>
                <c:pt idx="2">
                  <c:v>1</c:v>
                </c:pt>
                <c:pt idx="3">
                  <c:v>1</c:v>
                </c:pt>
              </c:numCache>
            </c:numRef>
          </c:xVal>
          <c:yVal>
            <c:numRef>
              <c:f>Interpolation!$D$56:$D$59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2-F112-4BAD-8526-77CA291CF970}"/>
            </c:ext>
          </c:extLst>
        </c:ser>
        <c:ser>
          <c:idx val="3"/>
          <c:order val="3"/>
          <c:tx>
            <c:strRef>
              <c:f>Interpolation!$E$20</c:f>
              <c:strCache>
                <c:ptCount val="1"/>
                <c:pt idx="0">
                  <c:v>Revenue Potential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Interpolation!$A$56:$A$59</c:f>
              <c:numCache>
                <c:formatCode>General</c:formatCode>
                <c:ptCount val="4"/>
                <c:pt idx="0">
                  <c:v>0</c:v>
                </c:pt>
                <c:pt idx="1">
                  <c:v>0</c:v>
                </c:pt>
                <c:pt idx="2">
                  <c:v>1</c:v>
                </c:pt>
                <c:pt idx="3">
                  <c:v>1</c:v>
                </c:pt>
              </c:numCache>
            </c:numRef>
          </c:xVal>
          <c:yVal>
            <c:numRef>
              <c:f>Interpolation!$E$56:$E$59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3-F112-4BAD-8526-77CA291CF970}"/>
            </c:ext>
          </c:extLst>
        </c:ser>
        <c:ser>
          <c:idx val="4"/>
          <c:order val="4"/>
          <c:tx>
            <c:strRef>
              <c:f>Interpolation!$F$20</c:f>
              <c:strCache>
                <c:ptCount val="1"/>
                <c:pt idx="0">
                  <c:v>Current Use Status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Interpolation!$A$56:$A$59</c:f>
              <c:numCache>
                <c:formatCode>General</c:formatCode>
                <c:ptCount val="4"/>
                <c:pt idx="0">
                  <c:v>0</c:v>
                </c:pt>
                <c:pt idx="1">
                  <c:v>0</c:v>
                </c:pt>
                <c:pt idx="2">
                  <c:v>1</c:v>
                </c:pt>
                <c:pt idx="3">
                  <c:v>1</c:v>
                </c:pt>
              </c:numCache>
            </c:numRef>
          </c:xVal>
          <c:yVal>
            <c:numRef>
              <c:f>Interpolation!$F$56:$F$59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4-F112-4BAD-8526-77CA291CF970}"/>
            </c:ext>
          </c:extLst>
        </c:ser>
        <c:ser>
          <c:idx val="5"/>
          <c:order val="5"/>
          <c:tx>
            <c:strRef>
              <c:f>Interpolation!$G$20</c:f>
              <c:strCache>
                <c:ptCount val="1"/>
                <c:pt idx="0">
                  <c:v>Ease of Implementation</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Interpolation!$A$56:$A$59</c:f>
              <c:numCache>
                <c:formatCode>General</c:formatCode>
                <c:ptCount val="4"/>
                <c:pt idx="0">
                  <c:v>0</c:v>
                </c:pt>
                <c:pt idx="1">
                  <c:v>0</c:v>
                </c:pt>
                <c:pt idx="2">
                  <c:v>1</c:v>
                </c:pt>
                <c:pt idx="3">
                  <c:v>1</c:v>
                </c:pt>
              </c:numCache>
            </c:numRef>
          </c:xVal>
          <c:yVal>
            <c:numRef>
              <c:f>Interpolation!$G$56:$G$59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5-F112-4BAD-8526-77CA291CF970}"/>
            </c:ext>
          </c:extLst>
        </c:ser>
        <c:ser>
          <c:idx val="6"/>
          <c:order val="6"/>
          <c:tx>
            <c:strRef>
              <c:f>Interpolation!$H$20</c:f>
              <c:strCache>
                <c:ptCount val="1"/>
                <c:pt idx="0">
                  <c:v>Ability to Enforce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Interpolation!$A$56:$A$59</c:f>
              <c:numCache>
                <c:formatCode>General</c:formatCode>
                <c:ptCount val="4"/>
                <c:pt idx="0">
                  <c:v>0</c:v>
                </c:pt>
                <c:pt idx="1">
                  <c:v>0</c:v>
                </c:pt>
                <c:pt idx="2">
                  <c:v>1</c:v>
                </c:pt>
                <c:pt idx="3">
                  <c:v>1</c:v>
                </c:pt>
              </c:numCache>
            </c:numRef>
          </c:xVal>
          <c:yVal>
            <c:numRef>
              <c:f>Interpolation!$H$56:$H$59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6-F112-4BAD-8526-77CA291CF970}"/>
            </c:ext>
          </c:extLst>
        </c:ser>
        <c:ser>
          <c:idx val="7"/>
          <c:order val="7"/>
          <c:tx>
            <c:strRef>
              <c:f>Interpolation!$I$20</c:f>
              <c:strCache>
                <c:ptCount val="1"/>
                <c:pt idx="0">
                  <c:v>Public Acceptance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Interpolation!$A$56:$A$59</c:f>
              <c:numCache>
                <c:formatCode>General</c:formatCode>
                <c:ptCount val="4"/>
                <c:pt idx="0">
                  <c:v>0</c:v>
                </c:pt>
                <c:pt idx="1">
                  <c:v>0</c:v>
                </c:pt>
                <c:pt idx="2">
                  <c:v>1</c:v>
                </c:pt>
                <c:pt idx="3">
                  <c:v>1</c:v>
                </c:pt>
              </c:numCache>
            </c:numRef>
          </c:xVal>
          <c:yVal>
            <c:numRef>
              <c:f>Interpolation!$I$56:$I$59</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7-F112-4BAD-8526-77CA291CF970}"/>
            </c:ext>
          </c:extLst>
        </c:ser>
        <c:ser>
          <c:idx val="8"/>
          <c:order val="8"/>
          <c:tx>
            <c:strRef>
              <c:f>Interpolation!$J$20</c:f>
              <c:strCache>
                <c:ptCount val="1"/>
                <c:pt idx="0">
                  <c:v>Promotion of efficient use</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Interpolation!$A$56:$A$59</c:f>
              <c:numCache>
                <c:formatCode>General</c:formatCode>
                <c:ptCount val="4"/>
                <c:pt idx="0">
                  <c:v>0</c:v>
                </c:pt>
                <c:pt idx="1">
                  <c:v>0</c:v>
                </c:pt>
                <c:pt idx="2">
                  <c:v>1</c:v>
                </c:pt>
                <c:pt idx="3">
                  <c:v>1</c:v>
                </c:pt>
              </c:numCache>
            </c:numRef>
          </c:xVal>
          <c:yVal>
            <c:numRef>
              <c:f>Interpolation!$J$56:$J$59</c:f>
              <c:numCache>
                <c:formatCode>General</c:formatCode>
                <c:ptCount val="4"/>
                <c:pt idx="0">
                  <c:v>1</c:v>
                </c:pt>
                <c:pt idx="1">
                  <c:v>1</c:v>
                </c:pt>
                <c:pt idx="2">
                  <c:v>4</c:v>
                </c:pt>
                <c:pt idx="3">
                  <c:v>4</c:v>
                </c:pt>
              </c:numCache>
            </c:numRef>
          </c:yVal>
          <c:smooth val="0"/>
          <c:extLst>
            <c:ext xmlns:c16="http://schemas.microsoft.com/office/drawing/2014/chart" uri="{C3380CC4-5D6E-409C-BE32-E72D297353CC}">
              <c16:uniqueId val="{00000008-F112-4BAD-8526-77CA291CF970}"/>
            </c:ext>
          </c:extLst>
        </c:ser>
        <c:ser>
          <c:idx val="9"/>
          <c:order val="9"/>
          <c:tx>
            <c:strRef>
              <c:f>Interpolation!$K$20</c:f>
              <c:strCache>
                <c:ptCount val="1"/>
                <c:pt idx="0">
                  <c:v>User/Beneficiary Cost</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Interpolation!$A$56:$A$59</c:f>
              <c:numCache>
                <c:formatCode>General</c:formatCode>
                <c:ptCount val="4"/>
                <c:pt idx="0">
                  <c:v>0</c:v>
                </c:pt>
                <c:pt idx="1">
                  <c:v>0</c:v>
                </c:pt>
                <c:pt idx="2">
                  <c:v>1</c:v>
                </c:pt>
                <c:pt idx="3">
                  <c:v>1</c:v>
                </c:pt>
              </c:numCache>
            </c:numRef>
          </c:xVal>
          <c:yVal>
            <c:numRef>
              <c:f>Interpolation!$K$56:$K$59</c:f>
              <c:numCache>
                <c:formatCode>General</c:formatCode>
                <c:ptCount val="4"/>
                <c:pt idx="0">
                  <c:v>1</c:v>
                </c:pt>
                <c:pt idx="1">
                  <c:v>1</c:v>
                </c:pt>
                <c:pt idx="2">
                  <c:v>2.5</c:v>
                </c:pt>
                <c:pt idx="3">
                  <c:v>2.5</c:v>
                </c:pt>
              </c:numCache>
            </c:numRef>
          </c:yVal>
          <c:smooth val="0"/>
          <c:extLst>
            <c:ext xmlns:c16="http://schemas.microsoft.com/office/drawing/2014/chart" uri="{C3380CC4-5D6E-409C-BE32-E72D297353CC}">
              <c16:uniqueId val="{00000009-F112-4BAD-8526-77CA291CF970}"/>
            </c:ext>
          </c:extLst>
        </c:ser>
        <c:ser>
          <c:idx val="10"/>
          <c:order val="10"/>
          <c:tx>
            <c:strRef>
              <c:f>Interpolation!$L$20</c:f>
              <c:strCache>
                <c:ptCount val="1"/>
                <c:pt idx="0">
                  <c:v>Promotes Social Equity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Interpolation!$A$56:$A$59</c:f>
              <c:numCache>
                <c:formatCode>General</c:formatCode>
                <c:ptCount val="4"/>
                <c:pt idx="0">
                  <c:v>0</c:v>
                </c:pt>
                <c:pt idx="1">
                  <c:v>0</c:v>
                </c:pt>
                <c:pt idx="2">
                  <c:v>1</c:v>
                </c:pt>
                <c:pt idx="3">
                  <c:v>1</c:v>
                </c:pt>
              </c:numCache>
            </c:numRef>
          </c:xVal>
          <c:yVal>
            <c:numRef>
              <c:f>Interpolation!$L$56:$L$59</c:f>
              <c:numCache>
                <c:formatCode>General</c:formatCode>
                <c:ptCount val="4"/>
                <c:pt idx="0">
                  <c:v>0</c:v>
                </c:pt>
                <c:pt idx="1">
                  <c:v>0</c:v>
                </c:pt>
                <c:pt idx="2">
                  <c:v>1.5</c:v>
                </c:pt>
                <c:pt idx="3">
                  <c:v>1.5</c:v>
                </c:pt>
              </c:numCache>
            </c:numRef>
          </c:yVal>
          <c:smooth val="0"/>
          <c:extLst>
            <c:ext xmlns:c16="http://schemas.microsoft.com/office/drawing/2014/chart" uri="{C3380CC4-5D6E-409C-BE32-E72D297353CC}">
              <c16:uniqueId val="{0000000A-F112-4BAD-8526-77CA291CF970}"/>
            </c:ext>
          </c:extLst>
        </c:ser>
        <c:dLbls>
          <c:showLegendKey val="0"/>
          <c:showVal val="0"/>
          <c:showCatName val="0"/>
          <c:showSerName val="0"/>
          <c:showPercent val="0"/>
          <c:showBubbleSize val="0"/>
        </c:dLbls>
        <c:axId val="45876704"/>
        <c:axId val="255498896"/>
      </c:scatterChart>
      <c:valAx>
        <c:axId val="4587670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Characteristic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5498896"/>
        <c:crosses val="autoZero"/>
        <c:crossBetween val="midCat"/>
      </c:valAx>
      <c:valAx>
        <c:axId val="2554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Criteria Importance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876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Interpolation!$B$20</c:f>
              <c:strCache>
                <c:ptCount val="1"/>
                <c:pt idx="0">
                  <c:v>Predictability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Interpolation!$B$63:$B$67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0-74EF-4A45-8AEF-072FFB7F63E9}"/>
            </c:ext>
          </c:extLst>
        </c:ser>
        <c:ser>
          <c:idx val="1"/>
          <c:order val="1"/>
          <c:tx>
            <c:strRef>
              <c:f>Interpolation!$C$20</c:f>
              <c:strCache>
                <c:ptCount val="1"/>
                <c:pt idx="0">
                  <c:v>Stability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Interpolation!$C$63:$C$67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1-74EF-4A45-8AEF-072FFB7F63E9}"/>
            </c:ext>
          </c:extLst>
        </c:ser>
        <c:ser>
          <c:idx val="2"/>
          <c:order val="2"/>
          <c:tx>
            <c:strRef>
              <c:f>Interpolation!$D$20</c:f>
              <c:strCache>
                <c:ptCount val="1"/>
                <c:pt idx="0">
                  <c:v>Sustainability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Interpolation!$D$63:$D$67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2-74EF-4A45-8AEF-072FFB7F63E9}"/>
            </c:ext>
          </c:extLst>
        </c:ser>
        <c:ser>
          <c:idx val="3"/>
          <c:order val="3"/>
          <c:tx>
            <c:strRef>
              <c:f>Interpolation!$E$20</c:f>
              <c:strCache>
                <c:ptCount val="1"/>
                <c:pt idx="0">
                  <c:v>Revenue Potential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Interpolation!$E$63:$E$67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3-74EF-4A45-8AEF-072FFB7F63E9}"/>
            </c:ext>
          </c:extLst>
        </c:ser>
        <c:ser>
          <c:idx val="4"/>
          <c:order val="4"/>
          <c:tx>
            <c:strRef>
              <c:f>Interpolation!$F$20</c:f>
              <c:strCache>
                <c:ptCount val="1"/>
                <c:pt idx="0">
                  <c:v>Current Use Status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Interpolation!$F$63:$F$67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4-74EF-4A45-8AEF-072FFB7F63E9}"/>
            </c:ext>
          </c:extLst>
        </c:ser>
        <c:ser>
          <c:idx val="5"/>
          <c:order val="5"/>
          <c:tx>
            <c:strRef>
              <c:f>Interpolation!$G$20</c:f>
              <c:strCache>
                <c:ptCount val="1"/>
                <c:pt idx="0">
                  <c:v>Ease of Implementation</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Interpolation!$G$63:$G$67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5-74EF-4A45-8AEF-072FFB7F63E9}"/>
            </c:ext>
          </c:extLst>
        </c:ser>
        <c:ser>
          <c:idx val="6"/>
          <c:order val="6"/>
          <c:tx>
            <c:strRef>
              <c:f>Interpolation!$H$20</c:f>
              <c:strCache>
                <c:ptCount val="1"/>
                <c:pt idx="0">
                  <c:v>Ability to Enforce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Interpolation!$H$63:$H$67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6-74EF-4A45-8AEF-072FFB7F63E9}"/>
            </c:ext>
          </c:extLst>
        </c:ser>
        <c:ser>
          <c:idx val="7"/>
          <c:order val="7"/>
          <c:tx>
            <c:strRef>
              <c:f>Interpolation!$I$20</c:f>
              <c:strCache>
                <c:ptCount val="1"/>
                <c:pt idx="0">
                  <c:v>Public Acceptance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Interpolation!$I$63:$I$67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7-74EF-4A45-8AEF-072FFB7F63E9}"/>
            </c:ext>
          </c:extLst>
        </c:ser>
        <c:ser>
          <c:idx val="8"/>
          <c:order val="8"/>
          <c:tx>
            <c:strRef>
              <c:f>Interpolation!$J$20</c:f>
              <c:strCache>
                <c:ptCount val="1"/>
                <c:pt idx="0">
                  <c:v>Promotion of efficient use</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Interpolation!$J$63:$J$67</c:f>
              <c:numCache>
                <c:formatCode>General</c:formatCode>
                <c:ptCount val="5"/>
                <c:pt idx="0">
                  <c:v>0</c:v>
                </c:pt>
                <c:pt idx="1">
                  <c:v>0</c:v>
                </c:pt>
                <c:pt idx="2">
                  <c:v>0</c:v>
                </c:pt>
                <c:pt idx="3">
                  <c:v>0</c:v>
                </c:pt>
                <c:pt idx="4">
                  <c:v>0</c:v>
                </c:pt>
              </c:numCache>
            </c:numRef>
          </c:yVal>
          <c:smooth val="0"/>
          <c:extLst>
            <c:ext xmlns:c16="http://schemas.microsoft.com/office/drawing/2014/chart" uri="{C3380CC4-5D6E-409C-BE32-E72D297353CC}">
              <c16:uniqueId val="{00000008-74EF-4A45-8AEF-072FFB7F63E9}"/>
            </c:ext>
          </c:extLst>
        </c:ser>
        <c:ser>
          <c:idx val="9"/>
          <c:order val="9"/>
          <c:tx>
            <c:strRef>
              <c:f>Interpolation!$K$20</c:f>
              <c:strCache>
                <c:ptCount val="1"/>
                <c:pt idx="0">
                  <c:v>User/Beneficiary Cost</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Interpolation!$K$63:$K$67</c:f>
              <c:numCache>
                <c:formatCode>General</c:formatCode>
                <c:ptCount val="5"/>
                <c:pt idx="0">
                  <c:v>0</c:v>
                </c:pt>
                <c:pt idx="1">
                  <c:v>3</c:v>
                </c:pt>
                <c:pt idx="2">
                  <c:v>3</c:v>
                </c:pt>
                <c:pt idx="3">
                  <c:v>3</c:v>
                </c:pt>
                <c:pt idx="4">
                  <c:v>3</c:v>
                </c:pt>
              </c:numCache>
            </c:numRef>
          </c:yVal>
          <c:smooth val="0"/>
          <c:extLst>
            <c:ext xmlns:c16="http://schemas.microsoft.com/office/drawing/2014/chart" uri="{C3380CC4-5D6E-409C-BE32-E72D297353CC}">
              <c16:uniqueId val="{00000009-74EF-4A45-8AEF-072FFB7F63E9}"/>
            </c:ext>
          </c:extLst>
        </c:ser>
        <c:ser>
          <c:idx val="10"/>
          <c:order val="10"/>
          <c:tx>
            <c:strRef>
              <c:f>Interpolation!$L$20</c:f>
              <c:strCache>
                <c:ptCount val="1"/>
                <c:pt idx="0">
                  <c:v>Promotes Social Equity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Interpolation!$A$63:$A$67</c:f>
              <c:numCache>
                <c:formatCode>General</c:formatCode>
                <c:ptCount val="5"/>
                <c:pt idx="0">
                  <c:v>0</c:v>
                </c:pt>
                <c:pt idx="1">
                  <c:v>1</c:v>
                </c:pt>
                <c:pt idx="2">
                  <c:v>1</c:v>
                </c:pt>
                <c:pt idx="3">
                  <c:v>1</c:v>
                </c:pt>
                <c:pt idx="4">
                  <c:v>1</c:v>
                </c:pt>
              </c:numCache>
            </c:numRef>
          </c:xVal>
          <c:yVal>
            <c:numRef>
              <c:f>Interpolation!$L$63:$L$67</c:f>
              <c:numCache>
                <c:formatCode>General</c:formatCode>
                <c:ptCount val="5"/>
                <c:pt idx="0">
                  <c:v>0</c:v>
                </c:pt>
                <c:pt idx="1">
                  <c:v>4</c:v>
                </c:pt>
                <c:pt idx="2">
                  <c:v>4</c:v>
                </c:pt>
                <c:pt idx="3">
                  <c:v>4</c:v>
                </c:pt>
                <c:pt idx="4">
                  <c:v>4</c:v>
                </c:pt>
              </c:numCache>
            </c:numRef>
          </c:yVal>
          <c:smooth val="0"/>
          <c:extLst>
            <c:ext xmlns:c16="http://schemas.microsoft.com/office/drawing/2014/chart" uri="{C3380CC4-5D6E-409C-BE32-E72D297353CC}">
              <c16:uniqueId val="{0000000A-74EF-4A45-8AEF-072FFB7F63E9}"/>
            </c:ext>
          </c:extLst>
        </c:ser>
        <c:dLbls>
          <c:showLegendKey val="0"/>
          <c:showVal val="0"/>
          <c:showCatName val="0"/>
          <c:showSerName val="0"/>
          <c:showPercent val="0"/>
          <c:showBubbleSize val="0"/>
        </c:dLbls>
        <c:axId val="45876704"/>
        <c:axId val="255498896"/>
      </c:scatterChart>
      <c:valAx>
        <c:axId val="4587670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Characteristic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5498896"/>
        <c:crosses val="autoZero"/>
        <c:crossBetween val="midCat"/>
      </c:valAx>
      <c:valAx>
        <c:axId val="2554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Criteria Importance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876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Interpolation!$B$20</c:f>
              <c:strCache>
                <c:ptCount val="1"/>
                <c:pt idx="0">
                  <c:v>Predictability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Interpolation!$A$49:$A$52</c:f>
              <c:numCache>
                <c:formatCode>General</c:formatCode>
                <c:ptCount val="4"/>
                <c:pt idx="0">
                  <c:v>0</c:v>
                </c:pt>
                <c:pt idx="1">
                  <c:v>0</c:v>
                </c:pt>
                <c:pt idx="2">
                  <c:v>0</c:v>
                </c:pt>
                <c:pt idx="3">
                  <c:v>1</c:v>
                </c:pt>
              </c:numCache>
            </c:numRef>
          </c:xVal>
          <c:yVal>
            <c:numRef>
              <c:f>Interpolation!$B$49:$B$52</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0-28F2-4E10-B647-7B4102DC1373}"/>
            </c:ext>
          </c:extLst>
        </c:ser>
        <c:ser>
          <c:idx val="1"/>
          <c:order val="1"/>
          <c:tx>
            <c:strRef>
              <c:f>Interpolation!$C$20</c:f>
              <c:strCache>
                <c:ptCount val="1"/>
                <c:pt idx="0">
                  <c:v>Stability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Interpolation!$A$49:$A$52</c:f>
              <c:numCache>
                <c:formatCode>General</c:formatCode>
                <c:ptCount val="4"/>
                <c:pt idx="0">
                  <c:v>0</c:v>
                </c:pt>
                <c:pt idx="1">
                  <c:v>0</c:v>
                </c:pt>
                <c:pt idx="2">
                  <c:v>0</c:v>
                </c:pt>
                <c:pt idx="3">
                  <c:v>1</c:v>
                </c:pt>
              </c:numCache>
            </c:numRef>
          </c:xVal>
          <c:yVal>
            <c:numRef>
              <c:f>Interpolation!$C$49:$C$52</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1-28F2-4E10-B647-7B4102DC1373}"/>
            </c:ext>
          </c:extLst>
        </c:ser>
        <c:ser>
          <c:idx val="2"/>
          <c:order val="2"/>
          <c:tx>
            <c:strRef>
              <c:f>Interpolation!$D$20</c:f>
              <c:strCache>
                <c:ptCount val="1"/>
                <c:pt idx="0">
                  <c:v>Sustainability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Interpolation!$A$49:$A$52</c:f>
              <c:numCache>
                <c:formatCode>General</c:formatCode>
                <c:ptCount val="4"/>
                <c:pt idx="0">
                  <c:v>0</c:v>
                </c:pt>
                <c:pt idx="1">
                  <c:v>0</c:v>
                </c:pt>
                <c:pt idx="2">
                  <c:v>0</c:v>
                </c:pt>
                <c:pt idx="3">
                  <c:v>1</c:v>
                </c:pt>
              </c:numCache>
            </c:numRef>
          </c:xVal>
          <c:yVal>
            <c:numRef>
              <c:f>Interpolation!$D$49:$D$52</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2-28F2-4E10-B647-7B4102DC1373}"/>
            </c:ext>
          </c:extLst>
        </c:ser>
        <c:ser>
          <c:idx val="3"/>
          <c:order val="3"/>
          <c:tx>
            <c:strRef>
              <c:f>Interpolation!$E$20</c:f>
              <c:strCache>
                <c:ptCount val="1"/>
                <c:pt idx="0">
                  <c:v>Revenue Potential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Interpolation!$A$49:$A$52</c:f>
              <c:numCache>
                <c:formatCode>General</c:formatCode>
                <c:ptCount val="4"/>
                <c:pt idx="0">
                  <c:v>0</c:v>
                </c:pt>
                <c:pt idx="1">
                  <c:v>0</c:v>
                </c:pt>
                <c:pt idx="2">
                  <c:v>0</c:v>
                </c:pt>
                <c:pt idx="3">
                  <c:v>1</c:v>
                </c:pt>
              </c:numCache>
            </c:numRef>
          </c:xVal>
          <c:yVal>
            <c:numRef>
              <c:f>Interpolation!$E$49:$E$52</c:f>
              <c:numCache>
                <c:formatCode>General</c:formatCode>
                <c:ptCount val="4"/>
                <c:pt idx="0">
                  <c:v>0</c:v>
                </c:pt>
                <c:pt idx="1">
                  <c:v>0</c:v>
                </c:pt>
                <c:pt idx="2">
                  <c:v>0</c:v>
                </c:pt>
                <c:pt idx="3">
                  <c:v>0.5</c:v>
                </c:pt>
              </c:numCache>
            </c:numRef>
          </c:yVal>
          <c:smooth val="0"/>
          <c:extLst>
            <c:ext xmlns:c16="http://schemas.microsoft.com/office/drawing/2014/chart" uri="{C3380CC4-5D6E-409C-BE32-E72D297353CC}">
              <c16:uniqueId val="{00000003-28F2-4E10-B647-7B4102DC1373}"/>
            </c:ext>
          </c:extLst>
        </c:ser>
        <c:ser>
          <c:idx val="4"/>
          <c:order val="4"/>
          <c:tx>
            <c:strRef>
              <c:f>Interpolation!$F$20</c:f>
              <c:strCache>
                <c:ptCount val="1"/>
                <c:pt idx="0">
                  <c:v>Current Use Status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Interpolation!$A$49:$A$52</c:f>
              <c:numCache>
                <c:formatCode>General</c:formatCode>
                <c:ptCount val="4"/>
                <c:pt idx="0">
                  <c:v>0</c:v>
                </c:pt>
                <c:pt idx="1">
                  <c:v>0</c:v>
                </c:pt>
                <c:pt idx="2">
                  <c:v>0</c:v>
                </c:pt>
                <c:pt idx="3">
                  <c:v>1</c:v>
                </c:pt>
              </c:numCache>
            </c:numRef>
          </c:xVal>
          <c:yVal>
            <c:numRef>
              <c:f>Interpolation!$F$49:$F$52</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4-28F2-4E10-B647-7B4102DC1373}"/>
            </c:ext>
          </c:extLst>
        </c:ser>
        <c:ser>
          <c:idx val="5"/>
          <c:order val="5"/>
          <c:tx>
            <c:strRef>
              <c:f>Interpolation!$G$20</c:f>
              <c:strCache>
                <c:ptCount val="1"/>
                <c:pt idx="0">
                  <c:v>Ease of Implementation</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Interpolation!$A$49:$A$52</c:f>
              <c:numCache>
                <c:formatCode>General</c:formatCode>
                <c:ptCount val="4"/>
                <c:pt idx="0">
                  <c:v>0</c:v>
                </c:pt>
                <c:pt idx="1">
                  <c:v>0</c:v>
                </c:pt>
                <c:pt idx="2">
                  <c:v>0</c:v>
                </c:pt>
                <c:pt idx="3">
                  <c:v>1</c:v>
                </c:pt>
              </c:numCache>
            </c:numRef>
          </c:xVal>
          <c:yVal>
            <c:numRef>
              <c:f>Interpolation!$G$49:$G$52</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5-28F2-4E10-B647-7B4102DC1373}"/>
            </c:ext>
          </c:extLst>
        </c:ser>
        <c:ser>
          <c:idx val="6"/>
          <c:order val="6"/>
          <c:tx>
            <c:strRef>
              <c:f>Interpolation!$H$20</c:f>
              <c:strCache>
                <c:ptCount val="1"/>
                <c:pt idx="0">
                  <c:v>Ability to Enforce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Interpolation!$A$49:$A$52</c:f>
              <c:numCache>
                <c:formatCode>General</c:formatCode>
                <c:ptCount val="4"/>
                <c:pt idx="0">
                  <c:v>0</c:v>
                </c:pt>
                <c:pt idx="1">
                  <c:v>0</c:v>
                </c:pt>
                <c:pt idx="2">
                  <c:v>0</c:v>
                </c:pt>
                <c:pt idx="3">
                  <c:v>1</c:v>
                </c:pt>
              </c:numCache>
            </c:numRef>
          </c:xVal>
          <c:yVal>
            <c:numRef>
              <c:f>Interpolation!$H$49:$H$52</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6-28F2-4E10-B647-7B4102DC1373}"/>
            </c:ext>
          </c:extLst>
        </c:ser>
        <c:ser>
          <c:idx val="7"/>
          <c:order val="7"/>
          <c:tx>
            <c:strRef>
              <c:f>Interpolation!$I$20</c:f>
              <c:strCache>
                <c:ptCount val="1"/>
                <c:pt idx="0">
                  <c:v>Public Acceptance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Interpolation!$A$49:$A$52</c:f>
              <c:numCache>
                <c:formatCode>General</c:formatCode>
                <c:ptCount val="4"/>
                <c:pt idx="0">
                  <c:v>0</c:v>
                </c:pt>
                <c:pt idx="1">
                  <c:v>0</c:v>
                </c:pt>
                <c:pt idx="2">
                  <c:v>0</c:v>
                </c:pt>
                <c:pt idx="3">
                  <c:v>1</c:v>
                </c:pt>
              </c:numCache>
            </c:numRef>
          </c:xVal>
          <c:yVal>
            <c:numRef>
              <c:f>Interpolation!$I$49:$I$52</c:f>
              <c:numCache>
                <c:formatCode>General</c:formatCode>
                <c:ptCount val="4"/>
                <c:pt idx="0">
                  <c:v>0</c:v>
                </c:pt>
                <c:pt idx="1">
                  <c:v>0</c:v>
                </c:pt>
                <c:pt idx="2">
                  <c:v>0</c:v>
                </c:pt>
                <c:pt idx="3">
                  <c:v>0</c:v>
                </c:pt>
              </c:numCache>
            </c:numRef>
          </c:yVal>
          <c:smooth val="0"/>
          <c:extLst>
            <c:ext xmlns:c16="http://schemas.microsoft.com/office/drawing/2014/chart" uri="{C3380CC4-5D6E-409C-BE32-E72D297353CC}">
              <c16:uniqueId val="{00000007-28F2-4E10-B647-7B4102DC1373}"/>
            </c:ext>
          </c:extLst>
        </c:ser>
        <c:ser>
          <c:idx val="8"/>
          <c:order val="8"/>
          <c:tx>
            <c:strRef>
              <c:f>Interpolation!$J$20</c:f>
              <c:strCache>
                <c:ptCount val="1"/>
                <c:pt idx="0">
                  <c:v>Promotion of efficient use</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Interpolation!$A$49:$A$52</c:f>
              <c:numCache>
                <c:formatCode>General</c:formatCode>
                <c:ptCount val="4"/>
                <c:pt idx="0">
                  <c:v>0</c:v>
                </c:pt>
                <c:pt idx="1">
                  <c:v>0</c:v>
                </c:pt>
                <c:pt idx="2">
                  <c:v>0</c:v>
                </c:pt>
                <c:pt idx="3">
                  <c:v>1</c:v>
                </c:pt>
              </c:numCache>
            </c:numRef>
          </c:xVal>
          <c:yVal>
            <c:numRef>
              <c:f>Interpolation!$J$49:$J$52</c:f>
              <c:numCache>
                <c:formatCode>General</c:formatCode>
                <c:ptCount val="4"/>
                <c:pt idx="0">
                  <c:v>0</c:v>
                </c:pt>
                <c:pt idx="1">
                  <c:v>0</c:v>
                </c:pt>
                <c:pt idx="2">
                  <c:v>0</c:v>
                </c:pt>
                <c:pt idx="3">
                  <c:v>1</c:v>
                </c:pt>
              </c:numCache>
            </c:numRef>
          </c:yVal>
          <c:smooth val="0"/>
          <c:extLst>
            <c:ext xmlns:c16="http://schemas.microsoft.com/office/drawing/2014/chart" uri="{C3380CC4-5D6E-409C-BE32-E72D297353CC}">
              <c16:uniqueId val="{00000008-28F2-4E10-B647-7B4102DC1373}"/>
            </c:ext>
          </c:extLst>
        </c:ser>
        <c:ser>
          <c:idx val="9"/>
          <c:order val="9"/>
          <c:tx>
            <c:strRef>
              <c:f>Interpolation!$K$20</c:f>
              <c:strCache>
                <c:ptCount val="1"/>
                <c:pt idx="0">
                  <c:v>User/Beneficiary Cost</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Interpolation!$A$49:$A$52</c:f>
              <c:numCache>
                <c:formatCode>General</c:formatCode>
                <c:ptCount val="4"/>
                <c:pt idx="0">
                  <c:v>0</c:v>
                </c:pt>
                <c:pt idx="1">
                  <c:v>0</c:v>
                </c:pt>
                <c:pt idx="2">
                  <c:v>0</c:v>
                </c:pt>
                <c:pt idx="3">
                  <c:v>1</c:v>
                </c:pt>
              </c:numCache>
            </c:numRef>
          </c:xVal>
          <c:yVal>
            <c:numRef>
              <c:f>Interpolation!$K$49:$K$52</c:f>
              <c:numCache>
                <c:formatCode>General</c:formatCode>
                <c:ptCount val="4"/>
                <c:pt idx="0">
                  <c:v>0</c:v>
                </c:pt>
                <c:pt idx="1">
                  <c:v>0</c:v>
                </c:pt>
                <c:pt idx="2">
                  <c:v>0</c:v>
                </c:pt>
                <c:pt idx="3">
                  <c:v>0.5</c:v>
                </c:pt>
              </c:numCache>
            </c:numRef>
          </c:yVal>
          <c:smooth val="0"/>
          <c:extLst>
            <c:ext xmlns:c16="http://schemas.microsoft.com/office/drawing/2014/chart" uri="{C3380CC4-5D6E-409C-BE32-E72D297353CC}">
              <c16:uniqueId val="{00000009-28F2-4E10-B647-7B4102DC1373}"/>
            </c:ext>
          </c:extLst>
        </c:ser>
        <c:ser>
          <c:idx val="10"/>
          <c:order val="10"/>
          <c:tx>
            <c:strRef>
              <c:f>Interpolation!$L$20</c:f>
              <c:strCache>
                <c:ptCount val="1"/>
                <c:pt idx="0">
                  <c:v>Promotes Social Equity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Interpolation!$A$49:$A$52</c:f>
              <c:numCache>
                <c:formatCode>General</c:formatCode>
                <c:ptCount val="4"/>
                <c:pt idx="0">
                  <c:v>0</c:v>
                </c:pt>
                <c:pt idx="1">
                  <c:v>0</c:v>
                </c:pt>
                <c:pt idx="2">
                  <c:v>0</c:v>
                </c:pt>
                <c:pt idx="3">
                  <c:v>1</c:v>
                </c:pt>
              </c:numCache>
            </c:numRef>
          </c:xVal>
          <c:yVal>
            <c:numRef>
              <c:f>Interpolation!$L$49:$L$52</c:f>
              <c:numCache>
                <c:formatCode>General</c:formatCode>
                <c:ptCount val="4"/>
                <c:pt idx="0">
                  <c:v>0</c:v>
                </c:pt>
                <c:pt idx="1">
                  <c:v>0</c:v>
                </c:pt>
                <c:pt idx="2">
                  <c:v>0</c:v>
                </c:pt>
                <c:pt idx="3">
                  <c:v>0.5</c:v>
                </c:pt>
              </c:numCache>
            </c:numRef>
          </c:yVal>
          <c:smooth val="0"/>
          <c:extLst>
            <c:ext xmlns:c16="http://schemas.microsoft.com/office/drawing/2014/chart" uri="{C3380CC4-5D6E-409C-BE32-E72D297353CC}">
              <c16:uniqueId val="{0000000A-28F2-4E10-B647-7B4102DC1373}"/>
            </c:ext>
          </c:extLst>
        </c:ser>
        <c:dLbls>
          <c:showLegendKey val="0"/>
          <c:showVal val="0"/>
          <c:showCatName val="0"/>
          <c:showSerName val="0"/>
          <c:showPercent val="0"/>
          <c:showBubbleSize val="0"/>
        </c:dLbls>
        <c:axId val="45876704"/>
        <c:axId val="255498896"/>
      </c:scatterChart>
      <c:valAx>
        <c:axId val="4587670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Characteristic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5498896"/>
        <c:crosses val="autoZero"/>
        <c:crossBetween val="midCat"/>
      </c:valAx>
      <c:valAx>
        <c:axId val="2554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Criteria Importance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876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E6AA5-837E-4940-B6F1-2DA36B4D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16912</Words>
  <Characters>96400</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TRR Editorial Office</dc:creator>
  <cp:keywords/>
  <cp:lastModifiedBy>Macias, Lisa J</cp:lastModifiedBy>
  <cp:revision>2</cp:revision>
  <cp:lastPrinted>2021-07-29T01:03:00Z</cp:lastPrinted>
  <dcterms:created xsi:type="dcterms:W3CDTF">2021-08-02T16:25:00Z</dcterms:created>
  <dcterms:modified xsi:type="dcterms:W3CDTF">2021-08-02T16:25:00Z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http://csl.mendeley.com/styles/520762751/apa</vt:lpwstr>
  </property>
  <property fmtid="{D5CDD505-2E9C-101B-9397-08002B2CF9AE}" pid="3" name="Mendeley Recent Style Name 0_1">
    <vt:lpwstr>American Psychological Association 7th edition - Angela Haddad</vt:lpwstr>
  </property>
  <property fmtid="{D5CDD505-2E9C-101B-9397-08002B2CF9AE}" pid="4" name="Mendeley Recent Style Id 1_1">
    <vt:lpwstr>https://csl.mendeley.com/styles/520762751/apa</vt:lpwstr>
  </property>
  <property fmtid="{D5CDD505-2E9C-101B-9397-08002B2CF9AE}" pid="5" name="Mendeley Recent Style Name 1_1">
    <vt:lpwstr>American Psychological Association 7th edition - Angela Haddad</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http://www.zotero.org/styles/construction-and-building-materials</vt:lpwstr>
  </property>
  <property fmtid="{D5CDD505-2E9C-101B-9397-08002B2CF9AE}" pid="13" name="Mendeley Recent Style Name 5_1">
    <vt:lpwstr>Construction and Building Materials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http://www.zotero.org/styles/international-journal-of-pavement-engineering</vt:lpwstr>
  </property>
  <property fmtid="{D5CDD505-2E9C-101B-9397-08002B2CF9AE}" pid="17" name="Mendeley Recent Style Name 7_1">
    <vt:lpwstr>International Journal of Pavement Engineering</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d4527689-375b-3cf2-b80b-52eb843e3727</vt:lpwstr>
  </property>
  <property fmtid="{D5CDD505-2E9C-101B-9397-08002B2CF9AE}" pid="24" name="Mendeley Citation Style_1">
    <vt:lpwstr>http://www.zotero.org/styles/transportation-research-record</vt:lpwstr>
  </property>
</Properties>
</file>