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FE3C4" w14:textId="77777777" w:rsidR="00D00A05" w:rsidRDefault="00D00A05" w:rsidP="00D52C17">
      <w:pPr>
        <w:spacing w:after="0" w:line="276" w:lineRule="auto"/>
        <w:jc w:val="center"/>
        <w:rPr>
          <w:b/>
        </w:rPr>
      </w:pPr>
      <w:bookmarkStart w:id="0" w:name="_GoBack"/>
      <w:bookmarkEnd w:id="0"/>
    </w:p>
    <w:p w14:paraId="1D9CA0BE" w14:textId="77777777" w:rsidR="00D00A05" w:rsidRDefault="00D00A05" w:rsidP="00D52C17">
      <w:pPr>
        <w:spacing w:after="0" w:line="276" w:lineRule="auto"/>
        <w:jc w:val="center"/>
        <w:rPr>
          <w:b/>
        </w:rPr>
      </w:pPr>
    </w:p>
    <w:p w14:paraId="5B7C70B8" w14:textId="77777777" w:rsidR="00D00A05" w:rsidRDefault="00D00A05" w:rsidP="00D52C17">
      <w:pPr>
        <w:spacing w:after="0" w:line="276" w:lineRule="auto"/>
        <w:jc w:val="center"/>
        <w:rPr>
          <w:b/>
        </w:rPr>
      </w:pPr>
    </w:p>
    <w:p w14:paraId="3BA6FE3B" w14:textId="77777777" w:rsidR="00D00A05" w:rsidRDefault="00D00A05" w:rsidP="00D52C17">
      <w:pPr>
        <w:spacing w:after="0" w:line="276" w:lineRule="auto"/>
        <w:jc w:val="center"/>
        <w:rPr>
          <w:b/>
        </w:rPr>
      </w:pPr>
    </w:p>
    <w:p w14:paraId="02572E54" w14:textId="4FFD18A3" w:rsidR="000D3DB6" w:rsidRDefault="000D3DB6" w:rsidP="00D52C17">
      <w:pPr>
        <w:spacing w:after="0" w:line="276" w:lineRule="auto"/>
        <w:jc w:val="center"/>
        <w:rPr>
          <w:b/>
        </w:rPr>
      </w:pPr>
      <w:r>
        <w:rPr>
          <w:b/>
        </w:rPr>
        <w:t>Eat-in or Eat-out? A Joint Model to Analyze the New Landscape of Dinner Meal Preferences</w:t>
      </w:r>
    </w:p>
    <w:p w14:paraId="35449D5D" w14:textId="39347826" w:rsidR="007758E2" w:rsidRDefault="007758E2" w:rsidP="00D52C17">
      <w:pPr>
        <w:spacing w:after="0" w:line="240" w:lineRule="auto"/>
        <w:rPr>
          <w:b/>
          <w:shd w:val="clear" w:color="auto" w:fill="FFFFFF"/>
        </w:rPr>
      </w:pPr>
    </w:p>
    <w:p w14:paraId="2455C630" w14:textId="77777777" w:rsidR="007758E2" w:rsidRDefault="007758E2" w:rsidP="00D52C17">
      <w:pPr>
        <w:spacing w:after="0" w:line="240" w:lineRule="auto"/>
        <w:rPr>
          <w:b/>
          <w:shd w:val="clear" w:color="auto" w:fill="FFFFFF"/>
        </w:rPr>
      </w:pPr>
    </w:p>
    <w:p w14:paraId="09A0EB45" w14:textId="77777777" w:rsidR="007758E2" w:rsidRDefault="007758E2" w:rsidP="00D52C17">
      <w:pPr>
        <w:spacing w:after="0" w:line="240" w:lineRule="auto"/>
        <w:rPr>
          <w:b/>
          <w:shd w:val="clear" w:color="auto" w:fill="FFFFFF"/>
        </w:rPr>
      </w:pPr>
    </w:p>
    <w:p w14:paraId="7D6E62A5" w14:textId="77777777" w:rsidR="007758E2" w:rsidRDefault="007758E2" w:rsidP="00D52C17">
      <w:pPr>
        <w:spacing w:after="0" w:line="240" w:lineRule="auto"/>
        <w:rPr>
          <w:b/>
          <w:shd w:val="clear" w:color="auto" w:fill="FFFFFF"/>
        </w:rPr>
      </w:pPr>
    </w:p>
    <w:p w14:paraId="0ECB5712" w14:textId="5D00FCAA" w:rsidR="007758E2" w:rsidRDefault="007758E2" w:rsidP="00D52C17">
      <w:pPr>
        <w:spacing w:after="0" w:line="240" w:lineRule="auto"/>
        <w:rPr>
          <w:b/>
          <w:shd w:val="clear" w:color="auto" w:fill="FFFFFF"/>
        </w:rPr>
      </w:pPr>
    </w:p>
    <w:p w14:paraId="09E9F388" w14:textId="77777777" w:rsidR="00D00A05" w:rsidRDefault="00D00A05" w:rsidP="00D52C17">
      <w:pPr>
        <w:spacing w:after="0" w:line="240" w:lineRule="auto"/>
        <w:rPr>
          <w:b/>
          <w:shd w:val="clear" w:color="auto" w:fill="FFFFFF"/>
        </w:rPr>
      </w:pPr>
    </w:p>
    <w:p w14:paraId="29D7FC39" w14:textId="77777777" w:rsidR="007758E2" w:rsidRPr="007E6974" w:rsidRDefault="007758E2" w:rsidP="00D52C17">
      <w:pPr>
        <w:spacing w:after="0" w:line="240" w:lineRule="auto"/>
        <w:rPr>
          <w:b/>
          <w:shd w:val="clear" w:color="auto" w:fill="FFFFFF"/>
        </w:rPr>
      </w:pPr>
    </w:p>
    <w:p w14:paraId="5DF3D066" w14:textId="77777777" w:rsidR="007758E2" w:rsidRPr="007E6974" w:rsidRDefault="007758E2" w:rsidP="00D52C17">
      <w:pPr>
        <w:spacing w:after="0" w:line="240" w:lineRule="auto"/>
        <w:jc w:val="center"/>
        <w:rPr>
          <w:rStyle w:val="Style1Char"/>
          <w:b w:val="0"/>
          <w:bCs w:val="0"/>
        </w:rPr>
      </w:pPr>
    </w:p>
    <w:p w14:paraId="6D8ED402" w14:textId="4C513BD7" w:rsidR="007758E2" w:rsidRPr="007E6974" w:rsidRDefault="007758E2" w:rsidP="00D52C17">
      <w:pPr>
        <w:spacing w:after="0" w:line="240" w:lineRule="auto"/>
        <w:jc w:val="center"/>
        <w:rPr>
          <w:b/>
          <w:bCs/>
        </w:rPr>
      </w:pPr>
      <w:r>
        <w:rPr>
          <w:b/>
          <w:bCs/>
        </w:rPr>
        <w:t>Angela Haddad</w:t>
      </w:r>
    </w:p>
    <w:p w14:paraId="1B6853B4" w14:textId="77777777" w:rsidR="007758E2" w:rsidRPr="007E6974" w:rsidRDefault="007758E2" w:rsidP="00D52C17">
      <w:pPr>
        <w:spacing w:after="0" w:line="240" w:lineRule="auto"/>
        <w:jc w:val="center"/>
        <w:rPr>
          <w:bCs/>
        </w:rPr>
      </w:pPr>
      <w:r w:rsidRPr="007E6974">
        <w:t>The University of Texas at Austin</w:t>
      </w:r>
    </w:p>
    <w:p w14:paraId="0C5FE75A" w14:textId="77777777" w:rsidR="007758E2" w:rsidRPr="007E6974" w:rsidRDefault="007758E2" w:rsidP="00D52C17">
      <w:pPr>
        <w:spacing w:after="0" w:line="240" w:lineRule="auto"/>
        <w:jc w:val="center"/>
        <w:rPr>
          <w:bCs/>
        </w:rPr>
      </w:pPr>
      <w:r w:rsidRPr="007E6974">
        <w:t>Department of Civil, Architectural and Environmental Engineering</w:t>
      </w:r>
    </w:p>
    <w:p w14:paraId="563B1BB2" w14:textId="77777777" w:rsidR="007758E2" w:rsidRPr="007E6974" w:rsidRDefault="007758E2" w:rsidP="00D52C17">
      <w:pPr>
        <w:spacing w:after="0" w:line="240" w:lineRule="auto"/>
        <w:jc w:val="center"/>
        <w:rPr>
          <w:bCs/>
        </w:rPr>
      </w:pPr>
      <w:r w:rsidRPr="007E6974">
        <w:t>301 E. Dean Keeton St. Stop C1761, Austin TX 78712, USA</w:t>
      </w:r>
    </w:p>
    <w:p w14:paraId="34A257C0" w14:textId="5DB89859" w:rsidR="007758E2" w:rsidRPr="007E6974" w:rsidRDefault="007758E2" w:rsidP="00D52C17">
      <w:pPr>
        <w:spacing w:after="0" w:line="240" w:lineRule="auto"/>
        <w:jc w:val="center"/>
        <w:rPr>
          <w:rStyle w:val="Hyperlink"/>
        </w:rPr>
      </w:pPr>
      <w:r w:rsidRPr="007E6974">
        <w:t xml:space="preserve">Email: </w:t>
      </w:r>
      <w:hyperlink r:id="rId8" w:history="1">
        <w:r w:rsidRPr="009E512C">
          <w:rPr>
            <w:rStyle w:val="Hyperlink"/>
          </w:rPr>
          <w:t>angela.haddad@utexas.edu</w:t>
        </w:r>
      </w:hyperlink>
      <w:r>
        <w:t xml:space="preserve"> </w:t>
      </w:r>
    </w:p>
    <w:p w14:paraId="530D43A8" w14:textId="77777777" w:rsidR="007758E2" w:rsidRPr="007E6974" w:rsidRDefault="007758E2" w:rsidP="00D52C17">
      <w:pPr>
        <w:spacing w:after="0" w:line="240" w:lineRule="auto"/>
        <w:jc w:val="center"/>
        <w:rPr>
          <w:rStyle w:val="Hyperlink"/>
        </w:rPr>
      </w:pPr>
    </w:p>
    <w:p w14:paraId="3EE954E1" w14:textId="77777777" w:rsidR="007758E2" w:rsidRPr="007E6974" w:rsidRDefault="007758E2" w:rsidP="00D52C17">
      <w:pPr>
        <w:spacing w:after="0" w:line="240" w:lineRule="auto"/>
        <w:jc w:val="center"/>
        <w:rPr>
          <w:b/>
          <w:bCs/>
        </w:rPr>
      </w:pPr>
      <w:r w:rsidRPr="007E6974">
        <w:rPr>
          <w:b/>
          <w:bCs/>
        </w:rPr>
        <w:t>Aupal Mondal</w:t>
      </w:r>
    </w:p>
    <w:p w14:paraId="186A1535" w14:textId="77777777" w:rsidR="007758E2" w:rsidRPr="007E6974" w:rsidRDefault="007758E2" w:rsidP="00D52C17">
      <w:pPr>
        <w:spacing w:after="0" w:line="240" w:lineRule="auto"/>
        <w:jc w:val="center"/>
        <w:rPr>
          <w:bCs/>
        </w:rPr>
      </w:pPr>
      <w:r w:rsidRPr="007E6974">
        <w:t>The University of Texas at Austin</w:t>
      </w:r>
    </w:p>
    <w:p w14:paraId="38BC4116" w14:textId="77777777" w:rsidR="007758E2" w:rsidRPr="007E6974" w:rsidRDefault="007758E2" w:rsidP="00D52C17">
      <w:pPr>
        <w:spacing w:after="0" w:line="240" w:lineRule="auto"/>
        <w:jc w:val="center"/>
        <w:rPr>
          <w:bCs/>
        </w:rPr>
      </w:pPr>
      <w:r w:rsidRPr="007E6974">
        <w:t>Department of Civil, Architectural and Environmental Engineering</w:t>
      </w:r>
    </w:p>
    <w:p w14:paraId="2919B0A0" w14:textId="77777777" w:rsidR="007758E2" w:rsidRPr="007E6974" w:rsidRDefault="007758E2" w:rsidP="00D52C17">
      <w:pPr>
        <w:spacing w:after="0" w:line="240" w:lineRule="auto"/>
        <w:jc w:val="center"/>
        <w:rPr>
          <w:bCs/>
        </w:rPr>
      </w:pPr>
      <w:r w:rsidRPr="007E6974">
        <w:t>301 E. Dean Keeton St. Stop C1761, Austin TX 78712, USA</w:t>
      </w:r>
    </w:p>
    <w:p w14:paraId="5999B67A" w14:textId="77777777" w:rsidR="007758E2" w:rsidRPr="007E6974" w:rsidRDefault="007758E2" w:rsidP="00D52C17">
      <w:pPr>
        <w:spacing w:after="0" w:line="240" w:lineRule="auto"/>
        <w:jc w:val="center"/>
      </w:pPr>
      <w:r w:rsidRPr="007E6974">
        <w:t xml:space="preserve">Email: </w:t>
      </w:r>
      <w:hyperlink r:id="rId9" w:history="1">
        <w:r w:rsidRPr="007E6974">
          <w:rPr>
            <w:rStyle w:val="Hyperlink"/>
          </w:rPr>
          <w:t>aupal.mondal@utexas.edu</w:t>
        </w:r>
      </w:hyperlink>
    </w:p>
    <w:p w14:paraId="78FA43AE" w14:textId="77777777" w:rsidR="007758E2" w:rsidRPr="007E6974" w:rsidRDefault="007758E2" w:rsidP="00D52C17">
      <w:pPr>
        <w:spacing w:after="0" w:line="240" w:lineRule="auto"/>
        <w:jc w:val="center"/>
        <w:rPr>
          <w:rStyle w:val="Style1Char"/>
          <w:b w:val="0"/>
          <w:bCs w:val="0"/>
        </w:rPr>
      </w:pPr>
    </w:p>
    <w:p w14:paraId="3403507D" w14:textId="77777777" w:rsidR="007758E2" w:rsidRPr="007E6974" w:rsidRDefault="007758E2" w:rsidP="00D52C17">
      <w:pPr>
        <w:spacing w:after="0" w:line="240" w:lineRule="auto"/>
        <w:jc w:val="center"/>
        <w:rPr>
          <w:b/>
          <w:lang w:val="fr-FR"/>
        </w:rPr>
      </w:pPr>
      <w:r w:rsidRPr="007E6974">
        <w:rPr>
          <w:b/>
          <w:lang w:val="fr-FR"/>
        </w:rPr>
        <w:t xml:space="preserve">Chandra R. Bhat </w:t>
      </w:r>
      <w:r w:rsidRPr="007E6974">
        <w:rPr>
          <w:b/>
        </w:rPr>
        <w:t>(corresponding author)</w:t>
      </w:r>
    </w:p>
    <w:p w14:paraId="7E33A2FF" w14:textId="77777777" w:rsidR="007758E2" w:rsidRPr="007E6974" w:rsidRDefault="007758E2" w:rsidP="00D52C17">
      <w:pPr>
        <w:spacing w:after="0" w:line="240" w:lineRule="auto"/>
        <w:jc w:val="center"/>
        <w:rPr>
          <w:bCs/>
        </w:rPr>
      </w:pPr>
      <w:r w:rsidRPr="007E6974">
        <w:t>The University of Texas at Austin</w:t>
      </w:r>
    </w:p>
    <w:p w14:paraId="1E011DCE" w14:textId="77777777" w:rsidR="007758E2" w:rsidRPr="007E6974" w:rsidRDefault="007758E2" w:rsidP="00D52C17">
      <w:pPr>
        <w:spacing w:after="0" w:line="240" w:lineRule="auto"/>
        <w:jc w:val="center"/>
        <w:rPr>
          <w:bCs/>
        </w:rPr>
      </w:pPr>
      <w:r w:rsidRPr="007E6974">
        <w:t>Department of Civil, Architectural and Environmental Engineering</w:t>
      </w:r>
    </w:p>
    <w:p w14:paraId="2BE12368" w14:textId="77777777" w:rsidR="007758E2" w:rsidRPr="007E6974" w:rsidRDefault="007758E2" w:rsidP="00D52C17">
      <w:pPr>
        <w:spacing w:after="0" w:line="240" w:lineRule="auto"/>
        <w:jc w:val="center"/>
        <w:rPr>
          <w:bCs/>
        </w:rPr>
      </w:pPr>
      <w:r w:rsidRPr="007E6974">
        <w:t>301 E. Dean Keeton St. Stop C1761, Austin TX 78712, USA</w:t>
      </w:r>
    </w:p>
    <w:p w14:paraId="77180FC4" w14:textId="77777777" w:rsidR="007758E2" w:rsidRPr="007E6974" w:rsidRDefault="007758E2" w:rsidP="00D52C17">
      <w:pPr>
        <w:spacing w:after="0" w:line="240" w:lineRule="auto"/>
        <w:jc w:val="center"/>
        <w:rPr>
          <w:bCs/>
          <w:lang w:val="fr-FR"/>
        </w:rPr>
      </w:pPr>
      <w:r w:rsidRPr="007E6974">
        <w:rPr>
          <w:lang w:val="pt-BR"/>
        </w:rPr>
        <w:t>Tel:</w:t>
      </w:r>
      <w:r w:rsidRPr="007E6974">
        <w:t xml:space="preserve"> 1-512-471-4535; </w:t>
      </w:r>
      <w:r w:rsidRPr="007E6974">
        <w:rPr>
          <w:lang w:val="fr-FR"/>
        </w:rPr>
        <w:t xml:space="preserve">Email: </w:t>
      </w:r>
      <w:hyperlink r:id="rId10" w:history="1">
        <w:r w:rsidRPr="007E6974">
          <w:rPr>
            <w:rStyle w:val="Hyperlink"/>
            <w:lang w:val="fr-FR"/>
          </w:rPr>
          <w:t>bhat@mail.utexas.edu</w:t>
        </w:r>
      </w:hyperlink>
    </w:p>
    <w:p w14:paraId="7121BAE0" w14:textId="77777777" w:rsidR="007758E2" w:rsidRPr="007E6974" w:rsidRDefault="007758E2" w:rsidP="00D52C17">
      <w:pPr>
        <w:spacing w:after="0" w:line="240" w:lineRule="auto"/>
        <w:jc w:val="center"/>
        <w:rPr>
          <w:bCs/>
        </w:rPr>
      </w:pPr>
      <w:r w:rsidRPr="007E6974">
        <w:t>and</w:t>
      </w:r>
    </w:p>
    <w:p w14:paraId="360B1A23" w14:textId="77777777" w:rsidR="007758E2" w:rsidRPr="007E6974" w:rsidRDefault="007758E2" w:rsidP="00D52C17">
      <w:pPr>
        <w:spacing w:after="0" w:line="240" w:lineRule="auto"/>
        <w:jc w:val="center"/>
        <w:rPr>
          <w:b/>
        </w:rPr>
      </w:pPr>
      <w:r w:rsidRPr="007E6974">
        <w:t>The Hong Kong Polytechnic University, Hung Hom, Kowloon, Hong Kong</w:t>
      </w:r>
    </w:p>
    <w:p w14:paraId="40326864" w14:textId="77777777" w:rsidR="007758E2" w:rsidRDefault="007758E2" w:rsidP="00D52C17">
      <w:pPr>
        <w:spacing w:after="0" w:line="240" w:lineRule="auto"/>
        <w:jc w:val="center"/>
        <w:rPr>
          <w:b/>
          <w:shd w:val="clear" w:color="auto" w:fill="FFFFFF"/>
        </w:rPr>
      </w:pPr>
    </w:p>
    <w:p w14:paraId="68DB96E6" w14:textId="77777777" w:rsidR="007758E2" w:rsidRDefault="007758E2" w:rsidP="00D52C17">
      <w:pPr>
        <w:spacing w:after="0" w:line="240" w:lineRule="auto"/>
        <w:rPr>
          <w:b/>
          <w:shd w:val="clear" w:color="auto" w:fill="FFFFFF"/>
        </w:rPr>
      </w:pPr>
    </w:p>
    <w:p w14:paraId="4B38D5D6" w14:textId="77777777" w:rsidR="007758E2" w:rsidRDefault="007758E2" w:rsidP="00D52C17">
      <w:pPr>
        <w:spacing w:after="0" w:line="240" w:lineRule="auto"/>
        <w:rPr>
          <w:b/>
          <w:shd w:val="clear" w:color="auto" w:fill="FFFFFF"/>
        </w:rPr>
      </w:pPr>
    </w:p>
    <w:p w14:paraId="470D3C77" w14:textId="77777777" w:rsidR="00E92AE6" w:rsidRDefault="00E92AE6" w:rsidP="00D52C17">
      <w:pPr>
        <w:spacing w:after="0"/>
        <w:sectPr w:rsidR="00E92AE6" w:rsidSect="00D52C17">
          <w:headerReference w:type="default" r:id="rId11"/>
          <w:footerReference w:type="default" r:id="rId12"/>
          <w:pgSz w:w="12240" w:h="15840"/>
          <w:pgMar w:top="1440" w:right="1440" w:bottom="1440" w:left="1440" w:header="720" w:footer="720" w:gutter="0"/>
          <w:cols w:space="720"/>
          <w:titlePg/>
          <w:docGrid w:linePitch="360"/>
        </w:sectPr>
      </w:pPr>
    </w:p>
    <w:p w14:paraId="4367D6E4" w14:textId="6DBC06D3" w:rsidR="00CC22CF" w:rsidRPr="00CC22CF" w:rsidRDefault="00D52C17" w:rsidP="00D52C17">
      <w:pPr>
        <w:pStyle w:val="Heading1"/>
        <w:numPr>
          <w:ilvl w:val="0"/>
          <w:numId w:val="0"/>
        </w:numPr>
        <w:ind w:left="360" w:hanging="360"/>
      </w:pPr>
      <w:r w:rsidRPr="00CC22CF">
        <w:lastRenderedPageBreak/>
        <w:t>ABSTRACT</w:t>
      </w:r>
    </w:p>
    <w:p w14:paraId="1EDE872A" w14:textId="74766E87" w:rsidR="000D3DB6" w:rsidRDefault="000D3DB6" w:rsidP="00D52C17">
      <w:pPr>
        <w:spacing w:after="0" w:line="276" w:lineRule="auto"/>
        <w:jc w:val="both"/>
      </w:pPr>
      <w:r w:rsidRPr="002640B5">
        <w:t>In this paper, we examine</w:t>
      </w:r>
      <w:r>
        <w:t xml:space="preserve"> the non-</w:t>
      </w:r>
      <w:r w:rsidR="009D141C">
        <w:t>home</w:t>
      </w:r>
      <w:r w:rsidR="00381210">
        <w:t>-</w:t>
      </w:r>
      <w:r>
        <w:t>cooked meal (N</w:t>
      </w:r>
      <w:r w:rsidR="009D141C">
        <w:t>HCM</w:t>
      </w:r>
      <w:r>
        <w:t xml:space="preserve">) </w:t>
      </w:r>
      <w:r w:rsidRPr="002640B5">
        <w:t xml:space="preserve">preferences of </w:t>
      </w:r>
      <w:r>
        <w:t>individuals for their dinner meal by studying the monthly count of N</w:t>
      </w:r>
      <w:r w:rsidR="009D141C">
        <w:t>HCM</w:t>
      </w:r>
      <w:r>
        <w:t xml:space="preserve"> meals by channel type: eat-out, eat-in takeout, and eat</w:t>
      </w:r>
      <w:r w:rsidR="0084494B">
        <w:t>-</w:t>
      </w:r>
      <w:r>
        <w:t>in</w:t>
      </w:r>
      <w:r w:rsidR="0084494B">
        <w:t xml:space="preserve"> </w:t>
      </w:r>
      <w:r>
        <w:t xml:space="preserve">delivery. Data from a 2022 online survey collected in Texas is employed to estimate a multivariate joint model. Model estimation results indicate </w:t>
      </w:r>
      <w:r w:rsidR="004A3F04">
        <w:t xml:space="preserve">that the most frequent customers of the eat-out channel are white individuals, individuals from 3+ motorized </w:t>
      </w:r>
      <w:r w:rsidR="00D67478">
        <w:t>vehicle-</w:t>
      </w:r>
      <w:r w:rsidR="004A3F04">
        <w:t xml:space="preserve">owning households, those in non-joint families, those in households with no children, full-time employees who never work from home or do so only for a small fraction of their workdays, and those residing in areas with a high density of restaurants. The distinct consumer segments for the eat-in takeout channel include young individuals, those </w:t>
      </w:r>
      <w:r w:rsidR="0084494B">
        <w:t>with</w:t>
      </w:r>
      <w:r w:rsidR="004A3F04">
        <w:t xml:space="preserve"> high household incomes, those working from home all their workdays or a substantial fraction of their workdays, and urban residents; the most enthusiastic consumers of the eat-in delivery channel are white individuals, those with less than three vehicles in the household, individuals with children, urban residents, and those worried about pandemic-related personal health risks. Older individuals, non-white individuals, individuals with a graduate degree, individuals in fewer motorized vehicle-owning households and in joint families, those with children in the household, and rural residents constitute the most committed population segments of the </w:t>
      </w:r>
      <w:r w:rsidR="00381210">
        <w:t>home-</w:t>
      </w:r>
      <w:r w:rsidR="004A3F04">
        <w:t>cooked meal (</w:t>
      </w:r>
      <w:r w:rsidR="009D141C">
        <w:t>HCM</w:t>
      </w:r>
      <w:r w:rsidR="004A3F04">
        <w:t xml:space="preserve">) consumption channel. The results suggest the important impact of workplace location on dining channel choice. </w:t>
      </w:r>
      <w:r>
        <w:t>The results also show clear evidence of complementary and substitution effects at play; the delivery channel complements eating out but substitutes takeout. Similarly, eat-out has a substitution effect on eat-in takeout.</w:t>
      </w:r>
      <w:r w:rsidR="004272C8">
        <w:t xml:space="preserve"> These </w:t>
      </w:r>
      <w:r w:rsidR="00D07514">
        <w:t xml:space="preserve">effects </w:t>
      </w:r>
      <w:r w:rsidR="004272C8">
        <w:t xml:space="preserve">have important implications for activity-travel behavior </w:t>
      </w:r>
      <w:r w:rsidR="008545CB">
        <w:t xml:space="preserve">due to emerging technology-based ordering options for dining choices, especially in the aftermath of the COVID pandemic. </w:t>
      </w:r>
    </w:p>
    <w:p w14:paraId="427344E2" w14:textId="5B267980" w:rsidR="00B56983" w:rsidRDefault="00B56983" w:rsidP="00D52C17">
      <w:pPr>
        <w:spacing w:after="0" w:line="276" w:lineRule="auto"/>
        <w:jc w:val="both"/>
      </w:pPr>
    </w:p>
    <w:p w14:paraId="6E1016D0" w14:textId="05D6A8A7" w:rsidR="00B56983" w:rsidRDefault="00B56983" w:rsidP="00D52C17">
      <w:pPr>
        <w:spacing w:after="0" w:line="276" w:lineRule="auto"/>
        <w:jc w:val="both"/>
      </w:pPr>
      <w:r w:rsidRPr="00B56983">
        <w:rPr>
          <w:b/>
        </w:rPr>
        <w:t>Keywords:</w:t>
      </w:r>
      <w:r>
        <w:t xml:space="preserve"> </w:t>
      </w:r>
      <w:r w:rsidR="00327EAA">
        <w:t>Dinner choice, pick-up, delivery, takeout, dine-in, COVID-19</w:t>
      </w:r>
      <w:r w:rsidR="00D00A05">
        <w:t>.</w:t>
      </w:r>
    </w:p>
    <w:p w14:paraId="6D8F0822" w14:textId="77777777" w:rsidR="00D00A05" w:rsidRDefault="00D00A05" w:rsidP="00D52C17">
      <w:pPr>
        <w:spacing w:after="0" w:line="276" w:lineRule="auto"/>
        <w:jc w:val="both"/>
      </w:pPr>
    </w:p>
    <w:p w14:paraId="55CA31F5" w14:textId="77777777" w:rsidR="00D00A05" w:rsidRDefault="00D00A05" w:rsidP="00D52C17">
      <w:pPr>
        <w:pStyle w:val="Heading1"/>
        <w:sectPr w:rsidR="00D00A05" w:rsidSect="00D52C17">
          <w:pgSz w:w="12240" w:h="15840"/>
          <w:pgMar w:top="1440" w:right="1440" w:bottom="1440" w:left="1440" w:header="720" w:footer="720" w:gutter="0"/>
          <w:pgNumType w:start="1"/>
          <w:cols w:space="720"/>
          <w:docGrid w:linePitch="360"/>
        </w:sectPr>
      </w:pPr>
    </w:p>
    <w:p w14:paraId="50224079" w14:textId="71F4C22D" w:rsidR="00523B20" w:rsidRPr="00D52C17" w:rsidRDefault="00D52C17" w:rsidP="00D00A05">
      <w:pPr>
        <w:pStyle w:val="Heading1"/>
      </w:pPr>
      <w:r w:rsidRPr="00D52C17">
        <w:lastRenderedPageBreak/>
        <w:t>INTRODUCTION</w:t>
      </w:r>
    </w:p>
    <w:p w14:paraId="5C677813" w14:textId="1C71EB76" w:rsidR="004934C5" w:rsidRPr="00F37C04" w:rsidRDefault="002D2762" w:rsidP="00D00A05">
      <w:pPr>
        <w:spacing w:after="0" w:line="276" w:lineRule="auto"/>
        <w:jc w:val="both"/>
        <w:rPr>
          <w:color w:val="000000" w:themeColor="text1"/>
        </w:rPr>
      </w:pPr>
      <w:r w:rsidRPr="0081571B">
        <w:rPr>
          <w:color w:val="000000" w:themeColor="text1"/>
        </w:rPr>
        <w:t xml:space="preserve">Food expenditure outlays constitute </w:t>
      </w:r>
      <w:r w:rsidR="00B25DFC" w:rsidRPr="0081571B">
        <w:rPr>
          <w:color w:val="000000" w:themeColor="text1"/>
        </w:rPr>
        <w:t>the</w:t>
      </w:r>
      <w:r w:rsidR="00B25DFC" w:rsidRPr="00F2148C">
        <w:rPr>
          <w:color w:val="000000" w:themeColor="text1"/>
        </w:rPr>
        <w:t xml:space="preserve"> </w:t>
      </w:r>
      <w:r w:rsidRPr="00F37C04">
        <w:rPr>
          <w:color w:val="000000" w:themeColor="text1"/>
        </w:rPr>
        <w:t>third leading category of household budget expenditures in most countries of the world, along with housing and transportation outlays</w:t>
      </w:r>
      <w:bookmarkStart w:id="1" w:name="_Hlk109682920"/>
      <w:r w:rsidR="00A95F27">
        <w:rPr>
          <w:color w:val="000000" w:themeColor="text1"/>
        </w:rPr>
        <w:t xml:space="preserve"> </w:t>
      </w:r>
      <w:r w:rsidR="00A95F27" w:rsidRPr="00A95F27">
        <w:rPr>
          <w:color w:val="000000" w:themeColor="text1"/>
        </w:rPr>
        <w:t>(Bureau of Labor Statistics, 2020)</w:t>
      </w:r>
      <w:r w:rsidRPr="0081571B">
        <w:rPr>
          <w:color w:val="000000" w:themeColor="text1"/>
        </w:rPr>
        <w:t xml:space="preserve">. </w:t>
      </w:r>
      <w:bookmarkEnd w:id="1"/>
      <w:r w:rsidR="006E7159" w:rsidRPr="0081571B">
        <w:rPr>
          <w:color w:val="000000" w:themeColor="text1"/>
        </w:rPr>
        <w:t>I</w:t>
      </w:r>
      <w:r w:rsidRPr="0081571B">
        <w:rPr>
          <w:color w:val="000000" w:themeColor="text1"/>
        </w:rPr>
        <w:t xml:space="preserve">n the U.S., it has been estimated that about </w:t>
      </w:r>
      <w:r w:rsidRPr="00F2148C">
        <w:rPr>
          <w:color w:val="000000" w:themeColor="text1"/>
          <w:bdr w:val="none" w:sz="0" w:space="0" w:color="auto" w:frame="1"/>
        </w:rPr>
        <w:t>12.5% of the average househ</w:t>
      </w:r>
      <w:r w:rsidRPr="00F37C04">
        <w:rPr>
          <w:color w:val="000000" w:themeColor="text1"/>
          <w:bdr w:val="none" w:sz="0" w:space="0" w:color="auto" w:frame="1"/>
        </w:rPr>
        <w:t>old budget is spent on food</w:t>
      </w:r>
      <w:r w:rsidR="0013717B" w:rsidRPr="00F37C04">
        <w:rPr>
          <w:color w:val="000000" w:themeColor="text1"/>
          <w:bdr w:val="none" w:sz="0" w:space="0" w:color="auto" w:frame="1"/>
        </w:rPr>
        <w:t xml:space="preserve">, </w:t>
      </w:r>
      <w:r w:rsidR="00535C60" w:rsidRPr="00F37C04">
        <w:rPr>
          <w:color w:val="000000" w:themeColor="text1"/>
          <w:bdr w:val="none" w:sz="0" w:space="0" w:color="auto" w:frame="1"/>
        </w:rPr>
        <w:t xml:space="preserve">almost </w:t>
      </w:r>
      <w:r w:rsidR="00870334" w:rsidRPr="00F37C04">
        <w:rPr>
          <w:color w:val="000000" w:themeColor="text1"/>
          <w:bdr w:val="none" w:sz="0" w:space="0" w:color="auto" w:frame="1"/>
        </w:rPr>
        <w:t xml:space="preserve">evenly distributed between </w:t>
      </w:r>
      <w:r w:rsidR="00FE14DE" w:rsidRPr="00F37C04">
        <w:rPr>
          <w:color w:val="000000" w:themeColor="text1"/>
          <w:bdr w:val="none" w:sz="0" w:space="0" w:color="auto" w:frame="1"/>
        </w:rPr>
        <w:t>non-</w:t>
      </w:r>
      <w:r w:rsidR="00381210">
        <w:rPr>
          <w:color w:val="000000" w:themeColor="text1"/>
          <w:bdr w:val="none" w:sz="0" w:space="0" w:color="auto" w:frame="1"/>
        </w:rPr>
        <w:t>home-</w:t>
      </w:r>
      <w:r w:rsidR="00FE14DE" w:rsidRPr="00F37C04">
        <w:rPr>
          <w:color w:val="000000" w:themeColor="text1"/>
          <w:bdr w:val="none" w:sz="0" w:space="0" w:color="auto" w:frame="1"/>
        </w:rPr>
        <w:t xml:space="preserve">cooked meals </w:t>
      </w:r>
      <w:r w:rsidR="00E6234D" w:rsidRPr="00F37C04">
        <w:rPr>
          <w:color w:val="000000" w:themeColor="text1"/>
          <w:bdr w:val="none" w:sz="0" w:space="0" w:color="auto" w:frame="1"/>
        </w:rPr>
        <w:t>(</w:t>
      </w:r>
      <w:r w:rsidR="00554351">
        <w:rPr>
          <w:color w:val="000000" w:themeColor="text1"/>
          <w:bdr w:val="none" w:sz="0" w:space="0" w:color="auto" w:frame="1"/>
        </w:rPr>
        <w:t xml:space="preserve">or simply </w:t>
      </w:r>
      <w:r w:rsidR="00870334" w:rsidRPr="00F37C04">
        <w:rPr>
          <w:color w:val="000000" w:themeColor="text1"/>
          <w:bdr w:val="none" w:sz="0" w:space="0" w:color="auto" w:frame="1"/>
        </w:rPr>
        <w:t>N</w:t>
      </w:r>
      <w:r w:rsidR="009D141C">
        <w:rPr>
          <w:color w:val="000000" w:themeColor="text1"/>
          <w:bdr w:val="none" w:sz="0" w:space="0" w:color="auto" w:frame="1"/>
        </w:rPr>
        <w:t>HCM</w:t>
      </w:r>
      <w:r w:rsidR="00554351">
        <w:rPr>
          <w:color w:val="000000" w:themeColor="text1"/>
          <w:bdr w:val="none" w:sz="0" w:space="0" w:color="auto" w:frame="1"/>
        </w:rPr>
        <w:t xml:space="preserve"> in the rest of this paper</w:t>
      </w:r>
      <w:r w:rsidR="00E6234D" w:rsidRPr="00F37C04">
        <w:rPr>
          <w:color w:val="000000" w:themeColor="text1"/>
          <w:bdr w:val="none" w:sz="0" w:space="0" w:color="auto" w:frame="1"/>
        </w:rPr>
        <w:t>)</w:t>
      </w:r>
      <w:r w:rsidR="00870334" w:rsidRPr="00F37C04">
        <w:rPr>
          <w:color w:val="000000" w:themeColor="text1"/>
          <w:bdr w:val="none" w:sz="0" w:space="0" w:color="auto" w:frame="1"/>
        </w:rPr>
        <w:t xml:space="preserve"> and </w:t>
      </w:r>
      <w:r w:rsidR="00381210">
        <w:rPr>
          <w:color w:val="000000" w:themeColor="text1"/>
          <w:bdr w:val="none" w:sz="0" w:space="0" w:color="auto" w:frame="1"/>
        </w:rPr>
        <w:t>home-</w:t>
      </w:r>
      <w:r w:rsidR="00E6234D" w:rsidRPr="00F37C04">
        <w:rPr>
          <w:color w:val="000000" w:themeColor="text1"/>
          <w:bdr w:val="none" w:sz="0" w:space="0" w:color="auto" w:frame="1"/>
        </w:rPr>
        <w:t>cooked meals (</w:t>
      </w:r>
      <w:r w:rsidR="009D141C">
        <w:rPr>
          <w:color w:val="000000" w:themeColor="text1"/>
          <w:bdr w:val="none" w:sz="0" w:space="0" w:color="auto" w:frame="1"/>
        </w:rPr>
        <w:t>HCM</w:t>
      </w:r>
      <w:r w:rsidR="00E6234D" w:rsidRPr="00F37C04">
        <w:rPr>
          <w:color w:val="000000" w:themeColor="text1"/>
          <w:bdr w:val="none" w:sz="0" w:space="0" w:color="auto" w:frame="1"/>
        </w:rPr>
        <w:t>)</w:t>
      </w:r>
      <w:r w:rsidR="00A95F27">
        <w:rPr>
          <w:color w:val="000000" w:themeColor="text1"/>
          <w:bdr w:val="none" w:sz="0" w:space="0" w:color="auto" w:frame="1"/>
        </w:rPr>
        <w:t xml:space="preserve"> </w:t>
      </w:r>
      <w:r w:rsidR="00A95F27" w:rsidRPr="00A95F27">
        <w:rPr>
          <w:color w:val="000000" w:themeColor="text1"/>
          <w:bdr w:val="none" w:sz="0" w:space="0" w:color="auto" w:frame="1"/>
        </w:rPr>
        <w:t>(U.S. Department of Agriculture, 2021)</w:t>
      </w:r>
      <w:bookmarkStart w:id="2" w:name="_Hlk109682952"/>
      <w:r w:rsidR="00B93744" w:rsidRPr="0081571B">
        <w:rPr>
          <w:color w:val="000000" w:themeColor="text1"/>
        </w:rPr>
        <w:t>.</w:t>
      </w:r>
      <w:r w:rsidR="00FD5DC4" w:rsidRPr="0081571B">
        <w:rPr>
          <w:color w:val="000000" w:themeColor="text1"/>
          <w:bdr w:val="none" w:sz="0" w:space="0" w:color="auto" w:frame="1"/>
        </w:rPr>
        <w:t xml:space="preserve"> </w:t>
      </w:r>
      <w:bookmarkEnd w:id="2"/>
      <w:r w:rsidRPr="0081571B">
        <w:rPr>
          <w:color w:val="000000" w:themeColor="text1"/>
          <w:bdr w:val="none" w:sz="0" w:space="0" w:color="auto" w:frame="1"/>
        </w:rPr>
        <w:t>Further</w:t>
      </w:r>
      <w:r w:rsidR="00BB0B21" w:rsidRPr="00F2148C">
        <w:rPr>
          <w:color w:val="000000" w:themeColor="text1"/>
          <w:bdr w:val="none" w:sz="0" w:space="0" w:color="auto" w:frame="1"/>
        </w:rPr>
        <w:t>more</w:t>
      </w:r>
      <w:r w:rsidRPr="00F37C04">
        <w:rPr>
          <w:color w:val="000000" w:themeColor="text1"/>
          <w:bdr w:val="none" w:sz="0" w:space="0" w:color="auto" w:frame="1"/>
        </w:rPr>
        <w:t>, until the COVID</w:t>
      </w:r>
      <w:r w:rsidR="006E7159" w:rsidRPr="00F37C04">
        <w:rPr>
          <w:color w:val="000000" w:themeColor="text1"/>
          <w:bdr w:val="none" w:sz="0" w:space="0" w:color="auto" w:frame="1"/>
        </w:rPr>
        <w:t>-19</w:t>
      </w:r>
      <w:r w:rsidRPr="00F37C04">
        <w:rPr>
          <w:color w:val="000000" w:themeColor="text1"/>
          <w:bdr w:val="none" w:sz="0" w:space="0" w:color="auto" w:frame="1"/>
        </w:rPr>
        <w:t xml:space="preserve"> pandemic, there was a steady 5% annual increase in </w:t>
      </w:r>
      <w:r w:rsidR="00394330" w:rsidRPr="00F37C04">
        <w:rPr>
          <w:color w:val="000000" w:themeColor="text1"/>
          <w:bdr w:val="none" w:sz="0" w:space="0" w:color="auto" w:frame="1"/>
        </w:rPr>
        <w:t>N</w:t>
      </w:r>
      <w:r w:rsidR="009D141C">
        <w:rPr>
          <w:color w:val="000000" w:themeColor="text1"/>
          <w:bdr w:val="none" w:sz="0" w:space="0" w:color="auto" w:frame="1"/>
        </w:rPr>
        <w:t>HCM</w:t>
      </w:r>
      <w:r w:rsidR="00394330" w:rsidRPr="00F37C04">
        <w:rPr>
          <w:color w:val="000000" w:themeColor="text1"/>
          <w:bdr w:val="none" w:sz="0" w:space="0" w:color="auto" w:frame="1"/>
        </w:rPr>
        <w:t xml:space="preserve"> </w:t>
      </w:r>
      <w:r w:rsidRPr="00F37C04">
        <w:rPr>
          <w:color w:val="000000" w:themeColor="text1"/>
          <w:bdr w:val="none" w:sz="0" w:space="0" w:color="auto" w:frame="1"/>
        </w:rPr>
        <w:t>consumption, especially eating meals outside the home at a commercial catering establishment</w:t>
      </w:r>
      <w:r w:rsidR="00A95F27">
        <w:rPr>
          <w:color w:val="000000" w:themeColor="text1"/>
          <w:bdr w:val="none" w:sz="0" w:space="0" w:color="auto" w:frame="1"/>
        </w:rPr>
        <w:t xml:space="preserve"> </w:t>
      </w:r>
      <w:r w:rsidR="00A95F27" w:rsidRPr="00A95F27">
        <w:rPr>
          <w:color w:val="000000" w:themeColor="text1"/>
          <w:bdr w:val="none" w:sz="0" w:space="0" w:color="auto" w:frame="1"/>
        </w:rPr>
        <w:t>(U.S. Department of Agriculture, 2022)</w:t>
      </w:r>
      <w:bookmarkStart w:id="3" w:name="_Hlk109682979"/>
      <w:r w:rsidR="00FD5DC4" w:rsidRPr="0081571B">
        <w:rPr>
          <w:color w:val="000000" w:themeColor="text1"/>
          <w:bdr w:val="none" w:sz="0" w:space="0" w:color="auto" w:frame="1"/>
        </w:rPr>
        <w:t>.</w:t>
      </w:r>
      <w:r w:rsidRPr="0081571B">
        <w:rPr>
          <w:color w:val="000000" w:themeColor="text1"/>
          <w:bdr w:val="none" w:sz="0" w:space="0" w:color="auto" w:frame="1"/>
        </w:rPr>
        <w:t xml:space="preserve"> </w:t>
      </w:r>
      <w:bookmarkEnd w:id="3"/>
      <w:r w:rsidR="006E7159" w:rsidRPr="00F37C04">
        <w:rPr>
          <w:color w:val="000000" w:themeColor="text1"/>
          <w:bdr w:val="none" w:sz="0" w:space="0" w:color="auto" w:frame="1"/>
        </w:rPr>
        <w:t>The increased expenditures on N</w:t>
      </w:r>
      <w:r w:rsidR="009D141C">
        <w:rPr>
          <w:color w:val="000000" w:themeColor="text1"/>
          <w:bdr w:val="none" w:sz="0" w:space="0" w:color="auto" w:frame="1"/>
        </w:rPr>
        <w:t>HCM</w:t>
      </w:r>
      <w:r w:rsidR="006E7159" w:rsidRPr="00F37C04">
        <w:rPr>
          <w:color w:val="000000" w:themeColor="text1"/>
          <w:bdr w:val="none" w:sz="0" w:space="0" w:color="auto" w:frame="1"/>
        </w:rPr>
        <w:t xml:space="preserve"> resulted in</w:t>
      </w:r>
      <w:r w:rsidR="006E7159" w:rsidRPr="00F37C04">
        <w:rPr>
          <w:color w:val="000000" w:themeColor="text1"/>
        </w:rPr>
        <w:t xml:space="preserve"> record</w:t>
      </w:r>
      <w:r w:rsidR="001D105C" w:rsidRPr="00F37C04">
        <w:rPr>
          <w:color w:val="000000" w:themeColor="text1"/>
        </w:rPr>
        <w:t>-</w:t>
      </w:r>
      <w:r w:rsidR="006E7159" w:rsidRPr="00F37C04">
        <w:rPr>
          <w:color w:val="000000" w:themeColor="text1"/>
        </w:rPr>
        <w:t>high restaurant sales totaling $864 billion in 2019</w:t>
      </w:r>
      <w:r w:rsidR="0013717B" w:rsidRPr="00F37C04">
        <w:rPr>
          <w:color w:val="000000" w:themeColor="text1"/>
        </w:rPr>
        <w:t>,</w:t>
      </w:r>
      <w:r w:rsidR="00CC1E76" w:rsidRPr="00F37C04">
        <w:rPr>
          <w:color w:val="000000" w:themeColor="text1"/>
        </w:rPr>
        <w:t xml:space="preserve"> </w:t>
      </w:r>
      <w:r w:rsidR="00BB0B21" w:rsidRPr="00F37C04">
        <w:rPr>
          <w:color w:val="000000" w:themeColor="text1"/>
        </w:rPr>
        <w:t xml:space="preserve">reflecting </w:t>
      </w:r>
      <w:r w:rsidR="00CC1E76" w:rsidRPr="00F37C04">
        <w:rPr>
          <w:color w:val="000000" w:themeColor="text1"/>
        </w:rPr>
        <w:t>an a</w:t>
      </w:r>
      <w:r w:rsidR="00535C60" w:rsidRPr="00F37C04">
        <w:rPr>
          <w:color w:val="000000" w:themeColor="text1"/>
        </w:rPr>
        <w:t xml:space="preserve">verage </w:t>
      </w:r>
      <w:r w:rsidR="00394330" w:rsidRPr="00F37C04">
        <w:rPr>
          <w:color w:val="000000" w:themeColor="text1"/>
        </w:rPr>
        <w:t xml:space="preserve">annual </w:t>
      </w:r>
      <w:r w:rsidR="00535C60" w:rsidRPr="00F37C04">
        <w:rPr>
          <w:color w:val="000000" w:themeColor="text1"/>
        </w:rPr>
        <w:t xml:space="preserve">household </w:t>
      </w:r>
      <w:r w:rsidR="00CC1E76" w:rsidRPr="00F37C04">
        <w:rPr>
          <w:color w:val="000000" w:themeColor="text1"/>
        </w:rPr>
        <w:t xml:space="preserve">expenditure of </w:t>
      </w:r>
      <w:r w:rsidR="00535C60" w:rsidRPr="00F37C04">
        <w:rPr>
          <w:color w:val="000000" w:themeColor="text1"/>
        </w:rPr>
        <w:t>$3,526</w:t>
      </w:r>
      <w:r w:rsidR="00753D34" w:rsidRPr="00F37C04">
        <w:rPr>
          <w:color w:val="000000" w:themeColor="text1"/>
        </w:rPr>
        <w:t xml:space="preserve"> </w:t>
      </w:r>
      <w:bookmarkStart w:id="4" w:name="_Hlk109683007"/>
      <w:r w:rsidR="00B93744" w:rsidRPr="0081571B">
        <w:rPr>
          <w:color w:val="000000" w:themeColor="text1"/>
        </w:rPr>
        <w:fldChar w:fldCharType="begin"/>
      </w:r>
      <w:r w:rsidR="0009165F">
        <w:rPr>
          <w:color w:val="000000" w:themeColor="text1"/>
        </w:rPr>
        <w:instrText xml:space="preserve"> ADDIN ZOTERO_ITEM CSL_CITATION {"citationID":"U7W4lV81","properties":{"formattedCitation":"(Kelso, 2022; Statista, 2020a)","plainCitation":"(Kelso, 2022; Statista, 2020a)","dontUpdate":true,"noteIndex":0},"citationItems":[{"id":498,"uris":["http://zotero.org/users/9292995/items/BDJI8CNB"],"itemData":{"id":498,"type":"webpage","abstract":"Restaurant sales are expected to surpass pre-pandemic levels this year, according to the National Restaurant Association. Challenges remain, however, as operators navigate labor pressures and significantly higher operating costs.","container-title":"Forbes","language":"en","note":"section: Food &amp; Drink","title":"Restaurant Industry Sales Expected To Hit $898 Billion This Year, Up From $864 Billion In 2019","URL":"https://www.forbes.com/sites/aliciakelso/2022/02/01/restaurant-industry-sales-expected-to-hit-898-billion-this-yearup-from-864-billion-in-2019/","author":[{"family":"Kelso","given":"Alicia"}],"accessed":{"date-parts":[["2022",4,9]]},"issued":{"date-parts":[["2022"]]}}},{"id":584,"uris":["http://zotero.org/users/9292995/items/39M9LAFU"],"itemData":{"id":584,"type":"report","title":"Average annual food away from home expenditures of United States households from 2010 to 2020 (in U.S. dollars)","URL":"https://www.statista.com/statistics/237215/average-away-from-home-food-expenditures-of-united-states-households/","author":[{"literal":"Statista"}],"issued":{"date-parts":[["2020"]]}}}],"schema":"https://github.com/citation-style-language/schema/raw/master/csl-citation.json"} </w:instrText>
      </w:r>
      <w:r w:rsidR="00B93744" w:rsidRPr="0081571B">
        <w:rPr>
          <w:color w:val="000000" w:themeColor="text1"/>
        </w:rPr>
        <w:fldChar w:fldCharType="separate"/>
      </w:r>
      <w:r w:rsidR="001144E4" w:rsidRPr="001144E4">
        <w:t>(Kelso, 2022</w:t>
      </w:r>
      <w:r w:rsidR="009D450A">
        <w:t>;</w:t>
      </w:r>
      <w:r w:rsidR="001144E4" w:rsidRPr="001144E4">
        <w:t xml:space="preserve"> Statista, 2020)</w:t>
      </w:r>
      <w:r w:rsidR="00B93744" w:rsidRPr="0081571B">
        <w:rPr>
          <w:color w:val="000000" w:themeColor="text1"/>
        </w:rPr>
        <w:fldChar w:fldCharType="end"/>
      </w:r>
      <w:r w:rsidR="00CC1E76" w:rsidRPr="0081571B">
        <w:rPr>
          <w:color w:val="000000" w:themeColor="text1"/>
        </w:rPr>
        <w:t xml:space="preserve">. </w:t>
      </w:r>
      <w:bookmarkEnd w:id="4"/>
      <w:r w:rsidR="004934C5" w:rsidRPr="00F37C04">
        <w:rPr>
          <w:color w:val="000000" w:themeColor="text1"/>
        </w:rPr>
        <w:t xml:space="preserve">This cultural </w:t>
      </w:r>
      <w:r w:rsidR="004934C5" w:rsidRPr="0015182B">
        <w:rPr>
          <w:color w:val="000000" w:themeColor="text1"/>
        </w:rPr>
        <w:t xml:space="preserve">shift away from </w:t>
      </w:r>
      <w:r w:rsidR="009D141C">
        <w:rPr>
          <w:color w:val="000000" w:themeColor="text1"/>
        </w:rPr>
        <w:t>HCM</w:t>
      </w:r>
      <w:r w:rsidR="004934C5" w:rsidRPr="0015182B">
        <w:rPr>
          <w:color w:val="000000" w:themeColor="text1"/>
        </w:rPr>
        <w:t xml:space="preserve"> preparation and toward N</w:t>
      </w:r>
      <w:r w:rsidR="009D141C">
        <w:rPr>
          <w:color w:val="000000" w:themeColor="text1"/>
        </w:rPr>
        <w:t>HCM</w:t>
      </w:r>
      <w:r w:rsidR="004934C5" w:rsidRPr="0015182B">
        <w:rPr>
          <w:color w:val="000000" w:themeColor="text1"/>
        </w:rPr>
        <w:t xml:space="preserve">s has been attributed in food sociology studies </w:t>
      </w:r>
      <w:r w:rsidR="00657F46" w:rsidRPr="0015182B">
        <w:rPr>
          <w:color w:val="000000" w:themeColor="text1"/>
        </w:rPr>
        <w:t>(see, for example,</w:t>
      </w:r>
      <w:bookmarkStart w:id="5" w:name="_Hlk109683026"/>
      <w:r w:rsidR="002D11A1" w:rsidRPr="0015182B">
        <w:rPr>
          <w:color w:val="000000" w:themeColor="text1"/>
        </w:rPr>
        <w:t xml:space="preserve"> Holm, 2013</w:t>
      </w:r>
      <w:r w:rsidR="00EF4DAE">
        <w:rPr>
          <w:color w:val="000000" w:themeColor="text1"/>
        </w:rPr>
        <w:t>;</w:t>
      </w:r>
      <w:r w:rsidR="002D11A1" w:rsidRPr="0015182B">
        <w:rPr>
          <w:color w:val="000000" w:themeColor="text1"/>
        </w:rPr>
        <w:t xml:space="preserve"> Smith et al., 2013</w:t>
      </w:r>
      <w:r w:rsidR="00EF4DAE">
        <w:rPr>
          <w:color w:val="000000" w:themeColor="text1"/>
        </w:rPr>
        <w:t>;</w:t>
      </w:r>
      <w:r w:rsidR="002D11A1" w:rsidRPr="0015182B">
        <w:rPr>
          <w:color w:val="000000" w:themeColor="text1"/>
        </w:rPr>
        <w:t xml:space="preserve"> Venn et al., 2017</w:t>
      </w:r>
      <w:r w:rsidR="00EF4DAE">
        <w:rPr>
          <w:color w:val="000000" w:themeColor="text1"/>
        </w:rPr>
        <w:t>;</w:t>
      </w:r>
      <w:r w:rsidR="002D11A1" w:rsidRPr="0015182B">
        <w:rPr>
          <w:color w:val="000000" w:themeColor="text1"/>
        </w:rPr>
        <w:t xml:space="preserve"> and Warde et al., 2007</w:t>
      </w:r>
      <w:bookmarkEnd w:id="5"/>
      <w:r w:rsidR="002D11A1" w:rsidRPr="0015182B">
        <w:rPr>
          <w:color w:val="000000" w:themeColor="text1"/>
        </w:rPr>
        <w:t xml:space="preserve">) </w:t>
      </w:r>
      <w:r w:rsidR="004934C5" w:rsidRPr="0015182B">
        <w:rPr>
          <w:color w:val="000000" w:themeColor="text1"/>
        </w:rPr>
        <w:t>to multiple factors</w:t>
      </w:r>
      <w:r w:rsidR="004934C5" w:rsidRPr="0081571B">
        <w:rPr>
          <w:color w:val="000000" w:themeColor="text1"/>
        </w:rPr>
        <w:t>, including (a) increasing participation of women in the workforce and the resulting time rebalance to accommodate this remunerative pursuit, (b) growing acceptance in society that cooking is not primarily the women’s responsibility, (c) rising affordability of</w:t>
      </w:r>
      <w:r w:rsidR="004934C5" w:rsidRPr="00F37C04">
        <w:rPr>
          <w:color w:val="000000" w:themeColor="text1"/>
        </w:rPr>
        <w:t xml:space="preserve"> N</w:t>
      </w:r>
      <w:r w:rsidR="009D141C">
        <w:rPr>
          <w:color w:val="000000" w:themeColor="text1"/>
        </w:rPr>
        <w:t>HCM</w:t>
      </w:r>
      <w:r w:rsidR="004934C5" w:rsidRPr="00F37C04">
        <w:rPr>
          <w:color w:val="000000" w:themeColor="text1"/>
        </w:rPr>
        <w:t xml:space="preserve">s due to the industrialization of the food industry, (d) delinking of </w:t>
      </w:r>
      <w:r w:rsidR="009D141C">
        <w:rPr>
          <w:color w:val="000000" w:themeColor="text1"/>
        </w:rPr>
        <w:t>HCM</w:t>
      </w:r>
      <w:r w:rsidR="004934C5" w:rsidRPr="00F37C04">
        <w:rPr>
          <w:color w:val="000000" w:themeColor="text1"/>
        </w:rPr>
        <w:t>s from its symbolic social, cultural and/or religious significance as a family gathering event, (e) viewing N</w:t>
      </w:r>
      <w:r w:rsidR="009D141C">
        <w:rPr>
          <w:color w:val="000000" w:themeColor="text1"/>
        </w:rPr>
        <w:t>HCM</w:t>
      </w:r>
      <w:r w:rsidR="004934C5" w:rsidRPr="00F37C04">
        <w:rPr>
          <w:color w:val="000000" w:themeColor="text1"/>
        </w:rPr>
        <w:t xml:space="preserve">s as an opportunity to socialize, or an opportunity to experience different cuisines, or an escape from routine, and (f) signaling cultural capital and social distinctiveness. </w:t>
      </w:r>
    </w:p>
    <w:p w14:paraId="7E760DE1" w14:textId="7F9B2087" w:rsidR="00FF72AE" w:rsidRPr="00DF1A9B" w:rsidRDefault="004934C5" w:rsidP="00D00A05">
      <w:pPr>
        <w:spacing w:after="0" w:line="276" w:lineRule="auto"/>
        <w:ind w:firstLine="720"/>
        <w:jc w:val="both"/>
        <w:rPr>
          <w:color w:val="2E2E2E"/>
        </w:rPr>
      </w:pPr>
      <w:r w:rsidRPr="00F37C04">
        <w:rPr>
          <w:color w:val="000000" w:themeColor="text1"/>
        </w:rPr>
        <w:t>The increasing expenditure on N</w:t>
      </w:r>
      <w:r w:rsidR="009D141C">
        <w:rPr>
          <w:color w:val="000000" w:themeColor="text1"/>
        </w:rPr>
        <w:t>HCM</w:t>
      </w:r>
      <w:r w:rsidRPr="00F37C04">
        <w:rPr>
          <w:color w:val="000000" w:themeColor="text1"/>
        </w:rPr>
        <w:t xml:space="preserve"> over the years</w:t>
      </w:r>
      <w:r w:rsidR="00074C5D">
        <w:rPr>
          <w:color w:val="000000" w:themeColor="text1"/>
        </w:rPr>
        <w:t>, while</w:t>
      </w:r>
      <w:r w:rsidRPr="0081571B">
        <w:rPr>
          <w:color w:val="000000" w:themeColor="text1"/>
        </w:rPr>
        <w:t xml:space="preserve"> primarily associated with eat</w:t>
      </w:r>
      <w:r w:rsidR="00074C5D">
        <w:rPr>
          <w:color w:val="000000" w:themeColor="text1"/>
        </w:rPr>
        <w:t>-</w:t>
      </w:r>
      <w:r w:rsidRPr="0081571B">
        <w:rPr>
          <w:color w:val="000000" w:themeColor="text1"/>
        </w:rPr>
        <w:t>out activity</w:t>
      </w:r>
      <w:r w:rsidR="00657F46" w:rsidRPr="0081571B">
        <w:rPr>
          <w:color w:val="000000" w:themeColor="text1"/>
        </w:rPr>
        <w:t xml:space="preserve">, </w:t>
      </w:r>
      <w:r w:rsidR="00074C5D">
        <w:rPr>
          <w:color w:val="000000" w:themeColor="text1"/>
        </w:rPr>
        <w:t xml:space="preserve">may also be associated with </w:t>
      </w:r>
      <w:r w:rsidR="00657F46" w:rsidRPr="0081571B">
        <w:rPr>
          <w:color w:val="000000" w:themeColor="text1"/>
        </w:rPr>
        <w:t>eat-in N</w:t>
      </w:r>
      <w:r w:rsidR="009D141C">
        <w:rPr>
          <w:color w:val="000000" w:themeColor="text1"/>
        </w:rPr>
        <w:t>HCM</w:t>
      </w:r>
      <w:r w:rsidR="00657F46" w:rsidRPr="0081571B">
        <w:rPr>
          <w:color w:val="000000" w:themeColor="text1"/>
        </w:rPr>
        <w:t xml:space="preserve"> </w:t>
      </w:r>
      <w:r w:rsidR="00FF72AE">
        <w:rPr>
          <w:color w:val="000000" w:themeColor="text1"/>
        </w:rPr>
        <w:t xml:space="preserve">(that is, </w:t>
      </w:r>
      <w:r w:rsidR="00FF72AE" w:rsidRPr="00DF1A9B">
        <w:rPr>
          <w:color w:val="000000" w:themeColor="text1"/>
          <w:bdr w:val="none" w:sz="0" w:space="0" w:color="auto" w:frame="1"/>
        </w:rPr>
        <w:t>take-out from an eatery or delivery of fully/partially-prepared meals to the home</w:t>
      </w:r>
      <w:r w:rsidR="00FF72AE">
        <w:rPr>
          <w:color w:val="000000" w:themeColor="text1"/>
          <w:bdr w:val="none" w:sz="0" w:space="0" w:color="auto" w:frame="1"/>
        </w:rPr>
        <w:t>)</w:t>
      </w:r>
      <w:r w:rsidR="00074C5D">
        <w:rPr>
          <w:color w:val="000000" w:themeColor="text1"/>
          <w:bdr w:val="none" w:sz="0" w:space="0" w:color="auto" w:frame="1"/>
        </w:rPr>
        <w:t xml:space="preserve">. To be sure, there was a rise in </w:t>
      </w:r>
      <w:r w:rsidR="004204F8">
        <w:rPr>
          <w:color w:val="000000" w:themeColor="text1"/>
          <w:bdr w:val="none" w:sz="0" w:space="0" w:color="auto" w:frame="1"/>
        </w:rPr>
        <w:t xml:space="preserve">e-commerce </w:t>
      </w:r>
      <w:r w:rsidR="00D67478">
        <w:rPr>
          <w:color w:val="000000" w:themeColor="text1"/>
          <w:bdr w:val="none" w:sz="0" w:space="0" w:color="auto" w:frame="1"/>
        </w:rPr>
        <w:t xml:space="preserve">that </w:t>
      </w:r>
      <w:r w:rsidR="004204F8">
        <w:rPr>
          <w:color w:val="000000" w:themeColor="text1"/>
          <w:bdr w:val="none" w:sz="0" w:space="0" w:color="auto" w:frame="1"/>
        </w:rPr>
        <w:t xml:space="preserve">spurred </w:t>
      </w:r>
      <w:r w:rsidR="00074C5D">
        <w:rPr>
          <w:color w:val="000000" w:themeColor="text1"/>
          <w:bdr w:val="none" w:sz="0" w:space="0" w:color="auto" w:frame="1"/>
        </w:rPr>
        <w:t>eat-in N</w:t>
      </w:r>
      <w:r w:rsidR="009D141C">
        <w:rPr>
          <w:color w:val="000000" w:themeColor="text1"/>
          <w:bdr w:val="none" w:sz="0" w:space="0" w:color="auto" w:frame="1"/>
        </w:rPr>
        <w:t>HCM</w:t>
      </w:r>
      <w:r w:rsidR="00074C5D">
        <w:rPr>
          <w:color w:val="000000" w:themeColor="text1"/>
          <w:bdr w:val="none" w:sz="0" w:space="0" w:color="auto" w:frame="1"/>
        </w:rPr>
        <w:t xml:space="preserve"> </w:t>
      </w:r>
      <w:r w:rsidR="00D67478">
        <w:rPr>
          <w:color w:val="000000" w:themeColor="text1"/>
        </w:rPr>
        <w:t xml:space="preserve">long </w:t>
      </w:r>
      <w:r w:rsidR="00657F46" w:rsidRPr="0081571B">
        <w:rPr>
          <w:color w:val="000000" w:themeColor="text1"/>
        </w:rPr>
        <w:t>before the COVID</w:t>
      </w:r>
      <w:r w:rsidR="000011A9">
        <w:rPr>
          <w:color w:val="000000" w:themeColor="text1"/>
        </w:rPr>
        <w:t>-19</w:t>
      </w:r>
      <w:r w:rsidR="00657F46" w:rsidRPr="0081571B">
        <w:rPr>
          <w:color w:val="000000" w:themeColor="text1"/>
        </w:rPr>
        <w:t xml:space="preserve"> pandemic</w:t>
      </w:r>
      <w:r w:rsidRPr="0081571B">
        <w:rPr>
          <w:color w:val="000000" w:themeColor="text1"/>
        </w:rPr>
        <w:t xml:space="preserve"> </w:t>
      </w:r>
      <w:r w:rsidR="00657F46" w:rsidRPr="00F2148C">
        <w:rPr>
          <w:color w:val="000000" w:themeColor="text1"/>
        </w:rPr>
        <w:t xml:space="preserve">(Ma et al., 2021). </w:t>
      </w:r>
      <w:r w:rsidR="00FF72AE">
        <w:rPr>
          <w:color w:val="000000" w:themeColor="text1"/>
        </w:rPr>
        <w:t>And</w:t>
      </w:r>
      <w:r w:rsidR="00657F46" w:rsidRPr="0081571B">
        <w:rPr>
          <w:color w:val="000000" w:themeColor="text1"/>
        </w:rPr>
        <w:t xml:space="preserve"> there is little doubt that </w:t>
      </w:r>
      <w:r w:rsidR="00EE258F" w:rsidRPr="00F37C04">
        <w:rPr>
          <w:color w:val="000000" w:themeColor="text1"/>
        </w:rPr>
        <w:t>t</w:t>
      </w:r>
      <w:r w:rsidR="00870334" w:rsidRPr="00F37C04">
        <w:rPr>
          <w:color w:val="000000" w:themeColor="text1"/>
        </w:rPr>
        <w:t xml:space="preserve">he COVID-19 pandemic </w:t>
      </w:r>
      <w:r w:rsidR="00657F46" w:rsidRPr="00F37C04">
        <w:rPr>
          <w:color w:val="000000" w:themeColor="text1"/>
        </w:rPr>
        <w:t xml:space="preserve">accelerated </w:t>
      </w:r>
      <w:r w:rsidR="00FF72AE">
        <w:rPr>
          <w:color w:val="000000" w:themeColor="text1"/>
        </w:rPr>
        <w:t>eat-in N</w:t>
      </w:r>
      <w:r w:rsidR="009D141C">
        <w:rPr>
          <w:color w:val="000000" w:themeColor="text1"/>
        </w:rPr>
        <w:t>HCM</w:t>
      </w:r>
      <w:r w:rsidR="00FF72AE">
        <w:rPr>
          <w:color w:val="000000" w:themeColor="text1"/>
        </w:rPr>
        <w:t xml:space="preserve"> </w:t>
      </w:r>
      <w:r w:rsidR="00074C5D">
        <w:rPr>
          <w:color w:val="000000" w:themeColor="text1"/>
        </w:rPr>
        <w:t xml:space="preserve">frequency </w:t>
      </w:r>
      <w:r w:rsidR="00870334" w:rsidRPr="00F37C04">
        <w:rPr>
          <w:color w:val="000000" w:themeColor="text1"/>
          <w:bdr w:val="none" w:sz="0" w:space="0" w:color="auto" w:frame="1"/>
        </w:rPr>
        <w:t xml:space="preserve">(for ease in presentation, we will refer to such </w:t>
      </w:r>
      <w:r w:rsidR="0013717B" w:rsidRPr="00F37C04">
        <w:rPr>
          <w:color w:val="000000" w:themeColor="text1"/>
          <w:bdr w:val="none" w:sz="0" w:space="0" w:color="auto" w:frame="1"/>
        </w:rPr>
        <w:t xml:space="preserve">eat-in </w:t>
      </w:r>
      <w:r w:rsidR="00870334" w:rsidRPr="00F37C04">
        <w:rPr>
          <w:color w:val="000000" w:themeColor="text1"/>
          <w:bdr w:val="none" w:sz="0" w:space="0" w:color="auto" w:frame="1"/>
        </w:rPr>
        <w:t>N</w:t>
      </w:r>
      <w:r w:rsidR="009D141C">
        <w:rPr>
          <w:color w:val="000000" w:themeColor="text1"/>
          <w:bdr w:val="none" w:sz="0" w:space="0" w:color="auto" w:frame="1"/>
        </w:rPr>
        <w:t>HCM</w:t>
      </w:r>
      <w:r w:rsidR="00870334" w:rsidRPr="00F37C04">
        <w:rPr>
          <w:color w:val="000000" w:themeColor="text1"/>
          <w:bdr w:val="none" w:sz="0" w:space="0" w:color="auto" w:frame="1"/>
        </w:rPr>
        <w:t xml:space="preserve"> food consumption simply as “eat-in”, distinctly different from the traditional </w:t>
      </w:r>
      <w:r w:rsidR="0013717B" w:rsidRPr="00F37C04">
        <w:rPr>
          <w:color w:val="000000" w:themeColor="text1"/>
          <w:bdr w:val="none" w:sz="0" w:space="0" w:color="auto" w:frame="1"/>
        </w:rPr>
        <w:t xml:space="preserve">in-home eat-in of </w:t>
      </w:r>
      <w:r w:rsidR="009D141C">
        <w:rPr>
          <w:color w:val="000000" w:themeColor="text1"/>
          <w:bdr w:val="none" w:sz="0" w:space="0" w:color="auto" w:frame="1"/>
        </w:rPr>
        <w:t>home</w:t>
      </w:r>
      <w:r w:rsidR="00870334" w:rsidRPr="00F37C04">
        <w:rPr>
          <w:color w:val="000000" w:themeColor="text1"/>
          <w:bdr w:val="none" w:sz="0" w:space="0" w:color="auto" w:frame="1"/>
        </w:rPr>
        <w:t>-cooked meals or</w:t>
      </w:r>
      <w:r w:rsidRPr="00F37C04">
        <w:rPr>
          <w:color w:val="000000" w:themeColor="text1"/>
          <w:bdr w:val="none" w:sz="0" w:space="0" w:color="auto" w:frame="1"/>
        </w:rPr>
        <w:t xml:space="preserve"> </w:t>
      </w:r>
      <w:r w:rsidR="009D141C">
        <w:rPr>
          <w:color w:val="000000" w:themeColor="text1"/>
          <w:bdr w:val="none" w:sz="0" w:space="0" w:color="auto" w:frame="1"/>
        </w:rPr>
        <w:t>HCM</w:t>
      </w:r>
      <w:r w:rsidR="0013717B" w:rsidRPr="00F37C04">
        <w:rPr>
          <w:color w:val="000000" w:themeColor="text1"/>
          <w:bdr w:val="none" w:sz="0" w:space="0" w:color="auto" w:frame="1"/>
        </w:rPr>
        <w:t>s</w:t>
      </w:r>
      <w:r w:rsidR="00870334" w:rsidRPr="00F37C04">
        <w:rPr>
          <w:color w:val="000000" w:themeColor="text1"/>
          <w:bdr w:val="none" w:sz="0" w:space="0" w:color="auto" w:frame="1"/>
        </w:rPr>
        <w:t xml:space="preserve">). </w:t>
      </w:r>
      <w:r w:rsidR="0013717B" w:rsidRPr="00F37C04">
        <w:rPr>
          <w:color w:val="000000" w:themeColor="text1"/>
          <w:bdr w:val="none" w:sz="0" w:space="0" w:color="auto" w:frame="1"/>
        </w:rPr>
        <w:t xml:space="preserve">Such eat-in arrangements, facilitated by </w:t>
      </w:r>
      <w:r w:rsidR="00493D78" w:rsidRPr="00F37C04">
        <w:rPr>
          <w:color w:val="000000" w:themeColor="text1"/>
          <w:bdr w:val="none" w:sz="0" w:space="0" w:color="auto" w:frame="1"/>
        </w:rPr>
        <w:t xml:space="preserve">the widespread adoption of information and communication technologies (ICT), </w:t>
      </w:r>
      <w:r w:rsidR="00A95F27">
        <w:rPr>
          <w:color w:val="000000" w:themeColor="text1"/>
          <w:bdr w:val="none" w:sz="0" w:space="0" w:color="auto" w:frame="1"/>
        </w:rPr>
        <w:t>are</w:t>
      </w:r>
      <w:r w:rsidR="00657F46" w:rsidRPr="00F37C04">
        <w:rPr>
          <w:color w:val="000000" w:themeColor="text1"/>
          <w:bdr w:val="none" w:sz="0" w:space="0" w:color="auto" w:frame="1"/>
        </w:rPr>
        <w:t xml:space="preserve"> resulting in a boom in </w:t>
      </w:r>
      <w:r w:rsidR="00493D78" w:rsidRPr="00F37C04">
        <w:rPr>
          <w:color w:val="000000" w:themeColor="text1"/>
          <w:bdr w:val="none" w:sz="0" w:space="0" w:color="auto" w:frame="1"/>
        </w:rPr>
        <w:t xml:space="preserve">the </w:t>
      </w:r>
      <w:r w:rsidR="00493D78" w:rsidRPr="00F37C04">
        <w:rPr>
          <w:color w:val="000000" w:themeColor="text1"/>
        </w:rPr>
        <w:t>total food delivery market’s worth</w:t>
      </w:r>
      <w:r w:rsidR="00657F46" w:rsidRPr="00F37C04">
        <w:rPr>
          <w:color w:val="000000" w:themeColor="text1"/>
        </w:rPr>
        <w:t>, with delivery sales projected to increase from $107 billion in 2019 to $154 billion in 2023</w:t>
      </w:r>
      <w:r w:rsidR="00493D78" w:rsidRPr="00F37C04">
        <w:rPr>
          <w:color w:val="000000" w:themeColor="text1"/>
          <w:bdr w:val="none" w:sz="0" w:space="0" w:color="auto" w:frame="1"/>
        </w:rPr>
        <w:t xml:space="preserve"> </w:t>
      </w:r>
      <w:r w:rsidR="00657F46" w:rsidRPr="00F37C04">
        <w:rPr>
          <w:color w:val="000000" w:themeColor="text1"/>
        </w:rPr>
        <w:t>(</w:t>
      </w:r>
      <w:bookmarkStart w:id="6" w:name="_Hlk110137751"/>
      <w:r w:rsidR="00657F46" w:rsidRPr="00F37C04">
        <w:rPr>
          <w:color w:val="000000" w:themeColor="text1"/>
        </w:rPr>
        <w:t>Business Research Company, 202</w:t>
      </w:r>
      <w:r w:rsidR="00B43E5D">
        <w:rPr>
          <w:color w:val="000000" w:themeColor="text1"/>
        </w:rPr>
        <w:t>1</w:t>
      </w:r>
      <w:r w:rsidR="00EF4DAE">
        <w:rPr>
          <w:color w:val="000000" w:themeColor="text1"/>
        </w:rPr>
        <w:t>;</w:t>
      </w:r>
      <w:r w:rsidR="00657F46" w:rsidRPr="00F37C04">
        <w:rPr>
          <w:color w:val="000000" w:themeColor="text1"/>
        </w:rPr>
        <w:t xml:space="preserve"> </w:t>
      </w:r>
      <w:r w:rsidR="00EB0B2D" w:rsidRPr="00F37C04">
        <w:rPr>
          <w:color w:val="000000" w:themeColor="text1"/>
        </w:rPr>
        <w:t>Ahuja et al., 2021</w:t>
      </w:r>
      <w:bookmarkEnd w:id="6"/>
      <w:r w:rsidR="00657F46" w:rsidRPr="00F37C04">
        <w:rPr>
          <w:color w:val="000000" w:themeColor="text1"/>
        </w:rPr>
        <w:t>)</w:t>
      </w:r>
      <w:r w:rsidR="00EB0B2D" w:rsidRPr="00F37C04">
        <w:rPr>
          <w:color w:val="000000" w:themeColor="text1"/>
        </w:rPr>
        <w:t>.</w:t>
      </w:r>
      <w:r w:rsidR="00870334" w:rsidRPr="0081571B">
        <w:rPr>
          <w:color w:val="000000" w:themeColor="text1"/>
        </w:rPr>
        <w:t xml:space="preserve"> </w:t>
      </w:r>
      <w:r w:rsidR="00EB0B2D" w:rsidRPr="0081571B">
        <w:rPr>
          <w:color w:val="000000" w:themeColor="text1"/>
        </w:rPr>
        <w:t xml:space="preserve">In another </w:t>
      </w:r>
      <w:r w:rsidR="003427AD" w:rsidRPr="00F2148C">
        <w:rPr>
          <w:color w:val="000000" w:themeColor="text1"/>
        </w:rPr>
        <w:t xml:space="preserve">survey of 10,000 consumers, OpenTable revealed that the pandemic resulted in a </w:t>
      </w:r>
      <w:r w:rsidR="003427AD" w:rsidRPr="00F37C04">
        <w:rPr>
          <w:color w:val="000000" w:themeColor="text1"/>
        </w:rPr>
        <w:t xml:space="preserve">72% increase </w:t>
      </w:r>
      <w:r w:rsidR="00182AF2" w:rsidRPr="00F37C04">
        <w:rPr>
          <w:color w:val="000000" w:themeColor="text1"/>
        </w:rPr>
        <w:t xml:space="preserve">in </w:t>
      </w:r>
      <w:r w:rsidR="003427AD" w:rsidRPr="00F37C04">
        <w:rPr>
          <w:color w:val="000000" w:themeColor="text1"/>
        </w:rPr>
        <w:t>the proportion of Americans picking up N</w:t>
      </w:r>
      <w:r w:rsidR="009D141C">
        <w:rPr>
          <w:color w:val="000000" w:themeColor="text1"/>
        </w:rPr>
        <w:t>HCM</w:t>
      </w:r>
      <w:r w:rsidR="003427AD" w:rsidRPr="00F37C04">
        <w:rPr>
          <w:color w:val="000000" w:themeColor="text1"/>
        </w:rPr>
        <w:t xml:space="preserve"> at least once a week and a 62% increase in the proportion of individuals ordering food deliveries</w:t>
      </w:r>
      <w:r w:rsidR="00182AF2" w:rsidRPr="00F37C04">
        <w:rPr>
          <w:color w:val="000000" w:themeColor="text1"/>
        </w:rPr>
        <w:t xml:space="preserve"> </w:t>
      </w:r>
      <w:bookmarkStart w:id="7" w:name="_Hlk109683246"/>
      <w:r w:rsidR="00182AF2" w:rsidRPr="0081571B">
        <w:rPr>
          <w:color w:val="000000" w:themeColor="text1"/>
        </w:rPr>
        <w:fldChar w:fldCharType="begin"/>
      </w:r>
      <w:r w:rsidR="00182AF2" w:rsidRPr="00F37C04">
        <w:rPr>
          <w:color w:val="000000" w:themeColor="text1"/>
        </w:rPr>
        <w:instrText xml:space="preserve"> ADDIN ZOTERO_ITEM CSL_CITATION {"citationID":"bDZigV6h","properties":{"formattedCitation":"(Olivia Terenzio, 2020)","plainCitation":"(Olivia Terenzio, 2020)","noteIndex":0},"citationItems":[{"id":585,"uris":["http://zotero.org/users/9292995/items/JAHAG7DB"],"itemData":{"id":585,"type":"post-weblog","container-title":"OpenTable Blog","title":"Eating out after COVID-19: OpenTable diners weigh in","URL":"https://blog.opentable.com/diner-survey-covid-19/","author":[{"literal":"Olivia Terenzio"}],"issued":{"date-parts":[["2020"]]}}}],"schema":"https://github.com/citation-style-language/schema/raw/master/csl-citation.json"} </w:instrText>
      </w:r>
      <w:r w:rsidR="00182AF2" w:rsidRPr="0081571B">
        <w:rPr>
          <w:color w:val="000000" w:themeColor="text1"/>
        </w:rPr>
        <w:fldChar w:fldCharType="separate"/>
      </w:r>
      <w:r w:rsidR="00182AF2" w:rsidRPr="0081571B">
        <w:t>(Terenzio, 2020)</w:t>
      </w:r>
      <w:r w:rsidR="00182AF2" w:rsidRPr="0081571B">
        <w:rPr>
          <w:color w:val="000000" w:themeColor="text1"/>
        </w:rPr>
        <w:fldChar w:fldCharType="end"/>
      </w:r>
      <w:r w:rsidR="003427AD" w:rsidRPr="0081571B">
        <w:rPr>
          <w:color w:val="000000" w:themeColor="text1"/>
        </w:rPr>
        <w:t>.</w:t>
      </w:r>
      <w:r w:rsidRPr="0081571B">
        <w:rPr>
          <w:color w:val="000000" w:themeColor="text1"/>
        </w:rPr>
        <w:t xml:space="preserve"> </w:t>
      </w:r>
      <w:bookmarkEnd w:id="7"/>
      <w:r w:rsidR="00074C5D">
        <w:rPr>
          <w:color w:val="000000" w:themeColor="text1"/>
        </w:rPr>
        <w:t xml:space="preserve">This is because, </w:t>
      </w:r>
      <w:r w:rsidR="002522A5">
        <w:rPr>
          <w:color w:val="000000" w:themeColor="text1"/>
        </w:rPr>
        <w:t>during</w:t>
      </w:r>
      <w:r w:rsidRPr="0081571B">
        <w:rPr>
          <w:color w:val="000000" w:themeColor="text1"/>
        </w:rPr>
        <w:t xml:space="preserve"> the pandemic, some individuals who never had an eat-in episode before have become more experienced with </w:t>
      </w:r>
      <w:r w:rsidRPr="00F2148C">
        <w:rPr>
          <w:color w:val="000000" w:themeColor="text1"/>
        </w:rPr>
        <w:t xml:space="preserve">ordering food online, and have become aware of </w:t>
      </w:r>
      <w:r w:rsidR="00074C5D">
        <w:rPr>
          <w:color w:val="000000" w:themeColor="text1"/>
        </w:rPr>
        <w:t xml:space="preserve">the </w:t>
      </w:r>
      <w:r w:rsidRPr="0081571B">
        <w:rPr>
          <w:color w:val="000000" w:themeColor="text1"/>
        </w:rPr>
        <w:t>benefits of eat-in as another N</w:t>
      </w:r>
      <w:r w:rsidR="009D141C">
        <w:rPr>
          <w:color w:val="000000" w:themeColor="text1"/>
        </w:rPr>
        <w:t>HCM</w:t>
      </w:r>
      <w:r w:rsidRPr="0081571B">
        <w:rPr>
          <w:color w:val="000000" w:themeColor="text1"/>
        </w:rPr>
        <w:t xml:space="preserve"> channel, </w:t>
      </w:r>
      <w:r w:rsidRPr="00F37C04">
        <w:rPr>
          <w:color w:val="000000" w:themeColor="text1"/>
        </w:rPr>
        <w:t xml:space="preserve">including (a) </w:t>
      </w:r>
      <w:r w:rsidR="00EE258F" w:rsidRPr="00F37C04">
        <w:rPr>
          <w:color w:val="000000" w:themeColor="text1"/>
        </w:rPr>
        <w:t>convenience and efficiency to busy consumers</w:t>
      </w:r>
      <w:r w:rsidRPr="00F37C04">
        <w:rPr>
          <w:color w:val="000000" w:themeColor="text1"/>
        </w:rPr>
        <w:t xml:space="preserve"> through a reduction in</w:t>
      </w:r>
      <w:r w:rsidR="00EE258F" w:rsidRPr="00F37C04">
        <w:rPr>
          <w:color w:val="000000" w:themeColor="text1"/>
        </w:rPr>
        <w:t xml:space="preserve"> ordering, waiting, and payment time, </w:t>
      </w:r>
      <w:r w:rsidR="004B27FA" w:rsidRPr="00F37C04">
        <w:rPr>
          <w:color w:val="000000" w:themeColor="text1"/>
        </w:rPr>
        <w:t>(b) enhance</w:t>
      </w:r>
      <w:r w:rsidRPr="00F37C04">
        <w:rPr>
          <w:color w:val="000000" w:themeColor="text1"/>
        </w:rPr>
        <w:t>d</w:t>
      </w:r>
      <w:r w:rsidR="004B27FA" w:rsidRPr="00F37C04">
        <w:rPr>
          <w:color w:val="000000" w:themeColor="text1"/>
        </w:rPr>
        <w:t xml:space="preserve"> </w:t>
      </w:r>
      <w:r w:rsidR="00EE258F" w:rsidRPr="00F37C04">
        <w:rPr>
          <w:color w:val="000000" w:themeColor="text1"/>
        </w:rPr>
        <w:t xml:space="preserve">comfort and safety </w:t>
      </w:r>
      <w:r w:rsidR="000011A9">
        <w:rPr>
          <w:color w:val="000000" w:themeColor="text1"/>
        </w:rPr>
        <w:t xml:space="preserve">to those </w:t>
      </w:r>
      <w:r w:rsidR="00EE258F" w:rsidRPr="00F37C04">
        <w:rPr>
          <w:color w:val="000000" w:themeColor="text1"/>
        </w:rPr>
        <w:t xml:space="preserve">who </w:t>
      </w:r>
      <w:r w:rsidRPr="00F37C04">
        <w:rPr>
          <w:color w:val="000000" w:themeColor="text1"/>
        </w:rPr>
        <w:t xml:space="preserve">might </w:t>
      </w:r>
      <w:r w:rsidR="004B27FA" w:rsidRPr="00F37C04">
        <w:rPr>
          <w:color w:val="000000" w:themeColor="text1"/>
        </w:rPr>
        <w:t>not want to venture out</w:t>
      </w:r>
      <w:r w:rsidR="0025247B" w:rsidRPr="00F37C04">
        <w:rPr>
          <w:color w:val="000000" w:themeColor="text1"/>
        </w:rPr>
        <w:t xml:space="preserve"> while continuing their activities in-home</w:t>
      </w:r>
      <w:r w:rsidR="00EE258F" w:rsidRPr="00F37C04">
        <w:rPr>
          <w:color w:val="000000" w:themeColor="text1"/>
        </w:rPr>
        <w:t>,</w:t>
      </w:r>
      <w:r w:rsidR="00753D34" w:rsidRPr="00F37C04">
        <w:rPr>
          <w:color w:val="000000" w:themeColor="text1"/>
        </w:rPr>
        <w:t xml:space="preserve"> and </w:t>
      </w:r>
      <w:r w:rsidR="004B27FA" w:rsidRPr="00F37C04">
        <w:rPr>
          <w:color w:val="000000" w:themeColor="text1"/>
        </w:rPr>
        <w:t xml:space="preserve">(c) </w:t>
      </w:r>
      <w:r w:rsidR="00753D34" w:rsidRPr="00F37C04">
        <w:rPr>
          <w:color w:val="000000" w:themeColor="text1"/>
        </w:rPr>
        <w:t>a</w:t>
      </w:r>
      <w:r w:rsidR="00EE258F" w:rsidRPr="00F37C04">
        <w:rPr>
          <w:color w:val="000000" w:themeColor="text1"/>
        </w:rPr>
        <w:t xml:space="preserve"> greater </w:t>
      </w:r>
      <w:r w:rsidR="00753D34" w:rsidRPr="00F37C04">
        <w:rPr>
          <w:color w:val="000000" w:themeColor="text1"/>
        </w:rPr>
        <w:t>variety</w:t>
      </w:r>
      <w:r w:rsidR="00EE258F" w:rsidRPr="00F37C04">
        <w:rPr>
          <w:color w:val="000000" w:themeColor="text1"/>
        </w:rPr>
        <w:t xml:space="preserve"> of restaurants</w:t>
      </w:r>
      <w:r w:rsidR="004B27FA" w:rsidRPr="00F37C04">
        <w:rPr>
          <w:color w:val="000000" w:themeColor="text1"/>
        </w:rPr>
        <w:t xml:space="preserve"> </w:t>
      </w:r>
      <w:r w:rsidR="00657F46" w:rsidRPr="00F37C04">
        <w:rPr>
          <w:color w:val="000000" w:themeColor="text1"/>
        </w:rPr>
        <w:t xml:space="preserve">and menu options to customize from </w:t>
      </w:r>
      <w:r w:rsidR="004B27FA" w:rsidRPr="00F37C04">
        <w:rPr>
          <w:color w:val="000000" w:themeColor="text1"/>
        </w:rPr>
        <w:t>and dip into</w:t>
      </w:r>
      <w:r w:rsidR="00EE258F" w:rsidRPr="00F37C04">
        <w:rPr>
          <w:color w:val="000000" w:themeColor="text1"/>
        </w:rPr>
        <w:t xml:space="preserve">. </w:t>
      </w:r>
      <w:r w:rsidR="00657F46" w:rsidRPr="00F37C04">
        <w:rPr>
          <w:color w:val="000000" w:themeColor="text1"/>
        </w:rPr>
        <w:t>In particular, eat-in has the appeal of the familiar home-related ambi</w:t>
      </w:r>
      <w:r w:rsidR="0015182B">
        <w:rPr>
          <w:color w:val="000000" w:themeColor="text1"/>
        </w:rPr>
        <w:t>a</w:t>
      </w:r>
      <w:r w:rsidR="00657F46" w:rsidRPr="00F37C04">
        <w:rPr>
          <w:color w:val="000000" w:themeColor="text1"/>
        </w:rPr>
        <w:t xml:space="preserve">nce of socialization </w:t>
      </w:r>
      <w:r w:rsidR="00074C5D">
        <w:rPr>
          <w:color w:val="000000" w:themeColor="text1"/>
        </w:rPr>
        <w:t>and familiarity</w:t>
      </w:r>
      <w:r w:rsidR="00657F46" w:rsidRPr="0081571B">
        <w:rPr>
          <w:color w:val="000000" w:themeColor="text1"/>
        </w:rPr>
        <w:t xml:space="preserve"> and </w:t>
      </w:r>
      <w:r w:rsidR="00937AEF" w:rsidRPr="0081571B">
        <w:rPr>
          <w:color w:val="000000" w:themeColor="text1"/>
        </w:rPr>
        <w:t xml:space="preserve">does not need </w:t>
      </w:r>
      <w:r w:rsidR="00937AEF" w:rsidRPr="0081571B">
        <w:rPr>
          <w:color w:val="000000" w:themeColor="text1"/>
        </w:rPr>
        <w:lastRenderedPageBreak/>
        <w:t xml:space="preserve">extra grooming preparation. </w:t>
      </w:r>
      <w:r w:rsidR="00FF72AE">
        <w:rPr>
          <w:color w:val="000000" w:themeColor="text1"/>
        </w:rPr>
        <w:t xml:space="preserve">These considerations have led to optimism among food industry insiders </w:t>
      </w:r>
      <w:r w:rsidR="00657F46" w:rsidRPr="00F37C04">
        <w:rPr>
          <w:color w:val="000000" w:themeColor="text1"/>
        </w:rPr>
        <w:t>about the future of eat-in</w:t>
      </w:r>
      <w:r w:rsidR="00FF72AE">
        <w:rPr>
          <w:color w:val="000000" w:themeColor="text1"/>
        </w:rPr>
        <w:t xml:space="preserve">s. A study by Gunden et al. (2020) supports such </w:t>
      </w:r>
      <w:r w:rsidR="00FF72AE">
        <w:t xml:space="preserve">optimistic </w:t>
      </w:r>
      <w:r w:rsidR="00074C5D">
        <w:t xml:space="preserve">industry </w:t>
      </w:r>
      <w:r w:rsidR="00FF72AE">
        <w:t>assessments</w:t>
      </w:r>
      <w:r w:rsidR="000011A9">
        <w:t>.</w:t>
      </w:r>
      <w:r w:rsidR="00FF72AE">
        <w:t xml:space="preserve"> </w:t>
      </w:r>
    </w:p>
    <w:p w14:paraId="6CA8AE9E" w14:textId="34CAD0EC" w:rsidR="00292155" w:rsidRPr="00F37C04" w:rsidRDefault="0025247B" w:rsidP="00D00A05">
      <w:pPr>
        <w:spacing w:after="0" w:line="276" w:lineRule="auto"/>
        <w:ind w:firstLine="720"/>
        <w:jc w:val="both"/>
        <w:rPr>
          <w:color w:val="2E2E2E"/>
        </w:rPr>
      </w:pPr>
      <w:r w:rsidRPr="0081571B">
        <w:rPr>
          <w:color w:val="000000" w:themeColor="text1"/>
        </w:rPr>
        <w:t>However, a</w:t>
      </w:r>
      <w:r w:rsidR="00870334" w:rsidRPr="00F2148C">
        <w:rPr>
          <w:color w:val="000000" w:themeColor="text1"/>
        </w:rPr>
        <w:t xml:space="preserve">s the world continues to </w:t>
      </w:r>
      <w:r w:rsidR="008C319B" w:rsidRPr="00F2148C">
        <w:rPr>
          <w:color w:val="000000" w:themeColor="text1"/>
        </w:rPr>
        <w:t>re</w:t>
      </w:r>
      <w:r w:rsidR="00870334" w:rsidRPr="00F37C04">
        <w:rPr>
          <w:color w:val="000000" w:themeColor="text1"/>
        </w:rPr>
        <w:t xml:space="preserve">adjust </w:t>
      </w:r>
      <w:r w:rsidR="008C319B" w:rsidRPr="00F37C04">
        <w:rPr>
          <w:color w:val="000000" w:themeColor="text1"/>
        </w:rPr>
        <w:t>as the impacts of the pandemic recede</w:t>
      </w:r>
      <w:r w:rsidR="00870334" w:rsidRPr="00F37C04">
        <w:rPr>
          <w:color w:val="000000" w:themeColor="text1"/>
        </w:rPr>
        <w:t>,</w:t>
      </w:r>
      <w:r w:rsidR="00771AC1" w:rsidRPr="00F37C04">
        <w:rPr>
          <w:color w:val="000000" w:themeColor="text1"/>
        </w:rPr>
        <w:t xml:space="preserve"> </w:t>
      </w:r>
      <w:r w:rsidR="00870334" w:rsidRPr="00F37C04">
        <w:rPr>
          <w:color w:val="000000" w:themeColor="text1"/>
        </w:rPr>
        <w:t xml:space="preserve">uncertainty </w:t>
      </w:r>
      <w:r w:rsidR="00122F24" w:rsidRPr="00F37C04">
        <w:rPr>
          <w:color w:val="000000" w:themeColor="text1"/>
        </w:rPr>
        <w:t>about</w:t>
      </w:r>
      <w:r w:rsidR="00BB0B21" w:rsidRPr="00F37C04">
        <w:rPr>
          <w:color w:val="000000" w:themeColor="text1"/>
        </w:rPr>
        <w:t xml:space="preserve"> </w:t>
      </w:r>
      <w:r w:rsidR="00870334" w:rsidRPr="00F37C04">
        <w:rPr>
          <w:color w:val="000000" w:themeColor="text1"/>
        </w:rPr>
        <w:t xml:space="preserve">post-pandemic dining </w:t>
      </w:r>
      <w:r w:rsidR="008C319B" w:rsidRPr="00F37C04">
        <w:rPr>
          <w:color w:val="000000" w:themeColor="text1"/>
        </w:rPr>
        <w:t xml:space="preserve">choices </w:t>
      </w:r>
      <w:r w:rsidR="00BB0B21" w:rsidRPr="00F37C04">
        <w:rPr>
          <w:color w:val="000000" w:themeColor="text1"/>
        </w:rPr>
        <w:t>remains</w:t>
      </w:r>
      <w:r w:rsidR="00870334" w:rsidRPr="00F37C04">
        <w:rPr>
          <w:color w:val="000000" w:themeColor="text1"/>
        </w:rPr>
        <w:t xml:space="preserve">. </w:t>
      </w:r>
      <w:r w:rsidR="00FF72AE">
        <w:rPr>
          <w:color w:val="000000" w:themeColor="text1"/>
        </w:rPr>
        <w:t xml:space="preserve">A recent </w:t>
      </w:r>
      <w:r w:rsidR="004330AF">
        <w:rPr>
          <w:color w:val="000000" w:themeColor="text1"/>
        </w:rPr>
        <w:t>consumer tracker survey of 3</w:t>
      </w:r>
      <w:r w:rsidR="00D67478">
        <w:rPr>
          <w:color w:val="000000" w:themeColor="text1"/>
        </w:rPr>
        <w:t>,</w:t>
      </w:r>
      <w:r w:rsidR="004330AF">
        <w:rPr>
          <w:color w:val="000000" w:themeColor="text1"/>
        </w:rPr>
        <w:t>000 U</w:t>
      </w:r>
      <w:r w:rsidR="00A95F27">
        <w:rPr>
          <w:color w:val="000000" w:themeColor="text1"/>
        </w:rPr>
        <w:t>.</w:t>
      </w:r>
      <w:r w:rsidR="004330AF">
        <w:rPr>
          <w:color w:val="000000" w:themeColor="text1"/>
        </w:rPr>
        <w:t>S</w:t>
      </w:r>
      <w:r w:rsidR="00A95F27">
        <w:rPr>
          <w:color w:val="000000" w:themeColor="text1"/>
        </w:rPr>
        <w:t>.</w:t>
      </w:r>
      <w:r w:rsidR="004330AF">
        <w:rPr>
          <w:color w:val="000000" w:themeColor="text1"/>
        </w:rPr>
        <w:t xml:space="preserve"> consumers by Deloitte (see Renner et al., 2021) </w:t>
      </w:r>
      <w:r w:rsidR="00FF72AE" w:rsidRPr="00DF1A9B">
        <w:rPr>
          <w:color w:val="000000" w:themeColor="text1"/>
        </w:rPr>
        <w:t>suggest</w:t>
      </w:r>
      <w:r w:rsidR="004330AF">
        <w:rPr>
          <w:color w:val="000000" w:themeColor="text1"/>
        </w:rPr>
        <w:t>ed</w:t>
      </w:r>
      <w:r w:rsidR="00FF72AE" w:rsidRPr="00DF1A9B">
        <w:rPr>
          <w:color w:val="000000" w:themeColor="text1"/>
        </w:rPr>
        <w:t xml:space="preserve"> that N</w:t>
      </w:r>
      <w:r w:rsidR="009D141C">
        <w:rPr>
          <w:color w:val="000000" w:themeColor="text1"/>
        </w:rPr>
        <w:t>HCM</w:t>
      </w:r>
      <w:r w:rsidR="00FF72AE" w:rsidRPr="00DF1A9B">
        <w:rPr>
          <w:color w:val="000000" w:themeColor="text1"/>
        </w:rPr>
        <w:t xml:space="preserve"> consumption may not return to the pre-pandemic levels </w:t>
      </w:r>
      <w:r w:rsidR="004330AF">
        <w:rPr>
          <w:color w:val="000000" w:themeColor="text1"/>
        </w:rPr>
        <w:t xml:space="preserve">because of a resurgence of </w:t>
      </w:r>
      <w:r w:rsidR="009D141C">
        <w:rPr>
          <w:color w:val="000000" w:themeColor="text1"/>
        </w:rPr>
        <w:t>HCM</w:t>
      </w:r>
      <w:r w:rsidR="004330AF">
        <w:rPr>
          <w:color w:val="000000" w:themeColor="text1"/>
        </w:rPr>
        <w:t xml:space="preserve">s. </w:t>
      </w:r>
      <w:r w:rsidR="00FF72AE" w:rsidRPr="00DF1A9B">
        <w:rPr>
          <w:color w:val="000000" w:themeColor="text1"/>
        </w:rPr>
        <w:t xml:space="preserve">This renewed movement back toward </w:t>
      </w:r>
      <w:r w:rsidR="009D141C">
        <w:rPr>
          <w:color w:val="000000" w:themeColor="text1"/>
        </w:rPr>
        <w:t>HCM</w:t>
      </w:r>
      <w:r w:rsidR="00FF72AE" w:rsidRPr="00DF1A9B">
        <w:rPr>
          <w:color w:val="000000" w:themeColor="text1"/>
        </w:rPr>
        <w:t xml:space="preserve">s may be attributed to </w:t>
      </w:r>
      <w:r w:rsidR="00F2148C">
        <w:rPr>
          <w:color w:val="000000" w:themeColor="text1"/>
        </w:rPr>
        <w:t>several reasons</w:t>
      </w:r>
      <w:r w:rsidR="00FF72AE" w:rsidRPr="00DF1A9B">
        <w:rPr>
          <w:color w:val="000000" w:themeColor="text1"/>
        </w:rPr>
        <w:t xml:space="preserve">, including (a) the social-psychological </w:t>
      </w:r>
      <w:r w:rsidR="00F44F2C">
        <w:rPr>
          <w:color w:val="000000" w:themeColor="text1"/>
        </w:rPr>
        <w:t xml:space="preserve">coping mechanisms </w:t>
      </w:r>
      <w:r w:rsidR="00FF72AE" w:rsidRPr="00DF1A9B">
        <w:rPr>
          <w:color w:val="000000" w:themeColor="text1"/>
        </w:rPr>
        <w:t xml:space="preserve">associated with the pandemic that </w:t>
      </w:r>
      <w:r w:rsidR="00F44F2C">
        <w:rPr>
          <w:color w:val="000000" w:themeColor="text1"/>
        </w:rPr>
        <w:t xml:space="preserve">may have </w:t>
      </w:r>
      <w:r w:rsidR="00FF72AE" w:rsidRPr="00DF1A9B">
        <w:rPr>
          <w:color w:val="000000" w:themeColor="text1"/>
        </w:rPr>
        <w:t xml:space="preserve">made some individuals comfortable in </w:t>
      </w:r>
      <w:r w:rsidR="00074C5D">
        <w:rPr>
          <w:color w:val="000000" w:themeColor="text1"/>
        </w:rPr>
        <w:t xml:space="preserve">their </w:t>
      </w:r>
      <w:r w:rsidR="00FF72AE" w:rsidRPr="00DF1A9B">
        <w:rPr>
          <w:color w:val="000000" w:themeColor="text1"/>
        </w:rPr>
        <w:t>isola</w:t>
      </w:r>
      <w:r w:rsidR="00074C5D">
        <w:rPr>
          <w:color w:val="000000" w:themeColor="text1"/>
        </w:rPr>
        <w:t>ted being</w:t>
      </w:r>
      <w:r w:rsidR="00FF72AE" w:rsidRPr="00DF1A9B">
        <w:rPr>
          <w:color w:val="000000" w:themeColor="text1"/>
        </w:rPr>
        <w:t>, (b) a focus on personal change and well-being leading to a desire for more control over the ingredients going into a meal, (c) delighting and embracing a new interest in one’s own cooking skills, (d) the rise in financial worries</w:t>
      </w:r>
      <w:r w:rsidR="002522A5">
        <w:rPr>
          <w:color w:val="000000" w:themeColor="text1"/>
        </w:rPr>
        <w:t>,</w:t>
      </w:r>
      <w:r w:rsidR="00FF72AE" w:rsidRPr="00DF1A9B">
        <w:rPr>
          <w:color w:val="000000" w:themeColor="text1"/>
        </w:rPr>
        <w:t xml:space="preserve"> and </w:t>
      </w:r>
      <w:r w:rsidR="002522A5">
        <w:rPr>
          <w:color w:val="000000" w:themeColor="text1"/>
        </w:rPr>
        <w:t xml:space="preserve">(e) </w:t>
      </w:r>
      <w:r w:rsidR="00FF72AE" w:rsidRPr="00DF1A9B">
        <w:rPr>
          <w:color w:val="000000" w:themeColor="text1"/>
        </w:rPr>
        <w:t xml:space="preserve">the increased frequency of teleworking. Indeed, </w:t>
      </w:r>
      <w:r w:rsidR="00FF72AE" w:rsidRPr="00DF1A9B">
        <w:t xml:space="preserve">Oblander and McCarthy (2022), using credit/debit card transaction data, found evidence of the persistence of such pandemic-acquired </w:t>
      </w:r>
      <w:r w:rsidR="009D141C">
        <w:t>HCM</w:t>
      </w:r>
      <w:r w:rsidR="00FF72AE" w:rsidRPr="00DF1A9B">
        <w:t xml:space="preserve">-oriented food consumption habits, months after vaccinations and other preventive measures have reduced the deadly effects of the pandemic. </w:t>
      </w:r>
      <w:r w:rsidR="004330AF">
        <w:t xml:space="preserve">In contrast, </w:t>
      </w:r>
      <w:r w:rsidR="00074C5D">
        <w:t xml:space="preserve">however, </w:t>
      </w:r>
      <w:r w:rsidR="004330AF">
        <w:rPr>
          <w:color w:val="000000" w:themeColor="text1"/>
        </w:rPr>
        <w:t>t</w:t>
      </w:r>
      <w:r w:rsidR="00522C0D" w:rsidRPr="0081571B">
        <w:rPr>
          <w:color w:val="000000" w:themeColor="text1"/>
        </w:rPr>
        <w:t>he National Research Association of the U.S. indicates that</w:t>
      </w:r>
      <w:r w:rsidR="00522C0D" w:rsidRPr="00F2148C">
        <w:rPr>
          <w:color w:val="000000" w:themeColor="text1"/>
        </w:rPr>
        <w:t>, since January, eat-out and drink-out places witne</w:t>
      </w:r>
      <w:r w:rsidR="00522C0D" w:rsidRPr="00F37C04">
        <w:rPr>
          <w:color w:val="000000" w:themeColor="text1"/>
        </w:rPr>
        <w:t>ssed a real sales gain of 10%, after accounting for menu-price inflation effects.</w:t>
      </w:r>
      <w:r w:rsidR="00522C0D" w:rsidRPr="008A3FBC">
        <w:rPr>
          <w:rStyle w:val="FootnoteReference"/>
        </w:rPr>
        <w:footnoteReference w:id="2"/>
      </w:r>
      <w:r w:rsidR="00522C0D" w:rsidRPr="0081571B">
        <w:rPr>
          <w:color w:val="000000" w:themeColor="text1"/>
        </w:rPr>
        <w:t xml:space="preserve"> </w:t>
      </w:r>
      <w:r w:rsidR="00074C5D">
        <w:t xml:space="preserve">Additionally, a study by </w:t>
      </w:r>
      <w:bookmarkStart w:id="8" w:name="_Hlk110151132"/>
      <w:r w:rsidR="00074C5D">
        <w:t xml:space="preserve">Giambattista </w:t>
      </w:r>
      <w:bookmarkEnd w:id="8"/>
      <w:r w:rsidR="00074C5D">
        <w:t xml:space="preserve">(2020) suggests that consumers will indeed increase their </w:t>
      </w:r>
      <w:r w:rsidR="00074C5D" w:rsidRPr="00DF1A9B">
        <w:rPr>
          <w:color w:val="000000" w:themeColor="text1"/>
          <w:bdr w:val="none" w:sz="0" w:space="0" w:color="auto" w:frame="1"/>
        </w:rPr>
        <w:t>eat-out N</w:t>
      </w:r>
      <w:r w:rsidR="009D141C">
        <w:rPr>
          <w:color w:val="000000" w:themeColor="text1"/>
          <w:bdr w:val="none" w:sz="0" w:space="0" w:color="auto" w:frame="1"/>
        </w:rPr>
        <w:t>HCM</w:t>
      </w:r>
      <w:r w:rsidR="00074C5D" w:rsidRPr="00DF1A9B">
        <w:rPr>
          <w:color w:val="000000" w:themeColor="text1"/>
          <w:bdr w:val="none" w:sz="0" w:space="0" w:color="auto" w:frame="1"/>
        </w:rPr>
        <w:t xml:space="preserve"> activities</w:t>
      </w:r>
      <w:r w:rsidR="00074C5D">
        <w:rPr>
          <w:color w:val="000000" w:themeColor="text1"/>
          <w:bdr w:val="none" w:sz="0" w:space="0" w:color="auto" w:frame="1"/>
        </w:rPr>
        <w:t xml:space="preserve"> as COVID</w:t>
      </w:r>
      <w:r w:rsidR="002522A5">
        <w:rPr>
          <w:color w:val="000000" w:themeColor="text1"/>
          <w:bdr w:val="none" w:sz="0" w:space="0" w:color="auto" w:frame="1"/>
        </w:rPr>
        <w:t>’s</w:t>
      </w:r>
      <w:r w:rsidR="00074C5D">
        <w:rPr>
          <w:color w:val="000000" w:themeColor="text1"/>
          <w:bdr w:val="none" w:sz="0" w:space="0" w:color="auto" w:frame="1"/>
        </w:rPr>
        <w:t xml:space="preserve"> effects fade</w:t>
      </w:r>
      <w:r w:rsidR="00074C5D" w:rsidRPr="00DF1A9B">
        <w:rPr>
          <w:color w:val="000000" w:themeColor="text1"/>
        </w:rPr>
        <w:t xml:space="preserve">. </w:t>
      </w:r>
      <w:r w:rsidR="00074C5D">
        <w:rPr>
          <w:color w:val="000000" w:themeColor="text1"/>
        </w:rPr>
        <w:t xml:space="preserve">In yet another study, </w:t>
      </w:r>
      <w:r w:rsidR="00937AEF" w:rsidRPr="0081571B">
        <w:t>Shi and Xu (</w:t>
      </w:r>
      <w:r w:rsidR="00937AEF" w:rsidRPr="00F2148C">
        <w:t xml:space="preserve">2021) </w:t>
      </w:r>
      <w:r w:rsidR="00074C5D">
        <w:t>examined</w:t>
      </w:r>
      <w:r w:rsidR="00937AEF" w:rsidRPr="0081571B">
        <w:t xml:space="preserve"> the split of </w:t>
      </w:r>
      <w:r w:rsidR="00937AEF" w:rsidRPr="00F2148C">
        <w:t>restaurant visits between dine-in and takeout before, during the peak of COVID, and after dining capacity restrictions were lifted. They found</w:t>
      </w:r>
      <w:r w:rsidR="00937AEF" w:rsidRPr="00F37C04">
        <w:t xml:space="preserve"> that the takeout proportion of the total restaurant foot traffic ranged between 50% to 60% before the pandemic, spiked to 100% with the enforcement of dine-in restrictions during COVID, and dropped back to about 65% after society made significant progress in protecting against COVID. This may indicate</w:t>
      </w:r>
      <w:r w:rsidR="00074C5D">
        <w:t xml:space="preserve"> </w:t>
      </w:r>
      <w:r w:rsidR="00937AEF" w:rsidRPr="0081571B">
        <w:t>a “return to normal” in terms of eat-out tendency</w:t>
      </w:r>
      <w:r w:rsidR="00074C5D">
        <w:t>, though eat-in appears to have gained an increase</w:t>
      </w:r>
      <w:r w:rsidR="00F52016">
        <w:t>d</w:t>
      </w:r>
      <w:r w:rsidR="00074C5D">
        <w:t xml:space="preserve"> share of the N</w:t>
      </w:r>
      <w:r w:rsidR="009D141C">
        <w:t>HCM</w:t>
      </w:r>
      <w:r w:rsidR="00074C5D">
        <w:t xml:space="preserve"> market</w:t>
      </w:r>
      <w:r w:rsidR="00937AEF" w:rsidRPr="0081571B">
        <w:t xml:space="preserve">. </w:t>
      </w:r>
    </w:p>
    <w:p w14:paraId="0E688F87" w14:textId="2953971D" w:rsidR="008451A9" w:rsidRPr="0081571B" w:rsidRDefault="008451A9" w:rsidP="007B6738">
      <w:pPr>
        <w:autoSpaceDE w:val="0"/>
        <w:autoSpaceDN w:val="0"/>
        <w:adjustRightInd w:val="0"/>
        <w:spacing w:after="0" w:line="276" w:lineRule="auto"/>
        <w:ind w:firstLine="720"/>
        <w:jc w:val="both"/>
      </w:pPr>
      <w:r w:rsidRPr="00F37C04">
        <w:rPr>
          <w:rFonts w:eastAsia="Calibri"/>
        </w:rPr>
        <w:t xml:space="preserve">The preceding discussion highlights the </w:t>
      </w:r>
      <w:r w:rsidR="00672E7C" w:rsidRPr="00F37C04">
        <w:rPr>
          <w:rFonts w:eastAsia="Calibri"/>
        </w:rPr>
        <w:t>importance of studying each (and all) of the differen</w:t>
      </w:r>
      <w:r w:rsidR="004330AF">
        <w:rPr>
          <w:rFonts w:eastAsia="Calibri"/>
        </w:rPr>
        <w:t xml:space="preserve">t food consumption </w:t>
      </w:r>
      <w:r w:rsidR="00672E7C" w:rsidRPr="0081571B">
        <w:rPr>
          <w:rFonts w:eastAsia="Calibri"/>
        </w:rPr>
        <w:t xml:space="preserve">channels jointly. </w:t>
      </w:r>
      <w:r w:rsidR="00672E7C" w:rsidRPr="0081571B">
        <w:t>This is especially so because adding eat</w:t>
      </w:r>
      <w:r w:rsidR="00672E7C" w:rsidRPr="00F2148C">
        <w:t>-in channel</w:t>
      </w:r>
      <w:r w:rsidR="00672E7C" w:rsidRPr="00F37C04">
        <w:t>s can result in “cannibalization” from the eat-out channel (see Collison, 2020), leading to a substitu</w:t>
      </w:r>
      <w:r w:rsidR="004330AF">
        <w:t>t</w:t>
      </w:r>
      <w:r w:rsidR="00672E7C" w:rsidRPr="0081571B">
        <w:t>ion effect among the different N</w:t>
      </w:r>
      <w:r w:rsidR="009D141C">
        <w:t>HCM</w:t>
      </w:r>
      <w:r w:rsidR="00672E7C" w:rsidRPr="0081571B">
        <w:t xml:space="preserve"> channels (especially the eat-in delivery and eat-out channels). But</w:t>
      </w:r>
      <w:r w:rsidR="00672E7C" w:rsidRPr="00F37C04">
        <w:t xml:space="preserve"> eat-in and eat-out can also reinforce each other through exposure</w:t>
      </w:r>
      <w:r w:rsidR="00820FB6" w:rsidRPr="00F37C04">
        <w:t xml:space="preserve"> to time </w:t>
      </w:r>
      <w:r w:rsidR="00074C5D">
        <w:t xml:space="preserve">savings and </w:t>
      </w:r>
      <w:r w:rsidR="00820FB6" w:rsidRPr="0081571B">
        <w:t xml:space="preserve">convenience </w:t>
      </w:r>
      <w:r w:rsidR="00672E7C" w:rsidRPr="0081571B">
        <w:t>effects that lead to an overall complementary tendency for N</w:t>
      </w:r>
      <w:r w:rsidR="009D141C">
        <w:t>HCM</w:t>
      </w:r>
      <w:r w:rsidR="00672E7C" w:rsidRPr="0081571B">
        <w:t xml:space="preserve"> across different channels</w:t>
      </w:r>
      <w:r w:rsidR="008545CB">
        <w:t>, which can then increase overall travel</w:t>
      </w:r>
      <w:r w:rsidR="00672E7C" w:rsidRPr="00F37C04">
        <w:t xml:space="preserve">. </w:t>
      </w:r>
      <w:r w:rsidR="004330AF">
        <w:t xml:space="preserve">Or an increase in </w:t>
      </w:r>
      <w:r w:rsidR="009D141C">
        <w:t>HCM</w:t>
      </w:r>
      <w:r w:rsidR="004330AF">
        <w:t xml:space="preserve"> tendency can lead to a reduction in all forms of N</w:t>
      </w:r>
      <w:r w:rsidR="009D141C">
        <w:t>HCM</w:t>
      </w:r>
      <w:r w:rsidR="004330AF">
        <w:t xml:space="preserve">. </w:t>
      </w:r>
      <w:r w:rsidR="00672E7C" w:rsidRPr="0081571B">
        <w:t xml:space="preserve">Which of these effects hold? </w:t>
      </w:r>
      <w:r w:rsidR="004330AF">
        <w:t xml:space="preserve">Does one effect </w:t>
      </w:r>
      <w:r w:rsidR="00820FB6" w:rsidRPr="0081571B">
        <w:t xml:space="preserve">dominate over the other? </w:t>
      </w:r>
      <w:bookmarkStart w:id="9" w:name="_Hlk119651148"/>
      <w:r w:rsidR="007B6738" w:rsidRPr="00F37C04">
        <w:t xml:space="preserve">From a transportation planning perspective, which constitutes the primary disciplinary emphasis of this paper, </w:t>
      </w:r>
      <w:bookmarkEnd w:id="9"/>
      <w:r w:rsidR="007B6738" w:rsidRPr="00F37C04">
        <w:t xml:space="preserve">there is little literature and consideration of the nuances and </w:t>
      </w:r>
      <w:bookmarkStart w:id="10" w:name="_Hlk119651310"/>
      <w:r w:rsidR="007B6738" w:rsidRPr="00F37C04">
        <w:t xml:space="preserve">interplay of </w:t>
      </w:r>
      <w:r w:rsidR="00727064">
        <w:t xml:space="preserve">such </w:t>
      </w:r>
      <w:r w:rsidR="007B6738" w:rsidRPr="00F37C04">
        <w:t>decision</w:t>
      </w:r>
      <w:r w:rsidR="00727064">
        <w:t xml:space="preserve">-making </w:t>
      </w:r>
      <w:r w:rsidR="007B6738">
        <w:t>among in-person and ICT-based online food service NHCM channel options</w:t>
      </w:r>
      <w:bookmarkEnd w:id="10"/>
      <w:r w:rsidR="007B6738">
        <w:t xml:space="preserve"> as a function of individual and household demographics, the built environment, </w:t>
      </w:r>
      <w:r w:rsidR="007B6738">
        <w:lastRenderedPageBreak/>
        <w:t xml:space="preserve">and employment status/job characteristics. </w:t>
      </w:r>
      <w:r w:rsidR="007B6738" w:rsidRPr="00F37C04">
        <w:t>N</w:t>
      </w:r>
      <w:r w:rsidR="007B6738">
        <w:t>HCM</w:t>
      </w:r>
      <w:r w:rsidR="007B6738" w:rsidRPr="00F37C04">
        <w:t xml:space="preserve"> behavior, in most travel models, is folded in within the general category of “leisure”</w:t>
      </w:r>
      <w:r w:rsidR="007B6738">
        <w:t>,</w:t>
      </w:r>
      <w:r w:rsidR="007B6738" w:rsidRPr="00F37C04">
        <w:t xml:space="preserve"> “recreation” or “non-work” activity, and even so focused on the destination and related dimensions of eat-out activity with no consideration of the </w:t>
      </w:r>
      <w:r w:rsidR="007B6738">
        <w:t xml:space="preserve">ICT-assisted </w:t>
      </w:r>
      <w:r w:rsidR="007B6738" w:rsidRPr="00F37C04">
        <w:t>eat-in channels. On the other hand, eat-in channels also have repercussions on travel, either through the household itself generating a trip to pick-up food or through another individual delivering the food to the home. In this context, the overall portfolio of N</w:t>
      </w:r>
      <w:r w:rsidR="007B6738">
        <w:t>HCM</w:t>
      </w:r>
      <w:r w:rsidR="007B6738" w:rsidRPr="00F37C04">
        <w:t xml:space="preserve"> choices becomes important, not just the individual-specific channel cho</w:t>
      </w:r>
      <w:r w:rsidR="007B6738">
        <w:t>i</w:t>
      </w:r>
      <w:r w:rsidR="007B6738" w:rsidRPr="0081571B">
        <w:t xml:space="preserve">ces, because of the possible presence of substitution or complementarity across the counts of </w:t>
      </w:r>
      <w:r w:rsidR="007B6738" w:rsidRPr="00F2148C">
        <w:t>occurrences within each ch</w:t>
      </w:r>
      <w:r w:rsidR="007B6738" w:rsidRPr="00F37C04">
        <w:t xml:space="preserve">annel. </w:t>
      </w:r>
      <w:r w:rsidR="007B6738" w:rsidRPr="00F37C04">
        <w:rPr>
          <w:color w:val="000000" w:themeColor="text1"/>
        </w:rPr>
        <w:t>For example, a change from working at home to working from the office may increase the probability of eat-out activity as it becomes more convenient to visit restaurants as part of the individual’s commute, but also decrease the frequency of eat-in as the individual spends less time at home. Conversely, the frequency of eat-in activities may also increase due to the additional time crunch and tiredness created by commuting to the workplace.</w:t>
      </w:r>
      <w:r w:rsidR="007B6738" w:rsidRPr="00F37C04">
        <w:t xml:space="preserve"> Thus, it is important to understand</w:t>
      </w:r>
      <w:r w:rsidR="007B6738">
        <w:t xml:space="preserve">, within an activity-based travel analysis context, </w:t>
      </w:r>
      <w:r w:rsidR="007B6738" w:rsidRPr="00F37C04">
        <w:t>the interplay of participation in the different N</w:t>
      </w:r>
      <w:r w:rsidR="007B6738">
        <w:t>HCM</w:t>
      </w:r>
      <w:r w:rsidR="007B6738" w:rsidRPr="00F37C04">
        <w:t xml:space="preserve"> channels to examine how they, together, contribute to reshaping urban activity-travel patterns. </w:t>
      </w:r>
    </w:p>
    <w:p w14:paraId="5C8796BB" w14:textId="65CF01E5" w:rsidR="00657F46" w:rsidRPr="00F37C04" w:rsidRDefault="00820FB6" w:rsidP="00D00A05">
      <w:pPr>
        <w:autoSpaceDE w:val="0"/>
        <w:autoSpaceDN w:val="0"/>
        <w:adjustRightInd w:val="0"/>
        <w:spacing w:after="0" w:line="276" w:lineRule="auto"/>
        <w:ind w:firstLine="720"/>
        <w:jc w:val="both"/>
      </w:pPr>
      <w:r w:rsidRPr="0081571B">
        <w:t>Motivate</w:t>
      </w:r>
      <w:r w:rsidR="007C66FF" w:rsidRPr="0081571B">
        <w:t>d</w:t>
      </w:r>
      <w:r w:rsidRPr="00F2148C">
        <w:t xml:space="preserve"> by the discussion above, i</w:t>
      </w:r>
      <w:r w:rsidR="00657F46" w:rsidRPr="00F2148C">
        <w:t>n this paper, our emphasis is on better understanding th</w:t>
      </w:r>
      <w:r w:rsidRPr="00F37C04">
        <w:t>e</w:t>
      </w:r>
      <w:r w:rsidR="00657F46" w:rsidRPr="00F37C04">
        <w:t xml:space="preserve"> new </w:t>
      </w:r>
      <w:r w:rsidR="00021D9C">
        <w:t xml:space="preserve">terrain </w:t>
      </w:r>
      <w:r w:rsidR="00657F46" w:rsidRPr="0081571B">
        <w:t>in N</w:t>
      </w:r>
      <w:r w:rsidR="009D141C">
        <w:t>HCM</w:t>
      </w:r>
      <w:r w:rsidR="00657F46" w:rsidRPr="0081571B">
        <w:t xml:space="preserve"> activity choices from a consumer perspective</w:t>
      </w:r>
      <w:r w:rsidR="00024A11">
        <w:t>.</w:t>
      </w:r>
      <w:r w:rsidR="008545CB">
        <w:t xml:space="preserve"> </w:t>
      </w:r>
      <w:r w:rsidR="00657F46" w:rsidRPr="0081571B">
        <w:t xml:space="preserve">Specifically, using survey </w:t>
      </w:r>
      <w:r w:rsidR="00657F46" w:rsidRPr="00F37C04">
        <w:t xml:space="preserve">data collected in Texas </w:t>
      </w:r>
      <w:r w:rsidR="00E42AFE" w:rsidRPr="00F37C04">
        <w:t>between February middle to March middle of 2022</w:t>
      </w:r>
      <w:r w:rsidR="00657F46" w:rsidRPr="00F37C04">
        <w:t>, we attempt to gain insights regarding self-reported actual N</w:t>
      </w:r>
      <w:r w:rsidR="009D141C">
        <w:t>HCM</w:t>
      </w:r>
      <w:r w:rsidR="00657F46" w:rsidRPr="00F37C04">
        <w:t xml:space="preserve"> choices at a time when all channels of N</w:t>
      </w:r>
      <w:r w:rsidR="009D141C">
        <w:t>HCM</w:t>
      </w:r>
      <w:r w:rsidR="00657F46" w:rsidRPr="00F37C04">
        <w:t xml:space="preserve"> food consumption (including dine-in at restaurants) have largely opened up</w:t>
      </w:r>
      <w:r w:rsidR="008545B6">
        <w:t xml:space="preserve">. </w:t>
      </w:r>
      <w:r w:rsidR="00657F46" w:rsidRPr="0081571B">
        <w:t>While we admit that longer-term equilibrium in multiple N</w:t>
      </w:r>
      <w:r w:rsidR="009D141C">
        <w:t>HCM</w:t>
      </w:r>
      <w:r w:rsidR="00657F46" w:rsidRPr="0081571B">
        <w:t xml:space="preserve"> channel consumption</w:t>
      </w:r>
      <w:r w:rsidR="008545B6">
        <w:t xml:space="preserve"> trends </w:t>
      </w:r>
      <w:r w:rsidR="00657F46" w:rsidRPr="0081571B">
        <w:t>may be somewhat different from the choice behavior at the current time, it should be pointed out that the current situation of multiple N</w:t>
      </w:r>
      <w:r w:rsidR="009D141C">
        <w:t>HCM</w:t>
      </w:r>
      <w:r w:rsidR="00657F46" w:rsidRPr="0081571B">
        <w:t xml:space="preserve"> channel options has been in existence for already sometime after vaccinations became w</w:t>
      </w:r>
      <w:r w:rsidR="00657F46" w:rsidRPr="00F37C04">
        <w:t>idely available</w:t>
      </w:r>
      <w:r w:rsidR="00021D9C">
        <w:t xml:space="preserve">; besides, </w:t>
      </w:r>
      <w:r w:rsidR="00657F46" w:rsidRPr="0081571B">
        <w:t>the deadly effects of COVID have been substantially reduced from even a year before this su</w:t>
      </w:r>
      <w:r w:rsidR="00657F46" w:rsidRPr="00F2148C">
        <w:t xml:space="preserve">rvey was </w:t>
      </w:r>
      <w:r w:rsidR="00657F46" w:rsidRPr="00F37C04">
        <w:t>admin</w:t>
      </w:r>
      <w:r w:rsidR="00F608C5">
        <w:t>i</w:t>
      </w:r>
      <w:r w:rsidR="00657F46" w:rsidRPr="0081571B">
        <w:t>stered. Thus, our analysis should provide a reasonable indication of the new landscape in N</w:t>
      </w:r>
      <w:r w:rsidR="009D141C">
        <w:t>HCM</w:t>
      </w:r>
      <w:r w:rsidR="00657F46" w:rsidRPr="0081571B">
        <w:t xml:space="preserve"> choices</w:t>
      </w:r>
      <w:r w:rsidR="00657F46" w:rsidRPr="00F37C04">
        <w:t xml:space="preserve">. Different from many studies in the </w:t>
      </w:r>
      <w:r w:rsidR="00021D9C">
        <w:t xml:space="preserve">past two years </w:t>
      </w:r>
      <w:r w:rsidR="00657F46" w:rsidRPr="0081571B">
        <w:t xml:space="preserve">that have examined </w:t>
      </w:r>
      <w:r w:rsidR="00021D9C">
        <w:t xml:space="preserve">potential </w:t>
      </w:r>
      <w:r w:rsidR="00657F46" w:rsidRPr="0081571B">
        <w:t>workplace choices in</w:t>
      </w:r>
      <w:r w:rsidR="00021D9C">
        <w:t xml:space="preserve"> a</w:t>
      </w:r>
      <w:r w:rsidR="00657F46" w:rsidRPr="0081571B">
        <w:t xml:space="preserve"> </w:t>
      </w:r>
      <w:r w:rsidR="00021D9C">
        <w:t xml:space="preserve">post-COVID </w:t>
      </w:r>
      <w:r w:rsidR="00657F46" w:rsidRPr="0081571B">
        <w:t>future, to our knowledge, this is the first study to jointly examine N</w:t>
      </w:r>
      <w:r w:rsidR="009D141C">
        <w:t>HCM</w:t>
      </w:r>
      <w:r w:rsidR="00657F46" w:rsidRPr="0081571B">
        <w:t xml:space="preserve"> channel choices and the </w:t>
      </w:r>
      <w:r w:rsidR="00657F46" w:rsidRPr="00F2148C">
        <w:t>count of</w:t>
      </w:r>
      <w:r w:rsidR="00657F46" w:rsidRPr="00F37C04">
        <w:t xml:space="preserve"> channel-specific N</w:t>
      </w:r>
      <w:r w:rsidR="009D141C">
        <w:t>HCM</w:t>
      </w:r>
      <w:r w:rsidR="00657F46" w:rsidRPr="00F37C04">
        <w:t xml:space="preserve"> episodes. </w:t>
      </w:r>
      <w:r w:rsidR="00021D9C">
        <w:t>As such, o</w:t>
      </w:r>
      <w:r w:rsidR="00657F46" w:rsidRPr="0081571B">
        <w:t xml:space="preserve">ur analysis should be of interest </w:t>
      </w:r>
      <w:r w:rsidR="007B6738">
        <w:t xml:space="preserve">also </w:t>
      </w:r>
      <w:r w:rsidR="00657F46" w:rsidRPr="0081571B">
        <w:t xml:space="preserve">to </w:t>
      </w:r>
      <w:r w:rsidR="00657F46" w:rsidRPr="00F37C04">
        <w:t>health professionals, as well as food services specialists, as discussed in turn in the subsequent paragraphs.</w:t>
      </w:r>
    </w:p>
    <w:p w14:paraId="19846AB4" w14:textId="44EB3B4D" w:rsidR="00657F46" w:rsidRPr="00F37C04" w:rsidRDefault="00657F46" w:rsidP="00D00A05">
      <w:pPr>
        <w:autoSpaceDE w:val="0"/>
        <w:autoSpaceDN w:val="0"/>
        <w:adjustRightInd w:val="0"/>
        <w:spacing w:after="0" w:line="276" w:lineRule="auto"/>
        <w:ind w:firstLine="720"/>
        <w:jc w:val="both"/>
      </w:pPr>
      <w:r w:rsidRPr="00F37C04">
        <w:t>From a health standpoint, N</w:t>
      </w:r>
      <w:r w:rsidR="009D141C">
        <w:t>HCM</w:t>
      </w:r>
      <w:r w:rsidRPr="00F37C04">
        <w:t xml:space="preserve"> meals have been generally associated with poorer diet quality, with cascading impacts on health problems such as obesity, type II diabetes, and cardiovascular disease. The typically poorer diet quality of N</w:t>
      </w:r>
      <w:r w:rsidR="009D141C">
        <w:t>HCM</w:t>
      </w:r>
      <w:r w:rsidRPr="00F37C04">
        <w:t xml:space="preserve"> meals originates from higher contents of fat, salt, sugar, and calories, and lower contents of fruits/vegetables, compared to traditional </w:t>
      </w:r>
      <w:r w:rsidR="009D141C">
        <w:t>HCM</w:t>
      </w:r>
      <w:r w:rsidRPr="00F37C04">
        <w:t xml:space="preserve">s (see Goffe </w:t>
      </w:r>
      <w:r w:rsidR="0015182B">
        <w:t>e</w:t>
      </w:r>
      <w:r w:rsidRPr="00F37C04">
        <w:t>t al., 2017</w:t>
      </w:r>
      <w:r w:rsidR="00EF4DAE">
        <w:t>;</w:t>
      </w:r>
      <w:r w:rsidRPr="00F37C04">
        <w:t xml:space="preserve"> Tumin and Anderson, 2017</w:t>
      </w:r>
      <w:r w:rsidR="00EF4DAE">
        <w:t>;</w:t>
      </w:r>
      <w:r w:rsidRPr="00F37C04">
        <w:t xml:space="preserve"> </w:t>
      </w:r>
      <w:r w:rsidR="00EF4DAE">
        <w:t xml:space="preserve">and </w:t>
      </w:r>
      <w:r w:rsidRPr="00F37C04">
        <w:t>Wellard-Cole et al., 202</w:t>
      </w:r>
      <w:r w:rsidR="00EF4DAE">
        <w:t>2</w:t>
      </w:r>
      <w:r w:rsidRPr="00F37C04">
        <w:t xml:space="preserve"> </w:t>
      </w:r>
      <w:r w:rsidR="00A95F27">
        <w:t>for</w:t>
      </w:r>
      <w:r w:rsidRPr="00F37C04">
        <w:t xml:space="preserve"> an extensive review). This issue is exacerbated by the fact that the eat-in service business model</w:t>
      </w:r>
      <w:r w:rsidR="002522A5">
        <w:t xml:space="preserve"> </w:t>
      </w:r>
      <w:r w:rsidRPr="00F37C04">
        <w:t xml:space="preserve">intrinsically favors </w:t>
      </w:r>
      <w:r w:rsidR="00074C5D">
        <w:t>high</w:t>
      </w:r>
      <w:r w:rsidR="002522A5">
        <w:t>-</w:t>
      </w:r>
      <w:r w:rsidR="00074C5D">
        <w:t xml:space="preserve">calorie-serving </w:t>
      </w:r>
      <w:r w:rsidRPr="0081571B">
        <w:t>fast</w:t>
      </w:r>
      <w:r w:rsidR="0015182B">
        <w:t>-</w:t>
      </w:r>
      <w:r w:rsidRPr="0081571B">
        <w:t xml:space="preserve">food restaurants that </w:t>
      </w:r>
      <w:r w:rsidR="002522A5">
        <w:t xml:space="preserve">had </w:t>
      </w:r>
      <w:r w:rsidR="002522A5" w:rsidRPr="0081571B">
        <w:t>already</w:t>
      </w:r>
      <w:r w:rsidRPr="0081571B">
        <w:t xml:space="preserve"> invested in </w:t>
      </w:r>
      <w:r w:rsidRPr="00F2148C">
        <w:t>food distribution digit</w:t>
      </w:r>
      <w:r w:rsidRPr="00F37C04">
        <w:t>al infrastructure and drive</w:t>
      </w:r>
      <w:r w:rsidR="0015182B">
        <w:t>-</w:t>
      </w:r>
      <w:r w:rsidRPr="00F37C04">
        <w:t xml:space="preserve">through windows. Traditional exclusive “sit-in” restaurants, while having </w:t>
      </w:r>
      <w:r w:rsidR="00582924">
        <w:t>more</w:t>
      </w:r>
      <w:r w:rsidRPr="0081571B">
        <w:t xml:space="preserve"> ability to </w:t>
      </w:r>
      <w:r w:rsidRPr="00F37C04">
        <w:t xml:space="preserve">customize food to suit the diet quality desired by patrons, </w:t>
      </w:r>
      <w:r w:rsidRPr="00F37C04">
        <w:lastRenderedPageBreak/>
        <w:t>have not been able to adapt as quickly to the new pandemic-engendered food consumption landscape. Besides, dual</w:t>
      </w:r>
      <w:r w:rsidR="0015182B">
        <w:t>-</w:t>
      </w:r>
      <w:r w:rsidRPr="00F37C04">
        <w:t xml:space="preserve">earner couples, single mothers, the poor, and members of racial/ethnic minorities tend to be particularly time poor, creating further health inequities (see, for example, </w:t>
      </w:r>
      <w:bookmarkStart w:id="11" w:name="_Hlk109684012"/>
      <w:r w:rsidRPr="00F37C04">
        <w:t>Devine et al., 2006</w:t>
      </w:r>
      <w:r w:rsidR="00EF4DAE">
        <w:t>;</w:t>
      </w:r>
      <w:r w:rsidRPr="00F37C04">
        <w:t xml:space="preserve"> Djupegot et al., 2017</w:t>
      </w:r>
      <w:r w:rsidR="00EF4DAE">
        <w:t>;</w:t>
      </w:r>
      <w:r w:rsidRPr="00F37C04">
        <w:t xml:space="preserve"> Oostenbach et al., 2022</w:t>
      </w:r>
      <w:r w:rsidR="00EF4DAE">
        <w:t>;</w:t>
      </w:r>
      <w:r w:rsidRPr="00F37C04">
        <w:t xml:space="preserve"> and Okumus, 2021</w:t>
      </w:r>
      <w:bookmarkEnd w:id="11"/>
      <w:r w:rsidRPr="00F37C04">
        <w:t xml:space="preserve">). </w:t>
      </w:r>
      <w:r w:rsidR="00074C5D">
        <w:t>In this regard, t</w:t>
      </w:r>
      <w:r w:rsidRPr="0081571B">
        <w:t xml:space="preserve">he current study can provide additional insights </w:t>
      </w:r>
      <w:r w:rsidR="00614BA1" w:rsidRPr="00F37C04">
        <w:t xml:space="preserve">for health policies </w:t>
      </w:r>
      <w:r w:rsidR="00CC569D" w:rsidRPr="00F37C04">
        <w:t xml:space="preserve">through the analysis of </w:t>
      </w:r>
      <w:r w:rsidRPr="00F37C04">
        <w:t>joint N</w:t>
      </w:r>
      <w:r w:rsidR="009D141C">
        <w:t>HCM</w:t>
      </w:r>
      <w:r w:rsidRPr="00F37C04">
        <w:t xml:space="preserve"> consumptions across all channels, as opposed to previous studies in the</w:t>
      </w:r>
      <w:r w:rsidR="00CC569D" w:rsidRPr="00F37C04">
        <w:t xml:space="preserve"> area t</w:t>
      </w:r>
      <w:r w:rsidRPr="00F37C04">
        <w:t>hat consider a single aggregated N</w:t>
      </w:r>
      <w:r w:rsidR="009D141C">
        <w:t>HCM</w:t>
      </w:r>
      <w:r w:rsidRPr="00F37C04">
        <w:t xml:space="preserve"> outcome across all channels or focus on a singular channel (mostly eat-out). </w:t>
      </w:r>
    </w:p>
    <w:p w14:paraId="10036B0C" w14:textId="0F4EDC2E" w:rsidR="00292155" w:rsidRDefault="00CC569D" w:rsidP="00D00A05">
      <w:pPr>
        <w:autoSpaceDE w:val="0"/>
        <w:autoSpaceDN w:val="0"/>
        <w:adjustRightInd w:val="0"/>
        <w:spacing w:after="0" w:line="276" w:lineRule="auto"/>
        <w:ind w:firstLine="720"/>
        <w:jc w:val="both"/>
      </w:pPr>
      <w:r w:rsidRPr="00F37C04">
        <w:t>From a food services standpoint, particularly after the onset of the pandemic, expanding to provide an eat-in channel for N</w:t>
      </w:r>
      <w:r w:rsidR="009D141C">
        <w:t>HCM</w:t>
      </w:r>
      <w:r w:rsidRPr="00F37C04">
        <w:t xml:space="preserve"> has gained substantial currency (literally and figuratively), as restaurants and food service providers navigate the new competitive </w:t>
      </w:r>
      <w:r w:rsidR="00582924">
        <w:t>market</w:t>
      </w:r>
      <w:r w:rsidRPr="0081571B">
        <w:t xml:space="preserve"> to increase revenue and profitability (and, in some cases, to survive in the short r</w:t>
      </w:r>
      <w:r w:rsidRPr="00F37C04">
        <w:t>un). According to the National Restaurant Associati</w:t>
      </w:r>
      <w:r w:rsidR="00FA2603" w:rsidRPr="00F37C04">
        <w:t xml:space="preserve">on, </w:t>
      </w:r>
      <w:r w:rsidR="00F55754" w:rsidRPr="00F37C04">
        <w:t>68% of consumers indicate that they use the two eat-in channels (</w:t>
      </w:r>
      <w:r w:rsidR="00F55754" w:rsidRPr="00885DB3">
        <w:rPr>
          <w:color w:val="0A0A0A"/>
          <w:shd w:val="clear" w:color="auto" w:fill="FEFEFE"/>
        </w:rPr>
        <w:t>t</w:t>
      </w:r>
      <w:r w:rsidR="00FA2603" w:rsidRPr="00885DB3">
        <w:rPr>
          <w:color w:val="0A0A0A"/>
          <w:shd w:val="clear" w:color="auto" w:fill="FEFEFE"/>
        </w:rPr>
        <w:t>akeout and delivery</w:t>
      </w:r>
      <w:r w:rsidR="00F55754" w:rsidRPr="00885DB3">
        <w:rPr>
          <w:color w:val="0A0A0A"/>
          <w:shd w:val="clear" w:color="auto" w:fill="FEFEFE"/>
        </w:rPr>
        <w:t>)</w:t>
      </w:r>
      <w:r w:rsidR="00FA2603" w:rsidRPr="00885DB3">
        <w:rPr>
          <w:color w:val="0A0A0A"/>
          <w:shd w:val="clear" w:color="auto" w:fill="FEFEFE"/>
        </w:rPr>
        <w:t xml:space="preserve"> </w:t>
      </w:r>
      <w:r w:rsidR="00F55754" w:rsidRPr="00885DB3">
        <w:rPr>
          <w:color w:val="0A0A0A"/>
          <w:shd w:val="clear" w:color="auto" w:fill="FEFEFE"/>
        </w:rPr>
        <w:t>more so than before the pandemic, and 53% indicate that the eat-in channels have become essential to their way of living</w:t>
      </w:r>
      <w:r w:rsidR="00F55754" w:rsidRPr="0081571B">
        <w:t>.</w:t>
      </w:r>
      <w:r w:rsidR="00F55754" w:rsidRPr="008A3FBC">
        <w:rPr>
          <w:rStyle w:val="FootnoteReference"/>
        </w:rPr>
        <w:footnoteReference w:id="3"/>
      </w:r>
      <w:r w:rsidR="00F55754" w:rsidRPr="0081571B">
        <w:t xml:space="preserve"> But adding eat-in channels ha</w:t>
      </w:r>
      <w:r w:rsidR="0015182B">
        <w:t>s</w:t>
      </w:r>
      <w:r w:rsidR="00F55754" w:rsidRPr="0081571B">
        <w:t xml:space="preserve"> not always been successful, especially the delivery-based eat-in optio</w:t>
      </w:r>
      <w:r w:rsidR="00F55754" w:rsidRPr="00F37C04">
        <w:t>n. This is</w:t>
      </w:r>
      <w:r w:rsidR="00E3561F" w:rsidRPr="00F37C04">
        <w:t xml:space="preserve"> because </w:t>
      </w:r>
      <w:r w:rsidR="007C66FF" w:rsidRPr="00F37C04">
        <w:t xml:space="preserve">of </w:t>
      </w:r>
      <w:r w:rsidR="00EF3476">
        <w:t xml:space="preserve">potential </w:t>
      </w:r>
      <w:r w:rsidR="007C66FF" w:rsidRPr="00F37C04">
        <w:t>cannibalization effects</w:t>
      </w:r>
      <w:r w:rsidR="00D76210">
        <w:t>, as discussed earlier</w:t>
      </w:r>
      <w:r w:rsidR="00E3561F" w:rsidRPr="00F37C04">
        <w:t>. The net result is that</w:t>
      </w:r>
      <w:r w:rsidR="00D76210">
        <w:t>,</w:t>
      </w:r>
      <w:r w:rsidR="00E3561F" w:rsidRPr="00F37C04">
        <w:t xml:space="preserve"> while total revenue may increase, profitability does not always follow revenue trends because of the investments needed in </w:t>
      </w:r>
      <w:r w:rsidR="002522A5">
        <w:t>establishing</w:t>
      </w:r>
      <w:r w:rsidR="00E3561F" w:rsidRPr="00F37C04">
        <w:t xml:space="preserve"> and maintaining an eat-in option. The underlying issue here </w:t>
      </w:r>
      <w:r w:rsidR="008936B2" w:rsidRPr="00F37C04">
        <w:t xml:space="preserve">again </w:t>
      </w:r>
      <w:r w:rsidR="00E3561F" w:rsidRPr="00F37C04">
        <w:t xml:space="preserve">is the interplay between </w:t>
      </w:r>
      <w:r w:rsidR="007C66FF" w:rsidRPr="00F37C04">
        <w:t xml:space="preserve">resource </w:t>
      </w:r>
      <w:r w:rsidR="00E337DF">
        <w:t xml:space="preserve">investment </w:t>
      </w:r>
      <w:r w:rsidR="007C66FF" w:rsidRPr="00F37C04">
        <w:t xml:space="preserve">needs for </w:t>
      </w:r>
      <w:r w:rsidR="00E3561F" w:rsidRPr="00F37C04">
        <w:t xml:space="preserve">eat-out at the restaurant and </w:t>
      </w:r>
      <w:r w:rsidR="00CF38CF" w:rsidRPr="00F37C04">
        <w:t xml:space="preserve">the </w:t>
      </w:r>
      <w:r w:rsidR="00E3561F" w:rsidRPr="00F37C04">
        <w:t xml:space="preserve">eat-in </w:t>
      </w:r>
      <w:r w:rsidR="00CF38CF" w:rsidRPr="00F37C04">
        <w:t xml:space="preserve">options. </w:t>
      </w:r>
      <w:r w:rsidR="008936B2" w:rsidRPr="00F37C04">
        <w:t xml:space="preserve">If </w:t>
      </w:r>
      <w:r w:rsidR="00294726" w:rsidRPr="00F37C04">
        <w:t>a higher frequency of eat-ins takes away from eat-outs, t</w:t>
      </w:r>
      <w:r w:rsidR="007C66FF" w:rsidRPr="00F37C04">
        <w:t xml:space="preserve">his </w:t>
      </w:r>
      <w:r w:rsidR="00294726" w:rsidRPr="00F37C04">
        <w:t>may reduce profitability. But if the higher frequency of eat-ins leads to more eat-outs, then it can be profitable. There has been little empirical investigation into such cross-channel effects at the individual consumer level</w:t>
      </w:r>
      <w:r w:rsidR="00F2148C">
        <w:t xml:space="preserve">, the focus of the current paper. </w:t>
      </w:r>
    </w:p>
    <w:p w14:paraId="06BB867B" w14:textId="7F42F2EE" w:rsidR="00F2148C" w:rsidRPr="0089432E" w:rsidRDefault="00F2148C" w:rsidP="00D00A05">
      <w:pPr>
        <w:autoSpaceDE w:val="0"/>
        <w:autoSpaceDN w:val="0"/>
        <w:adjustRightInd w:val="0"/>
        <w:spacing w:after="0" w:line="276" w:lineRule="auto"/>
        <w:ind w:firstLine="720"/>
        <w:jc w:val="both"/>
      </w:pPr>
      <w:r w:rsidRPr="0089432E">
        <w:t>The rest of this paper is structured as follows. The next section provides a brief overview of earlier relevant studi</w:t>
      </w:r>
      <w:r w:rsidR="00623CD6" w:rsidRPr="0089432E">
        <w:t>es, and positions the current study</w:t>
      </w:r>
      <w:r w:rsidRPr="0089432E">
        <w:t>.</w:t>
      </w:r>
      <w:r w:rsidR="00623CD6" w:rsidRPr="0089432E">
        <w:t xml:space="preserve"> Section 3 discusses the methodology for both the survey data collection process and the modeling. Section 4 presents the estimation results, </w:t>
      </w:r>
      <w:r w:rsidR="0089432E" w:rsidRPr="0089432E">
        <w:t xml:space="preserve">while Section 5 computes the magnitude effects of variables. The final section concludes with a discussion of implications and future research directions. </w:t>
      </w:r>
    </w:p>
    <w:p w14:paraId="4869243F" w14:textId="77777777" w:rsidR="00294726" w:rsidRPr="00F37C04" w:rsidRDefault="00294726" w:rsidP="00D00A05">
      <w:pPr>
        <w:autoSpaceDE w:val="0"/>
        <w:autoSpaceDN w:val="0"/>
        <w:adjustRightInd w:val="0"/>
        <w:spacing w:after="0" w:line="276" w:lineRule="auto"/>
        <w:jc w:val="both"/>
      </w:pPr>
    </w:p>
    <w:p w14:paraId="30AD7D8D" w14:textId="1BFA3173" w:rsidR="00220633" w:rsidRPr="00420E62" w:rsidRDefault="00420E62" w:rsidP="00D00A05">
      <w:pPr>
        <w:pStyle w:val="Heading1"/>
      </w:pPr>
      <w:r w:rsidRPr="00420E62">
        <w:t>RELEVANT LITERATURE</w:t>
      </w:r>
    </w:p>
    <w:p w14:paraId="2229A440" w14:textId="4D1D17DB" w:rsidR="008549AD" w:rsidRPr="0081571B" w:rsidRDefault="00601738" w:rsidP="00D00A05">
      <w:pPr>
        <w:spacing w:after="0" w:line="276" w:lineRule="auto"/>
        <w:jc w:val="both"/>
      </w:pPr>
      <w:r w:rsidRPr="0081571B">
        <w:t xml:space="preserve">The earlier </w:t>
      </w:r>
      <w:r w:rsidR="008549AD" w:rsidRPr="0081571B">
        <w:t xml:space="preserve">literature </w:t>
      </w:r>
      <w:r w:rsidRPr="0081571B">
        <w:t>on</w:t>
      </w:r>
      <w:r w:rsidR="008549AD" w:rsidRPr="00F37C04">
        <w:t xml:space="preserve"> food consumption </w:t>
      </w:r>
      <w:r w:rsidRPr="00F37C04">
        <w:t xml:space="preserve">behavior </w:t>
      </w:r>
      <w:r w:rsidR="008549AD" w:rsidRPr="00F37C04">
        <w:t xml:space="preserve">has focused on </w:t>
      </w:r>
      <w:r w:rsidR="0048398B" w:rsidRPr="00F37C04">
        <w:t>(</w:t>
      </w:r>
      <w:r w:rsidR="008549AD" w:rsidRPr="00F37C04">
        <w:t xml:space="preserve">1) supply-side restaurant/service characteristics, </w:t>
      </w:r>
      <w:r w:rsidR="0048398B" w:rsidRPr="00F37C04">
        <w:t>(</w:t>
      </w:r>
      <w:r w:rsidR="008549AD" w:rsidRPr="00F37C04">
        <w:t xml:space="preserve">2) </w:t>
      </w:r>
      <w:r w:rsidRPr="00F37C04">
        <w:t>N</w:t>
      </w:r>
      <w:r w:rsidR="009D141C">
        <w:t>HCM</w:t>
      </w:r>
      <w:r w:rsidR="008549AD" w:rsidRPr="00F37C04">
        <w:t xml:space="preserve"> consumption motivation</w:t>
      </w:r>
      <w:r w:rsidRPr="00F37C04">
        <w:t>s</w:t>
      </w:r>
      <w:r w:rsidR="008549AD" w:rsidRPr="00F37C04">
        <w:t xml:space="preserve">, and </w:t>
      </w:r>
      <w:r w:rsidR="0048398B" w:rsidRPr="00F37C04">
        <w:t>(</w:t>
      </w:r>
      <w:r w:rsidR="008549AD" w:rsidRPr="00F37C04">
        <w:t>3)</w:t>
      </w:r>
      <w:r w:rsidR="0048398B" w:rsidRPr="00F37C04">
        <w:t xml:space="preserve"> consumer</w:t>
      </w:r>
      <w:r w:rsidR="008549AD" w:rsidRPr="00F37C04">
        <w:t>-level</w:t>
      </w:r>
      <w:r w:rsidR="00240451" w:rsidRPr="00F37C04">
        <w:t xml:space="preserve"> </w:t>
      </w:r>
      <w:r w:rsidR="0048398B" w:rsidRPr="00F37C04">
        <w:t>considerations</w:t>
      </w:r>
      <w:r w:rsidR="008549AD" w:rsidRPr="00F37C04">
        <w:t xml:space="preserve">. </w:t>
      </w:r>
      <w:r w:rsidR="008549AD" w:rsidRPr="00885DB3">
        <w:rPr>
          <w:u w:val="single"/>
        </w:rPr>
        <w:t>Supply-side research</w:t>
      </w:r>
      <w:r w:rsidR="008549AD" w:rsidRPr="0081571B">
        <w:t xml:space="preserve"> focu</w:t>
      </w:r>
      <w:r w:rsidR="00B043EE" w:rsidRPr="0081571B">
        <w:t>se</w:t>
      </w:r>
      <w:r w:rsidR="008549AD" w:rsidRPr="0081571B">
        <w:t xml:space="preserve">s on studying </w:t>
      </w:r>
      <w:r w:rsidR="00B043EE" w:rsidRPr="0081571B">
        <w:t xml:space="preserve">the effect of </w:t>
      </w:r>
      <w:r w:rsidR="008549AD" w:rsidRPr="0081571B">
        <w:t>service-related factors such as price, quality</w:t>
      </w:r>
      <w:r w:rsidR="008549AD" w:rsidRPr="00F2148C">
        <w:t>, and ambi</w:t>
      </w:r>
      <w:r w:rsidR="00B043EE" w:rsidRPr="00F37C04">
        <w:t>a</w:t>
      </w:r>
      <w:r w:rsidR="008549AD" w:rsidRPr="00F37C04">
        <w:t xml:space="preserve">nce on consumers’ </w:t>
      </w:r>
      <w:r w:rsidR="00A36CA4" w:rsidRPr="00F37C04">
        <w:t>N</w:t>
      </w:r>
      <w:r w:rsidR="009D141C">
        <w:t>HCM</w:t>
      </w:r>
      <w:r w:rsidR="00A36CA4" w:rsidRPr="00F37C04">
        <w:t xml:space="preserve"> eat-out </w:t>
      </w:r>
      <w:r w:rsidR="008549AD" w:rsidRPr="00F37C04">
        <w:t>decision-making (such as</w:t>
      </w:r>
      <w:r w:rsidR="00EF46C7" w:rsidRPr="00F37C04">
        <w:t xml:space="preserve"> </w:t>
      </w:r>
      <w:bookmarkStart w:id="12" w:name="_Hlk109684134"/>
      <w:r w:rsidR="00EF46C7" w:rsidRPr="00F37C04">
        <w:t>Jung et al., 2015</w:t>
      </w:r>
      <w:r w:rsidR="00EF4DAE">
        <w:t>;</w:t>
      </w:r>
      <w:r w:rsidR="00EF46C7" w:rsidRPr="00F37C04">
        <w:t xml:space="preserve"> Sulek </w:t>
      </w:r>
      <w:r w:rsidR="00582924">
        <w:t>and</w:t>
      </w:r>
      <w:r w:rsidR="00EF46C7" w:rsidRPr="0081571B">
        <w:t xml:space="preserve"> Hensley, 2004</w:t>
      </w:r>
      <w:r w:rsidR="00EF4DAE">
        <w:t>;</w:t>
      </w:r>
      <w:r w:rsidR="00EF46C7" w:rsidRPr="0081571B">
        <w:t xml:space="preserve"> </w:t>
      </w:r>
      <w:r w:rsidR="00EF46C7" w:rsidRPr="00F2148C">
        <w:t>Ubeja et al., 2021</w:t>
      </w:r>
      <w:r w:rsidR="008549AD" w:rsidRPr="00F37C04">
        <w:t>).</w:t>
      </w:r>
      <w:r w:rsidR="00A36CA4" w:rsidRPr="00F37C04">
        <w:t xml:space="preserve"> </w:t>
      </w:r>
      <w:bookmarkEnd w:id="12"/>
      <w:r w:rsidR="00A36CA4" w:rsidRPr="00F37C04">
        <w:t xml:space="preserve">Other supply-side studies have evaluated the impact of information quality and credibility, ease of use, system trust, convenience, design, and other online delivery service-related factors on the frequency of purchasing delivered meals </w:t>
      </w:r>
      <w:bookmarkStart w:id="13" w:name="_Hlk109684175"/>
      <w:r w:rsidR="00A36CA4" w:rsidRPr="0081571B">
        <w:fldChar w:fldCharType="begin"/>
      </w:r>
      <w:r w:rsidR="00B44216">
        <w:instrText xml:space="preserve"> ADDIN ZOTERO_ITEM CSL_CITATION {"citationID":"rARnvwoU","properties":{"formattedCitation":"(Cho et al., 2019; Gunden et al., 2020; Hong et al., 2021; Kang &amp; Namkung, 2019; Ray &amp; Bala, 2021; Roh &amp; Park, 2019)","plainCitation":"(Cho et al., 2019; Gunden et al., 2020; Hong et al., 2021; Kang &amp; Namkung, 2019; Ray &amp; Bala, 2021; Roh &amp; Park, 2019)","dontUpdate":true,"noteIndex":0},"citationItems":[{"id":490,"uris":["http://zotero.org/users/9292995/items/BJD2SC6P"],"itemData":{"id":490,"type":"article-journal","container-title":"International Journal of Hospitality Management","ISSN":"0278-4319","journalAbbreviation":"International Journal of Hospitality Management","note":"publisher: Elsevier","page":"108-116","title":"Differences in perceptions about food delivery apps between single-person and multi-person households","volume":"77","author":[{"family":"Cho","given":"Meehee"},{"family":"Bonn","given":"Mark A"},{"family":"Li","given":"Jun Justin"}],"issued":{"date-parts":[["2019"]]}}},{"id":480,"uris":["http://zotero.org/users/9292995/items/LLN9SHWJ"],"itemData":{"id":480,"type":"article-journal","container-title":"International Journal of Contemporary Hospitality Management","ISSN":"0959-6119","journalAbbreviation":"International Journal of Contemporary Hospitality Management","note":"publisher: Emerald Publishing Limited","title":"Consumers’ intentions to use online food delivery systems in the USA","author":[{"family":"Gunden","given":"Nefike"},{"family":"Morosan","given":"Cristian"},{"family":"DeFranco","given":"Agnes"}],"issued":{"date-parts":[["2020"]]}}},{"id":492,"uris":["http://zotero.org/users/9292995/items/TN3H84HN"],"itemData":{"id":492,"type":"article-journal","container-title":"Journal of Hospitality and Tourism Management","ISSN":"1447-6770","journalAbbreviation":"Journal of Hospitality and Tourism Management","note":"publisher: Elsevier","page":"509-518","title":"Factors affecting customer intention to use online food delivery services before and during the COVID-19 pandemic","volume":"48","author":[{"family":"Hong","given":"Chanmi"},{"family":"Choi","given":"Hayeon Hailey"},{"family":"Choi","given":"Eun-Kyong Cindy"},{"family":"Joung","given":"Hyun-Woo David"}],"issued":{"date-parts":[["2021"]]}}},{"id":479,"uris":["http://zotero.org/users/9292995/items/5H3X8XBQ"],"itemData":{"id":479,"type":"article-journal","container-title":"International Journal of Hospitality Management","ISSN":"0278-4319","journalAbbreviation":"International Journal of Hospitality Management","note":"publisher: Elsevier","page":"189-198","title":"The information quality and source credibility matter in customers’ evaluation toward food O2O commerce","volume":"78","author":[{"family":"Kang","given":"Jee-Won"},{"family":"Namkung","given":"Young"}],"issued":{"date-parts":[["2019"]]}}},{"id":491,"uris":["http://zotero.org/users/9292995/items/8MTVCBVD"],"itemData":{"id":491,"type":"article-journal","container-title":"International Journal of Hospitality Management","ISSN":"0278-4319","journalAbbreviation":"International Journal of Hospitality Management","note":"publisher: Elsevier","page":"102730","title":"User generated content for exploring factors affecting intention to use travel and food delivery services","volume":"92","author":[{"family":"Ray","given":"Arghya"},{"family":"Bala","given":"Pradip Kumar"}],"issued":{"date-parts":[["2021"]]}}},{"id":630,"uris":["http://zotero.org/users/9292995/items/7RRKDGY6"],"itemData":{"id":630,"type":"article-journal","container-title":"International Journal of Information Management","ISSN":"0268-4012","journalAbbreviation":"International Journal of Information Management","note":"publisher: Elsevier","page":"262-273","title":"Adoption of O2O food delivery services in South Korea: The moderating role of moral obligation in meal preparation","volume":"47","author":[{"family":"Roh","given":"Minjung"},{"family":"Park","given":"Kiwan"}],"issued":{"date-parts":[["2019"]]}}}],"schema":"https://github.com/citation-style-language/schema/raw/master/csl-citation.json"} </w:instrText>
      </w:r>
      <w:r w:rsidR="00A36CA4" w:rsidRPr="0081571B">
        <w:fldChar w:fldCharType="separate"/>
      </w:r>
      <w:r w:rsidR="00A36CA4" w:rsidRPr="0081571B">
        <w:t>(</w:t>
      </w:r>
      <w:r w:rsidR="00074C5D">
        <w:t xml:space="preserve">see </w:t>
      </w:r>
      <w:r w:rsidR="00A36CA4" w:rsidRPr="0081571B">
        <w:t>Cho et al., 2019</w:t>
      </w:r>
      <w:r w:rsidR="00EF4DAE">
        <w:t>;</w:t>
      </w:r>
      <w:r w:rsidR="00A36CA4" w:rsidRPr="0081571B">
        <w:t xml:space="preserve"> Gunden et al., 2020</w:t>
      </w:r>
      <w:r w:rsidR="00EF4DAE">
        <w:t>;</w:t>
      </w:r>
      <w:r w:rsidR="00A36CA4" w:rsidRPr="0081571B">
        <w:t xml:space="preserve"> Hong et al., 2021</w:t>
      </w:r>
      <w:r w:rsidR="00EF4DAE">
        <w:t>;</w:t>
      </w:r>
      <w:r w:rsidR="00A36CA4" w:rsidRPr="0081571B">
        <w:t xml:space="preserve"> Kang </w:t>
      </w:r>
      <w:r w:rsidR="00582924">
        <w:t>and</w:t>
      </w:r>
      <w:r w:rsidR="00A36CA4" w:rsidRPr="0081571B">
        <w:t xml:space="preserve"> Namkung, 2019</w:t>
      </w:r>
      <w:r w:rsidR="00EF4DAE">
        <w:t>;</w:t>
      </w:r>
      <w:r w:rsidR="00A36CA4" w:rsidRPr="0081571B">
        <w:t xml:space="preserve"> Ray </w:t>
      </w:r>
      <w:r w:rsidR="00582924">
        <w:t>and</w:t>
      </w:r>
      <w:r w:rsidR="00A36CA4" w:rsidRPr="0081571B">
        <w:t xml:space="preserve"> </w:t>
      </w:r>
      <w:r w:rsidR="00A36CA4" w:rsidRPr="0081571B">
        <w:lastRenderedPageBreak/>
        <w:t>Bala, 2021</w:t>
      </w:r>
      <w:r w:rsidR="00EF4DAE">
        <w:t>;</w:t>
      </w:r>
      <w:r w:rsidR="00A36CA4" w:rsidRPr="0081571B">
        <w:t xml:space="preserve"> </w:t>
      </w:r>
      <w:r w:rsidR="00074C5D">
        <w:t xml:space="preserve">and </w:t>
      </w:r>
      <w:r w:rsidR="00A36CA4" w:rsidRPr="0081571B">
        <w:t xml:space="preserve">Roh </w:t>
      </w:r>
      <w:r w:rsidR="00582924">
        <w:t>and</w:t>
      </w:r>
      <w:r w:rsidR="00A36CA4" w:rsidRPr="0081571B">
        <w:t xml:space="preserve"> Park, 2019)</w:t>
      </w:r>
      <w:r w:rsidR="00A36CA4" w:rsidRPr="0081571B">
        <w:fldChar w:fldCharType="end"/>
      </w:r>
      <w:bookmarkEnd w:id="13"/>
      <w:r w:rsidR="00A36CA4" w:rsidRPr="0081571B">
        <w:t xml:space="preserve">. </w:t>
      </w:r>
      <w:r w:rsidR="00240451" w:rsidRPr="0081571B">
        <w:t>Such studies are mainly undertaken in the food servi</w:t>
      </w:r>
      <w:r w:rsidR="00240451" w:rsidRPr="00F37C04">
        <w:t xml:space="preserve">ces and hospitality fields, as </w:t>
      </w:r>
      <w:r w:rsidR="008549AD" w:rsidRPr="00F37C04">
        <w:t xml:space="preserve">they inform restauranteurs how to prioritize service improvements. </w:t>
      </w:r>
      <w:r w:rsidR="00240451" w:rsidRPr="00F37C04">
        <w:t>For our study, though</w:t>
      </w:r>
      <w:r w:rsidR="00E0567B" w:rsidRPr="00F37C04">
        <w:t>,</w:t>
      </w:r>
      <w:r w:rsidR="00240451" w:rsidRPr="00F37C04">
        <w:t xml:space="preserve"> it is the latter two demand-side </w:t>
      </w:r>
      <w:r w:rsidR="002522A5">
        <w:t>aspects</w:t>
      </w:r>
      <w:r w:rsidR="00240451" w:rsidRPr="00F37C04">
        <w:t xml:space="preserve"> of N</w:t>
      </w:r>
      <w:r w:rsidR="009D141C">
        <w:t>HCM</w:t>
      </w:r>
      <w:r w:rsidR="00240451" w:rsidRPr="00F37C04">
        <w:t xml:space="preserve"> </w:t>
      </w:r>
      <w:r w:rsidR="00E337DF">
        <w:t xml:space="preserve">consumption </w:t>
      </w:r>
      <w:r w:rsidR="00240451" w:rsidRPr="00F37C04">
        <w:t xml:space="preserve">motivations and </w:t>
      </w:r>
      <w:r w:rsidR="00E337DF">
        <w:t>consumer</w:t>
      </w:r>
      <w:r w:rsidR="00240451" w:rsidRPr="00F37C04">
        <w:t xml:space="preserve">-level </w:t>
      </w:r>
      <w:r w:rsidR="00E337DF">
        <w:t>considerations</w:t>
      </w:r>
      <w:r w:rsidR="00240451" w:rsidRPr="00F37C04">
        <w:t xml:space="preserve"> that are of more relevance, as the emphasis is on understanding overall individual-level N</w:t>
      </w:r>
      <w:r w:rsidR="009D141C">
        <w:t>HCM</w:t>
      </w:r>
      <w:r w:rsidR="00240451" w:rsidRPr="00F37C04">
        <w:t xml:space="preserve"> preferences rather than specific restaurant or delivery mechanism features. </w:t>
      </w:r>
      <w:r w:rsidR="00E337DF">
        <w:t>In this regard, t</w:t>
      </w:r>
      <w:r w:rsidR="00240451" w:rsidRPr="00F37C04">
        <w:t xml:space="preserve">he second group of </w:t>
      </w:r>
      <w:r w:rsidR="00240451" w:rsidRPr="001508A6">
        <w:rPr>
          <w:u w:val="single"/>
        </w:rPr>
        <w:t>N</w:t>
      </w:r>
      <w:r w:rsidR="009D141C">
        <w:rPr>
          <w:u w:val="single"/>
        </w:rPr>
        <w:t>HCM</w:t>
      </w:r>
      <w:r w:rsidR="00240451" w:rsidRPr="001508A6">
        <w:rPr>
          <w:u w:val="single"/>
        </w:rPr>
        <w:t xml:space="preserve"> consumption motivation</w:t>
      </w:r>
      <w:r w:rsidR="00240451" w:rsidRPr="0081571B">
        <w:t xml:space="preserve"> </w:t>
      </w:r>
      <w:r w:rsidR="00582924">
        <w:t xml:space="preserve">studies </w:t>
      </w:r>
      <w:r w:rsidR="001450B3" w:rsidRPr="0081571B">
        <w:t>tend</w:t>
      </w:r>
      <w:r w:rsidR="00582924">
        <w:t>s</w:t>
      </w:r>
      <w:r w:rsidR="001450B3" w:rsidRPr="0081571B">
        <w:t xml:space="preserve"> to be theoretical or descriptive </w:t>
      </w:r>
      <w:r w:rsidR="00582924">
        <w:t xml:space="preserve">in </w:t>
      </w:r>
      <w:r w:rsidR="001450B3" w:rsidRPr="0081571B">
        <w:t>nature. Undertaken primarily in the food services and health fields, such studies</w:t>
      </w:r>
      <w:r w:rsidR="001450B3" w:rsidRPr="00F37C04">
        <w:t xml:space="preserve"> broadly </w:t>
      </w:r>
      <w:r w:rsidR="008549AD" w:rsidRPr="00F37C04">
        <w:t>investigat</w:t>
      </w:r>
      <w:r w:rsidR="00E0567B" w:rsidRPr="00F37C04">
        <w:t>e</w:t>
      </w:r>
      <w:r w:rsidR="008549AD" w:rsidRPr="00F37C04">
        <w:t xml:space="preserve"> the hedonic and utilitarian drivers for N</w:t>
      </w:r>
      <w:r w:rsidR="009D141C">
        <w:t>HCM</w:t>
      </w:r>
      <w:r w:rsidR="00E0567B" w:rsidRPr="00F37C04">
        <w:t xml:space="preserve"> consumption</w:t>
      </w:r>
      <w:r w:rsidR="008549AD" w:rsidRPr="00F37C04">
        <w:t xml:space="preserve">. Hedonic value relates to enjoyment, satisfaction, </w:t>
      </w:r>
      <w:r w:rsidR="00F118D6" w:rsidRPr="00F37C04">
        <w:t xml:space="preserve">celebrating special occasions, </w:t>
      </w:r>
      <w:r w:rsidR="00E0567B" w:rsidRPr="00F37C04">
        <w:t xml:space="preserve">fulfillment, </w:t>
      </w:r>
      <w:r w:rsidR="008549AD" w:rsidRPr="00F37C04">
        <w:t>and pleasure</w:t>
      </w:r>
      <w:r w:rsidR="00E0567B" w:rsidRPr="00F37C04">
        <w:t>,</w:t>
      </w:r>
      <w:r w:rsidR="008549AD" w:rsidRPr="00F37C04">
        <w:t xml:space="preserve"> while utilitarian value integrates more cognitive aspects, such as </w:t>
      </w:r>
      <w:r w:rsidR="00F118D6" w:rsidRPr="00F37C04">
        <w:t xml:space="preserve">cooking stress, </w:t>
      </w:r>
      <w:r w:rsidR="008549AD" w:rsidRPr="00F37C04">
        <w:t xml:space="preserve">cost-effectiveness, and time savings </w:t>
      </w:r>
      <w:bookmarkStart w:id="14" w:name="_Hlk109684268"/>
      <w:r w:rsidR="008549AD" w:rsidRPr="0081571B">
        <w:fldChar w:fldCharType="begin"/>
      </w:r>
      <w:r w:rsidR="0009165F">
        <w:instrText xml:space="preserve"> ADDIN ZOTERO_ITEM CSL_CITATION {"citationID":"CS4f8qpG","properties":{"formattedCitation":"(C. Jones, 2018; Josiam &amp; Henry, 2014; Kertasunjaya et al., 2020; K. J. Kim &amp; Kim, 2021; Ma et al., 2021; Namin et al., 2020; Okumus, 2021; Yeo et al., 2017, 2017)","plainCitation":"(C. Jones, 2018; Josiam &amp; Henry, 2014; Kertasunjaya et al., 2020; K. J. Kim &amp; Kim, 2021; Ma et al., 2021; Namin et al., 2020; Okumus, 2021; Yeo et al., 2017, 2017)","noteIndex":0},"citationItems":[{"id":434,"uris":["http://zotero.org/users/9292995/items/3AWRFFLC"],"itemData":{"id":434,"type":"article-journal","container-title":"Journal of foodservice business research","ISSN":"1537-8020","issue":"4","journalAbbreviation":"Journal of foodservice business research","note":"publisher: Taylor &amp; Francis","page":"377-393","title":"Restaurant food choices by moms: An exploratory study","volume":"21","author":[{"family":"Jones","given":"Cathleen"}],"issued":{"date-parts":[["2018"]]}}},{"id":589,"uris":["http://zotero.org/users/9292995/items/ELCWHEFU"],"itemData":{"id":589,"type":"article-journal","container-title":"Procedia-Social and Behavioral Sciences","ISSN":"1877-0428","journalAbbreviation":"Procedia-Social and Behavioral Sciences","note":"publisher: Elsevier","page":"187-202","title":"Eatertainment: Utilitarian and hedonic motivations for patronizing fun experience restaurants","volume":"144","author":[{"family":"Josiam","given":"Bharath M"},{"family":"Henry","given":"Wendy"}],"issued":{"date-parts":[["2014"]]}}},{"id":590,"uris":["http://zotero.org/users/9292995/items/49RVYILF"],"itemData":{"id":590,"type":"article-journal","container-title":"Open Journal of Business and Management","issue":"06","journalAbbreviation":"Open Journal of Business and Management","note":"publisher: Scientific Research Publishing","page":"2480","title":"The Relation between Hedonic and Utilitarian Values on Satisfaction and Behavior Intention among Casual-Dining Restaurants Customers","volume":"8","author":[{"family":"Kertasunjaya","given":"Tammy Kathlia"},{"family":"Mediasari","given":"Tanya Diza"},{"family":"Manaf","given":"Peri Akbar"}],"issued":{"date-parts":[["2020"]]}}},{"id":439,"uris":["http://zotero.org/users/9292995/items/UJZ4WBLL"],"itemData":{"id":439,"type":"article-journal","container-title":"International Journal of Hospitality Management","ISSN":"0278-4319","journalAbbreviation":"International Journal of Hospitality Management","note":"publisher: Elsevier","page":"103069","title":"I Want to eat out, but something holding me back: Mom’s cooking stress and family dining out constraints","volume":"99","author":[{"family":"Kim","given":"Kathleen Jeehyae"},{"family":"Kim","given":"Dae-Young"}],"issued":{"date-parts":[["2021"]]}}},{"id":591,"uris":["http://zotero.org/users/9292995/items/NJ3MYIPU"],"itemData":{"id":591,"type":"article-journal","container-title":"International Journal of Hospitality Management","ISSN":"0278-4319","journalAbbreviation":"International Journal of Hospitality Management","note":"publisher: Elsevier","page":"102981","title":"A blended model of restaurant deliveries, dine-in demand and capacity constraints","volume":"96","author":[{"family":"Ma","given":"Jing"},{"family":"Webb","given":"Timothy"},{"family":"Schwartz","given":"Zvi"}],"issued":{"date-parts":[["2021"]]}}},{"id":436,"uris":["http://zotero.org/users/9292995/items/HPYKPPEE"],"itemData":{"id":436,"type":"article-journal","container-title":"Journal of Retailing and Consumer Services","ISSN":"0969-6989","journalAbbreviation":"Journal of Retailing and Consumer Services","note":"publisher: Elsevier","page":"101981","title":"Dine-in or take-out: Modeling millennials’ cooking motivation and choice","volume":"53","author":[{"family":"Namin","given":"Aidin"},{"family":"Ratchford","given":"Brian T"},{"family":"Saint Clair","given":"Julian K"},{"family":"Bui","given":"My Myla"},{"family":"Hamilton","given":"Mitchell L"}],"issued":{"date-parts":[["2020"]]}}},{"id":437,"uris":["http://zotero.org/users/9292995/items/DL85KAZA"],"itemData":{"id":437,"type":"article-journal","container-title":"Food, Culture &amp; Society","ISSN":"1552-8014","issue":"4","journalAbbreviation":"Food, Culture &amp; Society","note":"publisher: Taylor &amp; Francis","page":"509-524","title":"A qualitative investigation of Millennials’ healthy eating behavior, food choices, and restaurant selection","volume":"24","author":[{"family":"Okumus","given":"Bendegul"}],"issued":{"date-parts":[["2021"]]}}},{"id":482,"uris":["http://zotero.org/users/9292995/items/F6Z9TZDF"],"itemData":{"id":482,"type":"article-journal","container-title":"Journal of Retailing and Consumer services","ISSN":"0969-6989","journalAbbreviation":"Journal of Retailing and Consumer services","note":"publisher: Elsevier","page":"150-162","title":"Consumer experiences, attitude and behavioral intention toward online food delivery (OFD) services","volume":"35","author":[{"family":"Yeo","given":"Vincent Cheow Sern"},{"family":"Goh","given":"See-Kwong"},{"family":"Rezaei","given":"Sajad"}],"issued":{"date-parts":[["2017"]]}}},{"id":482,"uris":["http://zotero.org/users/9292995/items/F6Z9TZDF"],"itemData":{"id":482,"type":"article-journal","container-title":"Journal of Retailing and Consumer services","ISSN":"0969-6989","journalAbbreviation":"Journal of Retailing and Consumer services","note":"publisher: Elsevier","page":"150-162","title":"Consumer experiences, attitude and behavioral intention toward online food delivery (OFD) services","volume":"35","author":[{"family":"Yeo","given":"Vincent Cheow Sern"},{"family":"Goh","given":"See-Kwong"},{"family":"Rezaei","given":"Sajad"}],"issued":{"date-parts":[["2017"]]}}}],"schema":"https://github.com/citation-style-language/schema/raw/master/csl-citation.json"} </w:instrText>
      </w:r>
      <w:r w:rsidR="008549AD" w:rsidRPr="0081571B">
        <w:fldChar w:fldCharType="separate"/>
      </w:r>
      <w:r w:rsidR="0009165F" w:rsidRPr="0009165F">
        <w:t>(Jones, 2018</w:t>
      </w:r>
      <w:r w:rsidR="00EF4DAE">
        <w:t>;</w:t>
      </w:r>
      <w:r w:rsidR="0009165F" w:rsidRPr="0009165F">
        <w:t xml:space="preserve"> Josiam </w:t>
      </w:r>
      <w:r w:rsidR="0009165F">
        <w:t>and</w:t>
      </w:r>
      <w:r w:rsidR="0009165F" w:rsidRPr="0009165F">
        <w:t xml:space="preserve"> Henry, 2014</w:t>
      </w:r>
      <w:r w:rsidR="00EF4DAE">
        <w:t>;</w:t>
      </w:r>
      <w:r w:rsidR="0009165F" w:rsidRPr="0009165F">
        <w:t xml:space="preserve"> Kertasunjaya et al., 2020; Kim </w:t>
      </w:r>
      <w:r w:rsidR="0009165F">
        <w:t>and</w:t>
      </w:r>
      <w:r w:rsidR="0009165F" w:rsidRPr="0009165F">
        <w:t xml:space="preserve"> Kim, 2021</w:t>
      </w:r>
      <w:r w:rsidR="00EF4DAE">
        <w:t>;</w:t>
      </w:r>
      <w:r w:rsidR="0009165F" w:rsidRPr="0009165F">
        <w:t xml:space="preserve"> Ma et al., 2021</w:t>
      </w:r>
      <w:r w:rsidR="00EF4DAE">
        <w:t>;</w:t>
      </w:r>
      <w:r w:rsidR="0009165F" w:rsidRPr="0009165F">
        <w:t xml:space="preserve"> Namin et al., 2020</w:t>
      </w:r>
      <w:r w:rsidR="00EF4DAE">
        <w:t>;</w:t>
      </w:r>
      <w:r w:rsidR="0009165F" w:rsidRPr="0009165F">
        <w:t xml:space="preserve"> Okumus, 2021</w:t>
      </w:r>
      <w:r w:rsidR="00EF4DAE">
        <w:t>;</w:t>
      </w:r>
      <w:r w:rsidR="0009165F">
        <w:t xml:space="preserve"> </w:t>
      </w:r>
      <w:r w:rsidR="0009165F" w:rsidRPr="0009165F">
        <w:t>Yeo et al., 2017)</w:t>
      </w:r>
      <w:r w:rsidR="008549AD" w:rsidRPr="0081571B">
        <w:fldChar w:fldCharType="end"/>
      </w:r>
      <w:r w:rsidR="008549AD" w:rsidRPr="0081571B">
        <w:t xml:space="preserve">. </w:t>
      </w:r>
      <w:bookmarkEnd w:id="14"/>
      <w:r w:rsidR="00582924">
        <w:t>These</w:t>
      </w:r>
      <w:r w:rsidR="00E0567B" w:rsidRPr="0081571B">
        <w:t xml:space="preserve"> studies, while certainly providing useful insights regarding factors that drive </w:t>
      </w:r>
      <w:r w:rsidR="00E0567B" w:rsidRPr="00F37C04">
        <w:t>N</w:t>
      </w:r>
      <w:r w:rsidR="009D141C">
        <w:t>HCM</w:t>
      </w:r>
      <w:r w:rsidR="00E0567B" w:rsidRPr="00F37C04">
        <w:t xml:space="preserve"> behavior, are not the best suited for transportation planning purposes or to inform the targeting and tailoring of public health/food service positioning interventions. However, they can provide</w:t>
      </w:r>
      <w:r w:rsidR="00074C5D">
        <w:t xml:space="preserve"> </w:t>
      </w:r>
      <w:r w:rsidR="00E0567B" w:rsidRPr="0081571B">
        <w:t xml:space="preserve">insights for the results </w:t>
      </w:r>
      <w:r w:rsidR="00E0567B" w:rsidRPr="00F37C04">
        <w:t xml:space="preserve">obtained later in this study. </w:t>
      </w:r>
    </w:p>
    <w:p w14:paraId="037B6E0E" w14:textId="6F2A9004" w:rsidR="008549AD" w:rsidRDefault="008549AD" w:rsidP="00D00A05">
      <w:pPr>
        <w:spacing w:after="0" w:line="276" w:lineRule="auto"/>
        <w:ind w:firstLine="720"/>
        <w:jc w:val="both"/>
      </w:pPr>
      <w:r w:rsidRPr="0081571B">
        <w:t xml:space="preserve">For </w:t>
      </w:r>
      <w:r w:rsidR="0048398B" w:rsidRPr="0081571B">
        <w:t>our current s</w:t>
      </w:r>
      <w:r w:rsidR="0048398B" w:rsidRPr="00F2148C">
        <w:t>tudy</w:t>
      </w:r>
      <w:r w:rsidRPr="00F37C04">
        <w:t>,</w:t>
      </w:r>
      <w:r w:rsidR="0048398B" w:rsidRPr="00F37C04">
        <w:t xml:space="preserve"> it is </w:t>
      </w:r>
      <w:r w:rsidRPr="00F37C04">
        <w:t xml:space="preserve">the third category </w:t>
      </w:r>
      <w:r w:rsidR="0048398B" w:rsidRPr="00F37C04">
        <w:t xml:space="preserve">of </w:t>
      </w:r>
      <w:r w:rsidRPr="00F37C04">
        <w:t xml:space="preserve">studies </w:t>
      </w:r>
      <w:r w:rsidR="0048398B" w:rsidRPr="00F37C04">
        <w:t xml:space="preserve">on </w:t>
      </w:r>
      <w:r w:rsidRPr="001508A6">
        <w:rPr>
          <w:u w:val="single"/>
        </w:rPr>
        <w:t>consumer-level considerations</w:t>
      </w:r>
      <w:r w:rsidRPr="0081571B">
        <w:t xml:space="preserve"> </w:t>
      </w:r>
      <w:r w:rsidR="0048398B" w:rsidRPr="0081571B">
        <w:t xml:space="preserve">that is most relevant. </w:t>
      </w:r>
      <w:r w:rsidR="00B641FC" w:rsidRPr="0081571B">
        <w:t xml:space="preserve">Within this category, some studies focus on a specific instance of </w:t>
      </w:r>
      <w:r w:rsidR="00B641FC" w:rsidRPr="00F37C04">
        <w:t>eat-out N</w:t>
      </w:r>
      <w:r w:rsidR="009D141C">
        <w:t>HCM</w:t>
      </w:r>
      <w:r w:rsidR="00B641FC" w:rsidRPr="00F37C04">
        <w:t xml:space="preserve"> participation</w:t>
      </w:r>
      <w:r w:rsidR="000F725D" w:rsidRPr="00F37C04">
        <w:t>. Such studies</w:t>
      </w:r>
      <w:r w:rsidR="00B641FC" w:rsidRPr="00F37C04">
        <w:t xml:space="preserve"> analyze the venue (such as fast food outlets, pizza houses, and sit-down restaurants) or the cuisine type (such as by ethnic categorization or other categorizations such as vegetarian versus non-vegetarian) or specific restaurant choice, based on </w:t>
      </w:r>
      <w:r w:rsidR="00582924">
        <w:t>a</w:t>
      </w:r>
      <w:r w:rsidR="000F725D" w:rsidRPr="0081571B">
        <w:t xml:space="preserve"> combination of </w:t>
      </w:r>
      <w:r w:rsidR="00B641FC" w:rsidRPr="0081571B">
        <w:t>consumer characteristics</w:t>
      </w:r>
      <w:r w:rsidR="000F725D" w:rsidRPr="0081571B">
        <w:t xml:space="preserve">, </w:t>
      </w:r>
      <w:r w:rsidR="00B641FC" w:rsidRPr="0081571B">
        <w:t xml:space="preserve">day of week and season of </w:t>
      </w:r>
      <w:r w:rsidR="0015182B">
        <w:t xml:space="preserve">the </w:t>
      </w:r>
      <w:r w:rsidR="00B641FC" w:rsidRPr="0081571B">
        <w:t>year</w:t>
      </w:r>
      <w:r w:rsidR="000F725D" w:rsidRPr="0081571B">
        <w:t>,</w:t>
      </w:r>
      <w:r w:rsidR="00B641FC" w:rsidRPr="00F2148C">
        <w:t xml:space="preserve"> </w:t>
      </w:r>
      <w:r w:rsidR="00B641FC" w:rsidRPr="00F37C04">
        <w:t>and</w:t>
      </w:r>
      <w:r w:rsidR="000F725D" w:rsidRPr="00F37C04">
        <w:t xml:space="preserve"> </w:t>
      </w:r>
      <w:r w:rsidR="00B641FC" w:rsidRPr="00F37C04">
        <w:t>restaurant service characteristics.</w:t>
      </w:r>
      <w:r w:rsidR="00074C5D">
        <w:t xml:space="preserve"> But</w:t>
      </w:r>
      <w:r w:rsidR="00B641FC" w:rsidRPr="0081571B">
        <w:t>, these studies investigate the characteristics of</w:t>
      </w:r>
      <w:r w:rsidR="00B641FC" w:rsidRPr="00F2148C">
        <w:t xml:space="preserve"> a specific </w:t>
      </w:r>
      <w:r w:rsidR="00B641FC" w:rsidRPr="00F37C04">
        <w:t>eat-out N</w:t>
      </w:r>
      <w:r w:rsidR="009D141C">
        <w:t>HCM</w:t>
      </w:r>
      <w:r w:rsidR="00B641FC" w:rsidRPr="00F37C04">
        <w:t xml:space="preserve"> participation occasion rather than on the count of the eat-out episodes over a period of time such as a week or a month. </w:t>
      </w:r>
      <w:r w:rsidR="00074C5D">
        <w:t>T</w:t>
      </w:r>
      <w:r w:rsidR="00B641FC" w:rsidRPr="0081571B">
        <w:t>he studies</w:t>
      </w:r>
      <w:r w:rsidR="00B641FC" w:rsidRPr="00F37C04">
        <w:t xml:space="preserve"> do not also consider individuals who never eat out. </w:t>
      </w:r>
      <w:r w:rsidR="00CF0DA1" w:rsidRPr="00F37C04">
        <w:rPr>
          <w:rFonts w:eastAsia="Calibri"/>
        </w:rPr>
        <w:t xml:space="preserve">In the rest of this section, we </w:t>
      </w:r>
      <w:r w:rsidR="00B62894" w:rsidRPr="00F37C04">
        <w:rPr>
          <w:rFonts w:eastAsia="Calibri"/>
        </w:rPr>
        <w:t xml:space="preserve">will </w:t>
      </w:r>
      <w:r w:rsidR="00CF0DA1" w:rsidRPr="00F37C04">
        <w:rPr>
          <w:rFonts w:eastAsia="Calibri"/>
        </w:rPr>
        <w:t>confine attention to earlier consumer-level studies of the frequency of N</w:t>
      </w:r>
      <w:r w:rsidR="009D141C">
        <w:rPr>
          <w:rFonts w:eastAsia="Calibri"/>
        </w:rPr>
        <w:t>HCM</w:t>
      </w:r>
      <w:r w:rsidR="00CF0DA1" w:rsidRPr="00F37C04">
        <w:rPr>
          <w:rFonts w:eastAsia="Calibri"/>
        </w:rPr>
        <w:t xml:space="preserve"> consumptions </w:t>
      </w:r>
      <w:r w:rsidR="00EF2C96">
        <w:rPr>
          <w:rFonts w:eastAsia="Calibri"/>
        </w:rPr>
        <w:t xml:space="preserve">(including non-participations) </w:t>
      </w:r>
      <w:r w:rsidR="00CF0DA1" w:rsidRPr="0081571B">
        <w:rPr>
          <w:rFonts w:eastAsia="Calibri"/>
        </w:rPr>
        <w:t>over a period of time</w:t>
      </w:r>
      <w:r w:rsidR="009A61A0" w:rsidRPr="0081571B">
        <w:rPr>
          <w:rFonts w:eastAsia="Calibri"/>
        </w:rPr>
        <w:t>, based on revealed choice behavior</w:t>
      </w:r>
      <w:r w:rsidR="001508A6">
        <w:rPr>
          <w:rFonts w:eastAsia="Calibri"/>
        </w:rPr>
        <w:t xml:space="preserve">. </w:t>
      </w:r>
      <w:r w:rsidR="00E337DF">
        <w:rPr>
          <w:rFonts w:eastAsia="Calibri"/>
        </w:rPr>
        <w:t>W</w:t>
      </w:r>
      <w:r w:rsidR="00EF2C96">
        <w:rPr>
          <w:rFonts w:eastAsia="Calibri"/>
        </w:rPr>
        <w:t xml:space="preserve">e categorize these </w:t>
      </w:r>
      <w:r w:rsidR="00375309">
        <w:rPr>
          <w:rFonts w:eastAsia="Calibri"/>
        </w:rPr>
        <w:t xml:space="preserve">consumer-level studies </w:t>
      </w:r>
      <w:r w:rsidR="00EF2C96">
        <w:rPr>
          <w:rFonts w:eastAsia="Calibri"/>
        </w:rPr>
        <w:t>by the N</w:t>
      </w:r>
      <w:r w:rsidR="009D141C">
        <w:rPr>
          <w:rFonts w:eastAsia="Calibri"/>
        </w:rPr>
        <w:t>HCM</w:t>
      </w:r>
      <w:r w:rsidR="00EF2C96">
        <w:rPr>
          <w:rFonts w:eastAsia="Calibri"/>
        </w:rPr>
        <w:t xml:space="preserve"> channel </w:t>
      </w:r>
      <w:r w:rsidR="00375309">
        <w:rPr>
          <w:rFonts w:eastAsia="Calibri"/>
        </w:rPr>
        <w:t>considered</w:t>
      </w:r>
      <w:r w:rsidR="00EF2C96">
        <w:rPr>
          <w:rFonts w:eastAsia="Calibri"/>
        </w:rPr>
        <w:t xml:space="preserve">. </w:t>
      </w:r>
    </w:p>
    <w:p w14:paraId="69624F3D" w14:textId="7B86CC32" w:rsidR="008C2075" w:rsidRDefault="008C2075" w:rsidP="00D00A05">
      <w:pPr>
        <w:spacing w:after="0" w:line="276" w:lineRule="auto"/>
        <w:jc w:val="both"/>
      </w:pPr>
    </w:p>
    <w:p w14:paraId="3F02B0D2" w14:textId="2509FD66" w:rsidR="00B779AE" w:rsidRPr="00D00A05" w:rsidRDefault="00B43E5D" w:rsidP="00D00A05">
      <w:pPr>
        <w:pStyle w:val="Heading2"/>
        <w:spacing w:after="0" w:line="276" w:lineRule="auto"/>
        <w:jc w:val="both"/>
        <w:rPr>
          <w:i w:val="0"/>
        </w:rPr>
      </w:pPr>
      <w:r w:rsidRPr="00D00A05">
        <w:rPr>
          <w:i w:val="0"/>
        </w:rPr>
        <w:t xml:space="preserve"> </w:t>
      </w:r>
      <w:r w:rsidR="00B779AE" w:rsidRPr="00D00A05">
        <w:rPr>
          <w:i w:val="0"/>
        </w:rPr>
        <w:t>Eat-Out Studies</w:t>
      </w:r>
    </w:p>
    <w:p w14:paraId="67A471D1" w14:textId="176BC924" w:rsidR="00CC394B" w:rsidRDefault="00EF46C7" w:rsidP="00D00A05">
      <w:pPr>
        <w:spacing w:after="0" w:line="276" w:lineRule="auto"/>
        <w:jc w:val="both"/>
      </w:pPr>
      <w:r w:rsidRPr="00F37C04">
        <w:t>Warde et al. (2020)</w:t>
      </w:r>
      <w:r w:rsidR="0049356A" w:rsidRPr="00F37C04">
        <w:t xml:space="preserve"> suggest</w:t>
      </w:r>
      <w:r w:rsidR="00753D34" w:rsidRPr="00F37C04">
        <w:t>ed</w:t>
      </w:r>
      <w:r w:rsidR="0049356A" w:rsidRPr="00F37C04">
        <w:t xml:space="preserve"> that determinants affecting the frequency of eating</w:t>
      </w:r>
      <w:r w:rsidR="00753D34" w:rsidRPr="00F37C04">
        <w:t xml:space="preserve"> </w:t>
      </w:r>
      <w:r w:rsidR="0049356A" w:rsidRPr="00F37C04">
        <w:t xml:space="preserve">out have been consistent across the years. Individuals with higher income, </w:t>
      </w:r>
      <w:r w:rsidR="003C7A23" w:rsidRPr="00F37C04">
        <w:t>men, those younger and with</w:t>
      </w:r>
      <w:r w:rsidR="0049356A" w:rsidRPr="00F37C04">
        <w:t xml:space="preserve"> </w:t>
      </w:r>
      <w:r w:rsidR="002E60E5" w:rsidRPr="00F37C04">
        <w:t>higher education</w:t>
      </w:r>
      <w:r w:rsidR="002522A5">
        <w:t>al attainment</w:t>
      </w:r>
      <w:r w:rsidR="002E60E5" w:rsidRPr="00F37C04">
        <w:t xml:space="preserve">, </w:t>
      </w:r>
      <w:r w:rsidR="0049356A" w:rsidRPr="00F37C04">
        <w:t xml:space="preserve">and </w:t>
      </w:r>
      <w:r w:rsidR="003C7A23" w:rsidRPr="00F37C04">
        <w:t xml:space="preserve">belonging to </w:t>
      </w:r>
      <w:r w:rsidR="0049356A" w:rsidRPr="00F37C04">
        <w:t xml:space="preserve">white ethnicity </w:t>
      </w:r>
      <w:r w:rsidR="002E60E5" w:rsidRPr="00F37C04">
        <w:t xml:space="preserve">are </w:t>
      </w:r>
      <w:r w:rsidR="003C7A23" w:rsidRPr="00F37C04">
        <w:t>more</w:t>
      </w:r>
      <w:r w:rsidR="002E60E5" w:rsidRPr="00F37C04">
        <w:t xml:space="preserve"> frequent N</w:t>
      </w:r>
      <w:r w:rsidR="009D141C">
        <w:t>HCM</w:t>
      </w:r>
      <w:r w:rsidR="002E60E5" w:rsidRPr="00F37C04">
        <w:t xml:space="preserve"> </w:t>
      </w:r>
      <w:r w:rsidR="003C7A23" w:rsidRPr="00F37C04">
        <w:t xml:space="preserve">eat-out </w:t>
      </w:r>
      <w:r w:rsidR="002E60E5" w:rsidRPr="00F37C04">
        <w:t>consumers</w:t>
      </w:r>
      <w:r w:rsidR="003C7A23" w:rsidRPr="00F37C04">
        <w:t xml:space="preserve"> than their corresponding peers</w:t>
      </w:r>
      <w:r w:rsidR="0049356A" w:rsidRPr="00F37C04">
        <w:t>, while low</w:t>
      </w:r>
      <w:r w:rsidR="001D105C" w:rsidRPr="00F37C04">
        <w:t>-</w:t>
      </w:r>
      <w:r w:rsidR="0049356A" w:rsidRPr="00F37C04">
        <w:t xml:space="preserve">income earners, </w:t>
      </w:r>
      <w:r w:rsidR="002E60E5" w:rsidRPr="00F37C04">
        <w:t xml:space="preserve">older individuals, and </w:t>
      </w:r>
      <w:r w:rsidR="0049356A" w:rsidRPr="00F37C04">
        <w:t>families with c</w:t>
      </w:r>
      <w:r w:rsidR="0049356A" w:rsidRPr="00F37C04">
        <w:rPr>
          <w:color w:val="000000" w:themeColor="text1"/>
        </w:rPr>
        <w:t>hildren</w:t>
      </w:r>
      <w:r w:rsidR="002E60E5" w:rsidRPr="00F37C04">
        <w:rPr>
          <w:color w:val="000000" w:themeColor="text1"/>
        </w:rPr>
        <w:t xml:space="preserve"> tend to eat at home more frequently</w:t>
      </w:r>
      <w:r w:rsidR="008549AD" w:rsidRPr="00F37C04">
        <w:t xml:space="preserve"> </w:t>
      </w:r>
      <w:bookmarkStart w:id="15" w:name="_Hlk109723964"/>
      <w:r w:rsidR="008549AD" w:rsidRPr="0081571B">
        <w:fldChar w:fldCharType="begin"/>
      </w:r>
      <w:r w:rsidR="00B44216">
        <w:instrText xml:space="preserve"> ADDIN ZOTERO_ITEM CSL_CITATION {"citationID":"4jb2ie1P","properties":{"formattedCitation":"(Mills et al., 2018; Zang et al., 2018)","plainCitation":"(Mills et al., 2018; Zang et al., 2018)","dontUpdate":true,"noteIndex":0},"citationItems":[{"id":521,"uris":["http://zotero.org/users/9292995/items/GA87FN3E"],"itemData":{"id":521,"type":"article-journal","container-title":"Public health nutrition","ISSN":"1368-9800","issue":"12","journalAbbreviation":"Public health nutrition","note":"publisher: Cambridge University Press","page":"2255-2266","title":"Sociodemographic characteristics and frequency of consuming home-cooked meals and meals from out-of-home sources: cross-sectional analysis of a population-based cohort study","volume":"21","author":[{"family":"Mills","given":"Susanna"},{"family":"Adams","given":"Jean"},{"family":"Wrieden","given":"Wendy"},{"family":"White","given":"Martin"},{"family":"Brown","given":"Heather"}],"issued":{"date-parts":[["2018"]]}}},{"id":524,"uris":["http://zotero.org/users/9292995/items/W27WUXDG"],"itemData":{"id":524,"type":"article-journal","container-title":"Nutrients","issue":"7","journalAbbreviation":"Nutrients","note":"publisher: Multidisciplinary Digital Publishing Institute","page":"951","title":"Eating out-of-home in adult residents in Shanghai and the nutritional differences among dining places","volume":"10","author":[{"family":"Zang","given":"Jiajie"},{"family":"Luo","given":"Baozhang"},{"family":"Wang","given":"Yaping"},{"family":"Zhu","given":"Zhenni"},{"family":"Wang","given":"Zhengyuan"},{"family":"He","given":"Xin"},{"family":"Wang","given":"Wenjing"},{"family":"Guo","given":"Yan"},{"family":"Chen","given":"Xiao"},{"family":"Wang","given":"Chunfang"}],"issued":{"date-parts":[["2018"]]}}}],"schema":"https://github.com/citation-style-language/schema/raw/master/csl-citation.json"} </w:instrText>
      </w:r>
      <w:r w:rsidR="008549AD" w:rsidRPr="0081571B">
        <w:fldChar w:fldCharType="separate"/>
      </w:r>
      <w:r w:rsidR="008549AD" w:rsidRPr="0081571B">
        <w:t>(</w:t>
      </w:r>
      <w:r w:rsidR="003C7A23" w:rsidRPr="0081571B">
        <w:t xml:space="preserve">see </w:t>
      </w:r>
      <w:r w:rsidR="00EF2C96">
        <w:t xml:space="preserve">also </w:t>
      </w:r>
      <w:r w:rsidR="008549AD" w:rsidRPr="0081571B">
        <w:t>Zang et al., 2018)</w:t>
      </w:r>
      <w:r w:rsidR="008549AD" w:rsidRPr="0081571B">
        <w:fldChar w:fldCharType="end"/>
      </w:r>
      <w:r w:rsidR="008549AD" w:rsidRPr="0081571B">
        <w:t xml:space="preserve">. </w:t>
      </w:r>
      <w:bookmarkEnd w:id="15"/>
      <w:r w:rsidR="008549AD" w:rsidRPr="0081571B">
        <w:t xml:space="preserve">Household structure and dynamics also </w:t>
      </w:r>
      <w:r w:rsidR="00B14475">
        <w:t xml:space="preserve">have been noted to </w:t>
      </w:r>
      <w:r w:rsidR="008549AD" w:rsidRPr="0081571B">
        <w:t>influence the frequency of eating</w:t>
      </w:r>
      <w:r w:rsidRPr="0081571B">
        <w:t xml:space="preserve"> </w:t>
      </w:r>
      <w:r w:rsidR="008549AD" w:rsidRPr="0081571B">
        <w:t xml:space="preserve">out. </w:t>
      </w:r>
      <w:r w:rsidRPr="0081571B">
        <w:t>Sonneveld</w:t>
      </w:r>
      <w:r w:rsidRPr="00F2148C">
        <w:t xml:space="preserve"> (2019) and </w:t>
      </w:r>
      <w:r w:rsidRPr="00F37C04">
        <w:t xml:space="preserve">Zang et al. (2018) </w:t>
      </w:r>
      <w:r w:rsidR="008549AD" w:rsidRPr="00F37C04">
        <w:t xml:space="preserve">suggested that unmarried </w:t>
      </w:r>
      <w:r w:rsidR="00F118D6" w:rsidRPr="00F37C04">
        <w:t>individuals</w:t>
      </w:r>
      <w:r w:rsidR="008549AD" w:rsidRPr="00F37C04">
        <w:t xml:space="preserve"> eat</w:t>
      </w:r>
      <w:r w:rsidRPr="00F37C04">
        <w:t xml:space="preserve"> </w:t>
      </w:r>
      <w:r w:rsidR="008549AD" w:rsidRPr="00F37C04">
        <w:t xml:space="preserve">out almost twice as much as </w:t>
      </w:r>
      <w:r w:rsidR="00F118D6" w:rsidRPr="00F37C04">
        <w:t xml:space="preserve">those </w:t>
      </w:r>
      <w:r w:rsidR="002522A5">
        <w:t xml:space="preserve">who are </w:t>
      </w:r>
      <w:r w:rsidR="008549AD" w:rsidRPr="00F37C04">
        <w:t>married. This trend is consistent with previous findings suggesting that couples living together are likely to monitor each other’s health</w:t>
      </w:r>
      <w:r w:rsidR="00F118D6" w:rsidRPr="00F37C04">
        <w:t>,</w:t>
      </w:r>
      <w:r w:rsidR="008549AD" w:rsidRPr="00F37C04">
        <w:t xml:space="preserve"> which results in healthier </w:t>
      </w:r>
      <w:r w:rsidR="009D141C">
        <w:t>HCM</w:t>
      </w:r>
      <w:r w:rsidR="00F118D6" w:rsidRPr="00F37C04">
        <w:t xml:space="preserve"> </w:t>
      </w:r>
      <w:r w:rsidR="008549AD" w:rsidRPr="00F37C04">
        <w:t xml:space="preserve">consumption </w:t>
      </w:r>
      <w:bookmarkStart w:id="16" w:name="_Hlk109724000"/>
      <w:r w:rsidR="008549AD" w:rsidRPr="0081571B">
        <w:fldChar w:fldCharType="begin"/>
      </w:r>
      <w:r w:rsidR="0009165F">
        <w:instrText xml:space="preserve"> ADDIN ZOTERO_ITEM CSL_CITATION {"citationID":"DoRJisB8","properties":{"formattedCitation":"(Malon et al., 2010; Umberson, 1992)","plainCitation":"(Malon et al., 2010; Umberson, 1992)","dontUpdate":true,"noteIndex":0},"citationItems":[{"id":550,"uris":["http://zotero.org/users/9292995/items/XPGENGHG"],"itemData":{"id":550,"type":"article-journal","container-title":"Journal of the American Dietetic Association","ISSN":"0002-8223","issue":"6","journalAbbreviation":"Journal of the American Dietetic Association","note":"publisher: Elsevier","page":"848-856","title":"Compliance with French nutrition and health program recommendations is strongly associated with socioeconomic characteristics in the general adult population","volume":"110","author":[{"family":"Malon","given":"Aurélie"},{"family":"Deschamps","given":"Valérie"},{"family":"Salanave","given":"Benoit"},{"family":"Vernay","given":"Michel"},{"family":"Szego","given":"Emmanuelle"},{"family":"Estaquio","given":"Carla"},{"family":"Kesse-Guyot","given":"Emmanuelle"},{"family":"Hercberg","given":"Serge"},{"family":"Castetbon","given":"Katia"}],"issued":{"date-parts":[["2010"]]}}},{"id":551,"uris":["http://zotero.org/users/9292995/items/3J8LLSP7"],"itemData":{"id":551,"type":"article-journal","container-title":"Social science &amp; medicine","ISSN":"0277-9536","issue":"8","journalAbbreviation":"Social science &amp; medicine","note":"publisher: Elsevier","page":"907-917","title":"Gender, marital status and the social control of health behavior","volume":"34","author":[{"family":"Umberson","given":"Debra"}],"issued":{"date-parts":[["1992"]]}}}],"schema":"https://github.com/citation-style-language/schema/raw/master/csl-citation.json"} </w:instrText>
      </w:r>
      <w:r w:rsidR="008549AD" w:rsidRPr="0081571B">
        <w:fldChar w:fldCharType="separate"/>
      </w:r>
      <w:r w:rsidR="008549AD" w:rsidRPr="0081571B">
        <w:t>(Malon et al., 2010</w:t>
      </w:r>
      <w:r w:rsidR="002C1082">
        <w:t>;</w:t>
      </w:r>
      <w:r w:rsidR="008549AD" w:rsidRPr="0081571B">
        <w:t xml:space="preserve"> Umberson, 1992)</w:t>
      </w:r>
      <w:r w:rsidR="008549AD" w:rsidRPr="0081571B">
        <w:fldChar w:fldCharType="end"/>
      </w:r>
      <w:r w:rsidR="008549AD" w:rsidRPr="0081571B">
        <w:t xml:space="preserve">. </w:t>
      </w:r>
      <w:bookmarkEnd w:id="16"/>
      <w:r w:rsidR="008549AD" w:rsidRPr="0081571B">
        <w:t xml:space="preserve">Within married </w:t>
      </w:r>
      <w:r w:rsidR="008549AD" w:rsidRPr="0015182B">
        <w:t>couples,</w:t>
      </w:r>
      <w:r w:rsidRPr="0015182B">
        <w:t xml:space="preserve"> Sonneveld (2019) </w:t>
      </w:r>
      <w:r w:rsidR="008549AD" w:rsidRPr="0015182B">
        <w:lastRenderedPageBreak/>
        <w:t xml:space="preserve">suggested that individuals with employed spouses consumed 0.9 </w:t>
      </w:r>
      <w:r w:rsidRPr="0015182B">
        <w:t xml:space="preserve">more </w:t>
      </w:r>
      <w:r w:rsidR="008549AD" w:rsidRPr="0015182B">
        <w:t xml:space="preserve">meals out of the home </w:t>
      </w:r>
      <w:r w:rsidR="001508A6" w:rsidRPr="0015182B">
        <w:t>in a week</w:t>
      </w:r>
      <w:r w:rsidR="00F118D6" w:rsidRPr="0015182B">
        <w:t xml:space="preserve"> </w:t>
      </w:r>
      <w:r w:rsidR="008549AD" w:rsidRPr="0015182B">
        <w:t>compared</w:t>
      </w:r>
      <w:r w:rsidR="008549AD" w:rsidRPr="0081571B">
        <w:t xml:space="preserve"> to individuals with unemployed spouses. The presence of children is generally associated with lower </w:t>
      </w:r>
      <w:r w:rsidR="00805B10" w:rsidRPr="00F37C04">
        <w:t xml:space="preserve">eat-out </w:t>
      </w:r>
      <w:r w:rsidR="008549AD" w:rsidRPr="00F37C04">
        <w:t>N</w:t>
      </w:r>
      <w:r w:rsidR="009D141C">
        <w:t>HCM</w:t>
      </w:r>
      <w:r w:rsidR="008549AD" w:rsidRPr="00F37C04">
        <w:t xml:space="preserve"> consumption. </w:t>
      </w:r>
      <w:r w:rsidR="00F118D6" w:rsidRPr="00F37C04">
        <w:t xml:space="preserve">Overall, </w:t>
      </w:r>
      <w:r w:rsidR="0015182B">
        <w:t xml:space="preserve">the </w:t>
      </w:r>
      <w:r w:rsidR="00F118D6" w:rsidRPr="00F37C04">
        <w:t>need for f</w:t>
      </w:r>
      <w:r w:rsidR="008549AD" w:rsidRPr="00F37C04">
        <w:t>amily connectedness, spending quality time</w:t>
      </w:r>
      <w:r w:rsidR="00F118D6" w:rsidRPr="00F37C04">
        <w:t xml:space="preserve"> with family members</w:t>
      </w:r>
      <w:r w:rsidR="008549AD" w:rsidRPr="00F37C04">
        <w:t>, and financial stress are commonly reported factors to eat</w:t>
      </w:r>
      <w:r w:rsidR="0015182B">
        <w:t>ing</w:t>
      </w:r>
      <w:r w:rsidR="008549AD" w:rsidRPr="00F37C04">
        <w:t xml:space="preserve"> together at home </w:t>
      </w:r>
      <w:bookmarkStart w:id="17" w:name="_Hlk109724030"/>
      <w:r w:rsidR="008549AD" w:rsidRPr="0081571B">
        <w:fldChar w:fldCharType="begin"/>
      </w:r>
      <w:r w:rsidR="00B44216">
        <w:instrText xml:space="preserve"> ADDIN ZOTERO_ITEM CSL_CITATION {"citationID":"p80ZQpOR","properties":{"formattedCitation":"(Appelhans et al., 2014; Bowen et al., 2014; Fulkerson et al., 2011; Robson et al., 2016)","plainCitation":"(Appelhans et al., 2014; Bowen et al., 2014; Fulkerson et al., 2011; Robson et al., 2016)","dontUpdate":true,"noteIndex":0},"citationItems":[{"id":627,"uris":["http://zotero.org/users/9292995/items/T5M3869A"],"itemData":{"id":627,"type":"article-journal","container-title":"Appetite","ISSN":"0195-6663","journalAbbreviation":"Appetite","note":"publisher: Elsevier","page":"1-8","title":"Food preparation supplies predict children’s family meal and home-prepared dinner consumption in low-income households","volume":"76","author":[{"family":"Appelhans","given":"Bradley M"},{"family":"Waring","given":"Molly E"},{"family":"Schneider","given":"Kristin L"},{"family":"Pagoto","given":"Sherry L"}],"issued":{"date-parts":[["2014"]]}}},{"id":626,"uris":["http://zotero.org/users/9292995/items/NBHFG92X"],"itemData":{"id":626,"type":"article-journal","container-title":"Contexts","ISSN":"1536-5042","issue":"3","journalAbbreviation":"Contexts","note":"publisher: SAGE Publications Sage CA: Los Angeles, CA","page":"20-25","title":"The joy of cooking?","volume":"13","author":[{"family":"Bowen","given":"Sarah"},{"family":"Elliott","given":"Sinikka"},{"family":"Brenton","given":"Joslyn"}],"issued":{"date-parts":[["2014"]]}}},{"id":565,"uris":["http://zotero.org/users/9292995/items/IZTULQNF"],"itemData":{"id":565,"type":"article-journal","container-title":"Journal of the American Dietetic Association","ISSN":"0002-8223","issue":"12","journalAbbreviation":"Journal of the American Dietetic Association","note":"publisher: Elsevier","page":"1892-1897","title":"Away-from-home family dinner sources and associations with weight status, body composition, and related biomarkers of chronic disease among adolescents and their parents","volume":"111","author":[{"family":"Fulkerson","given":"Jayne A"},{"family":"Farbakhsh","given":"Kian"},{"family":"Lytle","given":"Leslie"},{"family":"Hearst","given":"Mary O"},{"family":"Dengel","given":"Donald R"},{"family":"Pasch","given":"Keryn E"},{"family":"Kubik","given":"Martha Y"}],"issued":{"date-parts":[["2011"]]}}},{"id":536,"uris":["http://zotero.org/users/9292995/items/G7IWEJ8N"],"itemData":{"id":536,"type":"article-journal","container-title":"Appetite","ISSN":"0195-6663","journalAbbreviation":"Appetite","note":"publisher: Elsevier","page":"147-153","title":"Eating dinner away from home: Perspectives of middle-to high-income parents","volume":"96","author":[{"family":"Robson","given":"Shannon M"},{"family":"Crosby","given":"Lori E"},{"family":"Stark","given":"Lori J"}],"issued":{"date-parts":[["2016"]]}}}],"schema":"https://github.com/citation-style-language/schema/raw/master/csl-citation.json"} </w:instrText>
      </w:r>
      <w:r w:rsidR="008549AD" w:rsidRPr="0081571B">
        <w:fldChar w:fldCharType="separate"/>
      </w:r>
      <w:r w:rsidR="008549AD" w:rsidRPr="0081571B">
        <w:t>(Appelhans et al., 2014</w:t>
      </w:r>
      <w:r w:rsidR="002C1082">
        <w:t>;</w:t>
      </w:r>
      <w:r w:rsidR="008549AD" w:rsidRPr="0081571B">
        <w:t xml:space="preserve"> Bowen et al., 2014</w:t>
      </w:r>
      <w:r w:rsidR="002C1082">
        <w:t>;</w:t>
      </w:r>
      <w:r w:rsidR="008549AD" w:rsidRPr="0081571B">
        <w:t xml:space="preserve"> Fulkerson et al., 2011</w:t>
      </w:r>
      <w:r w:rsidR="002C1082">
        <w:t>;</w:t>
      </w:r>
      <w:r w:rsidR="008549AD" w:rsidRPr="0081571B">
        <w:t xml:space="preserve"> Robson et al., 2016)</w:t>
      </w:r>
      <w:r w:rsidR="008549AD" w:rsidRPr="0081571B">
        <w:fldChar w:fldCharType="end"/>
      </w:r>
      <w:r w:rsidR="008549AD" w:rsidRPr="0081571B">
        <w:t>.</w:t>
      </w:r>
      <w:bookmarkEnd w:id="17"/>
    </w:p>
    <w:p w14:paraId="38909EBF" w14:textId="4F47C79E" w:rsidR="008549AD" w:rsidRPr="00F37C04" w:rsidRDefault="008549AD" w:rsidP="00D00A05">
      <w:pPr>
        <w:spacing w:after="0" w:line="276" w:lineRule="auto"/>
        <w:jc w:val="both"/>
        <w:rPr>
          <w:color w:val="000000" w:themeColor="text1"/>
        </w:rPr>
      </w:pPr>
      <w:r w:rsidRPr="0081571B">
        <w:t xml:space="preserve"> </w:t>
      </w:r>
    </w:p>
    <w:p w14:paraId="789C2D0A" w14:textId="02766AC8" w:rsidR="0053326E" w:rsidRPr="00D00A05" w:rsidRDefault="0053326E" w:rsidP="00D00A05">
      <w:pPr>
        <w:pStyle w:val="Heading2"/>
        <w:spacing w:after="0" w:line="276" w:lineRule="auto"/>
        <w:jc w:val="both"/>
        <w:rPr>
          <w:i w:val="0"/>
        </w:rPr>
      </w:pPr>
      <w:r w:rsidRPr="00D00A05">
        <w:rPr>
          <w:i w:val="0"/>
        </w:rPr>
        <w:t xml:space="preserve"> Eat-In Studies</w:t>
      </w:r>
    </w:p>
    <w:p w14:paraId="7FB054A3" w14:textId="51B837D9" w:rsidR="00884D31" w:rsidRDefault="00125BEB" w:rsidP="00D00A05">
      <w:pPr>
        <w:spacing w:after="0" w:line="276" w:lineRule="auto"/>
        <w:jc w:val="both"/>
      </w:pPr>
      <w:r w:rsidRPr="00F37C04">
        <w:t>M</w:t>
      </w:r>
      <w:r w:rsidR="00F104EB" w:rsidRPr="00F37C04">
        <w:t xml:space="preserve">ost </w:t>
      </w:r>
      <w:r w:rsidR="00F118D6" w:rsidRPr="00F37C04">
        <w:t xml:space="preserve">earlier </w:t>
      </w:r>
      <w:r w:rsidR="00F104EB" w:rsidRPr="00F37C04">
        <w:t xml:space="preserve">studies </w:t>
      </w:r>
      <w:r w:rsidR="00F118D6" w:rsidRPr="00F37C04">
        <w:t xml:space="preserve">have </w:t>
      </w:r>
      <w:r w:rsidR="00F104EB" w:rsidRPr="00F37C04">
        <w:t xml:space="preserve">focused </w:t>
      </w:r>
      <w:r w:rsidR="001D105C" w:rsidRPr="00F37C04">
        <w:t xml:space="preserve">on </w:t>
      </w:r>
      <w:r w:rsidR="00F118D6" w:rsidRPr="00F37C04">
        <w:t xml:space="preserve">the </w:t>
      </w:r>
      <w:r w:rsidR="00F104EB" w:rsidRPr="00F37C04">
        <w:t>N</w:t>
      </w:r>
      <w:r w:rsidR="009D141C">
        <w:t>HCM</w:t>
      </w:r>
      <w:r w:rsidR="00F104EB" w:rsidRPr="00F37C04">
        <w:t xml:space="preserve"> </w:t>
      </w:r>
      <w:r w:rsidR="00F118D6" w:rsidRPr="00F37C04">
        <w:t>eat-out channel</w:t>
      </w:r>
      <w:r w:rsidRPr="00F37C04">
        <w:t>;</w:t>
      </w:r>
      <w:r w:rsidR="00F104EB" w:rsidRPr="00F37C04">
        <w:t xml:space="preserve"> there is </w:t>
      </w:r>
      <w:r w:rsidR="00A36CA4" w:rsidRPr="00F37C04">
        <w:t xml:space="preserve">relatively scant literature in the area of the two eat-in channels, especially </w:t>
      </w:r>
      <w:r w:rsidR="00B62894" w:rsidRPr="00F37C04">
        <w:t xml:space="preserve">in the context of directly examining </w:t>
      </w:r>
      <w:r w:rsidR="00A36CA4" w:rsidRPr="00F37C04">
        <w:t>consumer-level</w:t>
      </w:r>
      <w:r w:rsidR="00B62894" w:rsidRPr="00F37C04">
        <w:t xml:space="preserve"> demographic and employment-related effects</w:t>
      </w:r>
      <w:r w:rsidR="00A36CA4" w:rsidRPr="00F37C04">
        <w:t xml:space="preserve">. </w:t>
      </w:r>
      <w:r w:rsidRPr="00F37C04">
        <w:t>So</w:t>
      </w:r>
      <w:r w:rsidR="00937AEF" w:rsidRPr="00F37C04">
        <w:t xml:space="preserve">, we combine </w:t>
      </w:r>
      <w:r w:rsidR="00B14475">
        <w:t xml:space="preserve">an overview of earlier studies of </w:t>
      </w:r>
      <w:r w:rsidR="00937AEF" w:rsidRPr="0081571B">
        <w:t>both the eat-in channels in this section</w:t>
      </w:r>
      <w:r w:rsidR="00B14475">
        <w:t xml:space="preserve"> and relate general findings in earlier studies to possible demographic correlates</w:t>
      </w:r>
      <w:r w:rsidR="00937AEF" w:rsidRPr="0081571B">
        <w:t xml:space="preserve">. Overall, </w:t>
      </w:r>
      <w:r w:rsidR="00805B10" w:rsidRPr="0081571B">
        <w:t xml:space="preserve">saving time and effort has been found to be an important motivator for </w:t>
      </w:r>
      <w:r w:rsidR="001464BB" w:rsidRPr="00F37C04">
        <w:t>using online food deliveries</w:t>
      </w:r>
      <w:r w:rsidR="00DA606C">
        <w:t xml:space="preserve"> </w:t>
      </w:r>
      <w:r w:rsidR="00DA606C" w:rsidRPr="00DA606C">
        <w:t>(see Yeo et al., 2017 and</w:t>
      </w:r>
      <w:r w:rsidR="00A52200">
        <w:t xml:space="preserve"> </w:t>
      </w:r>
      <w:r w:rsidR="00A52200" w:rsidRPr="00A52200">
        <w:t xml:space="preserve">Roh </w:t>
      </w:r>
      <w:r w:rsidR="0015182B">
        <w:t>and</w:t>
      </w:r>
      <w:r w:rsidR="00A52200" w:rsidRPr="00A52200">
        <w:t xml:space="preserve"> Park, 2019</w:t>
      </w:r>
      <w:r w:rsidR="00DA606C" w:rsidRPr="00DA606C">
        <w:t>)</w:t>
      </w:r>
      <w:r w:rsidR="00805B10" w:rsidRPr="0081571B">
        <w:t>, which may be correlated with time-poor individuals, such as those with children, single parents, those financially-challenged</w:t>
      </w:r>
      <w:r w:rsidR="00EF2C96">
        <w:t>,</w:t>
      </w:r>
      <w:r w:rsidR="00805B10" w:rsidRPr="0081571B">
        <w:t xml:space="preserve"> or </w:t>
      </w:r>
      <w:r w:rsidR="00EF2C96">
        <w:t xml:space="preserve">those </w:t>
      </w:r>
      <w:r w:rsidR="00805B10" w:rsidRPr="0081571B">
        <w:t xml:space="preserve">with high incomes and busy schedules. </w:t>
      </w:r>
      <w:r w:rsidR="00EA4196" w:rsidRPr="00F37C04">
        <w:t>Additionally, online N</w:t>
      </w:r>
      <w:r w:rsidR="009D141C">
        <w:t>HCM</w:t>
      </w:r>
      <w:r w:rsidR="00EA4196" w:rsidRPr="00F37C04">
        <w:t xml:space="preserve"> consumers benefit from the ability to compare prices between different restaurants to pick the one that offers the lower price for a comparable quality level </w:t>
      </w:r>
      <w:r w:rsidR="00092BF3" w:rsidRPr="00092BF3">
        <w:t>(</w:t>
      </w:r>
      <w:bookmarkStart w:id="18" w:name="_Hlk120007126"/>
      <w:r w:rsidR="00092BF3" w:rsidRPr="00092BF3">
        <w:t>Chiu</w:t>
      </w:r>
      <w:bookmarkEnd w:id="18"/>
      <w:r w:rsidR="00092BF3" w:rsidRPr="00092BF3">
        <w:t xml:space="preserve"> et al., 2014</w:t>
      </w:r>
      <w:r w:rsidR="002C1082">
        <w:t>;</w:t>
      </w:r>
      <w:r w:rsidR="00092BF3" w:rsidRPr="00092BF3">
        <w:t xml:space="preserve"> Ray and Bala, 2021</w:t>
      </w:r>
      <w:r w:rsidR="002C1082">
        <w:t>;</w:t>
      </w:r>
      <w:r w:rsidR="00092BF3" w:rsidRPr="00092BF3">
        <w:t xml:space="preserve"> Yeo et al., 2017)</w:t>
      </w:r>
      <w:r w:rsidR="00EA4196" w:rsidRPr="0081571B">
        <w:t xml:space="preserve">. This </w:t>
      </w:r>
      <w:r w:rsidR="00805B10" w:rsidRPr="0081571B">
        <w:t xml:space="preserve">may </w:t>
      </w:r>
      <w:r w:rsidR="00D14763" w:rsidRPr="0081571B">
        <w:t>make</w:t>
      </w:r>
      <w:r w:rsidR="00D14763" w:rsidRPr="00F2148C">
        <w:t xml:space="preserve"> </w:t>
      </w:r>
      <w:r w:rsidR="00EA4196" w:rsidRPr="00F37C04">
        <w:t xml:space="preserve">delivery orders more </w:t>
      </w:r>
      <w:r w:rsidR="00D14763" w:rsidRPr="00F37C04">
        <w:t xml:space="preserve">appealing to low </w:t>
      </w:r>
      <w:r w:rsidR="00EF46C7" w:rsidRPr="00F37C04">
        <w:t>and</w:t>
      </w:r>
      <w:r w:rsidR="00D14763" w:rsidRPr="00F37C04">
        <w:t xml:space="preserve"> middle</w:t>
      </w:r>
      <w:r w:rsidR="00EF46C7" w:rsidRPr="00F37C04">
        <w:t>-</w:t>
      </w:r>
      <w:r w:rsidR="00D14763" w:rsidRPr="00F37C04">
        <w:t>class individuals who are looking into the most effective ways to spend their income.</w:t>
      </w:r>
      <w:r w:rsidR="00A9520A">
        <w:t xml:space="preserve"> </w:t>
      </w:r>
      <w:r w:rsidR="00D25BA9" w:rsidRPr="0081571B">
        <w:t xml:space="preserve">Technological savviness </w:t>
      </w:r>
      <w:r w:rsidR="001464BB" w:rsidRPr="0081571B">
        <w:t>and technology a</w:t>
      </w:r>
      <w:r w:rsidR="001464BB" w:rsidRPr="00F2148C">
        <w:t>cceptance</w:t>
      </w:r>
      <w:r w:rsidR="00D14763" w:rsidRPr="00F37C04">
        <w:t xml:space="preserve">, which </w:t>
      </w:r>
      <w:r w:rsidR="00937AEF" w:rsidRPr="00F37C04">
        <w:t xml:space="preserve">typically </w:t>
      </w:r>
      <w:r w:rsidR="00092BF3">
        <w:t>are</w:t>
      </w:r>
      <w:r w:rsidR="00B14475">
        <w:t xml:space="preserve"> </w:t>
      </w:r>
      <w:r w:rsidR="00B62894" w:rsidRPr="0081571B">
        <w:t xml:space="preserve">positively associated with younger </w:t>
      </w:r>
      <w:r w:rsidR="00937AEF" w:rsidRPr="0081571B">
        <w:t>individuals</w:t>
      </w:r>
      <w:r w:rsidR="00D14763" w:rsidRPr="00F37C04">
        <w:t>,</w:t>
      </w:r>
      <w:r w:rsidR="0036248F" w:rsidRPr="00F37C04">
        <w:t xml:space="preserve"> are </w:t>
      </w:r>
      <w:r w:rsidR="00D14763" w:rsidRPr="00F37C04">
        <w:t xml:space="preserve">also </w:t>
      </w:r>
      <w:r w:rsidR="0036248F" w:rsidRPr="00F37C04">
        <w:t xml:space="preserve">recognized as important influencers of </w:t>
      </w:r>
      <w:r w:rsidR="001464BB" w:rsidRPr="00F37C04">
        <w:t xml:space="preserve">food delivery purchase decisions </w:t>
      </w:r>
      <w:bookmarkStart w:id="19" w:name="_Hlk109724150"/>
      <w:r w:rsidR="001464BB" w:rsidRPr="0081571B">
        <w:fldChar w:fldCharType="begin"/>
      </w:r>
      <w:r w:rsidR="00B44216">
        <w:instrText xml:space="preserve"> ADDIN ZOTERO_ITEM CSL_CITATION {"citationID":"QXO197fB","properties":{"formattedCitation":"(Paenchan &amp; Kookkaew, 2022)","plainCitation":"(Paenchan &amp; Kookkaew, 2022)","dontUpdate":true,"noteIndex":0},"citationItems":[{"id":484,"uris":["http://zotero.org/users/9292995/items/WR57FQUZ"],"itemData":{"id":484,"type":"article-journal","container-title":"PSAKU International Journal of Interdisciplinary Research","issue":"1","journalAbbreviation":"PSAKU International Journal of Interdisciplinary Research","title":"Technology Acceptance Affecting Purchase Decisions for Food Delivery by Mobile Phone Application of Consumers in Phra Nakhon Si Ayutthaya, Thailand","volume":"11","author":[{"family":"Paenchan","given":"Thanaporn"},{"family":"Kookkaew","given":"Pathompong"}],"issued":{"date-parts":[["2022"]]}}}],"schema":"https://github.com/citation-style-language/schema/raw/master/csl-citation.json"} </w:instrText>
      </w:r>
      <w:r w:rsidR="001464BB" w:rsidRPr="0081571B">
        <w:fldChar w:fldCharType="separate"/>
      </w:r>
      <w:r w:rsidR="001464BB" w:rsidRPr="0081571B">
        <w:t xml:space="preserve">(Paenchan </w:t>
      </w:r>
      <w:r w:rsidR="00B14475">
        <w:t>and</w:t>
      </w:r>
      <w:r w:rsidR="001464BB" w:rsidRPr="0081571B">
        <w:t xml:space="preserve"> Kookkaew, 2022)</w:t>
      </w:r>
      <w:r w:rsidR="001464BB" w:rsidRPr="0081571B">
        <w:fldChar w:fldCharType="end"/>
      </w:r>
      <w:r w:rsidR="001464BB" w:rsidRPr="0081571B">
        <w:t>.</w:t>
      </w:r>
      <w:r w:rsidR="00805F66" w:rsidRPr="0081571B">
        <w:t xml:space="preserve"> </w:t>
      </w:r>
      <w:bookmarkEnd w:id="19"/>
      <w:r w:rsidR="00805F66" w:rsidRPr="00F37C04">
        <w:t xml:space="preserve">Recently, </w:t>
      </w:r>
      <w:r w:rsidR="000F725D" w:rsidRPr="00F37C04">
        <w:t xml:space="preserve">research </w:t>
      </w:r>
      <w:r w:rsidR="0053291E" w:rsidRPr="00F37C04">
        <w:t xml:space="preserve">has found that </w:t>
      </w:r>
      <w:r w:rsidR="001D105C" w:rsidRPr="00F37C04">
        <w:t xml:space="preserve">the </w:t>
      </w:r>
      <w:r w:rsidR="000F725D" w:rsidRPr="00F37C04">
        <w:t xml:space="preserve">propensity for </w:t>
      </w:r>
      <w:r w:rsidR="00937AEF" w:rsidRPr="00F37C04">
        <w:t xml:space="preserve">eat-in </w:t>
      </w:r>
      <w:r w:rsidR="0053291E" w:rsidRPr="00F37C04">
        <w:t>N</w:t>
      </w:r>
      <w:r w:rsidR="009D141C">
        <w:t>HCM</w:t>
      </w:r>
      <w:r w:rsidR="0053291E" w:rsidRPr="00F37C04">
        <w:t xml:space="preserve">s increased in response to perceived COVID threats </w:t>
      </w:r>
      <w:bookmarkStart w:id="20" w:name="_Hlk109724180"/>
      <w:r w:rsidR="0053291E" w:rsidRPr="0081571B">
        <w:fldChar w:fldCharType="begin"/>
      </w:r>
      <w:r w:rsidR="00B44216">
        <w:instrText xml:space="preserve"> ADDIN ZOTERO_ITEM CSL_CITATION {"citationID":"9VCVJ84S","properties":{"formattedCitation":"(Bouarar et al., 2021; Hong et al., 2021; L. Shi &amp; Xu, 2021; Yang et al., 2020)","plainCitation":"(Bouarar et al., 2021; Hong et al., 2021; L. Shi &amp; Xu, 2021; Yang et al., 2020)","dontUpdate":true,"noteIndex":0},"citationItems":[{"id":486,"uris":["http://zotero.org/users/9292995/items/3GHKEQVD"],"itemData":{"id":486,"type":"article-journal","container-title":"University of South Florida M3 Center Publishing","issue":"2021","journalAbbreviation":"University of South Florida M3 Center Publishing","page":"47","title":"Extending the theory of planned behavior to explain intention to use online food delivery services in the context of COVID-19 pandemic","volume":"5","author":[{"family":"Bouarar","given":"Ahmed C"},{"family":"Mouloudj","given":"Smail"},{"family":"Mouloudj","given":"Kamel"}],"issued":{"date-parts":[["2021"]]}}},{"id":492,"uris":["http://zotero.org/users/9292995/items/TN3H84HN"],"itemData":{"id":492,"type":"article-journal","container-title":"Journal of Hospitality and Tourism Management","ISSN":"1447-6770","journalAbbreviation":"Journal of Hospitality and Tourism Management","note":"publisher: Elsevier","page":"509-518","title":"Factors affecting customer intention to use online food delivery services before and during the COVID-19 pandemic","volume":"48","author":[{"family":"Hong","given":"Chanmi"},{"family":"Choi","given":"Hayeon Hailey"},{"family":"Choi","given":"Eun-Kyong Cindy"},{"family":"Joung","given":"Hyun-Woo David"}],"issued":{"date-parts":[["2021"]]}}},{"id":487,"uris":["http://zotero.org/users/9292995/items/GSLJGEMK"],"itemData":{"id":487,"type":"article-journal","container-title":"Trends on Restaurant Service Demand amid the COVID-19 Pandemic (October 1, 2021)","journalAbbreviation":"Trends on Restaurant Service Demand amid the COVID-19 Pandemic (October 1, 2021)","title":"Dine in or Take out? Trends on Restaurant Service Demand amid the COVID-19 Pandemic","author":[{"family":"Shi","given":"Linxuan"},{"family":"Xu","given":"Zhengtian"}],"issued":{"date-parts":[["2021"]]}}},{"id":485,"uris":["http://zotero.org/users/9292995/items/9H9VUVPT"],"itemData":{"id":485,"type":"article-journal","container-title":"International Journal of Contemporary Hospitality Management","ISSN":"0959-6119","journalAbbreviation":"International Journal of Contemporary Hospitality Management","note":"publisher: Emerald Publishing Limited","title":"COVID-19 and restaurant demand: early effects of the pandemic and stay-at-home orders","author":[{"family":"Yang","given":"Yang"},{"family":"Liu","given":"Hongbo"},{"family":"Chen","given":"Xiang"}],"issued":{"date-parts":[["2020"]]}}}],"schema":"https://github.com/citation-style-language/schema/raw/master/csl-citation.json"} </w:instrText>
      </w:r>
      <w:r w:rsidR="0053291E" w:rsidRPr="0081571B">
        <w:fldChar w:fldCharType="separate"/>
      </w:r>
      <w:r w:rsidR="008549AD" w:rsidRPr="0081571B">
        <w:t>(Bouarar et al., 2021</w:t>
      </w:r>
      <w:r w:rsidR="002C1082">
        <w:t>;</w:t>
      </w:r>
      <w:r w:rsidR="00EF2C96">
        <w:t xml:space="preserve"> </w:t>
      </w:r>
      <w:r w:rsidR="008549AD" w:rsidRPr="0081571B">
        <w:t>Hong et al., 2021</w:t>
      </w:r>
      <w:r w:rsidR="002C1082">
        <w:t>;</w:t>
      </w:r>
      <w:r w:rsidR="00EF2C96">
        <w:t xml:space="preserve"> </w:t>
      </w:r>
      <w:r w:rsidR="008549AD" w:rsidRPr="0081571B">
        <w:t xml:space="preserve">Shi </w:t>
      </w:r>
      <w:r w:rsidR="00B14475">
        <w:t>and</w:t>
      </w:r>
      <w:r w:rsidR="008549AD" w:rsidRPr="0081571B">
        <w:t xml:space="preserve"> Xu, 2021</w:t>
      </w:r>
      <w:r w:rsidR="002C1082">
        <w:t>;</w:t>
      </w:r>
      <w:r w:rsidR="00EF2C96">
        <w:t xml:space="preserve"> </w:t>
      </w:r>
      <w:r w:rsidR="008549AD" w:rsidRPr="0081571B">
        <w:t>Yang et al., 2020)</w:t>
      </w:r>
      <w:r w:rsidR="0053291E" w:rsidRPr="0081571B">
        <w:fldChar w:fldCharType="end"/>
      </w:r>
      <w:r w:rsidR="0053291E" w:rsidRPr="0081571B">
        <w:t>.</w:t>
      </w:r>
      <w:r w:rsidR="00EF46C7" w:rsidRPr="0081571B">
        <w:t xml:space="preserve"> </w:t>
      </w:r>
      <w:bookmarkEnd w:id="20"/>
      <w:r w:rsidR="00E93A53">
        <w:t>Lavieri et al</w:t>
      </w:r>
      <w:r w:rsidR="00B43E5D">
        <w:t>.</w:t>
      </w:r>
      <w:r w:rsidR="00E93A53">
        <w:t xml:space="preserve"> (201</w:t>
      </w:r>
      <w:r w:rsidR="00B43E5D">
        <w:t>8</w:t>
      </w:r>
      <w:r w:rsidR="00E93A53">
        <w:t xml:space="preserve">), who examined eat-in food deliveries, reported that the presence of children in the household, identifying as female, and individuals from households with high income are more likely to have food deliveries, while age has a negative effect on food deliveries. </w:t>
      </w:r>
    </w:p>
    <w:p w14:paraId="22B95F7E" w14:textId="77777777" w:rsidR="00CC394B" w:rsidRPr="0081571B" w:rsidRDefault="00CC394B" w:rsidP="00D00A05">
      <w:pPr>
        <w:spacing w:after="0" w:line="276" w:lineRule="auto"/>
        <w:jc w:val="both"/>
      </w:pPr>
    </w:p>
    <w:p w14:paraId="54658749" w14:textId="6F6AA34E" w:rsidR="00CC508C" w:rsidRPr="00D00A05" w:rsidRDefault="00CC508C" w:rsidP="00D00A05">
      <w:pPr>
        <w:pStyle w:val="Heading2"/>
        <w:spacing w:after="0" w:line="276" w:lineRule="auto"/>
        <w:jc w:val="both"/>
        <w:rPr>
          <w:i w:val="0"/>
        </w:rPr>
      </w:pPr>
      <w:r w:rsidRPr="00D00A05">
        <w:rPr>
          <w:i w:val="0"/>
        </w:rPr>
        <w:t xml:space="preserve"> </w:t>
      </w:r>
      <w:bookmarkStart w:id="21" w:name="_Ref108195378"/>
      <w:r w:rsidRPr="00D00A05">
        <w:rPr>
          <w:i w:val="0"/>
        </w:rPr>
        <w:t xml:space="preserve">Joint </w:t>
      </w:r>
      <w:r w:rsidR="004D0CEF" w:rsidRPr="00D00A05">
        <w:rPr>
          <w:i w:val="0"/>
        </w:rPr>
        <w:t>Eat-</w:t>
      </w:r>
      <w:r w:rsidR="00D00A05">
        <w:rPr>
          <w:i w:val="0"/>
        </w:rPr>
        <w:t>O</w:t>
      </w:r>
      <w:r w:rsidR="004D0CEF" w:rsidRPr="00D00A05">
        <w:rPr>
          <w:i w:val="0"/>
        </w:rPr>
        <w:t>ut and Eat-</w:t>
      </w:r>
      <w:r w:rsidR="00D00A05">
        <w:rPr>
          <w:i w:val="0"/>
        </w:rPr>
        <w:t>I</w:t>
      </w:r>
      <w:r w:rsidR="004D0CEF" w:rsidRPr="00D00A05">
        <w:rPr>
          <w:i w:val="0"/>
        </w:rPr>
        <w:t>n Studies</w:t>
      </w:r>
      <w:bookmarkEnd w:id="21"/>
    </w:p>
    <w:p w14:paraId="00F6CFD4" w14:textId="3EE7A701" w:rsidR="009D0E1A" w:rsidRPr="00F37C04" w:rsidRDefault="003B60CE" w:rsidP="00D00A05">
      <w:pPr>
        <w:autoSpaceDE w:val="0"/>
        <w:autoSpaceDN w:val="0"/>
        <w:adjustRightInd w:val="0"/>
        <w:spacing w:after="0" w:line="276" w:lineRule="auto"/>
        <w:jc w:val="both"/>
      </w:pPr>
      <w:r w:rsidRPr="00F37C04">
        <w:t xml:space="preserve">Three </w:t>
      </w:r>
      <w:r w:rsidR="004D0CEF" w:rsidRPr="00F37C04">
        <w:t xml:space="preserve">studies </w:t>
      </w:r>
      <w:r w:rsidRPr="00F37C04">
        <w:t xml:space="preserve">in the literature </w:t>
      </w:r>
      <w:r w:rsidR="004D0CEF" w:rsidRPr="00F37C04">
        <w:t>model eat-out and eat-in jointly</w:t>
      </w:r>
      <w:r w:rsidRPr="00F37C04">
        <w:t xml:space="preserve">. </w:t>
      </w:r>
      <w:r w:rsidR="00024A11">
        <w:t xml:space="preserve">Two of these studies have been published in the transportation field in the context of emerging technology impacts on travel, while the third has health and nutrition as its focus. </w:t>
      </w:r>
      <w:r w:rsidRPr="00F37C04">
        <w:t xml:space="preserve">The first study </w:t>
      </w:r>
      <w:r w:rsidRPr="0081571B">
        <w:t xml:space="preserve">by </w:t>
      </w:r>
      <w:r w:rsidR="00360B1F" w:rsidRPr="0081571B">
        <w:t>Dias et al. (2020</w:t>
      </w:r>
      <w:r w:rsidR="00360B1F" w:rsidRPr="00F2148C">
        <w:t xml:space="preserve">) </w:t>
      </w:r>
      <w:r w:rsidRPr="00F37C04">
        <w:t xml:space="preserve">examined interactions between meal delivery to the household </w:t>
      </w:r>
      <w:r w:rsidR="00A71AFB" w:rsidRPr="00F37C04">
        <w:t xml:space="preserve">(eat-in delivery channel) </w:t>
      </w:r>
      <w:r w:rsidRPr="00F37C04">
        <w:t>and eat-out, as part of a larger multidimensional framework that also studie</w:t>
      </w:r>
      <w:r w:rsidR="00B14475">
        <w:t>d</w:t>
      </w:r>
      <w:r w:rsidRPr="0081571B">
        <w:t xml:space="preserve"> non-grocery shopping and</w:t>
      </w:r>
      <w:r w:rsidR="00AE0B06">
        <w:t xml:space="preserve"> </w:t>
      </w:r>
      <w:r w:rsidRPr="00F37C04">
        <w:t xml:space="preserve">shopping activity behavior. The outcomes used in this study were </w:t>
      </w:r>
      <w:r w:rsidR="00DD103D">
        <w:t xml:space="preserve">the </w:t>
      </w:r>
      <w:r w:rsidRPr="00F37C04">
        <w:t xml:space="preserve">number of days in a week that had at least one meal delivery (for the eat-in dimension) and the number of days in a week that had at least one eat-out episode. </w:t>
      </w:r>
      <w:r w:rsidR="00A71AFB" w:rsidRPr="00F37C04">
        <w:t xml:space="preserve">The study found no unobserved correlation between the eat-in delivery and eat-out channels </w:t>
      </w:r>
      <w:r w:rsidR="006C2E13" w:rsidRPr="00F37C04">
        <w:t>but</w:t>
      </w:r>
      <w:r w:rsidR="00A71AFB" w:rsidRPr="00F37C04">
        <w:t xml:space="preserve"> </w:t>
      </w:r>
      <w:r w:rsidR="00CC1AA0" w:rsidRPr="00F37C04">
        <w:t xml:space="preserve">found </w:t>
      </w:r>
      <w:r w:rsidR="006C2E13" w:rsidRPr="00F37C04">
        <w:t>that eat-in delivery does reduce eat-outs</w:t>
      </w:r>
      <w:r w:rsidR="00CC1AA0" w:rsidRPr="00F37C04">
        <w:t>,</w:t>
      </w:r>
      <w:r w:rsidR="006C2E13" w:rsidRPr="00F37C04">
        <w:t xml:space="preserve"> suggesting an overall cannibalization effect (though this effect was indirect through recursive effects on in-person and </w:t>
      </w:r>
      <w:r w:rsidR="006C2E13" w:rsidRPr="00F37C04">
        <w:lastRenderedPageBreak/>
        <w:t xml:space="preserve">online non-grocery shopping). </w:t>
      </w:r>
      <w:r w:rsidR="00CC1AA0" w:rsidRPr="00F37C04">
        <w:t>Individuals from high</w:t>
      </w:r>
      <w:r w:rsidR="00DD103D">
        <w:t>-</w:t>
      </w:r>
      <w:r w:rsidR="00CC1AA0" w:rsidRPr="00F37C04">
        <w:t>income households, with multiple adults and children, who rented their homes, and lived in high</w:t>
      </w:r>
      <w:r w:rsidR="00DD103D">
        <w:t>-</w:t>
      </w:r>
      <w:r w:rsidR="00CC1AA0" w:rsidRPr="00F37C04">
        <w:t xml:space="preserve">density neighborhoods tended to have more eat-in and eat-out outcomes than their corresponding peers. Individuals from multiple worker-households had a higher propensity for eat-out, while those from no worker-households had more eat-in, but not eat-out. </w:t>
      </w:r>
      <w:r w:rsidR="001A5F99" w:rsidRPr="00F37C04">
        <w:t xml:space="preserve">The analysis was undertaken using a </w:t>
      </w:r>
      <w:r w:rsidR="00E00344" w:rsidRPr="00F37C04">
        <w:t xml:space="preserve">2017 Puget Sound household travel survey </w:t>
      </w:r>
      <w:r w:rsidR="001A5F99" w:rsidRPr="00F37C04">
        <w:t>with</w:t>
      </w:r>
      <w:r w:rsidR="00FD7E46" w:rsidRPr="00F37C04">
        <w:t xml:space="preserve"> 705 households </w:t>
      </w:r>
      <w:r w:rsidR="00E00344" w:rsidRPr="00F37C04">
        <w:t>and employed a multivariate ordered probit modeling methodology</w:t>
      </w:r>
      <w:r w:rsidR="001A5F99" w:rsidRPr="00F37C04">
        <w:t>.</w:t>
      </w:r>
      <w:r w:rsidR="00E00344" w:rsidRPr="00F37C04">
        <w:t xml:space="preserve"> </w:t>
      </w:r>
    </w:p>
    <w:p w14:paraId="6B84B3CC" w14:textId="23437014" w:rsidR="00254631" w:rsidRPr="0081571B" w:rsidRDefault="00CC394B" w:rsidP="00D00A05">
      <w:pPr>
        <w:pStyle w:val="Default"/>
        <w:spacing w:line="276" w:lineRule="auto"/>
        <w:jc w:val="both"/>
        <w:rPr>
          <w:color w:val="auto"/>
        </w:rPr>
      </w:pPr>
      <w:r>
        <w:rPr>
          <w:color w:val="auto"/>
        </w:rPr>
        <w:tab/>
      </w:r>
      <w:r w:rsidR="000F4235" w:rsidRPr="00F37C04">
        <w:rPr>
          <w:color w:val="auto"/>
        </w:rPr>
        <w:t xml:space="preserve">More recently, </w:t>
      </w:r>
      <w:r w:rsidR="00360B1F" w:rsidRPr="00F37C04">
        <w:rPr>
          <w:color w:val="auto"/>
        </w:rPr>
        <w:t xml:space="preserve">Kim and Wang (2021) </w:t>
      </w:r>
      <w:r w:rsidR="000F4235" w:rsidRPr="00F37C04">
        <w:rPr>
          <w:color w:val="auto"/>
        </w:rPr>
        <w:t xml:space="preserve">built on </w:t>
      </w:r>
      <w:r w:rsidR="007F38C7" w:rsidRPr="00F37C04">
        <w:rPr>
          <w:color w:val="auto"/>
        </w:rPr>
        <w:t xml:space="preserve">the </w:t>
      </w:r>
      <w:r w:rsidR="00360B1F" w:rsidRPr="00F37C04">
        <w:t xml:space="preserve">Dias et al. (2020) </w:t>
      </w:r>
      <w:r w:rsidR="007F38C7" w:rsidRPr="00F37C04">
        <w:rPr>
          <w:color w:val="auto"/>
        </w:rPr>
        <w:t xml:space="preserve">study by using </w:t>
      </w:r>
      <w:r w:rsidR="001A5F99" w:rsidRPr="00F37C04">
        <w:rPr>
          <w:color w:val="auto"/>
        </w:rPr>
        <w:t xml:space="preserve">additional </w:t>
      </w:r>
      <w:r w:rsidR="007F38C7" w:rsidRPr="00F37C04">
        <w:rPr>
          <w:color w:val="auto"/>
        </w:rPr>
        <w:t xml:space="preserve">person-related </w:t>
      </w:r>
      <w:r w:rsidR="001A5F99" w:rsidRPr="00F37C04">
        <w:rPr>
          <w:color w:val="auto"/>
        </w:rPr>
        <w:t>attributes in the analysis</w:t>
      </w:r>
      <w:r w:rsidR="007F38C7" w:rsidRPr="00F37C04">
        <w:rPr>
          <w:color w:val="auto"/>
        </w:rPr>
        <w:t xml:space="preserve">. </w:t>
      </w:r>
      <w:r w:rsidR="008051ED" w:rsidRPr="00F37C04">
        <w:rPr>
          <w:color w:val="auto"/>
        </w:rPr>
        <w:t>In the context of food deliveries, u</w:t>
      </w:r>
      <w:r w:rsidR="001A5F99" w:rsidRPr="00F37C04">
        <w:rPr>
          <w:color w:val="auto"/>
        </w:rPr>
        <w:t xml:space="preserve">sing data from a 2018 New York City Department of Transportation citywide mobility survey, the study examined the </w:t>
      </w:r>
      <w:r w:rsidR="008051ED" w:rsidRPr="00F37C04">
        <w:rPr>
          <w:color w:val="auto"/>
        </w:rPr>
        <w:t xml:space="preserve">determinants of </w:t>
      </w:r>
      <w:r w:rsidR="001A5F99" w:rsidRPr="00F37C04">
        <w:rPr>
          <w:color w:val="auto"/>
        </w:rPr>
        <w:t xml:space="preserve">food deliveries </w:t>
      </w:r>
      <w:r w:rsidR="008051ED" w:rsidRPr="00F37C04">
        <w:rPr>
          <w:color w:val="auto"/>
        </w:rPr>
        <w:t xml:space="preserve">(as part of a trivariate </w:t>
      </w:r>
      <w:r w:rsidR="001A5F99" w:rsidRPr="00F37C04">
        <w:rPr>
          <w:color w:val="auto"/>
        </w:rPr>
        <w:t>ordered-response model</w:t>
      </w:r>
      <w:r w:rsidR="008051ED" w:rsidRPr="00F37C04">
        <w:rPr>
          <w:color w:val="auto"/>
        </w:rPr>
        <w:t xml:space="preserve"> of deliveries for grocery and non-grocery items)</w:t>
      </w:r>
      <w:r w:rsidR="001A5F99" w:rsidRPr="00F37C04">
        <w:rPr>
          <w:color w:val="auto"/>
        </w:rPr>
        <w:t xml:space="preserve">, followed by </w:t>
      </w:r>
      <w:r w:rsidR="008051ED" w:rsidRPr="00F37C04">
        <w:rPr>
          <w:color w:val="auto"/>
        </w:rPr>
        <w:t>two separate bivariate ordered-response models related to N</w:t>
      </w:r>
      <w:r w:rsidR="009D141C">
        <w:rPr>
          <w:color w:val="auto"/>
        </w:rPr>
        <w:t>HCM</w:t>
      </w:r>
      <w:r w:rsidR="008051ED" w:rsidRPr="00F37C04">
        <w:rPr>
          <w:color w:val="auto"/>
        </w:rPr>
        <w:t>s - one of which examined food deliveries and eat-outs by walk, and the second of which analyzed food deliveries and eat-outs by driving. The eat-in delivery outcome corresponded to an ordinal variable of the frequency of food deliveries (a few times a year or less, once a month, a few times a month, o</w:t>
      </w:r>
      <w:r w:rsidR="002152B3" w:rsidRPr="00F37C04">
        <w:rPr>
          <w:color w:val="auto"/>
        </w:rPr>
        <w:t>n</w:t>
      </w:r>
      <w:r w:rsidR="008051ED" w:rsidRPr="00F37C04">
        <w:rPr>
          <w:color w:val="auto"/>
        </w:rPr>
        <w:t>ce a week, and several times a week), while the eat-out was a simple binary variable of whether the respondent had a</w:t>
      </w:r>
      <w:r w:rsidR="002C4218">
        <w:rPr>
          <w:color w:val="auto"/>
        </w:rPr>
        <w:t>n</w:t>
      </w:r>
      <w:r w:rsidR="008051ED" w:rsidRPr="00F37C04">
        <w:rPr>
          <w:color w:val="auto"/>
        </w:rPr>
        <w:t xml:space="preserve"> eat-out episode by walk or driving on the specific survey day</w:t>
      </w:r>
      <w:r w:rsidR="00AE0B06">
        <w:rPr>
          <w:color w:val="auto"/>
        </w:rPr>
        <w:t>.</w:t>
      </w:r>
      <w:r w:rsidR="008051ED" w:rsidRPr="0081571B">
        <w:rPr>
          <w:color w:val="auto"/>
        </w:rPr>
        <w:t xml:space="preserve"> </w:t>
      </w:r>
      <w:r w:rsidR="002152B3" w:rsidRPr="0081571B">
        <w:rPr>
          <w:color w:val="auto"/>
        </w:rPr>
        <w:t>The results indicated that men, younger i</w:t>
      </w:r>
      <w:r w:rsidR="002152B3" w:rsidRPr="00F37C04">
        <w:rPr>
          <w:color w:val="auto"/>
        </w:rPr>
        <w:t>ndividuals, non-Asians, higher</w:t>
      </w:r>
      <w:r w:rsidR="002C4218">
        <w:rPr>
          <w:color w:val="auto"/>
        </w:rPr>
        <w:t>-</w:t>
      </w:r>
      <w:r w:rsidR="002152B3" w:rsidRPr="00F37C04">
        <w:rPr>
          <w:color w:val="auto"/>
        </w:rPr>
        <w:t xml:space="preserve">income individuals, those with children in the </w:t>
      </w:r>
      <w:r w:rsidR="00AE0B06" w:rsidRPr="00F37C04">
        <w:rPr>
          <w:color w:val="auto"/>
        </w:rPr>
        <w:t>household, and</w:t>
      </w:r>
      <w:r w:rsidR="002152B3" w:rsidRPr="00F37C04">
        <w:rPr>
          <w:color w:val="auto"/>
        </w:rPr>
        <w:t xml:space="preserve"> those living in dense Manhattan had a higher propensity for eat-in deliveries. Those with a higher propensity to have eat-in food deliveries had a higher propensity to eat</w:t>
      </w:r>
      <w:r w:rsidR="002C4218">
        <w:rPr>
          <w:color w:val="auto"/>
        </w:rPr>
        <w:t xml:space="preserve"> </w:t>
      </w:r>
      <w:r w:rsidR="002152B3" w:rsidRPr="00F37C04">
        <w:rPr>
          <w:color w:val="auto"/>
        </w:rPr>
        <w:t>out by walk</w:t>
      </w:r>
      <w:r w:rsidR="002C4218">
        <w:rPr>
          <w:color w:val="auto"/>
        </w:rPr>
        <w:t>ing</w:t>
      </w:r>
      <w:r w:rsidR="002152B3" w:rsidRPr="00F37C04">
        <w:rPr>
          <w:color w:val="auto"/>
        </w:rPr>
        <w:t>. They also found that single individuals ha</w:t>
      </w:r>
      <w:r w:rsidR="00B14475">
        <w:rPr>
          <w:color w:val="auto"/>
        </w:rPr>
        <w:t>ve</w:t>
      </w:r>
      <w:r w:rsidR="002152B3" w:rsidRPr="0081571B">
        <w:rPr>
          <w:color w:val="auto"/>
        </w:rPr>
        <w:t xml:space="preserve"> a lower propensity to drive </w:t>
      </w:r>
      <w:r w:rsidR="002C4218">
        <w:rPr>
          <w:color w:val="auto"/>
        </w:rPr>
        <w:t>to</w:t>
      </w:r>
      <w:r w:rsidR="002152B3" w:rsidRPr="0081571B">
        <w:rPr>
          <w:color w:val="auto"/>
        </w:rPr>
        <w:t xml:space="preserve"> eat</w:t>
      </w:r>
      <w:r w:rsidR="002C4218">
        <w:rPr>
          <w:color w:val="auto"/>
        </w:rPr>
        <w:t xml:space="preserve"> </w:t>
      </w:r>
      <w:r w:rsidR="002152B3" w:rsidRPr="0081571B">
        <w:rPr>
          <w:color w:val="auto"/>
        </w:rPr>
        <w:t>out</w:t>
      </w:r>
      <w:r w:rsidR="0019550A" w:rsidRPr="0081571B">
        <w:rPr>
          <w:color w:val="auto"/>
        </w:rPr>
        <w:t>, while those with more cars in the household had a</w:t>
      </w:r>
      <w:r w:rsidR="0019550A" w:rsidRPr="00F37C04">
        <w:rPr>
          <w:color w:val="auto"/>
        </w:rPr>
        <w:t xml:space="preserve"> higher propensity to drive to eat</w:t>
      </w:r>
      <w:r w:rsidR="002C4218">
        <w:rPr>
          <w:color w:val="auto"/>
        </w:rPr>
        <w:t xml:space="preserve"> </w:t>
      </w:r>
      <w:r w:rsidR="0019550A" w:rsidRPr="00F37C04">
        <w:rPr>
          <w:color w:val="auto"/>
        </w:rPr>
        <w:t xml:space="preserve">out and a lower inclination to walk </w:t>
      </w:r>
      <w:r w:rsidR="002C4218">
        <w:rPr>
          <w:color w:val="auto"/>
        </w:rPr>
        <w:t>to</w:t>
      </w:r>
      <w:r w:rsidR="0019550A" w:rsidRPr="00F37C04">
        <w:rPr>
          <w:color w:val="auto"/>
        </w:rPr>
        <w:t xml:space="preserve"> eat</w:t>
      </w:r>
      <w:r w:rsidR="002C4218">
        <w:rPr>
          <w:color w:val="auto"/>
        </w:rPr>
        <w:t xml:space="preserve"> </w:t>
      </w:r>
      <w:r w:rsidR="0019550A" w:rsidRPr="00F37C04">
        <w:rPr>
          <w:color w:val="auto"/>
        </w:rPr>
        <w:t xml:space="preserve">out.  </w:t>
      </w:r>
    </w:p>
    <w:p w14:paraId="510F36E4" w14:textId="0A99B7FC" w:rsidR="00F15AB1" w:rsidRPr="00F37C04" w:rsidRDefault="0019550A" w:rsidP="00D00A05">
      <w:pPr>
        <w:pStyle w:val="Default"/>
        <w:spacing w:line="276" w:lineRule="auto"/>
        <w:jc w:val="both"/>
        <w:rPr>
          <w:color w:val="auto"/>
        </w:rPr>
      </w:pPr>
      <w:r w:rsidRPr="0081571B">
        <w:rPr>
          <w:color w:val="auto"/>
        </w:rPr>
        <w:tab/>
      </w:r>
      <w:r w:rsidR="00024A11">
        <w:rPr>
          <w:color w:val="auto"/>
        </w:rPr>
        <w:t xml:space="preserve">Another relevant study </w:t>
      </w:r>
      <w:r w:rsidRPr="0081571B">
        <w:rPr>
          <w:color w:val="auto"/>
        </w:rPr>
        <w:t>is that of Mills et al</w:t>
      </w:r>
      <w:r w:rsidR="002D2671">
        <w:rPr>
          <w:color w:val="auto"/>
        </w:rPr>
        <w:t>.</w:t>
      </w:r>
      <w:r w:rsidRPr="0081571B">
        <w:rPr>
          <w:color w:val="auto"/>
        </w:rPr>
        <w:t xml:space="preserve"> </w:t>
      </w:r>
      <w:r w:rsidR="008A02B9" w:rsidRPr="0081571B">
        <w:rPr>
          <w:color w:val="auto"/>
        </w:rPr>
        <w:t>(201</w:t>
      </w:r>
      <w:r w:rsidR="002C4218">
        <w:rPr>
          <w:color w:val="auto"/>
        </w:rPr>
        <w:t>8</w:t>
      </w:r>
      <w:r w:rsidR="008A02B9" w:rsidRPr="0081571B">
        <w:rPr>
          <w:color w:val="auto"/>
        </w:rPr>
        <w:t>)</w:t>
      </w:r>
      <w:r w:rsidR="008A02B9" w:rsidRPr="00F2148C">
        <w:rPr>
          <w:color w:val="auto"/>
        </w:rPr>
        <w:t xml:space="preserve">, though that study has health and nutrition as its focus. </w:t>
      </w:r>
      <w:r w:rsidR="008A02B9" w:rsidRPr="00F37C04">
        <w:rPr>
          <w:color w:val="auto"/>
        </w:rPr>
        <w:t>As they state, “few studies to date have specifically identified the sociodemographic characteristics of those currently engaging in different meal sourcing patterns, which is important to inform targeting and tailoring of public health interventions”. The authors use a large cohort study that recruited adults 29-64 years of age between 2005 and 2015 and asked the specific source of the food consumed</w:t>
      </w:r>
      <w:r w:rsidR="00CB4F6D" w:rsidRPr="00F37C04">
        <w:rPr>
          <w:color w:val="auto"/>
        </w:rPr>
        <w:t xml:space="preserve"> for the main meal of the day (the interpretation of what the “main meal” was left to the respondent)</w:t>
      </w:r>
      <w:r w:rsidR="00EF2C96">
        <w:rPr>
          <w:color w:val="auto"/>
        </w:rPr>
        <w:t>. The source (channel) of consumption included</w:t>
      </w:r>
      <w:r w:rsidR="008A02B9" w:rsidRPr="0081571B">
        <w:rPr>
          <w:color w:val="auto"/>
        </w:rPr>
        <w:t xml:space="preserve"> </w:t>
      </w:r>
      <w:r w:rsidR="00EF2C96">
        <w:rPr>
          <w:color w:val="auto"/>
        </w:rPr>
        <w:t xml:space="preserve">(1) </w:t>
      </w:r>
      <w:r w:rsidR="008A02B9" w:rsidRPr="0081571B">
        <w:rPr>
          <w:color w:val="auto"/>
        </w:rPr>
        <w:t>home</w:t>
      </w:r>
      <w:r w:rsidR="002C4218">
        <w:rPr>
          <w:color w:val="auto"/>
        </w:rPr>
        <w:t>-</w:t>
      </w:r>
      <w:r w:rsidR="00EF2C96">
        <w:rPr>
          <w:color w:val="auto"/>
        </w:rPr>
        <w:t>cooked meals</w:t>
      </w:r>
      <w:r w:rsidR="008A02B9" w:rsidRPr="0081571B">
        <w:rPr>
          <w:color w:val="auto"/>
        </w:rPr>
        <w:t xml:space="preserve">, </w:t>
      </w:r>
      <w:r w:rsidR="00EF2C96">
        <w:rPr>
          <w:color w:val="auto"/>
        </w:rPr>
        <w:t xml:space="preserve">(2) </w:t>
      </w:r>
      <w:r w:rsidR="008A02B9" w:rsidRPr="0081571B">
        <w:rPr>
          <w:color w:val="auto"/>
        </w:rPr>
        <w:t xml:space="preserve">ready-to-eat pre-prepared eat-in delivery meals, </w:t>
      </w:r>
      <w:r w:rsidR="00EF2C96">
        <w:rPr>
          <w:color w:val="auto"/>
        </w:rPr>
        <w:t xml:space="preserve">(3) </w:t>
      </w:r>
      <w:r w:rsidR="008A02B9" w:rsidRPr="0081571B">
        <w:rPr>
          <w:color w:val="auto"/>
        </w:rPr>
        <w:t xml:space="preserve">takeaways, and </w:t>
      </w:r>
      <w:r w:rsidR="00EF2C96">
        <w:rPr>
          <w:color w:val="auto"/>
        </w:rPr>
        <w:t xml:space="preserve">(4) </w:t>
      </w:r>
      <w:r w:rsidR="008A02B9" w:rsidRPr="0081571B">
        <w:rPr>
          <w:color w:val="auto"/>
        </w:rPr>
        <w:t>eat-out</w:t>
      </w:r>
      <w:r w:rsidR="00EF2C96">
        <w:rPr>
          <w:color w:val="auto"/>
        </w:rPr>
        <w:t xml:space="preserve"> meals</w:t>
      </w:r>
      <w:r w:rsidR="008A02B9" w:rsidRPr="0081571B">
        <w:rPr>
          <w:color w:val="auto"/>
        </w:rPr>
        <w:t>.</w:t>
      </w:r>
      <w:r w:rsidR="00B14475">
        <w:rPr>
          <w:color w:val="auto"/>
        </w:rPr>
        <w:t xml:space="preserve"> A</w:t>
      </w:r>
      <w:r w:rsidR="00B7284A" w:rsidRPr="0081571B">
        <w:rPr>
          <w:color w:val="auto"/>
        </w:rPr>
        <w:t xml:space="preserve"> binary </w:t>
      </w:r>
      <w:r w:rsidR="00BC1B75" w:rsidRPr="0081571B">
        <w:rPr>
          <w:color w:val="auto"/>
        </w:rPr>
        <w:t>variable was created with “two times per week or less” and “more than two times per week” for the home-cooked and two eat-in channels, and “less than once per week” and “o</w:t>
      </w:r>
      <w:r w:rsidR="00BC1B75" w:rsidRPr="00F37C04">
        <w:rPr>
          <w:color w:val="auto"/>
        </w:rPr>
        <w:t xml:space="preserve">ne or more per week” for the eat-out channel. Separate binary </w:t>
      </w:r>
      <w:r w:rsidR="00B14475">
        <w:rPr>
          <w:color w:val="auto"/>
        </w:rPr>
        <w:t>models</w:t>
      </w:r>
      <w:r w:rsidR="00BC1B75" w:rsidRPr="0081571B">
        <w:rPr>
          <w:color w:val="auto"/>
        </w:rPr>
        <w:t xml:space="preserve"> (using logistic regressions) are estimated for each of the four channels.</w:t>
      </w:r>
      <w:r w:rsidR="0068008F" w:rsidRPr="0081571B">
        <w:rPr>
          <w:color w:val="auto"/>
        </w:rPr>
        <w:t xml:space="preserve"> Their results indicate that men are more likely than women to partake in all </w:t>
      </w:r>
      <w:r w:rsidR="0068008F" w:rsidRPr="00F37C04">
        <w:rPr>
          <w:color w:val="auto"/>
        </w:rPr>
        <w:t>the three non-home</w:t>
      </w:r>
      <w:r w:rsidR="002C4218">
        <w:rPr>
          <w:color w:val="auto"/>
        </w:rPr>
        <w:t>-</w:t>
      </w:r>
      <w:r w:rsidR="0068008F" w:rsidRPr="00F37C04">
        <w:rPr>
          <w:color w:val="auto"/>
        </w:rPr>
        <w:t>cooked channels (that is, equivalently, women are more likely to consume home-cooked meals); individuals who are white, working overtime, highly educated</w:t>
      </w:r>
      <w:r w:rsidR="002C4218">
        <w:rPr>
          <w:color w:val="auto"/>
        </w:rPr>
        <w:t>,</w:t>
      </w:r>
      <w:r w:rsidR="0068008F" w:rsidRPr="00F37C04">
        <w:rPr>
          <w:color w:val="auto"/>
        </w:rPr>
        <w:t xml:space="preserve"> and</w:t>
      </w:r>
      <w:r w:rsidR="00F51A89">
        <w:rPr>
          <w:color w:val="auto"/>
        </w:rPr>
        <w:t xml:space="preserve"> earning</w:t>
      </w:r>
      <w:r w:rsidR="0068008F" w:rsidRPr="00F37C04">
        <w:rPr>
          <w:color w:val="auto"/>
        </w:rPr>
        <w:t xml:space="preserve"> high</w:t>
      </w:r>
      <w:r w:rsidR="00F51A89">
        <w:rPr>
          <w:color w:val="auto"/>
        </w:rPr>
        <w:t>-</w:t>
      </w:r>
      <w:r w:rsidR="0068008F" w:rsidRPr="00F37C04">
        <w:rPr>
          <w:color w:val="auto"/>
        </w:rPr>
        <w:t xml:space="preserve">income </w:t>
      </w:r>
      <w:r w:rsidR="00F51A89">
        <w:rPr>
          <w:color w:val="auto"/>
        </w:rPr>
        <w:t xml:space="preserve">levels </w:t>
      </w:r>
      <w:r w:rsidR="0068008F" w:rsidRPr="00F37C04">
        <w:rPr>
          <w:color w:val="auto"/>
        </w:rPr>
        <w:t>tend to eat-out more often relative to their peers; those who are white and with high incomes are particularly unlikely to order take</w:t>
      </w:r>
      <w:r w:rsidR="002C4218">
        <w:rPr>
          <w:color w:val="auto"/>
        </w:rPr>
        <w:t>a</w:t>
      </w:r>
      <w:r w:rsidR="0068008F" w:rsidRPr="00F37C04">
        <w:rPr>
          <w:color w:val="auto"/>
        </w:rPr>
        <w:t xml:space="preserve">ways or have food delivered to their homes; and, interestingly, those at the highest income levels and </w:t>
      </w:r>
      <w:r w:rsidR="0068008F" w:rsidRPr="00F37C04">
        <w:rPr>
          <w:color w:val="auto"/>
        </w:rPr>
        <w:lastRenderedPageBreak/>
        <w:t xml:space="preserve">high education levels are more predisposed to having home-cooked meals than any other kind of meal. </w:t>
      </w:r>
    </w:p>
    <w:p w14:paraId="2B3F9F2A" w14:textId="77777777" w:rsidR="008549AD" w:rsidRPr="00F37C04" w:rsidRDefault="008549AD" w:rsidP="00D00A05">
      <w:pPr>
        <w:spacing w:after="0" w:line="276" w:lineRule="auto"/>
        <w:jc w:val="both"/>
      </w:pPr>
    </w:p>
    <w:p w14:paraId="57B94C0C" w14:textId="53E26BF9" w:rsidR="00D309D2" w:rsidRPr="00D00A05" w:rsidRDefault="00437AD8" w:rsidP="00D00A05">
      <w:pPr>
        <w:pStyle w:val="Heading2"/>
        <w:spacing w:after="0" w:line="276" w:lineRule="auto"/>
        <w:jc w:val="both"/>
        <w:rPr>
          <w:i w:val="0"/>
        </w:rPr>
      </w:pPr>
      <w:r w:rsidRPr="00D00A05">
        <w:rPr>
          <w:i w:val="0"/>
        </w:rPr>
        <w:t xml:space="preserve"> Th</w:t>
      </w:r>
      <w:r w:rsidR="009E2686" w:rsidRPr="00D00A05">
        <w:rPr>
          <w:i w:val="0"/>
        </w:rPr>
        <w:t>e Current</w:t>
      </w:r>
      <w:r w:rsidRPr="00D00A05">
        <w:rPr>
          <w:i w:val="0"/>
        </w:rPr>
        <w:t xml:space="preserve"> Study </w:t>
      </w:r>
    </w:p>
    <w:p w14:paraId="130C6383" w14:textId="010FEFBE" w:rsidR="00A130D6" w:rsidRPr="0081571B" w:rsidRDefault="001A1425" w:rsidP="00D00A05">
      <w:pPr>
        <w:spacing w:after="0" w:line="276" w:lineRule="auto"/>
        <w:jc w:val="both"/>
      </w:pPr>
      <w:r w:rsidRPr="00F37C04">
        <w:t>Earlier studies have provided important insights regarding N</w:t>
      </w:r>
      <w:r w:rsidR="009D141C">
        <w:t>HCM</w:t>
      </w:r>
      <w:r w:rsidRPr="00F37C04">
        <w:t xml:space="preserve"> behavior. </w:t>
      </w:r>
      <w:r w:rsidR="00A130D6" w:rsidRPr="00F37C04">
        <w:t>But m</w:t>
      </w:r>
      <w:r w:rsidR="005D70DD" w:rsidRPr="00F37C04">
        <w:t>ost studies focus on a singular channel for N</w:t>
      </w:r>
      <w:r w:rsidR="009D141C">
        <w:t>HCM</w:t>
      </w:r>
      <w:r w:rsidR="005D70DD" w:rsidRPr="00F37C04">
        <w:t>s, which do</w:t>
      </w:r>
      <w:r w:rsidR="00F15AB1">
        <w:t>es</w:t>
      </w:r>
      <w:r w:rsidR="005D70DD" w:rsidRPr="00F37C04">
        <w:t xml:space="preserve"> not </w:t>
      </w:r>
      <w:r w:rsidR="004037F6" w:rsidRPr="00F37C04">
        <w:t xml:space="preserve">capture </w:t>
      </w:r>
      <w:r w:rsidR="005D70DD" w:rsidRPr="00F37C04">
        <w:t xml:space="preserve">the potentially </w:t>
      </w:r>
      <w:r w:rsidR="004037F6" w:rsidRPr="00F37C04">
        <w:t xml:space="preserve">complex </w:t>
      </w:r>
      <w:r w:rsidR="005D70DD" w:rsidRPr="00F37C04">
        <w:t xml:space="preserve">interplay in </w:t>
      </w:r>
      <w:r w:rsidR="00EF2C96">
        <w:t xml:space="preserve">the </w:t>
      </w:r>
      <w:r w:rsidR="004037F6" w:rsidRPr="0081571B">
        <w:t xml:space="preserve">human decision-making process </w:t>
      </w:r>
      <w:r w:rsidR="005D70DD" w:rsidRPr="0081571B">
        <w:t xml:space="preserve">related to </w:t>
      </w:r>
      <w:r w:rsidR="004037F6" w:rsidRPr="0081571B">
        <w:t>eat</w:t>
      </w:r>
      <w:r w:rsidR="005D70DD" w:rsidRPr="00F37C04">
        <w:t>-</w:t>
      </w:r>
      <w:r w:rsidR="004037F6" w:rsidRPr="00F37C04">
        <w:t xml:space="preserve">out </w:t>
      </w:r>
      <w:r w:rsidR="005D70DD" w:rsidRPr="00F37C04">
        <w:t xml:space="preserve">and eat-in behaviors. The three studies </w:t>
      </w:r>
      <w:r w:rsidR="00B14475">
        <w:t>in</w:t>
      </w:r>
      <w:r w:rsidR="00F15AB1">
        <w:t xml:space="preserve"> Section</w:t>
      </w:r>
      <w:r w:rsidR="00B14475">
        <w:t xml:space="preserve"> </w:t>
      </w:r>
      <w:r w:rsidR="00F15AB1">
        <w:fldChar w:fldCharType="begin"/>
      </w:r>
      <w:r w:rsidR="00F15AB1">
        <w:instrText xml:space="preserve"> REF _Ref108195378 \r \h </w:instrText>
      </w:r>
      <w:r w:rsidR="00F15AB1">
        <w:fldChar w:fldCharType="separate"/>
      </w:r>
      <w:r w:rsidR="00C6188A">
        <w:t>2.3</w:t>
      </w:r>
      <w:r w:rsidR="00F15AB1">
        <w:fldChar w:fldCharType="end"/>
      </w:r>
      <w:r w:rsidR="00B14475">
        <w:t xml:space="preserve"> that </w:t>
      </w:r>
      <w:r w:rsidR="00F51A89">
        <w:t>investigate</w:t>
      </w:r>
      <w:r w:rsidR="005D70DD" w:rsidRPr="0081571B">
        <w:t xml:space="preserve"> more than one N</w:t>
      </w:r>
      <w:r w:rsidR="009D141C">
        <w:t>HCM</w:t>
      </w:r>
      <w:r w:rsidR="005D70DD" w:rsidRPr="0081571B">
        <w:t xml:space="preserve"> channel have all been undertaken before the pandemic, which has clearly shifted overall eat-out and eat-in behaviors. These </w:t>
      </w:r>
      <w:r w:rsidR="00EF2C96">
        <w:t xml:space="preserve">earlier </w:t>
      </w:r>
      <w:r w:rsidR="00B14475">
        <w:t xml:space="preserve">studies </w:t>
      </w:r>
      <w:r w:rsidR="005D70DD" w:rsidRPr="0081571B">
        <w:t>also use outcomes that are</w:t>
      </w:r>
      <w:r w:rsidR="00A130D6" w:rsidRPr="0081571B">
        <w:t xml:space="preserve"> </w:t>
      </w:r>
      <w:r w:rsidR="005D70DD" w:rsidRPr="0081571B">
        <w:t>relatively short-term (such as</w:t>
      </w:r>
      <w:r w:rsidR="00A130D6" w:rsidRPr="00F37C04">
        <w:t xml:space="preserve"> </w:t>
      </w:r>
      <w:r w:rsidR="005D70DD" w:rsidRPr="00F37C04">
        <w:t>week</w:t>
      </w:r>
      <w:r w:rsidR="00A130D6" w:rsidRPr="00F37C04">
        <w:t>ly behavior</w:t>
      </w:r>
      <w:r w:rsidR="005D70DD" w:rsidRPr="00F37C04">
        <w:t>) and</w:t>
      </w:r>
      <w:r w:rsidR="00EF2C96">
        <w:t xml:space="preserve"> are not always</w:t>
      </w:r>
      <w:r w:rsidR="005D70DD" w:rsidRPr="0081571B">
        <w:t xml:space="preserve"> coordinated </w:t>
      </w:r>
      <w:r w:rsidR="00A130D6" w:rsidRPr="0081571B">
        <w:t>on a uniform time</w:t>
      </w:r>
      <w:r w:rsidR="00F15AB1">
        <w:t xml:space="preserve"> </w:t>
      </w:r>
      <w:r w:rsidR="00A130D6" w:rsidRPr="0081571B">
        <w:t xml:space="preserve">scale </w:t>
      </w:r>
      <w:r w:rsidR="001A75F6" w:rsidRPr="00F37C04">
        <w:t>(</w:t>
      </w:r>
      <w:r w:rsidR="00A130D6" w:rsidRPr="00F37C04">
        <w:t xml:space="preserve">such </w:t>
      </w:r>
      <w:r w:rsidR="001A75F6" w:rsidRPr="00F37C04">
        <w:t>as a day for eat-out</w:t>
      </w:r>
      <w:r w:rsidR="00A130D6" w:rsidRPr="00F37C04">
        <w:t xml:space="preserve"> and </w:t>
      </w:r>
      <w:r w:rsidR="001A75F6" w:rsidRPr="00F37C04">
        <w:t>a week for eat-in behavior</w:t>
      </w:r>
      <w:r w:rsidR="00291D2D" w:rsidRPr="00F37C04">
        <w:t xml:space="preserve"> in Kim and Wang</w:t>
      </w:r>
      <w:r w:rsidR="00F15AB1">
        <w:t xml:space="preserve"> (2021)</w:t>
      </w:r>
      <w:r w:rsidR="00A130D6" w:rsidRPr="00F37C04">
        <w:t>, or a binary indicator of less than twice per week versus twice a week or more for eat-in but less than once per week versus once a week or more for eat-out</w:t>
      </w:r>
      <w:r w:rsidR="00291D2D" w:rsidRPr="00F37C04">
        <w:t xml:space="preserve"> in Mills et al</w:t>
      </w:r>
      <w:r w:rsidR="00AE0B06">
        <w:t>.</w:t>
      </w:r>
      <w:r w:rsidR="00F15AB1">
        <w:t xml:space="preserve"> (2018)</w:t>
      </w:r>
      <w:r w:rsidR="00A130D6" w:rsidRPr="00F37C04">
        <w:t>).</w:t>
      </w:r>
      <w:r w:rsidR="00291D2D" w:rsidRPr="00F37C04">
        <w:t xml:space="preserve"> </w:t>
      </w:r>
      <w:r w:rsidR="00084E35">
        <w:t>Besides, unlike Dias et al</w:t>
      </w:r>
      <w:r w:rsidR="00AE0B06">
        <w:t>.</w:t>
      </w:r>
      <w:r w:rsidR="00084E35">
        <w:t xml:space="preserve"> </w:t>
      </w:r>
      <w:r w:rsidR="00F15AB1">
        <w:t xml:space="preserve">(2020) </w:t>
      </w:r>
      <w:r w:rsidR="00084E35">
        <w:t>and Kim and Wang</w:t>
      </w:r>
      <w:r w:rsidR="00F15AB1">
        <w:t xml:space="preserve"> (2021)</w:t>
      </w:r>
      <w:r w:rsidR="00084E35">
        <w:t>, we disaggregate eat-in into “delivery” and “takeout”, and unlike Mills et al.</w:t>
      </w:r>
      <w:r w:rsidR="00F15AB1">
        <w:t xml:space="preserve"> (2018)</w:t>
      </w:r>
      <w:r w:rsidR="00084E35">
        <w:t>, we examine all the N</w:t>
      </w:r>
      <w:r w:rsidR="009D141C">
        <w:t>HCM</w:t>
      </w:r>
      <w:r w:rsidR="00084E35">
        <w:t xml:space="preserve"> channels jointly with attention to the interplay among the channels. </w:t>
      </w:r>
    </w:p>
    <w:p w14:paraId="29EC0975" w14:textId="7101482C" w:rsidR="00291D2D" w:rsidRPr="00F37C04" w:rsidRDefault="00084E35" w:rsidP="00D00A05">
      <w:pPr>
        <w:spacing w:after="0" w:line="276" w:lineRule="auto"/>
        <w:ind w:firstLine="720"/>
        <w:jc w:val="both"/>
      </w:pPr>
      <w:r>
        <w:t>Overall, i</w:t>
      </w:r>
      <w:r w:rsidR="00A130D6" w:rsidRPr="0081571B">
        <w:t>n the current study, a first to our knowledge in the field after the onset of COVID, we use a monthly timeframe for analysis, with a consistent temporal scale across the N</w:t>
      </w:r>
      <w:r w:rsidR="009D141C">
        <w:t>HCM</w:t>
      </w:r>
      <w:r w:rsidR="00A130D6" w:rsidRPr="0081571B">
        <w:t xml:space="preserve"> channels</w:t>
      </w:r>
      <w:r w:rsidR="00A130D6" w:rsidRPr="00F37C04">
        <w:t>. Further, to do away with the ambiguity that may arise in reporting and analysis, we specifically ask respondents about N</w:t>
      </w:r>
      <w:r w:rsidR="009D141C">
        <w:t>HCM</w:t>
      </w:r>
      <w:r w:rsidR="00A130D6" w:rsidRPr="00F37C04">
        <w:t xml:space="preserve"> behavior related to dinner meals on weekdays</w:t>
      </w:r>
      <w:r w:rsidR="00970935" w:rsidRPr="00F37C04">
        <w:t>.</w:t>
      </w:r>
      <w:r w:rsidRPr="008A3FBC">
        <w:rPr>
          <w:rStyle w:val="FootnoteReference"/>
        </w:rPr>
        <w:footnoteReference w:id="4"/>
      </w:r>
      <w:r w:rsidR="00970935" w:rsidRPr="0081571B">
        <w:t xml:space="preserve"> </w:t>
      </w:r>
      <w:r w:rsidR="00A130D6" w:rsidRPr="00F37C04">
        <w:t xml:space="preserve">Specifically, our outcomes correspond to </w:t>
      </w:r>
      <w:r w:rsidR="00291D2D" w:rsidRPr="00F37C04">
        <w:t xml:space="preserve">the following:  </w:t>
      </w:r>
    </w:p>
    <w:p w14:paraId="39F45F0E" w14:textId="0274174F" w:rsidR="00B67FB3" w:rsidRPr="00F37C04" w:rsidRDefault="00B67FB3" w:rsidP="00D00A05">
      <w:pPr>
        <w:pStyle w:val="ListParagraph"/>
        <w:numPr>
          <w:ilvl w:val="0"/>
          <w:numId w:val="5"/>
        </w:numPr>
        <w:spacing w:after="0" w:line="276" w:lineRule="auto"/>
        <w:jc w:val="both"/>
      </w:pPr>
      <w:r w:rsidRPr="00F37C04">
        <w:t>Count of weekday</w:t>
      </w:r>
      <w:r w:rsidR="002D12A1">
        <w:t>s</w:t>
      </w:r>
      <w:r w:rsidRPr="00F37C04">
        <w:t xml:space="preserve"> </w:t>
      </w:r>
      <w:r w:rsidR="002D12A1">
        <w:t xml:space="preserve">with an </w:t>
      </w:r>
      <w:r w:rsidRPr="00F37C04">
        <w:t>eat-out dinner occurrence in the last month (eat-out)</w:t>
      </w:r>
    </w:p>
    <w:p w14:paraId="5F33974F" w14:textId="3AAEF31D" w:rsidR="00291D2D" w:rsidRPr="00F37C04" w:rsidRDefault="00291D2D" w:rsidP="00D00A05">
      <w:pPr>
        <w:pStyle w:val="ListParagraph"/>
        <w:numPr>
          <w:ilvl w:val="0"/>
          <w:numId w:val="5"/>
        </w:numPr>
        <w:spacing w:after="0" w:line="276" w:lineRule="auto"/>
        <w:jc w:val="both"/>
      </w:pPr>
      <w:r w:rsidRPr="00F37C04">
        <w:t xml:space="preserve">Count of </w:t>
      </w:r>
      <w:r w:rsidR="009A2F28" w:rsidRPr="00F37C04">
        <w:t>weekday</w:t>
      </w:r>
      <w:r w:rsidR="002D12A1">
        <w:t>s</w:t>
      </w:r>
      <w:r w:rsidR="009A2F28" w:rsidRPr="00F37C04">
        <w:t xml:space="preserve"> </w:t>
      </w:r>
      <w:r w:rsidR="002D12A1">
        <w:t xml:space="preserve">with a </w:t>
      </w:r>
      <w:r w:rsidRPr="00F37C04">
        <w:t>takeout dinner occurrence in the last month (eat-in takeout)</w:t>
      </w:r>
    </w:p>
    <w:p w14:paraId="59408851" w14:textId="0514BCE0" w:rsidR="00291D2D" w:rsidRPr="00F37C04" w:rsidRDefault="00291D2D" w:rsidP="00D00A05">
      <w:pPr>
        <w:pStyle w:val="ListParagraph"/>
        <w:numPr>
          <w:ilvl w:val="0"/>
          <w:numId w:val="5"/>
        </w:numPr>
        <w:spacing w:after="0" w:line="276" w:lineRule="auto"/>
        <w:jc w:val="both"/>
      </w:pPr>
      <w:r w:rsidRPr="00F37C04">
        <w:t xml:space="preserve">Count of </w:t>
      </w:r>
      <w:r w:rsidR="009A2F28" w:rsidRPr="00F37C04">
        <w:t>weekday</w:t>
      </w:r>
      <w:r w:rsidR="002D12A1">
        <w:t>s</w:t>
      </w:r>
      <w:r w:rsidR="009A2F28" w:rsidRPr="00F37C04">
        <w:t xml:space="preserve"> </w:t>
      </w:r>
      <w:r w:rsidR="002D12A1">
        <w:t xml:space="preserve">with a </w:t>
      </w:r>
      <w:r w:rsidRPr="00F37C04">
        <w:t xml:space="preserve">food delivery </w:t>
      </w:r>
      <w:r w:rsidR="009A2F28" w:rsidRPr="00F37C04">
        <w:t xml:space="preserve">dinner </w:t>
      </w:r>
      <w:r w:rsidRPr="00F37C04">
        <w:t>occurrence in the last month (eat-in delivery)</w:t>
      </w:r>
    </w:p>
    <w:p w14:paraId="50A37555" w14:textId="7D9B99CD" w:rsidR="00F70785" w:rsidRDefault="00291D2D" w:rsidP="00D00A05">
      <w:pPr>
        <w:spacing w:after="0" w:line="276" w:lineRule="auto"/>
        <w:jc w:val="both"/>
      </w:pPr>
      <w:r w:rsidRPr="00F37C04">
        <w:t xml:space="preserve">The uniformity in scale and the direct use of counts as the dependent variables </w:t>
      </w:r>
      <w:r w:rsidR="009A2F28" w:rsidRPr="00F37C04">
        <w:t xml:space="preserve">(as opposed to </w:t>
      </w:r>
      <w:r w:rsidR="00084E35">
        <w:t xml:space="preserve">the </w:t>
      </w:r>
      <w:r w:rsidR="009A2F28" w:rsidRPr="00A14066">
        <w:t>u</w:t>
      </w:r>
      <w:r w:rsidR="00084E35" w:rsidRPr="00A14066">
        <w:t>se</w:t>
      </w:r>
      <w:r w:rsidR="009A2F28" w:rsidRPr="00A14066">
        <w:t xml:space="preserve"> </w:t>
      </w:r>
      <w:r w:rsidR="00084E35" w:rsidRPr="00A14066">
        <w:t xml:space="preserve">of </w:t>
      </w:r>
      <w:r w:rsidR="009A2F28" w:rsidRPr="00A14066">
        <w:t>an ordinal scale or a binary scale</w:t>
      </w:r>
      <w:r w:rsidR="00084E35" w:rsidRPr="00A14066">
        <w:t xml:space="preserve"> in previous studies</w:t>
      </w:r>
      <w:r w:rsidR="009A2F28" w:rsidRPr="00A14066">
        <w:t xml:space="preserve">) </w:t>
      </w:r>
      <w:r w:rsidR="00084E35" w:rsidRPr="00A14066">
        <w:t xml:space="preserve">facilitates a </w:t>
      </w:r>
      <w:r w:rsidR="009A2F28" w:rsidRPr="00A14066">
        <w:t xml:space="preserve">more accurate picture of substitution and complementarity effects in </w:t>
      </w:r>
      <w:r w:rsidR="008230A0" w:rsidRPr="00A14066">
        <w:t xml:space="preserve">activity behavior </w:t>
      </w:r>
      <w:r w:rsidR="009A2F28" w:rsidRPr="00A14066">
        <w:t>for weekday dinner N</w:t>
      </w:r>
      <w:r w:rsidR="009D141C">
        <w:t>HCM</w:t>
      </w:r>
      <w:r w:rsidR="009A2F28" w:rsidRPr="00A14066">
        <w:t xml:space="preserve">s. Also, to be noted is that, in our joint model, the count of home-cooked meals is implicit, and arises as a zero count in all the three channels identified above. </w:t>
      </w:r>
      <w:r w:rsidR="00865092" w:rsidRPr="00A14066">
        <w:t xml:space="preserve">Other salient aspects of our study are as follows. </w:t>
      </w:r>
      <w:r w:rsidR="00A14066" w:rsidRPr="00A14066">
        <w:rPr>
          <w:u w:val="single"/>
        </w:rPr>
        <w:t>First</w:t>
      </w:r>
      <w:r w:rsidR="00A14066" w:rsidRPr="00A14066">
        <w:t>, we use a joint multivariate ordinal-response modeling approach, which is particularly suited for the current analysis because the count values for each N</w:t>
      </w:r>
      <w:r w:rsidR="009D141C">
        <w:t>HCM</w:t>
      </w:r>
      <w:r w:rsidR="00A14066" w:rsidRPr="00A14066">
        <w:t xml:space="preserve"> channel are </w:t>
      </w:r>
      <w:r w:rsidR="00A14066" w:rsidRPr="00A14066">
        <w:lastRenderedPageBreak/>
        <w:t>capped in a way that the sum of the count values across all N</w:t>
      </w:r>
      <w:r w:rsidR="009D141C">
        <w:t>HCM</w:t>
      </w:r>
      <w:r w:rsidR="00A14066" w:rsidRPr="00A14066">
        <w:t xml:space="preserve"> channels cannot exceed the number of weekdays in the month (which we assumed to be 22 days, based on the survey responses we received where the maximum of the sum was 22 da</w:t>
      </w:r>
      <w:r w:rsidR="00A14066" w:rsidRPr="00420E62">
        <w:t>ys</w:t>
      </w:r>
      <w:r w:rsidR="00F51A89">
        <w:t>)</w:t>
      </w:r>
      <w:r w:rsidR="00A14066" w:rsidRPr="00420E62">
        <w:t>.</w:t>
      </w:r>
      <w:r w:rsidR="00420E62" w:rsidRPr="00420E62">
        <w:rPr>
          <w:rStyle w:val="FootnoteReference"/>
        </w:rPr>
        <w:footnoteReference w:id="5"/>
      </w:r>
      <w:r w:rsidR="00420E62" w:rsidRPr="00420E62">
        <w:t xml:space="preserve"> </w:t>
      </w:r>
      <w:bookmarkStart w:id="24" w:name="_Hlk119836146"/>
      <w:r w:rsidR="009E2686" w:rsidRPr="00420E62">
        <w:rPr>
          <w:u w:val="single"/>
        </w:rPr>
        <w:t>Second</w:t>
      </w:r>
      <w:r w:rsidR="009E2686" w:rsidRPr="0081571B">
        <w:t xml:space="preserve">, through our joint modeling, we are able to control for unobserved factors that lead to associations among the counts of the three channels before estimating any </w:t>
      </w:r>
      <w:r w:rsidR="00254631" w:rsidRPr="00F37C04">
        <w:t xml:space="preserve">substitution/complementary </w:t>
      </w:r>
      <w:r w:rsidR="009E2686" w:rsidRPr="00F37C04">
        <w:t xml:space="preserve">effects of one channel on another. </w:t>
      </w:r>
      <w:r w:rsidR="00254631" w:rsidRPr="00F37C04">
        <w:t>For example, if an individual is a Foodie (has an ardent and refined interest in food, and variety in food), they may be pre-disposed to consuming N</w:t>
      </w:r>
      <w:r w:rsidR="009D141C">
        <w:t>HCM</w:t>
      </w:r>
      <w:r w:rsidR="00254631" w:rsidRPr="00F37C04">
        <w:t xml:space="preserve">s through all three channels. A methodology that ignores the resulting correlation due </w:t>
      </w:r>
      <w:r w:rsidR="00F15AB1">
        <w:t xml:space="preserve">to </w:t>
      </w:r>
      <w:r w:rsidR="00254631" w:rsidRPr="00F37C04">
        <w:t>this individual unobserved factor (being a foodie), and simply introduces eat-in delivery count as an explanatory variable for eat-out count (or vice versa)</w:t>
      </w:r>
      <w:r w:rsidR="00375309">
        <w:t>,</w:t>
      </w:r>
      <w:r w:rsidR="00254631" w:rsidRPr="00F37C04">
        <w:t xml:space="preserve"> would overestimate the complementary effect between these two channels of participation, while our methodology that controls for such correlation would estimate the “uncorrupted</w:t>
      </w:r>
      <w:r w:rsidR="00DA2BCB" w:rsidRPr="00F37C04">
        <w:t xml:space="preserve"> true causal”</w:t>
      </w:r>
      <w:r w:rsidR="00254631" w:rsidRPr="00F37C04">
        <w:t xml:space="preserve"> complementary/substitution effects across channels. </w:t>
      </w:r>
      <w:r w:rsidR="00380C81" w:rsidRPr="00DB3868">
        <w:rPr>
          <w:u w:val="single"/>
        </w:rPr>
        <w:t>Third</w:t>
      </w:r>
      <w:r w:rsidR="00380C81" w:rsidRPr="0081571B">
        <w:t xml:space="preserve">, </w:t>
      </w:r>
      <w:r w:rsidR="009B6024" w:rsidRPr="0081571B">
        <w:t xml:space="preserve">in joint limited dependent variable models, </w:t>
      </w:r>
      <w:r w:rsidR="009B6024" w:rsidRPr="00F37C04">
        <w:t xml:space="preserve">only recursive effects of one endogenous observed variable on the underlying propensity of another endogenous variable </w:t>
      </w:r>
      <w:r w:rsidR="00F15AB1">
        <w:t>are</w:t>
      </w:r>
      <w:r w:rsidR="009B6024" w:rsidRPr="00F37C04">
        <w:t xml:space="preserve"> allowed, due to logical consistency considerations (see Bhat, 2015 for a detailed discussion). Thus, as part of our joint count system, we estimate alternative directions of recursivity among the three count outcomes (for a total of </w:t>
      </w:r>
      <w:r w:rsidR="00D76210">
        <w:t xml:space="preserve">six </w:t>
      </w:r>
      <w:r w:rsidR="009B6024" w:rsidRPr="00F37C04">
        <w:t>possible recursive configurations) and obtain the one that outperforms the others based on data fit considerations (more on this</w:t>
      </w:r>
      <w:r w:rsidR="00F15AB1">
        <w:t xml:space="preserve"> in Section </w:t>
      </w:r>
      <w:r w:rsidR="00F15AB1">
        <w:fldChar w:fldCharType="begin"/>
      </w:r>
      <w:r w:rsidR="00F15AB1">
        <w:instrText xml:space="preserve"> REF _Ref108195851 \r \h </w:instrText>
      </w:r>
      <w:r w:rsidR="00F15AB1">
        <w:fldChar w:fldCharType="separate"/>
      </w:r>
      <w:r w:rsidR="00C6188A">
        <w:t>3.3</w:t>
      </w:r>
      <w:r w:rsidR="00F15AB1">
        <w:fldChar w:fldCharType="end"/>
      </w:r>
      <w:r w:rsidR="009B6024" w:rsidRPr="00F37C04">
        <w:t>). The final recursive configuration provides important insights into the pathway effects of substitution and complementarity across the three N</w:t>
      </w:r>
      <w:r w:rsidR="009D141C">
        <w:t>HCM</w:t>
      </w:r>
      <w:r w:rsidR="009B6024" w:rsidRPr="00F37C04">
        <w:t xml:space="preserve"> channels.</w:t>
      </w:r>
      <w:r w:rsidR="009B6024" w:rsidRPr="008A3FBC">
        <w:rPr>
          <w:rStyle w:val="FootnoteReference"/>
        </w:rPr>
        <w:footnoteReference w:id="6"/>
      </w:r>
      <w:r w:rsidR="009B6024" w:rsidRPr="0081571B">
        <w:t xml:space="preserve"> </w:t>
      </w:r>
      <w:bookmarkEnd w:id="24"/>
      <w:r w:rsidR="00181F8E" w:rsidRPr="00F37C04">
        <w:rPr>
          <w:u w:val="single"/>
        </w:rPr>
        <w:t>Fourth</w:t>
      </w:r>
      <w:r w:rsidR="00254631" w:rsidRPr="00F37C04">
        <w:t xml:space="preserve">, </w:t>
      </w:r>
      <w:r w:rsidR="00865092" w:rsidRPr="00F37C04">
        <w:t xml:space="preserve">in addition to </w:t>
      </w:r>
      <w:r w:rsidR="00C04088" w:rsidRPr="00F37C04">
        <w:t>individual and household attributes</w:t>
      </w:r>
      <w:r w:rsidR="00865092" w:rsidRPr="00F37C04">
        <w:t xml:space="preserve"> that have been considered in earlier consumer-level studies related to N</w:t>
      </w:r>
      <w:r w:rsidR="009D141C">
        <w:t>HCM</w:t>
      </w:r>
      <w:r w:rsidR="00865092" w:rsidRPr="00F37C04">
        <w:t>s</w:t>
      </w:r>
      <w:r w:rsidR="00C04088" w:rsidRPr="00F37C04">
        <w:t xml:space="preserve">, </w:t>
      </w:r>
      <w:r w:rsidR="00865092" w:rsidRPr="00F37C04">
        <w:t xml:space="preserve">we also include a richer set of </w:t>
      </w:r>
      <w:r w:rsidR="00C250B9" w:rsidRPr="00F37C04">
        <w:t xml:space="preserve">residential zip-coded </w:t>
      </w:r>
      <w:r w:rsidR="00865092" w:rsidRPr="00F37C04">
        <w:t xml:space="preserve">built environment variables (including </w:t>
      </w:r>
      <w:r w:rsidR="00F15AB1">
        <w:t xml:space="preserve">the </w:t>
      </w:r>
      <w:r w:rsidR="00865092" w:rsidRPr="00F37C04">
        <w:t xml:space="preserve">density of residential location, land-use mix, </w:t>
      </w:r>
      <w:r w:rsidR="00C250B9" w:rsidRPr="00F37C04">
        <w:t xml:space="preserve">number of restaurants </w:t>
      </w:r>
      <w:r w:rsidR="00C250B9" w:rsidRPr="0081571B">
        <w:t xml:space="preserve">per capita, </w:t>
      </w:r>
      <w:r w:rsidR="00865092" w:rsidRPr="0081571B">
        <w:t xml:space="preserve">and </w:t>
      </w:r>
      <w:r w:rsidR="00EC185A">
        <w:t xml:space="preserve">fraction of </w:t>
      </w:r>
      <w:r w:rsidR="00893D08">
        <w:t>fast food restaurants</w:t>
      </w:r>
      <w:r w:rsidR="00C250B9" w:rsidRPr="0081571B">
        <w:t xml:space="preserve">). Such </w:t>
      </w:r>
      <w:r w:rsidR="00C250B9" w:rsidRPr="00F37C04">
        <w:t xml:space="preserve">built environment factors reflect accessibility conditions, exposure opportunities, and the food environment, which </w:t>
      </w:r>
      <w:r w:rsidR="007A2962" w:rsidRPr="00F37C04">
        <w:t xml:space="preserve">have been shown in the past to be </w:t>
      </w:r>
      <w:r w:rsidR="00C250B9" w:rsidRPr="00F37C04">
        <w:t xml:space="preserve">important determinants of </w:t>
      </w:r>
      <w:r w:rsidR="007A2962" w:rsidRPr="00F37C04">
        <w:t xml:space="preserve">delivery-based </w:t>
      </w:r>
      <w:r w:rsidR="00C250B9" w:rsidRPr="00F37C04">
        <w:t xml:space="preserve">food consumption </w:t>
      </w:r>
      <w:r w:rsidR="007A2962" w:rsidRPr="00F37C04">
        <w:t xml:space="preserve">and general out-of-home activity participation </w:t>
      </w:r>
      <w:r w:rsidR="00C250B9" w:rsidRPr="00F37C04">
        <w:t xml:space="preserve">decisions </w:t>
      </w:r>
      <w:bookmarkStart w:id="26" w:name="_Hlk109725064"/>
      <w:r w:rsidR="00C250B9" w:rsidRPr="0081571B">
        <w:fldChar w:fldCharType="begin"/>
      </w:r>
      <w:r w:rsidR="00B44216">
        <w:instrText xml:space="preserve"> ADDIN ZOTERO_ITEM CSL_CITATION {"citationID":"50gBNbTT","properties":{"formattedCitation":"(Lee et al., 2017; Wang &amp; He, 2021)","plainCitation":"(Lee et al., 2017; Wang &amp; He, 2021)","dontUpdate":true,"noteIndex":0},"citationItems":[{"id":632,"uris":["http://zotero.org/users/9292995/items/9TL72LJG"],"itemData":{"id":632,"type":"article-journal","container-title":"Journal of Transport &amp; Health","ISSN":"2214-1405","journalAbbreviation":"Journal of Transport &amp; Health","note":"publisher: Elsevier","page":"134-148","title":"Potential of converting short car trips to active trips: the role of the built environment in tour-based travel","volume":"7","author":[{"family":"Lee","given":"Jeongwoo"},{"family":"He","given":"Sylvia Y"},{"family":"Sohn","given":"Dong Wook"}],"issued":{"date-parts":[["2017"]]}}},{"id":567,"uris":["http://zotero.org/users/9292995/items/KHVQIZVU"],"itemData":{"id":567,"type":"article-journal","container-title":"Transportation Research Part D: Transport and Environment","ISSN":"1361-9209","journalAbbreviation":"Transportation Research Part D: Transport and Environment","note":"publisher: Elsevier","page":"103017","title":"Impacts of food accessibility and built environment on on-demand food delivery usage","volume":"100","author":[{"family":"Wang","given":"Zhenzhen"},{"family":"He","given":"Sylvia Y"}],"issued":{"date-parts":[["2021"]]}}}],"schema":"https://github.com/citation-style-language/schema/raw/master/csl-citation.json"} </w:instrText>
      </w:r>
      <w:r w:rsidR="00C250B9" w:rsidRPr="0081571B">
        <w:fldChar w:fldCharType="separate"/>
      </w:r>
      <w:r w:rsidR="00C250B9" w:rsidRPr="0081571B">
        <w:t>(</w:t>
      </w:r>
      <w:r w:rsidR="007A2962" w:rsidRPr="0081571B">
        <w:t xml:space="preserve">see, for example, </w:t>
      </w:r>
      <w:r w:rsidR="00C250B9" w:rsidRPr="0081571B">
        <w:t>Lee et al., 2017</w:t>
      </w:r>
      <w:r w:rsidR="00F15AB1">
        <w:t>,</w:t>
      </w:r>
      <w:r w:rsidR="007A2962" w:rsidRPr="0081571B">
        <w:t xml:space="preserve"> a</w:t>
      </w:r>
      <w:r w:rsidR="007A2962" w:rsidRPr="00F37C04">
        <w:t xml:space="preserve">nd </w:t>
      </w:r>
      <w:r w:rsidR="00C250B9" w:rsidRPr="00F37C04">
        <w:t xml:space="preserve">Wang </w:t>
      </w:r>
      <w:r w:rsidR="00F15AB1">
        <w:t>and</w:t>
      </w:r>
      <w:r w:rsidR="00C250B9" w:rsidRPr="00F37C04">
        <w:t xml:space="preserve"> He, 2021)</w:t>
      </w:r>
      <w:r w:rsidR="00C250B9" w:rsidRPr="0081571B">
        <w:fldChar w:fldCharType="end"/>
      </w:r>
      <w:r w:rsidR="00C250B9" w:rsidRPr="0081571B">
        <w:t xml:space="preserve">. </w:t>
      </w:r>
      <w:bookmarkEnd w:id="26"/>
      <w:r w:rsidR="00C250B9" w:rsidRPr="0081571B">
        <w:t>By including these variables</w:t>
      </w:r>
      <w:r w:rsidR="007A2962" w:rsidRPr="0081571B">
        <w:t xml:space="preserve"> within our joint model of different N</w:t>
      </w:r>
      <w:r w:rsidR="009D141C">
        <w:t>HCM</w:t>
      </w:r>
      <w:r w:rsidR="007A2962" w:rsidRPr="0081571B">
        <w:t xml:space="preserve"> channels, </w:t>
      </w:r>
      <w:r w:rsidR="007A2962" w:rsidRPr="0081571B">
        <w:lastRenderedPageBreak/>
        <w:t>we are better able to understand how the bu</w:t>
      </w:r>
      <w:r w:rsidR="007A2962" w:rsidRPr="00F37C04">
        <w:t xml:space="preserve">ilt environment affects different channels </w:t>
      </w:r>
      <w:r w:rsidR="00A50235" w:rsidRPr="00F37C04">
        <w:t>of N</w:t>
      </w:r>
      <w:r w:rsidR="009D141C">
        <w:t>HCM</w:t>
      </w:r>
      <w:r w:rsidR="00A50235" w:rsidRPr="00F37C04">
        <w:t xml:space="preserve"> participation</w:t>
      </w:r>
      <w:r w:rsidR="0097441E">
        <w:t xml:space="preserve">. </w:t>
      </w:r>
      <w:r w:rsidR="00A50235" w:rsidRPr="00DB3868">
        <w:rPr>
          <w:u w:val="single"/>
        </w:rPr>
        <w:t>Fifth</w:t>
      </w:r>
      <w:r w:rsidR="003F2D34" w:rsidRPr="0081571B">
        <w:t xml:space="preserve">, to our knowledge, this is the first study to </w:t>
      </w:r>
      <w:r w:rsidR="002572D6" w:rsidRPr="00F37C04">
        <w:t>evaluate the effect</w:t>
      </w:r>
      <w:r w:rsidR="00A50235" w:rsidRPr="00F37C04">
        <w:t xml:space="preserve"> </w:t>
      </w:r>
      <w:r w:rsidR="002572D6" w:rsidRPr="00F37C04">
        <w:t>of work</w:t>
      </w:r>
      <w:r w:rsidR="003F2D34" w:rsidRPr="00F37C04">
        <w:t xml:space="preserve">place location </w:t>
      </w:r>
      <w:r w:rsidR="00F51A89">
        <w:t xml:space="preserve">choice </w:t>
      </w:r>
      <w:r w:rsidR="00F51A89" w:rsidRPr="00F37C04">
        <w:t>(that is itself witnessing change through the pandemic</w:t>
      </w:r>
      <w:r w:rsidR="00F51A89">
        <w:t>; see Asmussen et al., 2022</w:t>
      </w:r>
      <w:r w:rsidR="00F51A89" w:rsidRPr="00F37C04">
        <w:t xml:space="preserve">) </w:t>
      </w:r>
      <w:r w:rsidR="003F2D34" w:rsidRPr="00F37C04">
        <w:t>and</w:t>
      </w:r>
      <w:r w:rsidR="002572D6" w:rsidRPr="00F37C04">
        <w:t xml:space="preserve"> an individual’s perception </w:t>
      </w:r>
      <w:r w:rsidR="00AB4A5D" w:rsidRPr="00F37C04">
        <w:t>of</w:t>
      </w:r>
      <w:r w:rsidR="002572D6" w:rsidRPr="00F37C04">
        <w:t xml:space="preserve"> the risk of COVID-19</w:t>
      </w:r>
      <w:r w:rsidR="00F51A89" w:rsidRPr="00F51A89">
        <w:t xml:space="preserve"> </w:t>
      </w:r>
      <w:r w:rsidR="00F51A89" w:rsidRPr="00F37C04">
        <w:t>on N</w:t>
      </w:r>
      <w:r w:rsidR="009D141C">
        <w:t>HCM</w:t>
      </w:r>
      <w:r w:rsidR="00F51A89" w:rsidRPr="00F37C04">
        <w:t xml:space="preserve"> activity</w:t>
      </w:r>
      <w:r w:rsidR="002572D6" w:rsidRPr="00F37C04">
        <w:t>.</w:t>
      </w:r>
      <w:r w:rsidR="003F2D34" w:rsidRPr="00F37C04">
        <w:t xml:space="preserve"> </w:t>
      </w:r>
      <w:r w:rsidR="00A50235" w:rsidRPr="00F37C04">
        <w:t xml:space="preserve">On the latter </w:t>
      </w:r>
      <w:r w:rsidR="00991B55" w:rsidRPr="00F37C04">
        <w:t>point</w:t>
      </w:r>
      <w:r w:rsidR="003F2D34" w:rsidRPr="00F37C04">
        <w:t xml:space="preserve">, </w:t>
      </w:r>
      <w:r w:rsidR="00A50235" w:rsidRPr="00F37C04">
        <w:t xml:space="preserve">we </w:t>
      </w:r>
      <w:r w:rsidR="003F2D34" w:rsidRPr="00F37C04">
        <w:t xml:space="preserve">include variables </w:t>
      </w:r>
      <w:r w:rsidR="00F54936" w:rsidRPr="00F37C04">
        <w:t>related to</w:t>
      </w:r>
      <w:r w:rsidR="003F2D34" w:rsidRPr="00F37C04">
        <w:t xml:space="preserve"> risk </w:t>
      </w:r>
      <w:r w:rsidR="00F54936" w:rsidRPr="00F37C04">
        <w:t xml:space="preserve">perceptions </w:t>
      </w:r>
      <w:r w:rsidR="003F2D34" w:rsidRPr="00F37C04">
        <w:t>of the COVID-19 virus on an individual’s personal well-being as well as the well-being of their loved ones</w:t>
      </w:r>
      <w:r w:rsidR="006825CE">
        <w:t xml:space="preserve">. </w:t>
      </w:r>
    </w:p>
    <w:p w14:paraId="579D6BA4" w14:textId="77777777" w:rsidR="0089432E" w:rsidRDefault="0089432E" w:rsidP="00D00A05">
      <w:pPr>
        <w:spacing w:after="0" w:line="276" w:lineRule="auto"/>
        <w:jc w:val="both"/>
      </w:pPr>
    </w:p>
    <w:p w14:paraId="3FDE835F" w14:textId="52A5DB4E" w:rsidR="00437AD8" w:rsidRDefault="00D52C17" w:rsidP="00D00A05">
      <w:pPr>
        <w:pStyle w:val="Heading1"/>
      </w:pPr>
      <w:r>
        <w:t>METHODOLOGY</w:t>
      </w:r>
    </w:p>
    <w:p w14:paraId="5662B37E" w14:textId="77777777" w:rsidR="00437AD8" w:rsidRPr="00D00A05" w:rsidRDefault="00437AD8" w:rsidP="00D00A05">
      <w:pPr>
        <w:pStyle w:val="Heading2"/>
        <w:spacing w:after="0" w:line="276" w:lineRule="auto"/>
        <w:rPr>
          <w:i w:val="0"/>
        </w:rPr>
      </w:pPr>
      <w:r w:rsidRPr="00D00A05">
        <w:rPr>
          <w:i w:val="0"/>
        </w:rPr>
        <w:t xml:space="preserve"> The Survey</w:t>
      </w:r>
    </w:p>
    <w:p w14:paraId="65C7ED91" w14:textId="466E8F32" w:rsidR="00151ABD" w:rsidRDefault="00437AD8" w:rsidP="00D00A05">
      <w:pPr>
        <w:spacing w:after="0" w:line="276" w:lineRule="auto"/>
        <w:jc w:val="both"/>
      </w:pPr>
      <w:r>
        <w:t xml:space="preserve">The primary data </w:t>
      </w:r>
      <w:r w:rsidR="00057964">
        <w:t>for our current study</w:t>
      </w:r>
      <w:r>
        <w:t xml:space="preserve"> is </w:t>
      </w:r>
      <w:r w:rsidR="00057964">
        <w:t>drawn from</w:t>
      </w:r>
      <w:r>
        <w:t xml:space="preserve"> a Qualtrics-based revealed preference (RP) </w:t>
      </w:r>
      <w:r w:rsidR="00040BF4">
        <w:t xml:space="preserve">online </w:t>
      </w:r>
      <w:r>
        <w:t>survey, deployed across Texas, U.S.</w:t>
      </w:r>
      <w:r w:rsidR="00151ABD">
        <w:t>,</w:t>
      </w:r>
      <w:r>
        <w:t xml:space="preserve"> in February-March 2022.</w:t>
      </w:r>
      <w:r w:rsidR="00057964">
        <w:t xml:space="preserve"> </w:t>
      </w:r>
      <w:r w:rsidR="00040BF4">
        <w:t xml:space="preserve">Before the final survey deployment, multiple rounds and subsequent revisions were undertaken through pilot survey efforts with a sample of friends, coworkers, and other members of the Austin community. The final administration for data collection, coordinated with the Texas Department of Transportation, involved a suite of </w:t>
      </w:r>
      <w:r w:rsidR="00040BF4" w:rsidRPr="00E12BCB">
        <w:t xml:space="preserve">communication and information recruitment strategies, including promotion via e-mail to several chambers of commerce across the state of Texas, alongside other businesses, professional organizations, and media outlets, as well as a database of roughly 55,000 Texas residents’ email addresses. Survey access was restricted to </w:t>
      </w:r>
      <w:r w:rsidR="00040BF4">
        <w:t xml:space="preserve">individuals who were </w:t>
      </w:r>
      <w:r w:rsidR="00040BF4" w:rsidRPr="00E12BCB">
        <w:t>reside</w:t>
      </w:r>
      <w:r w:rsidR="00040BF4">
        <w:t xml:space="preserve">nts of </w:t>
      </w:r>
      <w:r w:rsidR="00040BF4" w:rsidRPr="00E12BCB">
        <w:t>the state of Texas</w:t>
      </w:r>
      <w:r w:rsidR="00040BF4">
        <w:t xml:space="preserve"> at the time of the survey</w:t>
      </w:r>
      <w:r w:rsidR="00040BF4" w:rsidRPr="00E12BCB">
        <w:t>.</w:t>
      </w:r>
    </w:p>
    <w:p w14:paraId="1D9AC4C1" w14:textId="7B021D5B" w:rsidR="00FE41D9" w:rsidRDefault="00437AD8" w:rsidP="00D00A05">
      <w:pPr>
        <w:spacing w:after="0" w:line="276" w:lineRule="auto"/>
        <w:ind w:firstLine="720"/>
        <w:jc w:val="both"/>
      </w:pPr>
      <w:r>
        <w:t xml:space="preserve">A total of </w:t>
      </w:r>
      <w:r w:rsidR="00EE396B">
        <w:t>over 1</w:t>
      </w:r>
      <w:r w:rsidR="008467CE">
        <w:t>,</w:t>
      </w:r>
      <w:r w:rsidR="005355CB">
        <w:t>479</w:t>
      </w:r>
      <w:r w:rsidR="00EE396B">
        <w:t xml:space="preserve"> </w:t>
      </w:r>
      <w:r>
        <w:t xml:space="preserve">responses were collected </w:t>
      </w:r>
      <w:r w:rsidR="00057964">
        <w:t>through th</w:t>
      </w:r>
      <w:r w:rsidR="00FF3CC8">
        <w:t>e</w:t>
      </w:r>
      <w:r w:rsidR="00057964">
        <w:t xml:space="preserve"> survey effort.</w:t>
      </w:r>
      <w:r w:rsidR="002936B6">
        <w:rPr>
          <w:rStyle w:val="FootnoteReference"/>
        </w:rPr>
        <w:footnoteReference w:id="7"/>
      </w:r>
      <w:r w:rsidR="00057964">
        <w:t xml:space="preserve"> However, </w:t>
      </w:r>
      <w:r w:rsidR="00FF3CC8">
        <w:t>3</w:t>
      </w:r>
      <w:r w:rsidR="005355CB">
        <w:t>87</w:t>
      </w:r>
      <w:r w:rsidR="00FF3CC8">
        <w:t xml:space="preserve"> individuals did not respond to the N</w:t>
      </w:r>
      <w:r w:rsidR="009D141C">
        <w:t>HCM</w:t>
      </w:r>
      <w:r w:rsidR="00FF3CC8">
        <w:t xml:space="preserve"> frequency </w:t>
      </w:r>
      <w:r w:rsidR="005355CB">
        <w:t>or provided a count across all the N</w:t>
      </w:r>
      <w:r w:rsidR="009D141C">
        <w:t>HCM</w:t>
      </w:r>
      <w:r w:rsidR="005355CB">
        <w:t xml:space="preserve">s that exceeded the number of weekdays in a month </w:t>
      </w:r>
      <w:r w:rsidR="00FF3CC8">
        <w:t xml:space="preserve">and/or did not provide information on related relevant information such as job and workplace-related questions. The </w:t>
      </w:r>
      <w:r w:rsidR="009A01AF">
        <w:t>final sample included 1</w:t>
      </w:r>
      <w:r w:rsidR="00F51A89">
        <w:t>,</w:t>
      </w:r>
      <w:r w:rsidR="00D65026">
        <w:t>092</w:t>
      </w:r>
      <w:r w:rsidR="009A01AF">
        <w:t xml:space="preserve"> individuals. </w:t>
      </w:r>
      <w:r w:rsidR="00FE41D9">
        <w:t xml:space="preserve">The survey was deployed at a time when the Omicron variant was </w:t>
      </w:r>
      <w:r w:rsidR="009A01AF">
        <w:t xml:space="preserve">past its peak in </w:t>
      </w:r>
      <w:r w:rsidR="00FE41D9">
        <w:t>Texas (and the U</w:t>
      </w:r>
      <w:r w:rsidR="002C1082">
        <w:t>.</w:t>
      </w:r>
      <w:r w:rsidR="00FE41D9">
        <w:t>S</w:t>
      </w:r>
      <w:r w:rsidR="002C1082">
        <w:t>.</w:t>
      </w:r>
      <w:r w:rsidR="00FE41D9">
        <w:t xml:space="preserve">), </w:t>
      </w:r>
      <w:r w:rsidR="009A01AF">
        <w:t xml:space="preserve">and </w:t>
      </w:r>
      <w:r w:rsidR="00FE41D9">
        <w:t>restrictions and safety measures in-place for the pandemic were on the decline</w:t>
      </w:r>
      <w:r w:rsidR="009A01AF">
        <w:t xml:space="preserve"> to non-existent in Texas</w:t>
      </w:r>
      <w:r w:rsidR="00FE41D9">
        <w:t xml:space="preserve">. </w:t>
      </w:r>
    </w:p>
    <w:p w14:paraId="554D2EE7" w14:textId="77777777" w:rsidR="00D52C17" w:rsidRPr="00E12BCB" w:rsidRDefault="00D52C17" w:rsidP="00D00A05">
      <w:pPr>
        <w:spacing w:after="0" w:line="276" w:lineRule="auto"/>
        <w:ind w:firstLine="720"/>
        <w:jc w:val="both"/>
      </w:pPr>
    </w:p>
    <w:p w14:paraId="7AFCC7F9" w14:textId="0D0D4583" w:rsidR="0088591C" w:rsidRPr="00D00A05" w:rsidRDefault="00D52C17" w:rsidP="00D00A05">
      <w:pPr>
        <w:pStyle w:val="Heading2"/>
        <w:spacing w:after="0" w:line="276" w:lineRule="auto"/>
        <w:rPr>
          <w:i w:val="0"/>
        </w:rPr>
      </w:pPr>
      <w:r w:rsidRPr="00D00A05">
        <w:rPr>
          <w:i w:val="0"/>
        </w:rPr>
        <w:t xml:space="preserve"> </w:t>
      </w:r>
      <w:r w:rsidR="0088591C" w:rsidRPr="00D00A05">
        <w:rPr>
          <w:i w:val="0"/>
        </w:rPr>
        <w:t xml:space="preserve">Exogenous Variables </w:t>
      </w:r>
    </w:p>
    <w:p w14:paraId="4BCC0216" w14:textId="76EF3977" w:rsidR="002B1321" w:rsidRDefault="0088591C" w:rsidP="00D00A05">
      <w:pPr>
        <w:spacing w:after="0" w:line="276" w:lineRule="auto"/>
        <w:jc w:val="both"/>
      </w:pPr>
      <w:r>
        <w:t>In this study, we consider individual</w:t>
      </w:r>
      <w:r w:rsidR="00FB3DCA">
        <w:t>-</w:t>
      </w:r>
      <w:r>
        <w:t xml:space="preserve">level </w:t>
      </w:r>
      <w:r w:rsidR="003649F8">
        <w:t>demographics (</w:t>
      </w:r>
      <w:r w:rsidR="00915FBA">
        <w:t xml:space="preserve">gender, </w:t>
      </w:r>
      <w:r w:rsidR="003649F8">
        <w:t>age, race/ethnicity,</w:t>
      </w:r>
      <w:r w:rsidR="00915FBA">
        <w:t xml:space="preserve"> </w:t>
      </w:r>
      <w:r w:rsidR="003649F8">
        <w:t>and education level</w:t>
      </w:r>
      <w:r w:rsidR="00B57E85">
        <w:t xml:space="preserve">), </w:t>
      </w:r>
      <w:r w:rsidR="003649F8">
        <w:t>household</w:t>
      </w:r>
      <w:r w:rsidR="00373230">
        <w:t xml:space="preserve"> </w:t>
      </w:r>
      <w:r w:rsidR="00B43E5D">
        <w:t>characteristics</w:t>
      </w:r>
      <w:r w:rsidR="00373230">
        <w:t xml:space="preserve"> (annual income, </w:t>
      </w:r>
      <w:r w:rsidR="00883B15">
        <w:t>motorized vehicle</w:t>
      </w:r>
      <w:r w:rsidR="00373230">
        <w:t xml:space="preserve"> ownership level, </w:t>
      </w:r>
      <w:r w:rsidR="00CF7A68">
        <w:t xml:space="preserve">and </w:t>
      </w:r>
      <w:r w:rsidR="00373230">
        <w:t>household structur</w:t>
      </w:r>
      <w:r w:rsidR="00CF7A68">
        <w:t>e)</w:t>
      </w:r>
      <w:r w:rsidR="00373230">
        <w:t xml:space="preserve">, </w:t>
      </w:r>
      <w:r w:rsidR="008E27D5">
        <w:t>employment status/</w:t>
      </w:r>
      <w:r w:rsidR="00FE4973">
        <w:t xml:space="preserve">job </w:t>
      </w:r>
      <w:r w:rsidR="00373230">
        <w:t xml:space="preserve">characteristics </w:t>
      </w:r>
      <w:r w:rsidR="00F742CE">
        <w:t>(not employed/part-time employed/full-time employed based on employment status and hours of work per week</w:t>
      </w:r>
      <w:r w:rsidR="008E27D5">
        <w:t xml:space="preserve">, </w:t>
      </w:r>
      <w:r w:rsidR="00883B15">
        <w:t xml:space="preserve">self-employed or not, </w:t>
      </w:r>
      <w:r w:rsidR="008E27D5">
        <w:t>number of days of work per month</w:t>
      </w:r>
      <w:r w:rsidR="008E225A">
        <w:t xml:space="preserve">, </w:t>
      </w:r>
      <w:r w:rsidR="007C1E84">
        <w:t xml:space="preserve">commute </w:t>
      </w:r>
      <w:r w:rsidR="00657DC6">
        <w:t>duration</w:t>
      </w:r>
      <w:r w:rsidR="007C1E84">
        <w:t xml:space="preserve">, </w:t>
      </w:r>
      <w:r w:rsidR="00CF7A68">
        <w:t>and</w:t>
      </w:r>
      <w:r>
        <w:t xml:space="preserve"> </w:t>
      </w:r>
      <w:r w:rsidR="00015740">
        <w:t>fraction</w:t>
      </w:r>
      <w:r w:rsidR="00FE4973">
        <w:t xml:space="preserve"> of work undertaken from </w:t>
      </w:r>
      <w:r w:rsidR="00844E85">
        <w:t>a third work place location and</w:t>
      </w:r>
      <w:r w:rsidR="00FE4973">
        <w:t xml:space="preserve"> home</w:t>
      </w:r>
      <w:r w:rsidR="00CF7A68">
        <w:t>),</w:t>
      </w:r>
      <w:r w:rsidR="002C0E17">
        <w:t xml:space="preserve"> </w:t>
      </w:r>
      <w:r w:rsidR="00A54072">
        <w:t>residential location built environment (BE) factors</w:t>
      </w:r>
      <w:r w:rsidR="008E27D5">
        <w:t xml:space="preserve">, and COVID-19 </w:t>
      </w:r>
      <w:r w:rsidR="004214D9">
        <w:t>threat/</w:t>
      </w:r>
      <w:r w:rsidR="008E27D5">
        <w:t>perspective</w:t>
      </w:r>
      <w:r w:rsidR="004214D9">
        <w:t xml:space="preserve"> variables</w:t>
      </w:r>
      <w:r w:rsidR="00A54072">
        <w:t xml:space="preserve">. </w:t>
      </w:r>
      <w:r w:rsidR="004214D9">
        <w:t xml:space="preserve">All of the variables listed above were obtained directly from the survey, except for the </w:t>
      </w:r>
      <w:r w:rsidR="0095397F">
        <w:t xml:space="preserve">residential </w:t>
      </w:r>
      <w:r w:rsidR="008E27D5">
        <w:t>BE</w:t>
      </w:r>
      <w:r w:rsidR="009D3FBF">
        <w:t xml:space="preserve"> variables</w:t>
      </w:r>
      <w:r w:rsidR="00EC7D6C">
        <w:t>. In this residential BE group of variables, one set of variables was obtained</w:t>
      </w:r>
      <w:r w:rsidR="004214D9">
        <w:t xml:space="preserve"> </w:t>
      </w:r>
      <w:r w:rsidR="00EC7D6C">
        <w:t xml:space="preserve">directly from the survey by asking </w:t>
      </w:r>
      <w:r w:rsidR="0096376F">
        <w:lastRenderedPageBreak/>
        <w:t xml:space="preserve">respondents to characterize </w:t>
      </w:r>
      <w:r w:rsidR="00EC7D6C">
        <w:t xml:space="preserve">their </w:t>
      </w:r>
      <w:r w:rsidR="0096376F">
        <w:t xml:space="preserve">residence neighborhood in one of three categories: urban, suburban, and rural. These were used as dummy variables in the specifications. A second set of BE variables were developed </w:t>
      </w:r>
      <w:r w:rsidR="009D3FBF">
        <w:t xml:space="preserve">based on the home location zip code, which was recorded in the survey. These zip codes were mapped to </w:t>
      </w:r>
      <w:r w:rsidR="009D3FBF" w:rsidRPr="00BA1B41">
        <w:t xml:space="preserve">census block groups (CBG), and then bestowed with built environment (BE) attributes as obtained from </w:t>
      </w:r>
      <w:r w:rsidR="009D3FBF" w:rsidRPr="00D10084">
        <w:rPr>
          <w:color w:val="000000" w:themeColor="text1"/>
        </w:rPr>
        <w:t>the U.S. Environment Protection Agency (EPA) Smart Location Database (</w:t>
      </w:r>
      <w:r w:rsidR="00C90F88">
        <w:rPr>
          <w:color w:val="000000" w:themeColor="text1"/>
        </w:rPr>
        <w:t xml:space="preserve">or SLD; see </w:t>
      </w:r>
      <w:bookmarkStart w:id="29" w:name="_Hlk109725718"/>
      <w:r w:rsidR="00C90F88">
        <w:rPr>
          <w:color w:val="000000" w:themeColor="text1"/>
        </w:rPr>
        <w:t xml:space="preserve">Chapman et al., 2021 and </w:t>
      </w:r>
      <w:r w:rsidR="009D3FBF" w:rsidRPr="00D10084">
        <w:rPr>
          <w:color w:val="000000" w:themeColor="text1"/>
        </w:rPr>
        <w:t>Ramsey and Bell, 2014</w:t>
      </w:r>
      <w:bookmarkEnd w:id="29"/>
      <w:r w:rsidR="009D3FBF" w:rsidRPr="00D10084">
        <w:rPr>
          <w:color w:val="000000" w:themeColor="text1"/>
        </w:rPr>
        <w:t>).</w:t>
      </w:r>
      <w:r w:rsidR="00C90F88">
        <w:t xml:space="preserve"> Since the area corresponding to one </w:t>
      </w:r>
      <w:r w:rsidR="00EC7D6C">
        <w:t>zip</w:t>
      </w:r>
      <w:r w:rsidR="00C90F88">
        <w:t xml:space="preserve"> </w:t>
      </w:r>
      <w:r w:rsidR="00B43E5D">
        <w:t>c</w:t>
      </w:r>
      <w:r w:rsidR="00C90F88">
        <w:t xml:space="preserve">ode overlaps with multiple CBGs, the BE data from SLD was aggregated from the CBG to the </w:t>
      </w:r>
      <w:r w:rsidR="00EC7D6C">
        <w:t>zip</w:t>
      </w:r>
      <w:r w:rsidR="00C90F88">
        <w:t xml:space="preserve"> code level. The SLD database includes employment and residential density</w:t>
      </w:r>
      <w:r w:rsidR="00421D38">
        <w:t xml:space="preserve">, </w:t>
      </w:r>
      <w:r w:rsidR="00C90F88">
        <w:t>a walkability index (that is a function of intersection density, proximity to transit stops, and jobs-housing balance mix</w:t>
      </w:r>
      <w:r w:rsidR="00EC7D6C">
        <w:t>)</w:t>
      </w:r>
      <w:r w:rsidR="00C90F88">
        <w:t>, and</w:t>
      </w:r>
      <w:r w:rsidR="00C90F88" w:rsidRPr="00BE5C6F">
        <w:t xml:space="preserve"> </w:t>
      </w:r>
      <w:r w:rsidR="00C90F88">
        <w:t>the proportion of employment in five sectors (retail</w:t>
      </w:r>
      <w:r w:rsidR="008467CE">
        <w:t xml:space="preserve"> (Ret)</w:t>
      </w:r>
      <w:r w:rsidR="00C90F88">
        <w:t>, office</w:t>
      </w:r>
      <w:r w:rsidR="008467CE">
        <w:t xml:space="preserve"> (Off)</w:t>
      </w:r>
      <w:r w:rsidR="00C90F88">
        <w:t>, industrial</w:t>
      </w:r>
      <w:r w:rsidR="008467CE">
        <w:t xml:space="preserve"> (Ind)</w:t>
      </w:r>
      <w:r w:rsidR="00C90F88">
        <w:t xml:space="preserve">, </w:t>
      </w:r>
      <w:r w:rsidR="008467CE">
        <w:t>service (Srvc)</w:t>
      </w:r>
      <w:r w:rsidR="00C90F88">
        <w:t>, and entertainment</w:t>
      </w:r>
      <w:r w:rsidR="008467CE">
        <w:t xml:space="preserve"> (Ent)</w:t>
      </w:r>
      <w:r w:rsidR="00C90F88">
        <w:t xml:space="preserve">). </w:t>
      </w:r>
      <w:r w:rsidR="00421D38">
        <w:t>The last set of variables w</w:t>
      </w:r>
      <w:r w:rsidR="008467CE">
        <w:t>as</w:t>
      </w:r>
      <w:r w:rsidR="00421D38">
        <w:t xml:space="preserve"> translated into a land-use mix diversity index ranging between 0 and 1</w:t>
      </w:r>
      <w:r w:rsidR="00EC7D6C">
        <w:t>,</w:t>
      </w:r>
      <w:r w:rsidR="00421D38">
        <w:t xml:space="preserve"> based on Bhat and Gossen (2004), as follows:</w:t>
      </w:r>
    </w:p>
    <w:p w14:paraId="47B73F86" w14:textId="3ABDE7A2" w:rsidR="00C90F88" w:rsidRDefault="00C47613" w:rsidP="005A5EAE">
      <w:pPr>
        <w:tabs>
          <w:tab w:val="left" w:pos="6120"/>
          <w:tab w:val="right" w:pos="9270"/>
        </w:tabs>
        <w:spacing w:before="60" w:after="60" w:line="276" w:lineRule="auto"/>
      </w:pPr>
      <w:r w:rsidRPr="00EA59D1">
        <w:rPr>
          <w:position w:val="-62"/>
        </w:rPr>
        <w:object w:dxaOrig="7960" w:dyaOrig="1359" w14:anchorId="79B65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4pt;height:69.15pt" o:ole="">
            <v:imagedata r:id="rId13" o:title=""/>
          </v:shape>
          <o:OLEObject Type="Embed" ProgID="Equation.DSMT4" ShapeID="_x0000_i1025" DrawAspect="Content" ObjectID="_1734432045" r:id="rId14"/>
        </w:object>
      </w:r>
      <w:r w:rsidR="00C90F88">
        <w:rPr>
          <w:rFonts w:eastAsiaTheme="minorEastAsia"/>
        </w:rPr>
        <w:tab/>
      </w:r>
      <w:r w:rsidR="00C90F88">
        <w:t>(1)</w:t>
      </w:r>
    </w:p>
    <w:p w14:paraId="5D78997C" w14:textId="1217A354" w:rsidR="009D3FBF" w:rsidRPr="00D00A05" w:rsidRDefault="00421D38" w:rsidP="00D00A05">
      <w:pPr>
        <w:shd w:val="clear" w:color="auto" w:fill="FFFFFF"/>
        <w:spacing w:after="0" w:line="276" w:lineRule="auto"/>
        <w:jc w:val="both"/>
        <w:rPr>
          <w:rFonts w:eastAsia="Times New Roman"/>
          <w:sz w:val="20"/>
          <w:szCs w:val="20"/>
        </w:rPr>
      </w:pPr>
      <w:r>
        <w:t xml:space="preserve">Residential areas </w:t>
      </w:r>
      <w:r w:rsidR="006A6268">
        <w:t xml:space="preserve">with high values of </w:t>
      </w:r>
      <w:r w:rsidR="00B43E5D">
        <w:t xml:space="preserve">the </w:t>
      </w:r>
      <w:r w:rsidR="006A6268">
        <w:t xml:space="preserve">land-use mix diversity </w:t>
      </w:r>
      <w:r w:rsidR="00B43E5D">
        <w:t xml:space="preserve">index </w:t>
      </w:r>
      <w:r>
        <w:t xml:space="preserve">indicate a richer land-use </w:t>
      </w:r>
      <w:r w:rsidR="006A6268">
        <w:t xml:space="preserve">mix than residential areas with low values. </w:t>
      </w:r>
      <w:r w:rsidR="0096376F">
        <w:t xml:space="preserve">Finally, a third set of residential </w:t>
      </w:r>
      <w:r w:rsidR="006A6268">
        <w:t xml:space="preserve">BE </w:t>
      </w:r>
      <w:r w:rsidR="0096376F">
        <w:t xml:space="preserve">attributes associated with </w:t>
      </w:r>
      <w:r w:rsidR="00C90F88">
        <w:t xml:space="preserve">the number of restaurants </w:t>
      </w:r>
      <w:r w:rsidR="0096376F">
        <w:t xml:space="preserve">in the zip code of residence </w:t>
      </w:r>
      <w:r w:rsidR="00C90F88">
        <w:t>and the proportion of fast-food restaurants</w:t>
      </w:r>
      <w:r w:rsidR="00525732">
        <w:t xml:space="preserve"> </w:t>
      </w:r>
      <w:r w:rsidR="0096376F">
        <w:t xml:space="preserve">in the zip code of residence </w:t>
      </w:r>
      <w:r w:rsidR="00525732">
        <w:t xml:space="preserve">were obtained by the authors </w:t>
      </w:r>
      <w:r w:rsidR="00C90F88">
        <w:t xml:space="preserve">through a systematic web-scraping effort from </w:t>
      </w:r>
      <w:hyperlink r:id="rId15" w:history="1">
        <w:r w:rsidR="00C90F88" w:rsidRPr="00FD0B6B">
          <w:rPr>
            <w:rStyle w:val="Hyperlink"/>
          </w:rPr>
          <w:t>https://everyrestaurantinthecity.com/</w:t>
        </w:r>
      </w:hyperlink>
      <w:r w:rsidR="00C35599">
        <w:t xml:space="preserve">, </w:t>
      </w:r>
      <w:r w:rsidR="00C90F88">
        <w:t>which provides a</w:t>
      </w:r>
      <w:r w:rsidR="00C90F88" w:rsidRPr="00BA2C66">
        <w:t xml:space="preserve"> </w:t>
      </w:r>
      <w:r w:rsidR="00C90F88">
        <w:t>n</w:t>
      </w:r>
      <w:r w:rsidR="00C90F88" w:rsidRPr="00BA2C66">
        <w:t xml:space="preserve">ational </w:t>
      </w:r>
      <w:r w:rsidR="00C90F88">
        <w:t>r</w:t>
      </w:r>
      <w:r w:rsidR="00C90F88" w:rsidRPr="00BA2C66">
        <w:t xml:space="preserve">estaurant </w:t>
      </w:r>
      <w:r w:rsidR="00C90F88">
        <w:t>d</w:t>
      </w:r>
      <w:r w:rsidR="00C90F88" w:rsidRPr="00BA2C66">
        <w:t xml:space="preserve">irectory </w:t>
      </w:r>
      <w:r w:rsidR="00C90F88">
        <w:t>of restaurants</w:t>
      </w:r>
      <w:r w:rsidR="00C90F88" w:rsidRPr="00BA2C66">
        <w:t xml:space="preserve"> in the U</w:t>
      </w:r>
      <w:r w:rsidR="00C90F88">
        <w:t>.</w:t>
      </w:r>
      <w:r w:rsidR="00C90F88" w:rsidRPr="00BA2C66">
        <w:t>S</w:t>
      </w:r>
      <w:r w:rsidR="00C90F88">
        <w:t xml:space="preserve">. </w:t>
      </w:r>
    </w:p>
    <w:p w14:paraId="369A0115" w14:textId="70CD61D0" w:rsidR="00C3376E" w:rsidRPr="003874B1" w:rsidRDefault="00D65026" w:rsidP="00D00A05">
      <w:pPr>
        <w:spacing w:after="0" w:line="276" w:lineRule="auto"/>
        <w:ind w:firstLine="720"/>
        <w:jc w:val="both"/>
      </w:pPr>
      <w:r>
        <w:t xml:space="preserve">Table </w:t>
      </w:r>
      <w:r w:rsidR="00B43E5D">
        <w:t>1</w:t>
      </w:r>
      <w:r>
        <w:t xml:space="preserve"> </w:t>
      </w:r>
      <w:r w:rsidR="0088591C">
        <w:t>presents the distribution and descriptive statistics of the survey respondents</w:t>
      </w:r>
      <w:r w:rsidR="00F76B8C">
        <w:t xml:space="preserve"> for the individual/household-level variables and employment status/</w:t>
      </w:r>
      <w:r w:rsidR="00EC7D6C">
        <w:t xml:space="preserve">job </w:t>
      </w:r>
      <w:r w:rsidR="00F76B8C">
        <w:t>characteristics variables</w:t>
      </w:r>
      <w:r w:rsidR="0088591C">
        <w:t>. The table also presents statistics corresponding to th</w:t>
      </w:r>
      <w:r w:rsidR="0088591C" w:rsidRPr="00F15AB1">
        <w:t xml:space="preserve">e whole </w:t>
      </w:r>
      <w:r w:rsidR="00BE5C6F" w:rsidRPr="00F15AB1">
        <w:t>S</w:t>
      </w:r>
      <w:r w:rsidR="0088591C" w:rsidRPr="00F15AB1">
        <w:t xml:space="preserve">tate of Texas to compare the analysis sample to the general population demographics, which are obtained from the </w:t>
      </w:r>
      <w:r w:rsidR="001A2686">
        <w:t xml:space="preserve">2020 Texas Census </w:t>
      </w:r>
      <w:r w:rsidR="001A2686">
        <w:fldChar w:fldCharType="begin"/>
      </w:r>
      <w:r w:rsidR="001A2686">
        <w:instrText xml:space="preserve"> ADDIN ZOTERO_ITEM CSL_CITATION {"citationID":"tHMFlsBE","properties":{"formattedCitation":"(Texas Demographic Center, 2022)","plainCitation":"(Texas Demographic Center, 2022)","noteIndex":0},"citationItems":[{"id":878,"uris":["http://zotero.org/users/9292995/items/LH2PLZUG"],"itemData":{"id":878,"type":"webpage","title":"2020 Census","URL":"https://demographics.texas.gov/","author":[{"literal":"Texas Demographic Center"}],"accessed":{"date-parts":[["2022",6,12]]},"issued":{"date-parts":[["2022"]]}}}],"schema":"https://github.com/citation-style-language/schema/raw/master/csl-citation.json"} </w:instrText>
      </w:r>
      <w:r w:rsidR="001A2686">
        <w:fldChar w:fldCharType="separate"/>
      </w:r>
      <w:r w:rsidR="001A2686" w:rsidRPr="001A2686">
        <w:t>(Texas Demographic Center, 2022)</w:t>
      </w:r>
      <w:r w:rsidR="001A2686">
        <w:fldChar w:fldCharType="end"/>
      </w:r>
      <w:r w:rsidR="001A2686">
        <w:t xml:space="preserve">, </w:t>
      </w:r>
      <w:r w:rsidR="00BE5C6F" w:rsidRPr="00F15AB1">
        <w:rPr>
          <w:color w:val="000000" w:themeColor="text1"/>
        </w:rPr>
        <w:t xml:space="preserve">in </w:t>
      </w:r>
      <w:r w:rsidR="00BE5C6F" w:rsidRPr="00F15AB1">
        <w:t>addition to</w:t>
      </w:r>
      <w:r w:rsidR="009D798A" w:rsidRPr="00F15AB1">
        <w:t xml:space="preserve"> </w:t>
      </w:r>
      <w:r w:rsidR="00B5214D" w:rsidRPr="00F15AB1">
        <w:t>other sources</w:t>
      </w:r>
      <w:r w:rsidR="0088591C" w:rsidRPr="00F15AB1">
        <w:t xml:space="preserve">. </w:t>
      </w:r>
      <w:r w:rsidR="001B7E3F">
        <w:t xml:space="preserve">In cases </w:t>
      </w:r>
      <w:r w:rsidR="008E27D5">
        <w:t>where the State of Texas values are not readily availa</w:t>
      </w:r>
      <w:r w:rsidR="00C3376E">
        <w:t xml:space="preserve">ble, </w:t>
      </w:r>
      <w:r w:rsidR="008E27D5">
        <w:t>there is a “</w:t>
      </w:r>
      <w:r w:rsidR="00F51A89">
        <w:t>--</w:t>
      </w:r>
      <w:r w:rsidR="008E27D5">
        <w:t xml:space="preserve">” in the table. </w:t>
      </w:r>
      <w:r w:rsidR="001E073E">
        <w:t xml:space="preserve">The table clearly indicates </w:t>
      </w:r>
      <w:r w:rsidR="0088591C">
        <w:t>an over-representation of women, middle-aged and senior</w:t>
      </w:r>
      <w:r w:rsidR="00807108">
        <w:t xml:space="preserve"> (those 50 years or over)</w:t>
      </w:r>
      <w:r w:rsidR="008E27D5">
        <w:t xml:space="preserve"> individuals</w:t>
      </w:r>
      <w:r w:rsidR="0088591C">
        <w:t xml:space="preserve">, </w:t>
      </w:r>
      <w:r w:rsidR="00807108">
        <w:t>w</w:t>
      </w:r>
      <w:r w:rsidR="0088591C">
        <w:t>hite</w:t>
      </w:r>
      <w:r w:rsidR="008E27D5">
        <w:t xml:space="preserve"> individuals</w:t>
      </w:r>
      <w:r w:rsidR="0088591C">
        <w:t xml:space="preserve">, </w:t>
      </w:r>
      <w:r w:rsidR="008E27D5">
        <w:t>th</w:t>
      </w:r>
      <w:r w:rsidR="00D76210">
        <w:t>e</w:t>
      </w:r>
      <w:r w:rsidR="008E27D5">
        <w:t xml:space="preserve"> </w:t>
      </w:r>
      <w:r w:rsidR="0088591C">
        <w:t xml:space="preserve">highly educated, and </w:t>
      </w:r>
      <w:r w:rsidR="008E27D5">
        <w:t>those</w:t>
      </w:r>
      <w:r w:rsidR="00537C90">
        <w:t xml:space="preserve"> from households with high </w:t>
      </w:r>
      <w:r w:rsidR="003874B1">
        <w:t>income, high car ownership levels</w:t>
      </w:r>
      <w:r w:rsidR="00B43E5D">
        <w:t xml:space="preserve">, more than a single adult, </w:t>
      </w:r>
      <w:r w:rsidR="003874B1">
        <w:t>and high presence of children</w:t>
      </w:r>
      <w:r w:rsidR="0088591C">
        <w:t>.</w:t>
      </w:r>
      <w:r w:rsidR="008E27D5">
        <w:t xml:space="preserve"> In terms of </w:t>
      </w:r>
      <w:r w:rsidR="004E0394">
        <w:t>employment status</w:t>
      </w:r>
      <w:r w:rsidR="008E27D5">
        <w:t xml:space="preserve">, </w:t>
      </w:r>
      <w:r w:rsidR="004E0394">
        <w:t xml:space="preserve">our sample </w:t>
      </w:r>
      <w:r w:rsidR="00F335D6">
        <w:t>indicates a non-employment rate of 2</w:t>
      </w:r>
      <w:r w:rsidR="00B43E5D">
        <w:t>1</w:t>
      </w:r>
      <w:r w:rsidR="00F335D6">
        <w:t xml:space="preserve">%, which </w:t>
      </w:r>
      <w:r w:rsidR="004E0394">
        <w:t xml:space="preserve">is close to the </w:t>
      </w:r>
      <w:r w:rsidR="00F335D6">
        <w:t>non-</w:t>
      </w:r>
      <w:r w:rsidR="004E0394">
        <w:t xml:space="preserve">employment rate of </w:t>
      </w:r>
      <w:r w:rsidR="00EC7D6C">
        <w:t>24</w:t>
      </w:r>
      <w:r w:rsidR="004E0394">
        <w:t xml:space="preserve">% in the </w:t>
      </w:r>
      <w:r w:rsidR="00F335D6">
        <w:t xml:space="preserve">population </w:t>
      </w:r>
      <w:r w:rsidR="004E0394">
        <w:t xml:space="preserve">of Texas. </w:t>
      </w:r>
      <w:r w:rsidR="00F335D6">
        <w:t xml:space="preserve">But our sample </w:t>
      </w:r>
      <w:r w:rsidR="003874B1">
        <w:t>underrepresents part-time employees (4.</w:t>
      </w:r>
      <w:r w:rsidR="00B43E5D">
        <w:t>6</w:t>
      </w:r>
      <w:r w:rsidR="003874B1">
        <w:t xml:space="preserve">% of the total sample compared to 14.9% of the overall Texas population) and </w:t>
      </w:r>
      <w:r w:rsidR="00F335D6">
        <w:t>overrepresents full-time employees (74.</w:t>
      </w:r>
      <w:r w:rsidR="003A0027">
        <w:t>4</w:t>
      </w:r>
      <w:r w:rsidR="00F335D6">
        <w:t>% of the total sample versus 61.1% of the Texas population)</w:t>
      </w:r>
      <w:r w:rsidR="003874B1">
        <w:t>.</w:t>
      </w:r>
      <w:r w:rsidR="00D76210">
        <w:rPr>
          <w:rStyle w:val="FootnoteReference"/>
        </w:rPr>
        <w:footnoteReference w:id="8"/>
      </w:r>
      <w:r w:rsidR="00F335D6">
        <w:t xml:space="preserve"> The sample </w:t>
      </w:r>
      <w:r w:rsidR="00670652">
        <w:t xml:space="preserve">also </w:t>
      </w:r>
      <w:r w:rsidR="00F335D6">
        <w:lastRenderedPageBreak/>
        <w:t>slightly over-represents those who are self-</w:t>
      </w:r>
      <w:r w:rsidR="00F335D6" w:rsidRPr="00B43E5D">
        <w:t xml:space="preserve">employed </w:t>
      </w:r>
      <w:r w:rsidR="00670652" w:rsidRPr="00B43E5D">
        <w:t>(9.</w:t>
      </w:r>
      <w:r w:rsidR="00B43E5D" w:rsidRPr="00B43E5D">
        <w:t>5</w:t>
      </w:r>
      <w:r w:rsidR="008E27D5" w:rsidRPr="00B43E5D">
        <w:t xml:space="preserve">% of the sample relative to </w:t>
      </w:r>
      <w:r w:rsidR="00B43E5D" w:rsidRPr="00B43E5D">
        <w:t>6</w:t>
      </w:r>
      <w:r w:rsidR="00670652" w:rsidRPr="00B43E5D">
        <w:t>.</w:t>
      </w:r>
      <w:r w:rsidR="00B43E5D" w:rsidRPr="00B43E5D">
        <w:t>7</w:t>
      </w:r>
      <w:r w:rsidR="008E27D5" w:rsidRPr="00B43E5D">
        <w:t>% self-employed in Texas as identified in the 2020 Texas Census</w:t>
      </w:r>
      <w:r w:rsidR="00B43E5D" w:rsidRPr="00B43E5D">
        <w:t xml:space="preserve">). </w:t>
      </w:r>
      <w:r w:rsidR="00670652" w:rsidRPr="00B43E5D">
        <w:t>But</w:t>
      </w:r>
      <w:r w:rsidR="008E27D5" w:rsidRPr="00B43E5D">
        <w:t>,</w:t>
      </w:r>
      <w:r w:rsidR="008E27D5" w:rsidRPr="003874B1">
        <w:t xml:space="preserve"> in terms of commute times</w:t>
      </w:r>
      <w:r w:rsidR="00221445" w:rsidRPr="00861789">
        <w:t xml:space="preserve"> to the work office</w:t>
      </w:r>
      <w:r w:rsidR="008E27D5" w:rsidRPr="003874B1">
        <w:t>, the average one-way commute time in Texas is 26.</w:t>
      </w:r>
      <w:r w:rsidR="00CA28DC">
        <w:t>6</w:t>
      </w:r>
      <w:r w:rsidR="008E27D5" w:rsidRPr="003874B1">
        <w:t xml:space="preserve"> minutes, while our sample’s average commute time </w:t>
      </w:r>
      <w:r w:rsidR="00221445" w:rsidRPr="00861789">
        <w:t xml:space="preserve">to the work office </w:t>
      </w:r>
      <w:r w:rsidR="008E27D5" w:rsidRPr="003874B1">
        <w:t>is 2</w:t>
      </w:r>
      <w:r w:rsidR="00CA28DC">
        <w:t>2</w:t>
      </w:r>
      <w:r w:rsidR="00670652" w:rsidRPr="00861789">
        <w:t>.</w:t>
      </w:r>
      <w:r w:rsidR="00CA28DC">
        <w:t>8</w:t>
      </w:r>
      <w:r w:rsidR="008E27D5" w:rsidRPr="003874B1">
        <w:t xml:space="preserve"> minutes.</w:t>
      </w:r>
      <w:r w:rsidR="00221445" w:rsidRPr="003874B1">
        <w:rPr>
          <w:rStyle w:val="FootnoteReference"/>
        </w:rPr>
        <w:footnoteReference w:id="9"/>
      </w:r>
      <w:r w:rsidR="00221445" w:rsidRPr="003874B1">
        <w:t xml:space="preserve"> </w:t>
      </w:r>
      <w:r w:rsidR="008E27D5" w:rsidRPr="003874B1">
        <w:t xml:space="preserve"> Similarly, the average number of days an employee works in a month is 22 days, and our sample reported working an average of 21.5 days.</w:t>
      </w:r>
      <w:r w:rsidR="0088591C" w:rsidRPr="003874B1">
        <w:t xml:space="preserve"> </w:t>
      </w:r>
    </w:p>
    <w:p w14:paraId="529B57D7" w14:textId="7D225A9F" w:rsidR="00F51A89" w:rsidRPr="00F513B0" w:rsidRDefault="0088591C" w:rsidP="00D00A05">
      <w:pPr>
        <w:spacing w:after="0" w:line="276" w:lineRule="auto"/>
        <w:ind w:firstLine="720"/>
        <w:jc w:val="both"/>
      </w:pPr>
      <w:r w:rsidRPr="009711A2">
        <w:rPr>
          <w:color w:val="000000" w:themeColor="text1"/>
        </w:rPr>
        <w:t xml:space="preserve">While the over-representation of women in our sample is interesting, the </w:t>
      </w:r>
      <w:r>
        <w:t xml:space="preserve">skew in the </w:t>
      </w:r>
      <w:r w:rsidRPr="001766E9">
        <w:t>other</w:t>
      </w:r>
      <w:r>
        <w:t xml:space="preserve"> socio-demographic variables is to be expected since this survey was administered online and disseminated</w:t>
      </w:r>
      <w:r w:rsidR="004E0394">
        <w:t xml:space="preserve">, in part, </w:t>
      </w:r>
      <w:r>
        <w:t>through profes</w:t>
      </w:r>
      <w:r w:rsidRPr="009711A2">
        <w:t xml:space="preserve">sional organizations </w:t>
      </w:r>
      <w:r w:rsidR="004E0394">
        <w:t xml:space="preserve">that </w:t>
      </w:r>
      <w:r w:rsidR="00C3376E">
        <w:t xml:space="preserve">employ a </w:t>
      </w:r>
      <w:r>
        <w:t>high</w:t>
      </w:r>
      <w:r w:rsidR="00670652">
        <w:t>ly</w:t>
      </w:r>
      <w:r>
        <w:t xml:space="preserve"> educa</w:t>
      </w:r>
      <w:r w:rsidR="00670652">
        <w:t>ted</w:t>
      </w:r>
      <w:r w:rsidR="00C3376E">
        <w:t xml:space="preserve"> and </w:t>
      </w:r>
      <w:r w:rsidR="00670652">
        <w:t>high</w:t>
      </w:r>
      <w:r w:rsidR="00F51A89">
        <w:t>-</w:t>
      </w:r>
      <w:r>
        <w:t xml:space="preserve">income </w:t>
      </w:r>
      <w:r w:rsidR="00C3376E">
        <w:t>full-time workforce</w:t>
      </w:r>
      <w:r>
        <w:t xml:space="preserve">. Additionally, the discrepancies may be attributed to selection bias where individuals with </w:t>
      </w:r>
      <w:r w:rsidR="001A2686">
        <w:t xml:space="preserve">a </w:t>
      </w:r>
      <w:r w:rsidR="004E0394">
        <w:t xml:space="preserve">particular interest in the topic of COVID effects on work patterns and dining patterns </w:t>
      </w:r>
      <w:r>
        <w:t xml:space="preserve">are more </w:t>
      </w:r>
      <w:r w:rsidR="00BE5C6F">
        <w:t>inclined</w:t>
      </w:r>
      <w:r>
        <w:t xml:space="preserve"> to participate. </w:t>
      </w:r>
      <w:r w:rsidR="004E0394">
        <w:t xml:space="preserve">Of course, the implication of the </w:t>
      </w:r>
      <w:r>
        <w:t xml:space="preserve">divergence </w:t>
      </w:r>
      <w:r w:rsidR="004E0394">
        <w:t xml:space="preserve">of our sample characteristics </w:t>
      </w:r>
      <w:r w:rsidR="00B5214D">
        <w:t xml:space="preserve">from </w:t>
      </w:r>
      <w:r w:rsidR="0020044F">
        <w:t xml:space="preserve">the </w:t>
      </w:r>
      <w:r>
        <w:t xml:space="preserve">Census population </w:t>
      </w:r>
      <w:r w:rsidR="004E0394">
        <w:t xml:space="preserve">is that </w:t>
      </w:r>
      <w:r>
        <w:t xml:space="preserve">caution </w:t>
      </w:r>
      <w:r w:rsidR="004E0394">
        <w:t xml:space="preserve">needs to be exercised </w:t>
      </w:r>
      <w:r w:rsidRPr="005E0D23">
        <w:t xml:space="preserve">in generalizing the descriptive statistics </w:t>
      </w:r>
      <w:r w:rsidR="004E0394">
        <w:t>of the sample N</w:t>
      </w:r>
      <w:r w:rsidR="009D141C">
        <w:t>HCM</w:t>
      </w:r>
      <w:r w:rsidR="004E0394">
        <w:t xml:space="preserve"> patterns to the Texas population N</w:t>
      </w:r>
      <w:r w:rsidR="009D141C">
        <w:t>HCM</w:t>
      </w:r>
      <w:r w:rsidR="004E0394">
        <w:t xml:space="preserve"> patterns</w:t>
      </w:r>
      <w:r w:rsidRPr="005E0D23">
        <w:t>.</w:t>
      </w:r>
      <w:r w:rsidR="004E0394">
        <w:t xml:space="preserve"> However</w:t>
      </w:r>
      <w:r w:rsidR="004E0394" w:rsidRPr="0002780C">
        <w:t xml:space="preserve">, </w:t>
      </w:r>
      <w:bookmarkStart w:id="30" w:name="_Hlk91346931"/>
      <w:r w:rsidR="004E0394">
        <w:t xml:space="preserve">the objective </w:t>
      </w:r>
      <w:r w:rsidR="001A2686">
        <w:t xml:space="preserve">of </w:t>
      </w:r>
      <w:r w:rsidR="004E0394">
        <w:t xml:space="preserve">this paper is to investigate </w:t>
      </w:r>
      <w:r w:rsidR="004E0394" w:rsidRPr="0002780C">
        <w:t>individual</w:t>
      </w:r>
      <w:r w:rsidR="00AB3C21">
        <w:t>-</w:t>
      </w:r>
      <w:r w:rsidR="004E0394" w:rsidRPr="0002780C">
        <w:t xml:space="preserve">level causal relationships </w:t>
      </w:r>
      <w:r w:rsidR="00AB3C21">
        <w:t>between exogenous variables and N</w:t>
      </w:r>
      <w:r w:rsidR="009D141C">
        <w:t>HCM</w:t>
      </w:r>
      <w:r w:rsidR="00AB3C21">
        <w:t xml:space="preserve"> behavior </w:t>
      </w:r>
      <w:r w:rsidR="004E0394" w:rsidRPr="0002780C">
        <w:t>(</w:t>
      </w:r>
      <w:r w:rsidR="00AB3C21">
        <w:t xml:space="preserve">that is, </w:t>
      </w:r>
      <w:r w:rsidR="004E0394" w:rsidRPr="0002780C">
        <w:t xml:space="preserve">how changes in exogenous characteristics impact </w:t>
      </w:r>
      <w:r w:rsidR="004E0394">
        <w:t>N</w:t>
      </w:r>
      <w:r w:rsidR="009D141C">
        <w:t>HCM</w:t>
      </w:r>
      <w:r w:rsidR="004E0394">
        <w:t xml:space="preserve"> behavior</w:t>
      </w:r>
      <w:r w:rsidR="004E0394" w:rsidRPr="0002780C">
        <w:t>)</w:t>
      </w:r>
      <w:r w:rsidR="00AB3C21">
        <w:t xml:space="preserve">, and there is no reason to believe that such causal relationships </w:t>
      </w:r>
      <w:r w:rsidR="004E0394" w:rsidRPr="0002780C">
        <w:t xml:space="preserve">would not </w:t>
      </w:r>
      <w:r w:rsidR="00CA28DC">
        <w:t>apply</w:t>
      </w:r>
      <w:r w:rsidR="004E0394" w:rsidRPr="0002780C">
        <w:t xml:space="preserve"> to the larger </w:t>
      </w:r>
      <w:r w:rsidR="00AB3C21">
        <w:t xml:space="preserve">Texas </w:t>
      </w:r>
      <w:r w:rsidR="004E0394" w:rsidRPr="0002780C">
        <w:t>population</w:t>
      </w:r>
      <w:bookmarkEnd w:id="30"/>
      <w:r w:rsidR="00AB3C21">
        <w:t xml:space="preserve">. </w:t>
      </w:r>
      <w:r w:rsidR="004E0394" w:rsidRPr="0002780C">
        <w:t xml:space="preserve">For example, </w:t>
      </w:r>
      <w:r w:rsidR="00AB3C21">
        <w:t>N</w:t>
      </w:r>
      <w:r w:rsidR="009D141C">
        <w:t>HCM</w:t>
      </w:r>
      <w:r w:rsidR="00AB3C21">
        <w:t xml:space="preserve"> behavior may vary across individuals of different age groups, but such demographic heterogeneity is considered through the exogenous </w:t>
      </w:r>
      <w:r w:rsidR="004E0394" w:rsidRPr="0002780C">
        <w:t xml:space="preserve">“age” category variables. </w:t>
      </w:r>
      <w:r w:rsidR="00AB3C21">
        <w:t xml:space="preserve">Thus, as long as there is adequate variation in </w:t>
      </w:r>
      <w:r w:rsidR="00CA28DC">
        <w:t xml:space="preserve">the </w:t>
      </w:r>
      <w:r w:rsidR="00AB3C21">
        <w:t>age</w:t>
      </w:r>
      <w:r w:rsidR="00CA28DC">
        <w:t xml:space="preserve"> variable</w:t>
      </w:r>
      <w:r w:rsidR="00AB3C21">
        <w:t xml:space="preserve"> in our sample </w:t>
      </w:r>
      <w:r w:rsidR="004E0394" w:rsidRPr="0002780C">
        <w:t xml:space="preserve">to test a variety of functional forms across different </w:t>
      </w:r>
      <w:r w:rsidR="00AB3C21">
        <w:t xml:space="preserve">age </w:t>
      </w:r>
      <w:r w:rsidR="004E0394" w:rsidRPr="0002780C">
        <w:t>range</w:t>
      </w:r>
      <w:r w:rsidR="00AB3C21">
        <w:t>s, it is really immaterial whether our sample is exactly representative of the Texas population age distribution.</w:t>
      </w:r>
      <w:r w:rsidR="004E0394" w:rsidRPr="0002780C">
        <w:t xml:space="preserve"> Importantly, because our sampling strategy itself is not based on the endogenous variables (that is, our </w:t>
      </w:r>
      <w:r w:rsidR="004E0394" w:rsidRPr="009B25FD">
        <w:t xml:space="preserve">sample corresponds to the case of exogenous sampling where the sample collection process itself is not predicated on </w:t>
      </w:r>
      <w:r w:rsidR="00AB3C21" w:rsidRPr="009B25FD">
        <w:t>participation (and the intensity of participation</w:t>
      </w:r>
      <w:r w:rsidR="00F51A89" w:rsidRPr="009B25FD">
        <w:t>)</w:t>
      </w:r>
      <w:r w:rsidR="00AB3C21" w:rsidRPr="009B25FD">
        <w:t xml:space="preserve"> in N</w:t>
      </w:r>
      <w:r w:rsidR="009D141C">
        <w:t>HCM</w:t>
      </w:r>
      <w:r w:rsidR="00EC7D6C" w:rsidRPr="009B25FD">
        <w:t>)</w:t>
      </w:r>
      <w:r w:rsidR="00AB3C21" w:rsidRPr="009B25FD">
        <w:t xml:space="preserve">, </w:t>
      </w:r>
      <w:r w:rsidR="004E0394" w:rsidRPr="009B25FD">
        <w:t xml:space="preserve">an unweighted estimation approach provides consistent estimates as well as yields more efficient estimates relative to a weighted procedure (see </w:t>
      </w:r>
      <w:bookmarkStart w:id="31" w:name="_Hlk111028403"/>
      <w:r w:rsidR="004E0394" w:rsidRPr="00F513B0">
        <w:t xml:space="preserve">Wooldridge, 1995 and Solon et al., 2015 </w:t>
      </w:r>
      <w:bookmarkEnd w:id="31"/>
      <w:r w:rsidR="004E0394" w:rsidRPr="00F513B0">
        <w:t xml:space="preserve">for an extensive discussion of this point). </w:t>
      </w:r>
    </w:p>
    <w:p w14:paraId="4AE4D389" w14:textId="77777777" w:rsidR="00D52C17" w:rsidRDefault="00D52C17" w:rsidP="00D00A05">
      <w:pPr>
        <w:spacing w:after="0" w:line="276" w:lineRule="auto"/>
        <w:ind w:firstLine="720"/>
        <w:jc w:val="both"/>
      </w:pPr>
    </w:p>
    <w:p w14:paraId="3A1B915C" w14:textId="41AA376E" w:rsidR="00135D30" w:rsidRPr="00D00A05" w:rsidRDefault="00D00A05" w:rsidP="00D52C17">
      <w:pPr>
        <w:pStyle w:val="Heading2"/>
        <w:spacing w:after="0"/>
        <w:rPr>
          <w:i w:val="0"/>
        </w:rPr>
      </w:pPr>
      <w:bookmarkStart w:id="32" w:name="_Ref108195851"/>
      <w:r>
        <w:rPr>
          <w:i w:val="0"/>
        </w:rPr>
        <w:t xml:space="preserve"> </w:t>
      </w:r>
      <w:r w:rsidR="00135D30" w:rsidRPr="00D00A05">
        <w:rPr>
          <w:i w:val="0"/>
        </w:rPr>
        <w:t>Main Outcome Variables</w:t>
      </w:r>
      <w:bookmarkEnd w:id="32"/>
    </w:p>
    <w:p w14:paraId="61C3B790" w14:textId="1FD6E0D4" w:rsidR="002731E5" w:rsidRPr="00861789" w:rsidRDefault="00A60A94" w:rsidP="00D52C17">
      <w:pPr>
        <w:pStyle w:val="FootnoteText"/>
        <w:spacing w:line="276" w:lineRule="auto"/>
        <w:jc w:val="both"/>
        <w:rPr>
          <w:sz w:val="24"/>
          <w:szCs w:val="24"/>
        </w:rPr>
      </w:pPr>
      <w:r w:rsidRPr="00133DF1">
        <w:rPr>
          <w:sz w:val="24"/>
          <w:szCs w:val="24"/>
        </w:rPr>
        <w:t xml:space="preserve">The </w:t>
      </w:r>
      <w:r w:rsidR="00761008" w:rsidRPr="00133DF1">
        <w:rPr>
          <w:sz w:val="24"/>
          <w:szCs w:val="24"/>
        </w:rPr>
        <w:t>model framework requires that there be at least one individual (and, more generally, a reasonable number of individuals) who select each count value; otherwise, the thresholds for each N</w:t>
      </w:r>
      <w:r w:rsidR="009D141C">
        <w:rPr>
          <w:sz w:val="24"/>
          <w:szCs w:val="24"/>
        </w:rPr>
        <w:t>HCM</w:t>
      </w:r>
      <w:r w:rsidR="00761008" w:rsidRPr="00133DF1">
        <w:rPr>
          <w:sz w:val="24"/>
          <w:szCs w:val="24"/>
        </w:rPr>
        <w:t xml:space="preserve"> channel and the entire multivariate model cannot be estimated. In this context, the first occurrence of a zero value for eat-out corresponded to the count of 11, </w:t>
      </w:r>
      <w:r w:rsidR="002731E5" w:rsidRPr="00133DF1">
        <w:rPr>
          <w:sz w:val="24"/>
          <w:szCs w:val="24"/>
        </w:rPr>
        <w:t xml:space="preserve">with </w:t>
      </w:r>
      <w:r w:rsidR="002731E5" w:rsidRPr="00861789">
        <w:rPr>
          <w:sz w:val="24"/>
          <w:szCs w:val="24"/>
        </w:rPr>
        <w:t xml:space="preserve">most of the specific count values above the value of 11 also </w:t>
      </w:r>
      <w:r w:rsidR="00BD23D0">
        <w:rPr>
          <w:sz w:val="24"/>
          <w:szCs w:val="24"/>
        </w:rPr>
        <w:t>having</w:t>
      </w:r>
      <w:r w:rsidR="002731E5" w:rsidRPr="00861789">
        <w:rPr>
          <w:sz w:val="24"/>
          <w:szCs w:val="24"/>
        </w:rPr>
        <w:t xml:space="preserve"> zero individuals participating. Thus, we assigned a </w:t>
      </w:r>
      <w:r w:rsidR="002731E5" w:rsidRPr="00861789">
        <w:rPr>
          <w:sz w:val="24"/>
          <w:szCs w:val="24"/>
        </w:rPr>
        <w:lastRenderedPageBreak/>
        <w:t xml:space="preserve">count value of 10 for those whose </w:t>
      </w:r>
      <w:r w:rsidR="00EC7D6C">
        <w:rPr>
          <w:sz w:val="24"/>
          <w:szCs w:val="24"/>
        </w:rPr>
        <w:t xml:space="preserve">eat-out </w:t>
      </w:r>
      <w:r w:rsidR="002731E5" w:rsidRPr="00861789">
        <w:rPr>
          <w:sz w:val="24"/>
          <w:szCs w:val="24"/>
        </w:rPr>
        <w:t xml:space="preserve">count value was higher than 10. Similarly, there was a substantial drop in the count of individuals at the value of 7 (with only two individuals selecting the value of 7 for eat-in takeout and only </w:t>
      </w:r>
      <w:r w:rsidR="00E85670" w:rsidRPr="00861789">
        <w:rPr>
          <w:sz w:val="24"/>
          <w:szCs w:val="24"/>
        </w:rPr>
        <w:t>three</w:t>
      </w:r>
      <w:r w:rsidR="002731E5" w:rsidRPr="00861789">
        <w:rPr>
          <w:sz w:val="24"/>
          <w:szCs w:val="24"/>
        </w:rPr>
        <w:t xml:space="preserve"> individuals selecting the eat-in delivery channel</w:t>
      </w:r>
      <w:r w:rsidR="00E85670" w:rsidRPr="00861789">
        <w:rPr>
          <w:sz w:val="24"/>
          <w:szCs w:val="24"/>
        </w:rPr>
        <w:t xml:space="preserve">, with </w:t>
      </w:r>
      <w:r w:rsidR="00EC4322" w:rsidRPr="00861789">
        <w:rPr>
          <w:sz w:val="24"/>
          <w:szCs w:val="24"/>
        </w:rPr>
        <w:t>zeros for most higher categories</w:t>
      </w:r>
      <w:r w:rsidR="002731E5" w:rsidRPr="00861789">
        <w:rPr>
          <w:sz w:val="24"/>
          <w:szCs w:val="24"/>
        </w:rPr>
        <w:t xml:space="preserve">). </w:t>
      </w:r>
      <w:r w:rsidR="00CE60B7">
        <w:rPr>
          <w:sz w:val="24"/>
          <w:szCs w:val="24"/>
        </w:rPr>
        <w:t>So</w:t>
      </w:r>
      <w:r w:rsidR="002731E5" w:rsidRPr="00861789">
        <w:rPr>
          <w:sz w:val="24"/>
          <w:szCs w:val="24"/>
        </w:rPr>
        <w:t>, we assigned a count value of 6 for those whose count value exceeded 6. Implicitly, this also helps in model prediction because the model will predict non-zero probabilities for all combinations of count values across the three N</w:t>
      </w:r>
      <w:r w:rsidR="009D141C">
        <w:rPr>
          <w:sz w:val="24"/>
          <w:szCs w:val="24"/>
        </w:rPr>
        <w:t>HCM</w:t>
      </w:r>
      <w:r w:rsidR="002731E5" w:rsidRPr="00861789">
        <w:rPr>
          <w:sz w:val="24"/>
          <w:szCs w:val="24"/>
        </w:rPr>
        <w:t xml:space="preserve"> channels, and our construction above ensures that the maximum possible value of prediction from the data is no more than the count of weekdays in a month (=22 days). </w:t>
      </w:r>
      <w:r w:rsidR="008B02E0">
        <w:rPr>
          <w:sz w:val="24"/>
          <w:szCs w:val="24"/>
        </w:rPr>
        <w:t>As indic</w:t>
      </w:r>
      <w:r w:rsidR="00060A21">
        <w:rPr>
          <w:sz w:val="24"/>
          <w:szCs w:val="24"/>
        </w:rPr>
        <w:t>a</w:t>
      </w:r>
      <w:r w:rsidR="008B02E0">
        <w:rPr>
          <w:sz w:val="24"/>
          <w:szCs w:val="24"/>
        </w:rPr>
        <w:t xml:space="preserve">ted earlier, we focus only on the count of </w:t>
      </w:r>
      <w:r w:rsidR="00A9392B">
        <w:rPr>
          <w:sz w:val="24"/>
          <w:szCs w:val="24"/>
        </w:rPr>
        <w:t>N</w:t>
      </w:r>
      <w:r w:rsidR="009D141C">
        <w:rPr>
          <w:sz w:val="24"/>
          <w:szCs w:val="24"/>
        </w:rPr>
        <w:t>HCM</w:t>
      </w:r>
      <w:r w:rsidR="00A9392B">
        <w:rPr>
          <w:sz w:val="24"/>
          <w:szCs w:val="24"/>
        </w:rPr>
        <w:t xml:space="preserve">s for dinner meals on </w:t>
      </w:r>
      <w:r w:rsidR="008B02E0">
        <w:rPr>
          <w:sz w:val="24"/>
          <w:szCs w:val="24"/>
        </w:rPr>
        <w:t>weekday</w:t>
      </w:r>
      <w:r w:rsidR="00A9392B">
        <w:rPr>
          <w:sz w:val="24"/>
          <w:szCs w:val="24"/>
        </w:rPr>
        <w:t>s</w:t>
      </w:r>
      <w:r w:rsidR="008B02E0">
        <w:rPr>
          <w:sz w:val="24"/>
          <w:szCs w:val="24"/>
        </w:rPr>
        <w:t xml:space="preserve"> </w:t>
      </w:r>
      <w:r w:rsidR="00A9392B">
        <w:rPr>
          <w:sz w:val="24"/>
          <w:szCs w:val="24"/>
        </w:rPr>
        <w:t xml:space="preserve">over the month. For ease </w:t>
      </w:r>
      <w:r w:rsidR="00060A21">
        <w:rPr>
          <w:sz w:val="24"/>
          <w:szCs w:val="24"/>
        </w:rPr>
        <w:t xml:space="preserve">of </w:t>
      </w:r>
      <w:r w:rsidR="00A9392B">
        <w:rPr>
          <w:sz w:val="24"/>
          <w:szCs w:val="24"/>
        </w:rPr>
        <w:t>presentation, in the remainder of this paper, we will use the more concise label of “monthly N</w:t>
      </w:r>
      <w:r w:rsidR="009D141C">
        <w:rPr>
          <w:sz w:val="24"/>
          <w:szCs w:val="24"/>
        </w:rPr>
        <w:t>HCM</w:t>
      </w:r>
      <w:r w:rsidR="00A9392B">
        <w:rPr>
          <w:sz w:val="24"/>
          <w:szCs w:val="24"/>
        </w:rPr>
        <w:t xml:space="preserve"> count” to refer to the more precise label of “dinner-related N</w:t>
      </w:r>
      <w:r w:rsidR="009D141C">
        <w:rPr>
          <w:sz w:val="24"/>
          <w:szCs w:val="24"/>
        </w:rPr>
        <w:t>HCM</w:t>
      </w:r>
      <w:r w:rsidR="00A9392B">
        <w:rPr>
          <w:sz w:val="24"/>
          <w:szCs w:val="24"/>
        </w:rPr>
        <w:t xml:space="preserve"> count over the 22 weekdays in the month.” </w:t>
      </w:r>
    </w:p>
    <w:p w14:paraId="6DE146D1" w14:textId="117BEBFA" w:rsidR="0020044F" w:rsidRDefault="00CA28DC" w:rsidP="00AC636C">
      <w:pPr>
        <w:spacing w:after="0" w:line="276" w:lineRule="auto"/>
        <w:ind w:firstLine="720"/>
        <w:jc w:val="both"/>
      </w:pPr>
      <w:r w:rsidRPr="00CA28DC">
        <w:rPr>
          <w:color w:val="000000" w:themeColor="text1"/>
        </w:rPr>
        <w:t xml:space="preserve">Table 2 </w:t>
      </w:r>
      <w:r w:rsidR="00135D30" w:rsidRPr="00CA28DC">
        <w:rPr>
          <w:color w:val="000000" w:themeColor="text1"/>
        </w:rPr>
        <w:t xml:space="preserve">presents </w:t>
      </w:r>
      <w:r w:rsidR="00135D30">
        <w:t xml:space="preserve">the distribution of </w:t>
      </w:r>
      <w:r w:rsidR="00723E3E">
        <w:t xml:space="preserve">the </w:t>
      </w:r>
      <w:r w:rsidR="008011E9">
        <w:t xml:space="preserve">weekday </w:t>
      </w:r>
      <w:r w:rsidR="00FE30C8">
        <w:t xml:space="preserve">monthly counts of </w:t>
      </w:r>
      <w:r w:rsidR="008011E9">
        <w:t xml:space="preserve">dinner-associated </w:t>
      </w:r>
      <w:r w:rsidR="00135D30">
        <w:t>N</w:t>
      </w:r>
      <w:r w:rsidR="009D141C">
        <w:t>HCM</w:t>
      </w:r>
      <w:r w:rsidR="00135D30">
        <w:t xml:space="preserve"> </w:t>
      </w:r>
      <w:r w:rsidR="008011E9">
        <w:t>behavior</w:t>
      </w:r>
      <w:r w:rsidR="00135D30">
        <w:t xml:space="preserve"> </w:t>
      </w:r>
      <w:r w:rsidR="00FE30C8">
        <w:t xml:space="preserve">by channel </w:t>
      </w:r>
      <w:r w:rsidR="008011E9">
        <w:t xml:space="preserve">type: </w:t>
      </w:r>
      <w:r w:rsidR="00EC7D6C">
        <w:t xml:space="preserve">eat-out, </w:t>
      </w:r>
      <w:r w:rsidR="008011E9">
        <w:t>eat-in take-out, eat-in delivery</w:t>
      </w:r>
      <w:r w:rsidR="00EC7D6C">
        <w:t>.</w:t>
      </w:r>
      <w:r w:rsidR="0064075E">
        <w:rPr>
          <w:rStyle w:val="FootnoteReference"/>
        </w:rPr>
        <w:footnoteReference w:id="10"/>
      </w:r>
      <w:r w:rsidR="008011E9">
        <w:t xml:space="preserve"> The statistics clearly reveal </w:t>
      </w:r>
      <w:r w:rsidR="00135D30">
        <w:t xml:space="preserve">that </w:t>
      </w:r>
      <w:r w:rsidR="00994B82">
        <w:t xml:space="preserve">the </w:t>
      </w:r>
      <w:r w:rsidR="00EC7D6C">
        <w:t xml:space="preserve">eat-out channel is more </w:t>
      </w:r>
      <w:r w:rsidR="00135D30">
        <w:t>common</w:t>
      </w:r>
      <w:r w:rsidR="00994B82">
        <w:t>ly</w:t>
      </w:r>
      <w:r w:rsidR="00135D30">
        <w:t xml:space="preserve"> </w:t>
      </w:r>
      <w:r w:rsidR="00994B82">
        <w:t xml:space="preserve">used </w:t>
      </w:r>
      <w:r w:rsidR="00135D30">
        <w:t xml:space="preserve">than </w:t>
      </w:r>
      <w:r w:rsidR="008011E9">
        <w:t xml:space="preserve">the </w:t>
      </w:r>
      <w:r w:rsidR="00135D30">
        <w:t>eat</w:t>
      </w:r>
      <w:r w:rsidR="008011E9">
        <w:t>-</w:t>
      </w:r>
      <w:r w:rsidR="00EC7D6C">
        <w:t>in</w:t>
      </w:r>
      <w:r w:rsidR="008011E9">
        <w:t xml:space="preserve"> channel</w:t>
      </w:r>
      <w:r w:rsidR="00EC7D6C">
        <w:t>s</w:t>
      </w:r>
      <w:r w:rsidR="00135D30">
        <w:t xml:space="preserve">, </w:t>
      </w:r>
      <w:r w:rsidR="008011E9">
        <w:t xml:space="preserve">with </w:t>
      </w:r>
      <w:r w:rsidR="00EC7D6C">
        <w:t>only 25.</w:t>
      </w:r>
      <w:r w:rsidR="00375309">
        <w:t>92</w:t>
      </w:r>
      <w:r w:rsidR="00EC7D6C">
        <w:t xml:space="preserve">% of individuals who do not partake in the eat-out channel during the month relative to </w:t>
      </w:r>
      <w:r w:rsidR="00994B82">
        <w:t>6</w:t>
      </w:r>
      <w:r w:rsidR="00375309">
        <w:t>6</w:t>
      </w:r>
      <w:r w:rsidR="00994B82">
        <w:t>.</w:t>
      </w:r>
      <w:r w:rsidR="00375309">
        <w:t>8</w:t>
      </w:r>
      <w:r w:rsidR="00994B82">
        <w:t>5% of individuals (5</w:t>
      </w:r>
      <w:r w:rsidR="00375309">
        <w:t>7</w:t>
      </w:r>
      <w:r w:rsidR="00994B82">
        <w:t>.</w:t>
      </w:r>
      <w:r w:rsidR="00375309">
        <w:t>05</w:t>
      </w:r>
      <w:r w:rsidR="00994B82">
        <w:t>% of individuals) not using the eat-in takeout (eat-in delivery) channel</w:t>
      </w:r>
      <w:r w:rsidR="00EC7D6C">
        <w:t>.</w:t>
      </w:r>
    </w:p>
    <w:p w14:paraId="5FF5DEE0" w14:textId="77777777" w:rsidR="00D52C17" w:rsidRDefault="00D52C17" w:rsidP="00AC636C">
      <w:pPr>
        <w:spacing w:after="0" w:line="276" w:lineRule="auto"/>
        <w:ind w:firstLine="720"/>
        <w:jc w:val="both"/>
      </w:pPr>
    </w:p>
    <w:p w14:paraId="0B2FDD9A" w14:textId="1A783906" w:rsidR="00EC2C4D" w:rsidRPr="00AC636C" w:rsidRDefault="00AC636C" w:rsidP="00AC636C">
      <w:pPr>
        <w:pStyle w:val="Heading2"/>
        <w:spacing w:after="0" w:line="276" w:lineRule="auto"/>
        <w:rPr>
          <w:i w:val="0"/>
        </w:rPr>
      </w:pPr>
      <w:r>
        <w:rPr>
          <w:i w:val="0"/>
        </w:rPr>
        <w:t xml:space="preserve"> </w:t>
      </w:r>
      <w:r w:rsidR="00EC2C4D" w:rsidRPr="00AC636C">
        <w:rPr>
          <w:i w:val="0"/>
        </w:rPr>
        <w:t>Framework for Jointly Modeling Count Outcomes</w:t>
      </w:r>
    </w:p>
    <w:p w14:paraId="4B66F5AE" w14:textId="5A1889D2" w:rsidR="00D52C17" w:rsidRDefault="0080018F" w:rsidP="00AC636C">
      <w:pPr>
        <w:spacing w:after="0" w:line="276" w:lineRule="auto"/>
        <w:jc w:val="both"/>
      </w:pPr>
      <w:r>
        <w:t>The modeling framework used for analyzing individuals’ monthly frequency of N</w:t>
      </w:r>
      <w:r w:rsidR="009D141C">
        <w:t>HCM</w:t>
      </w:r>
      <w:r>
        <w:t xml:space="preserve"> consumption takes the form of a </w:t>
      </w:r>
      <w:r w:rsidR="00683D9D">
        <w:t>m</w:t>
      </w:r>
      <w:r>
        <w:t xml:space="preserve">ultivariate </w:t>
      </w:r>
      <w:r w:rsidR="0055600F">
        <w:t xml:space="preserve">ordered-response </w:t>
      </w:r>
      <w:r w:rsidR="00683D9D">
        <w:t xml:space="preserve">probit (MORP) </w:t>
      </w:r>
      <w:r w:rsidR="0055600F">
        <w:t xml:space="preserve">model system that appropriately accounts for the discrete </w:t>
      </w:r>
      <w:r w:rsidR="00860CE5">
        <w:t xml:space="preserve">as well as the capped </w:t>
      </w:r>
      <w:r w:rsidR="0055600F">
        <w:t>nature of the counts</w:t>
      </w:r>
      <w:r w:rsidR="00860CE5">
        <w:t>.</w:t>
      </w:r>
    </w:p>
    <w:p w14:paraId="41E17158" w14:textId="77777777" w:rsidR="00D52C17" w:rsidRDefault="00D52C17" w:rsidP="00AC636C">
      <w:pPr>
        <w:spacing w:after="0" w:line="276" w:lineRule="auto"/>
        <w:jc w:val="both"/>
      </w:pPr>
    </w:p>
    <w:p w14:paraId="326CB1CD" w14:textId="295987FB" w:rsidR="00EA47D7" w:rsidRPr="00AC636C" w:rsidRDefault="00EA47D7" w:rsidP="00AC636C">
      <w:pPr>
        <w:pStyle w:val="ListParagraph"/>
        <w:numPr>
          <w:ilvl w:val="2"/>
          <w:numId w:val="1"/>
        </w:numPr>
        <w:spacing w:after="0" w:line="276" w:lineRule="auto"/>
        <w:ind w:left="720"/>
        <w:jc w:val="both"/>
        <w:rPr>
          <w:i/>
        </w:rPr>
      </w:pPr>
      <w:r w:rsidRPr="00AC636C">
        <w:rPr>
          <w:i/>
        </w:rPr>
        <w:t>Model Structure</w:t>
      </w:r>
    </w:p>
    <w:p w14:paraId="23384998" w14:textId="5D2E88AF" w:rsidR="0055600F" w:rsidRDefault="0080018F" w:rsidP="00AC636C">
      <w:pPr>
        <w:spacing w:after="0" w:line="276" w:lineRule="auto"/>
        <w:jc w:val="both"/>
      </w:pPr>
      <w:r>
        <w:t xml:space="preserve">Let </w:t>
      </w:r>
      <w:r>
        <w:rPr>
          <w:i/>
        </w:rPr>
        <w:t>c</w:t>
      </w:r>
      <w:r>
        <w:t xml:space="preserve"> be the index for the N</w:t>
      </w:r>
      <w:r w:rsidR="009D141C">
        <w:t>HCM</w:t>
      </w:r>
      <w:r>
        <w:t xml:space="preserve"> </w:t>
      </w:r>
      <w:r w:rsidR="0098696D">
        <w:t>channel type</w:t>
      </w:r>
      <w:r>
        <w:t xml:space="preserve"> (</w:t>
      </w:r>
      <w:r>
        <w:rPr>
          <w:i/>
        </w:rPr>
        <w:t>c</w:t>
      </w:r>
      <w:r>
        <w:t xml:space="preserve"> = 1, 2,…, </w:t>
      </w:r>
      <w:r>
        <w:rPr>
          <w:i/>
        </w:rPr>
        <w:t>C</w:t>
      </w:r>
      <w:r>
        <w:t xml:space="preserve">; </w:t>
      </w:r>
      <w:r>
        <w:rPr>
          <w:i/>
        </w:rPr>
        <w:t>C</w:t>
      </w:r>
      <w:r>
        <w:t xml:space="preserve">=3 in our case). </w:t>
      </w:r>
      <w:r w:rsidR="0098696D" w:rsidRPr="004035E1">
        <w:t xml:space="preserve">Define a latent propensity </w:t>
      </w:r>
      <w:r w:rsidR="00C47613" w:rsidRPr="00691776">
        <w:rPr>
          <w:position w:val="-12"/>
        </w:rPr>
        <w:object w:dxaOrig="279" w:dyaOrig="380" w14:anchorId="1CFCC519">
          <v:shape id="_x0000_i1026" type="#_x0000_t75" style="width:13.75pt;height:18.95pt" o:ole="" o:preferrelative="f">
            <v:imagedata r:id="rId16" o:title=""/>
            <o:lock v:ext="edit" aspectratio="f"/>
          </v:shape>
          <o:OLEObject Type="Embed" ProgID="Equation.DSMT4" ShapeID="_x0000_i1026" DrawAspect="Content" ObjectID="_1734432046" r:id="rId17"/>
        </w:object>
      </w:r>
      <w:r w:rsidR="0098696D">
        <w:t xml:space="preserve"> </w:t>
      </w:r>
      <w:r w:rsidR="0098696D" w:rsidRPr="004035E1">
        <w:t>underlying the count variable</w:t>
      </w:r>
      <w:r w:rsidR="0098696D" w:rsidRPr="0098696D">
        <w:t xml:space="preserve"> </w:t>
      </w:r>
      <w:r w:rsidR="00C47613" w:rsidRPr="00691776">
        <w:rPr>
          <w:position w:val="-12"/>
        </w:rPr>
        <w:object w:dxaOrig="279" w:dyaOrig="380" w14:anchorId="506F7464">
          <v:shape id="_x0000_i1027" type="#_x0000_t75" style="width:13.75pt;height:18.95pt" o:ole="" o:preferrelative="f">
            <v:imagedata r:id="rId18" o:title=""/>
            <o:lock v:ext="edit" aspectratio="f"/>
          </v:shape>
          <o:OLEObject Type="Embed" ProgID="Equation.DSMT4" ShapeID="_x0000_i1027" DrawAspect="Content" ObjectID="_1734432047" r:id="rId19"/>
        </w:object>
      </w:r>
      <w:r w:rsidR="00774D78">
        <w:t xml:space="preserve"> for channel </w:t>
      </w:r>
      <w:r w:rsidR="00774D78" w:rsidRPr="00861789">
        <w:rPr>
          <w:i/>
        </w:rPr>
        <w:t>c</w:t>
      </w:r>
      <w:r w:rsidR="0055600F">
        <w:t xml:space="preserve"> </w:t>
      </w:r>
      <w:r w:rsidR="0098696D" w:rsidRPr="004035E1">
        <w:t>and consider the following structure:</w:t>
      </w:r>
    </w:p>
    <w:p w14:paraId="799D8966" w14:textId="31F0D83B" w:rsidR="00C72CE8" w:rsidRPr="00392EDE" w:rsidRDefault="00C47613" w:rsidP="00AC636C">
      <w:pPr>
        <w:tabs>
          <w:tab w:val="right" w:pos="9360"/>
        </w:tabs>
        <w:spacing w:before="120" w:after="120" w:line="276" w:lineRule="auto"/>
        <w:jc w:val="both"/>
      </w:pPr>
      <w:r w:rsidRPr="004035E1">
        <w:rPr>
          <w:position w:val="-12"/>
        </w:rPr>
        <w:object w:dxaOrig="1260" w:dyaOrig="380" w14:anchorId="55F6B742">
          <v:shape id="_x0000_i1028" type="#_x0000_t75" style="width:63.95pt;height:18.95pt" o:ole="" o:preferrelative="f">
            <v:imagedata r:id="rId20" o:title=""/>
            <o:lock v:ext="edit" aspectratio="f"/>
          </v:shape>
          <o:OLEObject Type="Embed" ProgID="Equation.DSMT4" ShapeID="_x0000_i1028" DrawAspect="Content" ObjectID="_1734432048" r:id="rId21"/>
        </w:object>
      </w:r>
      <w:r w:rsidR="0098696D" w:rsidRPr="004035E1">
        <w:t xml:space="preserve">, </w:t>
      </w:r>
      <w:r w:rsidRPr="004035E1">
        <w:rPr>
          <w:position w:val="-12"/>
        </w:rPr>
        <w:object w:dxaOrig="720" w:dyaOrig="360" w14:anchorId="74E139C9">
          <v:shape id="_x0000_i1029" type="#_x0000_t75" style="width:36pt;height:18pt" o:ole="" o:preferrelative="f">
            <v:imagedata r:id="rId22" o:title=""/>
            <o:lock v:ext="edit" aspectratio="f"/>
          </v:shape>
          <o:OLEObject Type="Embed" ProgID="Equation.DSMT4" ShapeID="_x0000_i1029" DrawAspect="Content" ObjectID="_1734432049" r:id="rId23"/>
        </w:object>
      </w:r>
      <w:r w:rsidR="0098696D" w:rsidRPr="004035E1">
        <w:t xml:space="preserve"> if</w:t>
      </w:r>
      <w:r w:rsidR="00C72CE8">
        <w:t xml:space="preserve"> </w:t>
      </w:r>
      <w:r w:rsidRPr="00B92DBD">
        <w:rPr>
          <w:position w:val="-18"/>
        </w:rPr>
        <w:object w:dxaOrig="1740" w:dyaOrig="440" w14:anchorId="673150FB">
          <v:shape id="_x0000_i1030" type="#_x0000_t75" style="width:87.15pt;height:22.75pt" o:ole="" o:preferrelative="f">
            <v:imagedata r:id="rId24" o:title=""/>
            <o:lock v:ext="edit" aspectratio="f"/>
          </v:shape>
          <o:OLEObject Type="Embed" ProgID="Equation.DSMT4" ShapeID="_x0000_i1030" DrawAspect="Content" ObjectID="_1734432050" r:id="rId25"/>
        </w:object>
      </w:r>
      <w:r w:rsidR="0098696D" w:rsidRPr="004035E1">
        <w:t xml:space="preserve">,  </w:t>
      </w:r>
      <w:r w:rsidR="00060A21">
        <w:tab/>
        <w:t>(2)</w:t>
      </w:r>
    </w:p>
    <w:p w14:paraId="4039243B" w14:textId="72BBAFF8" w:rsidR="0001526E" w:rsidRPr="0055600F" w:rsidRDefault="00C72CE8" w:rsidP="00AC636C">
      <w:pPr>
        <w:spacing w:after="0" w:line="276" w:lineRule="auto"/>
        <w:jc w:val="both"/>
      </w:pPr>
      <w:r w:rsidRPr="004035E1">
        <w:t xml:space="preserve">where </w:t>
      </w:r>
      <w:r w:rsidR="00C47613" w:rsidRPr="00861789">
        <w:rPr>
          <w:position w:val="-4"/>
        </w:rPr>
        <w:object w:dxaOrig="200" w:dyaOrig="200" w14:anchorId="5CB24C76">
          <v:shape id="_x0000_i1031" type="#_x0000_t75" style="width:10.4pt;height:10.4pt" o:ole="" o:preferrelative="f">
            <v:imagedata r:id="rId26" o:title=""/>
            <o:lock v:ext="edit" aspectratio="f"/>
          </v:shape>
          <o:OLEObject Type="Embed" ProgID="Equation.DSMT4" ShapeID="_x0000_i1031" DrawAspect="Content" ObjectID="_1734432051" r:id="rId27"/>
        </w:object>
      </w:r>
      <w:r w:rsidR="0055600F" w:rsidRPr="00107AF4">
        <w:t xml:space="preserve"> is a (</w:t>
      </w:r>
      <w:r w:rsidR="0055600F" w:rsidRPr="00107AF4">
        <w:rPr>
          <w:i/>
        </w:rPr>
        <w:t>L×</w:t>
      </w:r>
      <w:r w:rsidR="0055600F" w:rsidRPr="00392CC5">
        <w:t>1</w:t>
      </w:r>
      <w:r w:rsidR="0055600F" w:rsidRPr="00107AF4">
        <w:t xml:space="preserve">) vector of exogenous variables (not including a constant), </w:t>
      </w:r>
      <w:r w:rsidR="00C47613" w:rsidRPr="00107AF4">
        <w:rPr>
          <w:position w:val="-12"/>
        </w:rPr>
        <w:object w:dxaOrig="279" w:dyaOrig="380" w14:anchorId="3F2C2382">
          <v:shape id="_x0000_i1032" type="#_x0000_t75" style="width:13.75pt;height:18.95pt" o:ole="" o:preferrelative="f">
            <v:imagedata r:id="rId28" o:title=""/>
            <o:lock v:ext="edit" aspectratio="f"/>
          </v:shape>
          <o:OLEObject Type="Embed" ProgID="Equation.DSMT4" ShapeID="_x0000_i1032" DrawAspect="Content" ObjectID="_1734432052" r:id="rId29"/>
        </w:object>
      </w:r>
      <w:r w:rsidR="0055600F" w:rsidRPr="00107AF4">
        <w:t xml:space="preserve"> is a corresponding (</w:t>
      </w:r>
      <w:r w:rsidR="0055600F" w:rsidRPr="00107AF4">
        <w:rPr>
          <w:i/>
        </w:rPr>
        <w:t>L×</w:t>
      </w:r>
      <w:r w:rsidR="0055600F" w:rsidRPr="00392CC5">
        <w:t>1</w:t>
      </w:r>
      <w:r w:rsidR="0055600F" w:rsidRPr="00107AF4">
        <w:t xml:space="preserve">) vector of </w:t>
      </w:r>
      <w:r w:rsidR="0055600F">
        <w:t xml:space="preserve">channel-specific </w:t>
      </w:r>
      <w:r w:rsidR="0055600F" w:rsidRPr="00107AF4">
        <w:t>coefficients to be estimated,</w:t>
      </w:r>
      <w:r w:rsidR="00EC7D6C">
        <w:t xml:space="preserve"> and </w:t>
      </w:r>
      <w:r w:rsidR="00C47613" w:rsidRPr="00691776">
        <w:rPr>
          <w:position w:val="-12"/>
        </w:rPr>
        <w:object w:dxaOrig="260" w:dyaOrig="360" w14:anchorId="562D7463">
          <v:shape id="_x0000_i1033" type="#_x0000_t75" style="width:12.8pt;height:18pt" o:ole="" o:preferrelative="f">
            <v:imagedata r:id="rId30" o:title=""/>
            <o:lock v:ext="edit" aspectratio="f"/>
          </v:shape>
          <o:OLEObject Type="Embed" ProgID="Equation.DSMT4" ShapeID="_x0000_i1033" DrawAspect="Content" ObjectID="_1734432053" r:id="rId31"/>
        </w:object>
      </w:r>
      <w:r>
        <w:t xml:space="preserve"> </w:t>
      </w:r>
      <w:r w:rsidRPr="004035E1">
        <w:t xml:space="preserve">is a random error term assumed to be </w:t>
      </w:r>
      <w:r>
        <w:t xml:space="preserve">standard normally </w:t>
      </w:r>
      <w:r w:rsidRPr="004035E1">
        <w:t xml:space="preserve">distributed </w:t>
      </w:r>
      <w:r>
        <w:t xml:space="preserve">(the scale of </w:t>
      </w:r>
      <w:r w:rsidR="00C47613" w:rsidRPr="00691776">
        <w:rPr>
          <w:position w:val="-12"/>
        </w:rPr>
        <w:object w:dxaOrig="260" w:dyaOrig="360" w14:anchorId="6539D74C">
          <v:shape id="_x0000_i1034" type="#_x0000_t75" style="width:12.8pt;height:18pt" o:ole="" o:preferrelative="f">
            <v:imagedata r:id="rId32" o:title=""/>
            <o:lock v:ext="edit" aspectratio="f"/>
          </v:shape>
          <o:OLEObject Type="Embed" ProgID="Equation.DSMT4" ShapeID="_x0000_i1034" DrawAspect="Content" ObjectID="_1734432054" r:id="rId33"/>
        </w:object>
      </w:r>
      <w:r>
        <w:t xml:space="preserve"> is not identified and so is </w:t>
      </w:r>
      <w:r w:rsidR="00774D78">
        <w:t xml:space="preserve">arbitrarily </w:t>
      </w:r>
      <w:r>
        <w:t xml:space="preserve">set to one). </w:t>
      </w:r>
      <w:r w:rsidR="00C47613" w:rsidRPr="00691776">
        <w:rPr>
          <w:position w:val="-12"/>
        </w:rPr>
        <w:object w:dxaOrig="260" w:dyaOrig="360" w14:anchorId="1653B8DD">
          <v:shape id="_x0000_i1035" type="#_x0000_t75" style="width:12.8pt;height:18pt" o:ole="" o:preferrelative="f">
            <v:imagedata r:id="rId34" o:title=""/>
            <o:lock v:ext="edit" aspectratio="f"/>
          </v:shape>
          <o:OLEObject Type="Embed" ProgID="Equation.DSMT4" ShapeID="_x0000_i1035" DrawAspect="Content" ObjectID="_1734432055" r:id="rId35"/>
        </w:object>
      </w:r>
      <w:r w:rsidR="006F382D">
        <w:t xml:space="preserve"> represents a specific value of </w:t>
      </w:r>
      <w:r w:rsidR="00C47613" w:rsidRPr="00691776">
        <w:rPr>
          <w:position w:val="-12"/>
        </w:rPr>
        <w:object w:dxaOrig="279" w:dyaOrig="380" w14:anchorId="66CE1F15">
          <v:shape id="_x0000_i1036" type="#_x0000_t75" style="width:13.75pt;height:18.95pt" o:ole="" o:preferrelative="f">
            <v:imagedata r:id="rId18" o:title=""/>
            <o:lock v:ext="edit" aspectratio="f"/>
          </v:shape>
          <o:OLEObject Type="Embed" ProgID="Equation.DSMT4" ShapeID="_x0000_i1036" DrawAspect="Content" ObjectID="_1734432056" r:id="rId36"/>
        </w:object>
      </w:r>
      <w:r w:rsidR="006F382D">
        <w:t xml:space="preserve">, which can range from the value of 0 to a maximum of </w:t>
      </w:r>
      <w:bookmarkStart w:id="33" w:name="_Hlk119694123"/>
      <w:r w:rsidR="00C47613" w:rsidRPr="00691776">
        <w:rPr>
          <w:position w:val="-12"/>
        </w:rPr>
        <w:object w:dxaOrig="320" w:dyaOrig="360" w14:anchorId="1EB6CDEA">
          <v:shape id="_x0000_i1037" type="#_x0000_t75" style="width:15.65pt;height:18pt" o:ole="" o:preferrelative="f">
            <v:imagedata r:id="rId37" o:title=""/>
            <o:lock v:ext="edit" aspectratio="f"/>
          </v:shape>
          <o:OLEObject Type="Embed" ProgID="Equation.DSMT4" ShapeID="_x0000_i1037" DrawAspect="Content" ObjectID="_1734432057" r:id="rId38"/>
        </w:object>
      </w:r>
      <w:bookmarkEnd w:id="33"/>
      <w:r w:rsidR="006F382D">
        <w:t xml:space="preserve"> in the sample</w:t>
      </w:r>
      <w:r w:rsidR="00DE02AA">
        <w:t xml:space="preserve"> </w:t>
      </w:r>
      <w:r w:rsidR="00DE02AA" w:rsidRPr="00691776">
        <w:rPr>
          <w:position w:val="-12"/>
        </w:rPr>
        <w:object w:dxaOrig="1980" w:dyaOrig="360" w14:anchorId="5F911B43">
          <v:shape id="_x0000_i1038" type="#_x0000_t75" style="width:99.95pt;height:18pt" o:ole="" o:preferrelative="f">
            <v:imagedata r:id="rId39" o:title=""/>
            <o:lock v:ext="edit" aspectratio="f"/>
          </v:shape>
          <o:OLEObject Type="Embed" ProgID="Equation.DSMT4" ShapeID="_x0000_i1038" DrawAspect="Content" ObjectID="_1734432058" r:id="rId40"/>
        </w:object>
      </w:r>
      <w:r w:rsidR="00DE02AA">
        <w:t xml:space="preserve">. </w:t>
      </w:r>
      <w:r w:rsidRPr="004035E1">
        <w:t xml:space="preserve">The latent count propensity </w:t>
      </w:r>
      <w:r w:rsidR="00DE02AA" w:rsidRPr="004035E1">
        <w:rPr>
          <w:position w:val="-12"/>
        </w:rPr>
        <w:object w:dxaOrig="279" w:dyaOrig="380" w14:anchorId="4C9ADA32">
          <v:shape id="_x0000_i1039" type="#_x0000_t75" style="width:13.75pt;height:18.95pt" o:ole="" o:preferrelative="f">
            <v:imagedata r:id="rId41" o:title=""/>
            <o:lock v:ext="edit" aspectratio="f"/>
          </v:shape>
          <o:OLEObject Type="Embed" ProgID="Equation.DSMT4" ShapeID="_x0000_i1039" DrawAspect="Content" ObjectID="_1734432059" r:id="rId42"/>
        </w:object>
      </w:r>
      <w:r w:rsidRPr="004035E1">
        <w:t xml:space="preserve"> is mapped to the </w:t>
      </w:r>
      <w:r w:rsidRPr="004035E1">
        <w:lastRenderedPageBreak/>
        <w:t xml:space="preserve">observed count variable </w:t>
      </w:r>
      <w:r w:rsidR="00DE02AA" w:rsidRPr="004035E1">
        <w:rPr>
          <w:position w:val="-12"/>
        </w:rPr>
        <w:object w:dxaOrig="279" w:dyaOrig="380" w14:anchorId="6BB1941E">
          <v:shape id="_x0000_i1040" type="#_x0000_t75" style="width:13.75pt;height:18.95pt" o:ole="" o:preferrelative="f">
            <v:imagedata r:id="rId43" o:title=""/>
            <o:lock v:ext="edit" aspectratio="f"/>
          </v:shape>
          <o:OLEObject Type="Embed" ProgID="Equation.DSMT4" ShapeID="_x0000_i1040" DrawAspect="Content" ObjectID="_1734432060" r:id="rId44"/>
        </w:object>
      </w:r>
      <w:r w:rsidRPr="004035E1">
        <w:t xml:space="preserve"> by the thresholds </w:t>
      </w:r>
      <w:r w:rsidR="00DE02AA" w:rsidRPr="00392EDE">
        <w:rPr>
          <w:position w:val="-14"/>
        </w:rPr>
        <w:object w:dxaOrig="480" w:dyaOrig="380" w14:anchorId="168C2894">
          <v:shape id="_x0000_i1041" type="#_x0000_t75" style="width:24.15pt;height:18.95pt" o:ole="" o:preferrelative="f">
            <v:imagedata r:id="rId45" o:title=""/>
            <o:lock v:ext="edit" aspectratio="f"/>
          </v:shape>
          <o:OLEObject Type="Embed" ProgID="Equation.DSMT4" ShapeID="_x0000_i1041" DrawAspect="Content" ObjectID="_1734432061" r:id="rId46"/>
        </w:object>
      </w:r>
      <w:r w:rsidRPr="004035E1">
        <w:t xml:space="preserve">, which </w:t>
      </w:r>
      <w:r w:rsidR="00774D78">
        <w:t xml:space="preserve">should </w:t>
      </w:r>
      <w:r w:rsidRPr="004035E1">
        <w:t>satisfy the ordering conditions</w:t>
      </w:r>
      <w:r>
        <w:t xml:space="preserve"> </w:t>
      </w:r>
      <w:r w:rsidR="00DE02AA" w:rsidRPr="00861789">
        <w:rPr>
          <w:position w:val="-14"/>
        </w:rPr>
        <w:object w:dxaOrig="2860" w:dyaOrig="380" w14:anchorId="19FD7BFA">
          <v:shape id="_x0000_i1042" type="#_x0000_t75" style="width:143.05pt;height:18.95pt" o:ole="" o:preferrelative="f">
            <v:imagedata r:id="rId47" o:title=""/>
            <o:lock v:ext="edit" aspectratio="f"/>
          </v:shape>
          <o:OLEObject Type="Embed" ProgID="Equation.DSMT4" ShapeID="_x0000_i1042" DrawAspect="Content" ObjectID="_1734432062" r:id="rId48"/>
        </w:object>
      </w:r>
      <w:r w:rsidRPr="004035E1">
        <w:t>;</w:t>
      </w:r>
      <w:r w:rsidR="0055600F" w:rsidRPr="00861789">
        <w:rPr>
          <w:position w:val="-14"/>
        </w:rPr>
        <w:object w:dxaOrig="2659" w:dyaOrig="380" w14:anchorId="40845D38">
          <v:shape id="_x0000_i1043" type="#_x0000_t75" style="width:132.15pt;height:17.05pt" o:ole="" o:preferrelative="f">
            <v:imagedata r:id="rId49" o:title=""/>
            <o:lock v:ext="edit" aspectratio="f"/>
          </v:shape>
          <o:OLEObject Type="Embed" ProgID="Equation.DSMT4" ShapeID="_x0000_i1043" DrawAspect="Content" ObjectID="_1734432063" r:id="rId50"/>
        </w:object>
      </w:r>
      <w:r w:rsidRPr="004035E1">
        <w:t xml:space="preserve"> in the usual ordered-response fashion. </w:t>
      </w:r>
    </w:p>
    <w:p w14:paraId="16EBE4E1" w14:textId="05977764" w:rsidR="00683D9D" w:rsidRPr="00162B4B" w:rsidRDefault="00162B4B" w:rsidP="00AC636C">
      <w:pPr>
        <w:spacing w:after="0" w:line="276" w:lineRule="auto"/>
        <w:jc w:val="both"/>
      </w:pPr>
      <w:r>
        <w:tab/>
      </w:r>
      <w:r w:rsidR="0080018F" w:rsidRPr="00162B4B">
        <w:rPr>
          <w:noProof/>
        </w:rPr>
        <w:t>N</w:t>
      </w:r>
      <w:r w:rsidR="003114A4" w:rsidRPr="00162B4B">
        <w:rPr>
          <w:noProof/>
        </w:rPr>
        <w:t>ext</w:t>
      </w:r>
      <w:r w:rsidR="0080018F" w:rsidRPr="00162B4B">
        <w:rPr>
          <w:noProof/>
        </w:rPr>
        <w:t xml:space="preserve">, </w:t>
      </w:r>
      <w:r w:rsidR="0095242B" w:rsidRPr="00162B4B">
        <w:rPr>
          <w:noProof/>
        </w:rPr>
        <w:t xml:space="preserve">vertically </w:t>
      </w:r>
      <w:r w:rsidR="0080018F" w:rsidRPr="00162B4B">
        <w:rPr>
          <w:noProof/>
        </w:rPr>
        <w:t xml:space="preserve">stack the </w:t>
      </w:r>
      <w:r w:rsidR="0080018F" w:rsidRPr="00162B4B">
        <w:rPr>
          <w:i/>
          <w:noProof/>
        </w:rPr>
        <w:t xml:space="preserve">C </w:t>
      </w:r>
      <w:r w:rsidR="0080018F" w:rsidRPr="00162B4B">
        <w:rPr>
          <w:noProof/>
        </w:rPr>
        <w:t>latent variables</w:t>
      </w:r>
      <w:r w:rsidR="00BA0C34" w:rsidRPr="00162B4B">
        <w:rPr>
          <w:noProof/>
        </w:rPr>
        <w:t xml:space="preserve"> </w:t>
      </w:r>
      <w:r w:rsidR="00DE02AA" w:rsidRPr="00471D2A">
        <w:rPr>
          <w:position w:val="-12"/>
        </w:rPr>
        <w:object w:dxaOrig="279" w:dyaOrig="380" w14:anchorId="088F6CDF">
          <v:shape id="_x0000_i1044" type="#_x0000_t75" style="width:13.75pt;height:18.95pt" o:ole="" o:preferrelative="f">
            <v:imagedata r:id="rId51" o:title=""/>
            <o:lock v:ext="edit" aspectratio="f"/>
          </v:shape>
          <o:OLEObject Type="Embed" ProgID="Equation.DSMT4" ShapeID="_x0000_i1044" DrawAspect="Content" ObjectID="_1734432064" r:id="rId52"/>
        </w:object>
      </w:r>
      <w:r w:rsidR="0080018F" w:rsidRPr="00162B4B">
        <w:rPr>
          <w:noProof/>
        </w:rPr>
        <w:t xml:space="preserve"> into a </w:t>
      </w:r>
      <w:r w:rsidR="00DD1747" w:rsidRPr="00471D2A">
        <w:rPr>
          <w:position w:val="-10"/>
        </w:rPr>
        <w:object w:dxaOrig="680" w:dyaOrig="320" w14:anchorId="3C3D6C5D">
          <v:shape id="_x0000_i1045" type="#_x0000_t75" style="width:35.05pt;height:15.65pt" o:ole="">
            <v:imagedata r:id="rId53" o:title=""/>
          </v:shape>
          <o:OLEObject Type="Embed" ProgID="Equation.DSMT4" ShapeID="_x0000_i1045" DrawAspect="Content" ObjectID="_1734432065" r:id="rId54"/>
        </w:object>
      </w:r>
      <w:r w:rsidR="0080018F" w:rsidRPr="00162B4B">
        <w:rPr>
          <w:noProof/>
        </w:rPr>
        <w:t>vector</w:t>
      </w:r>
      <w:r w:rsidR="0080018F" w:rsidRPr="00162B4B">
        <w:rPr>
          <w:noProof/>
          <w:position w:val="-14"/>
        </w:rPr>
        <w:t xml:space="preserve"> </w:t>
      </w:r>
      <w:r w:rsidR="00DE02AA" w:rsidRPr="00162B4B">
        <w:rPr>
          <w:noProof/>
          <w:position w:val="-12"/>
        </w:rPr>
        <w:object w:dxaOrig="279" w:dyaOrig="380" w14:anchorId="3CC648B2">
          <v:shape id="_x0000_i1046" type="#_x0000_t75" style="width:13.75pt;height:18.95pt" o:ole="" o:preferrelative="f">
            <v:imagedata r:id="rId55" o:title=""/>
            <o:lock v:ext="edit" aspectratio="f"/>
          </v:shape>
          <o:OLEObject Type="Embed" ProgID="Equation.DSMT4" ShapeID="_x0000_i1046" DrawAspect="Content" ObjectID="_1734432066" r:id="rId56"/>
        </w:object>
      </w:r>
      <w:r w:rsidR="0080018F" w:rsidRPr="00162B4B">
        <w:rPr>
          <w:noProof/>
        </w:rPr>
        <w:t xml:space="preserve">, </w:t>
      </w:r>
      <w:r w:rsidR="0095242B" w:rsidRPr="00162B4B">
        <w:rPr>
          <w:noProof/>
        </w:rPr>
        <w:t xml:space="preserve">and </w:t>
      </w:r>
      <w:r w:rsidR="0080018F" w:rsidRPr="00162B4B">
        <w:rPr>
          <w:noProof/>
        </w:rPr>
        <w:t xml:space="preserve">the </w:t>
      </w:r>
      <w:r w:rsidR="0080018F" w:rsidRPr="00162B4B">
        <w:rPr>
          <w:i/>
          <w:noProof/>
        </w:rPr>
        <w:t>C</w:t>
      </w:r>
      <w:r w:rsidR="0080018F" w:rsidRPr="00162B4B">
        <w:rPr>
          <w:noProof/>
        </w:rPr>
        <w:t xml:space="preserve"> error terms </w:t>
      </w:r>
      <w:r w:rsidR="00DE02AA" w:rsidRPr="00162B4B">
        <w:rPr>
          <w:noProof/>
          <w:position w:val="-12"/>
        </w:rPr>
        <w:object w:dxaOrig="260" w:dyaOrig="360" w14:anchorId="1DDF98ED">
          <v:shape id="_x0000_i1047" type="#_x0000_t75" style="width:12.8pt;height:18pt" o:ole="" o:preferrelative="f">
            <v:imagedata r:id="rId57" o:title=""/>
            <o:lock v:ext="edit" aspectratio="f"/>
          </v:shape>
          <o:OLEObject Type="Embed" ProgID="Equation.DSMT4" ShapeID="_x0000_i1047" DrawAspect="Content" ObjectID="_1734432067" r:id="rId58"/>
        </w:object>
      </w:r>
      <w:r w:rsidR="0080018F" w:rsidRPr="00162B4B">
        <w:rPr>
          <w:noProof/>
        </w:rPr>
        <w:t xml:space="preserve"> into another </w:t>
      </w:r>
      <w:r w:rsidR="00DD1747" w:rsidRPr="00162B4B">
        <w:rPr>
          <w:position w:val="-10"/>
        </w:rPr>
        <w:object w:dxaOrig="680" w:dyaOrig="320" w14:anchorId="52B7E983">
          <v:shape id="_x0000_i1048" type="#_x0000_t75" style="width:35.05pt;height:15.65pt" o:ole="">
            <v:imagedata r:id="rId53" o:title=""/>
          </v:shape>
          <o:OLEObject Type="Embed" ProgID="Equation.DSMT4" ShapeID="_x0000_i1048" DrawAspect="Content" ObjectID="_1734432068" r:id="rId59"/>
        </w:object>
      </w:r>
      <w:r w:rsidR="0080018F" w:rsidRPr="00162B4B">
        <w:rPr>
          <w:noProof/>
        </w:rPr>
        <w:t>vector</w:t>
      </w:r>
      <w:r w:rsidR="0080018F" w:rsidRPr="00162B4B">
        <w:rPr>
          <w:noProof/>
          <w:position w:val="-14"/>
        </w:rPr>
        <w:t xml:space="preserve"> </w:t>
      </w:r>
      <w:r w:rsidR="00683D9D" w:rsidRPr="00162B4B">
        <w:rPr>
          <w:noProof/>
          <w:position w:val="-6"/>
        </w:rPr>
        <w:object w:dxaOrig="180" w:dyaOrig="220" w14:anchorId="1651ACA7">
          <v:shape id="_x0000_i1049" type="#_x0000_t75" style="width:6.15pt;height:11.85pt" o:ole="">
            <v:imagedata r:id="rId60" o:title=""/>
          </v:shape>
          <o:OLEObject Type="Embed" ProgID="Equation.DSMT4" ShapeID="_x0000_i1049" DrawAspect="Content" ObjectID="_1734432069" r:id="rId61"/>
        </w:object>
      </w:r>
      <w:r w:rsidR="0080018F" w:rsidRPr="00162B4B">
        <w:rPr>
          <w:noProof/>
        </w:rPr>
        <w:t xml:space="preserve">. Let </w:t>
      </w:r>
      <w:r w:rsidR="00DE02AA" w:rsidRPr="00162B4B">
        <w:rPr>
          <w:position w:val="-12"/>
        </w:rPr>
        <w:object w:dxaOrig="1719" w:dyaOrig="360" w14:anchorId="1646652C">
          <v:shape id="_x0000_i1050" type="#_x0000_t75" style="width:85.75pt;height:18pt" o:ole="" o:preferrelative="f">
            <v:imagedata r:id="rId62" o:title=""/>
            <o:lock v:ext="edit" aspectratio="f"/>
          </v:shape>
          <o:OLEObject Type="Embed" ProgID="Equation.DSMT4" ShapeID="_x0000_i1050" DrawAspect="Content" ObjectID="_1734432070" r:id="rId63"/>
        </w:object>
      </w:r>
      <w:r w:rsidR="0080018F" w:rsidRPr="00162B4B">
        <w:rPr>
          <w:noProof/>
        </w:rPr>
        <w:t xml:space="preserve"> where </w:t>
      </w:r>
      <w:r w:rsidR="00DE02AA" w:rsidRPr="00162B4B">
        <w:rPr>
          <w:position w:val="-12"/>
        </w:rPr>
        <w:object w:dxaOrig="1359" w:dyaOrig="360" w14:anchorId="35A429CE">
          <v:shape id="_x0000_i1051" type="#_x0000_t75" style="width:67.25pt;height:18pt" o:ole="" o:preferrelative="f">
            <v:imagedata r:id="rId64" o:title=""/>
            <o:lock v:ext="edit" aspectratio="f"/>
          </v:shape>
          <o:OLEObject Type="Embed" ProgID="Equation.DSMT4" ShapeID="_x0000_i1051" DrawAspect="Content" ObjectID="_1734432071" r:id="rId65"/>
        </w:object>
      </w:r>
      <w:r w:rsidR="00DD1747" w:rsidRPr="00162B4B">
        <w:t xml:space="preserve"> represents the </w:t>
      </w:r>
      <w:r w:rsidR="00DD1747" w:rsidRPr="00471D2A">
        <w:rPr>
          <w:position w:val="-6"/>
        </w:rPr>
        <w:object w:dxaOrig="240" w:dyaOrig="279" w14:anchorId="4049A5CC">
          <v:shape id="_x0000_i1052" type="#_x0000_t75" style="width:11.85pt;height:14.2pt" o:ole="">
            <v:imagedata r:id="rId66" o:title=""/>
          </v:shape>
          <o:OLEObject Type="Embed" ProgID="Equation.DSMT4" ShapeID="_x0000_i1052" DrawAspect="Content" ObjectID="_1734432072" r:id="rId67"/>
        </w:object>
      </w:r>
      <w:r w:rsidR="00DD1747" w:rsidRPr="00162B4B">
        <w:t xml:space="preserve">dimensional multivariate normal distribution with mean vector </w:t>
      </w:r>
      <w:r w:rsidR="00CB2DBB" w:rsidRPr="00162B4B">
        <w:rPr>
          <w:position w:val="-12"/>
        </w:rPr>
        <w:object w:dxaOrig="300" w:dyaOrig="360" w14:anchorId="7209AB9A">
          <v:shape id="_x0000_i1053" type="#_x0000_t75" style="width:15.65pt;height:18.95pt" o:ole="" o:preferrelative="f">
            <v:imagedata r:id="rId68" o:title=""/>
            <o:lock v:ext="edit" aspectratio="f"/>
          </v:shape>
          <o:OLEObject Type="Embed" ProgID="Equation.DSMT4" ShapeID="_x0000_i1053" DrawAspect="Content" ObjectID="_1734432073" r:id="rId69"/>
        </w:object>
      </w:r>
      <w:r w:rsidR="00DD1747" w:rsidRPr="00162B4B">
        <w:t xml:space="preserve"> (a </w:t>
      </w:r>
      <w:r w:rsidR="00DD1747" w:rsidRPr="00162B4B">
        <w:rPr>
          <w:position w:val="-10"/>
        </w:rPr>
        <w:object w:dxaOrig="680" w:dyaOrig="320" w14:anchorId="03E2FFC9">
          <v:shape id="_x0000_i1054" type="#_x0000_t75" style="width:35.05pt;height:15.65pt" o:ole="">
            <v:imagedata r:id="rId53" o:title=""/>
          </v:shape>
          <o:OLEObject Type="Embed" ProgID="Equation.DSMT4" ShapeID="_x0000_i1054" DrawAspect="Content" ObjectID="_1734432074" r:id="rId70"/>
        </w:object>
      </w:r>
      <w:r w:rsidR="00DD1747" w:rsidRPr="00162B4B">
        <w:t xml:space="preserve">vector of zeros) and a correlation matrix of </w:t>
      </w:r>
      <w:r w:rsidR="00DE02AA" w:rsidRPr="00471D2A">
        <w:rPr>
          <w:position w:val="-4"/>
        </w:rPr>
        <w:object w:dxaOrig="220" w:dyaOrig="260" w14:anchorId="4522D06D">
          <v:shape id="_x0000_i1055" type="#_x0000_t75" style="width:10.4pt;height:12.8pt" o:ole="" o:preferrelative="f">
            <v:imagedata r:id="rId71" o:title=""/>
            <o:lock v:ext="edit" aspectratio="f"/>
          </v:shape>
          <o:OLEObject Type="Embed" ProgID="Equation.DSMT4" ShapeID="_x0000_i1055" DrawAspect="Content" ObjectID="_1734432075" r:id="rId72"/>
        </w:object>
      </w:r>
      <w:r w:rsidR="00683D9D" w:rsidRPr="00162B4B">
        <w:t>.</w:t>
      </w:r>
      <w:r w:rsidR="00BA0C34" w:rsidRPr="00162B4B">
        <w:t xml:space="preserve"> </w:t>
      </w:r>
      <w:r w:rsidR="00683D9D" w:rsidRPr="00162B4B">
        <w:t xml:space="preserve">The off-diagonal terms of </w:t>
      </w:r>
      <w:r w:rsidR="00DE02AA" w:rsidRPr="00471D2A">
        <w:rPr>
          <w:position w:val="-4"/>
        </w:rPr>
        <w:object w:dxaOrig="220" w:dyaOrig="260" w14:anchorId="70BD5A5D">
          <v:shape id="_x0000_i1056" type="#_x0000_t75" style="width:10.4pt;height:12.8pt" o:ole="" o:preferrelative="f">
            <v:imagedata r:id="rId71" o:title=""/>
            <o:lock v:ext="edit" aspectratio="f"/>
          </v:shape>
          <o:OLEObject Type="Embed" ProgID="Equation.DSMT4" ShapeID="_x0000_i1056" DrawAspect="Content" ObjectID="_1734432076" r:id="rId73"/>
        </w:object>
      </w:r>
      <w:r w:rsidR="00683D9D" w:rsidRPr="00162B4B">
        <w:t xml:space="preserve"> capture the error covariance across the underlying latent continuous propensities of the different N</w:t>
      </w:r>
      <w:r w:rsidR="009D141C">
        <w:t>HCM</w:t>
      </w:r>
      <w:r w:rsidR="00683D9D" w:rsidRPr="00162B4B">
        <w:t xml:space="preserve"> consumption channels; that is, they capture the effect of common unobserved factors influencing the propensity of</w:t>
      </w:r>
      <w:r w:rsidR="00EC7D6C">
        <w:t xml:space="preserve"> monthly</w:t>
      </w:r>
      <w:r w:rsidR="00683D9D" w:rsidRPr="00162B4B">
        <w:t xml:space="preserve"> </w:t>
      </w:r>
      <w:r w:rsidR="00EC7D6C">
        <w:t xml:space="preserve">weekday </w:t>
      </w:r>
      <w:r w:rsidR="00683D9D" w:rsidRPr="00162B4B">
        <w:t>counts in each N</w:t>
      </w:r>
      <w:r w:rsidR="009D141C">
        <w:t>HCM</w:t>
      </w:r>
      <w:r w:rsidR="00683D9D" w:rsidRPr="00162B4B">
        <w:t xml:space="preserve"> channel. If all correlation parameters (i.e., off-diagonal elements of </w:t>
      </w:r>
      <w:r w:rsidR="00DE02AA" w:rsidRPr="00471D2A">
        <w:rPr>
          <w:position w:val="-4"/>
        </w:rPr>
        <w:object w:dxaOrig="220" w:dyaOrig="260" w14:anchorId="03A71E77">
          <v:shape id="_x0000_i1057" type="#_x0000_t75" style="width:10.4pt;height:12.8pt" o:ole="" o:preferrelative="f">
            <v:imagedata r:id="rId71" o:title=""/>
            <o:lock v:ext="edit" aspectratio="f"/>
          </v:shape>
          <o:OLEObject Type="Embed" ProgID="Equation.DSMT4" ShapeID="_x0000_i1057" DrawAspect="Content" ObjectID="_1734432077" r:id="rId74"/>
        </w:object>
      </w:r>
      <w:r w:rsidR="00683D9D" w:rsidRPr="00162B4B">
        <w:t xml:space="preserve">) are identically zero, the model system collapses to independent ordered response probit models for each activity type. </w:t>
      </w:r>
      <w:r w:rsidR="0095242B" w:rsidRPr="00162B4B">
        <w:t xml:space="preserve">For future use, also define the vector of thresholds for each channel </w:t>
      </w:r>
      <w:r w:rsidR="0095242B" w:rsidRPr="00861789">
        <w:rPr>
          <w:i/>
        </w:rPr>
        <w:t>c</w:t>
      </w:r>
      <w:r w:rsidR="0095242B" w:rsidRPr="00162B4B">
        <w:t xml:space="preserve"> as: </w:t>
      </w:r>
      <w:r w:rsidR="00DE02AA" w:rsidRPr="00162B4B">
        <w:rPr>
          <w:position w:val="-14"/>
        </w:rPr>
        <w:object w:dxaOrig="2520" w:dyaOrig="380" w14:anchorId="1974A1B3">
          <v:shape id="_x0000_i1058" type="#_x0000_t75" style="width:126pt;height:18.95pt" o:ole="" o:preferrelative="f">
            <v:imagedata r:id="rId75" o:title=""/>
            <o:lock v:ext="edit" aspectratio="f"/>
          </v:shape>
          <o:OLEObject Type="Embed" ProgID="Equation.DSMT4" ShapeID="_x0000_i1058" DrawAspect="Content" ObjectID="_1734432078" r:id="rId76"/>
        </w:object>
      </w:r>
      <w:r w:rsidR="0095242B" w:rsidRPr="00162B4B">
        <w:t xml:space="preserve"> and further vertically stack all the </w:t>
      </w:r>
      <w:r w:rsidR="00DE02AA" w:rsidRPr="00162B4B">
        <w:rPr>
          <w:position w:val="-12"/>
        </w:rPr>
        <w:object w:dxaOrig="320" w:dyaOrig="360" w14:anchorId="0106D223">
          <v:shape id="_x0000_i1059" type="#_x0000_t75" style="width:15.65pt;height:18pt" o:ole="" o:preferrelative="f">
            <v:imagedata r:id="rId77" o:title=""/>
            <o:lock v:ext="edit" aspectratio="f"/>
          </v:shape>
          <o:OLEObject Type="Embed" ProgID="Equation.DSMT4" ShapeID="_x0000_i1059" DrawAspect="Content" ObjectID="_1734432079" r:id="rId78"/>
        </w:object>
      </w:r>
      <w:r w:rsidR="0095242B" w:rsidRPr="00162B4B">
        <w:t xml:space="preserve">vectors into a single </w:t>
      </w:r>
      <w:r w:rsidR="00DE02AA" w:rsidRPr="00162B4B">
        <w:rPr>
          <w:position w:val="-12"/>
        </w:rPr>
        <w:object w:dxaOrig="320" w:dyaOrig="360" w14:anchorId="6FB8E348">
          <v:shape id="_x0000_i1060" type="#_x0000_t75" style="width:15.65pt;height:18pt" o:ole="" o:preferrelative="f">
            <v:imagedata r:id="rId79" o:title=""/>
            <o:lock v:ext="edit" aspectratio="f"/>
          </v:shape>
          <o:OLEObject Type="Embed" ProgID="Equation.DSMT4" ShapeID="_x0000_i1060" DrawAspect="Content" ObjectID="_1734432080" r:id="rId80"/>
        </w:object>
      </w:r>
      <w:r w:rsidR="0095242B" w:rsidRPr="00162B4B">
        <w:t xml:space="preserve">vector. </w:t>
      </w:r>
    </w:p>
    <w:p w14:paraId="0FEE56BE" w14:textId="4887D3D8" w:rsidR="0080018F" w:rsidRDefault="0095242B" w:rsidP="00AC636C">
      <w:pPr>
        <w:spacing w:after="0" w:line="276" w:lineRule="auto"/>
        <w:ind w:firstLine="720"/>
        <w:jc w:val="both"/>
        <w:rPr>
          <w:noProof/>
        </w:rPr>
      </w:pPr>
      <w:r>
        <w:rPr>
          <w:noProof/>
        </w:rPr>
        <w:t>L</w:t>
      </w:r>
      <w:r w:rsidR="005004A6">
        <w:rPr>
          <w:noProof/>
        </w:rPr>
        <w:t>et an</w:t>
      </w:r>
      <w:r w:rsidR="00BA0C34">
        <w:rPr>
          <w:noProof/>
        </w:rPr>
        <w:t xml:space="preserve"> individual under consideration </w:t>
      </w:r>
      <w:r w:rsidR="005004A6">
        <w:rPr>
          <w:noProof/>
        </w:rPr>
        <w:t xml:space="preserve">be </w:t>
      </w:r>
      <w:r w:rsidR="00BA0C34">
        <w:rPr>
          <w:noProof/>
        </w:rPr>
        <w:t>obs</w:t>
      </w:r>
      <w:r w:rsidR="0003754B">
        <w:rPr>
          <w:noProof/>
        </w:rPr>
        <w:t>e</w:t>
      </w:r>
      <w:r w:rsidR="00BA0C34">
        <w:rPr>
          <w:noProof/>
        </w:rPr>
        <w:t xml:space="preserve">rved to have the count values of </w:t>
      </w:r>
      <w:r w:rsidR="00CB2DBB" w:rsidRPr="00691776">
        <w:rPr>
          <w:position w:val="-12"/>
        </w:rPr>
        <w:object w:dxaOrig="260" w:dyaOrig="360" w14:anchorId="129A98F9">
          <v:shape id="_x0000_i1061" type="#_x0000_t75" style="width:12.8pt;height:18.95pt" o:ole="" o:preferrelative="f">
            <v:imagedata r:id="rId81" o:title=""/>
            <o:lock v:ext="edit" aspectratio="f"/>
          </v:shape>
          <o:OLEObject Type="Embed" ProgID="Equation.DSMT4" ShapeID="_x0000_i1061" DrawAspect="Content" ObjectID="_1734432081" r:id="rId82"/>
        </w:object>
      </w:r>
      <w:r w:rsidR="0003754B">
        <w:t xml:space="preserve"> </w:t>
      </w:r>
      <w:r w:rsidR="00C47613" w:rsidRPr="00AC636C">
        <w:rPr>
          <w:position w:val="-10"/>
        </w:rPr>
        <w:object w:dxaOrig="1380" w:dyaOrig="320" w14:anchorId="1512AC90">
          <v:shape id="_x0000_i1062" type="#_x0000_t75" style="width:69.65pt;height:15.65pt" o:ole="" o:preferrelative="f">
            <v:imagedata r:id="rId83" o:title=""/>
            <o:lock v:ext="edit" aspectratio="f"/>
          </v:shape>
          <o:OLEObject Type="Embed" ProgID="Equation.DSMT4" ShapeID="_x0000_i1062" DrawAspect="Content" ObjectID="_1734432082" r:id="rId84"/>
        </w:object>
      </w:r>
      <w:r w:rsidR="00AC636C">
        <w:t xml:space="preserve">. </w:t>
      </w:r>
      <w:r w:rsidR="0003754B">
        <w:t xml:space="preserve">Accordingly, </w:t>
      </w:r>
      <w:r w:rsidR="0003754B">
        <w:rPr>
          <w:noProof/>
        </w:rPr>
        <w:t>s</w:t>
      </w:r>
      <w:r w:rsidR="0080018F">
        <w:rPr>
          <w:noProof/>
        </w:rPr>
        <w:t>tack</w:t>
      </w:r>
      <w:r w:rsidR="0080018F" w:rsidRPr="00380A04">
        <w:rPr>
          <w:noProof/>
        </w:rPr>
        <w:t xml:space="preserve"> the lower thresholds </w:t>
      </w:r>
      <w:r w:rsidR="00DE02AA" w:rsidRPr="00691776">
        <w:rPr>
          <w:position w:val="-18"/>
        </w:rPr>
        <w:object w:dxaOrig="2020" w:dyaOrig="420" w14:anchorId="1450A0B9">
          <v:shape id="_x0000_i1063" type="#_x0000_t75" style="width:100.4pt;height:20.85pt" o:ole="" o:preferrelative="f">
            <v:imagedata r:id="rId85" o:title=""/>
            <o:lock v:ext="edit" aspectratio="f"/>
          </v:shape>
          <o:OLEObject Type="Embed" ProgID="Equation.DSMT4" ShapeID="_x0000_i1063" DrawAspect="Content" ObjectID="_1734432083" r:id="rId86"/>
        </w:object>
      </w:r>
      <w:r w:rsidR="00DD1747">
        <w:t xml:space="preserve"> </w:t>
      </w:r>
      <w:r w:rsidR="0003754B">
        <w:rPr>
          <w:noProof/>
        </w:rPr>
        <w:t>corresponding to the observed count values of</w:t>
      </w:r>
      <w:r w:rsidR="0080018F" w:rsidRPr="00380A04">
        <w:rPr>
          <w:noProof/>
        </w:rPr>
        <w:t xml:space="preserve"> the individual into a</w:t>
      </w:r>
      <w:r w:rsidR="00AC636C">
        <w:rPr>
          <w:noProof/>
        </w:rPr>
        <w:t xml:space="preserve"> </w:t>
      </w:r>
      <w:r w:rsidR="00DD1747" w:rsidRPr="00691776">
        <w:rPr>
          <w:position w:val="-10"/>
        </w:rPr>
        <w:object w:dxaOrig="680" w:dyaOrig="320" w14:anchorId="4031FAF5">
          <v:shape id="_x0000_i1064" type="#_x0000_t75" style="width:35.05pt;height:15.65pt" o:ole="">
            <v:imagedata r:id="rId53" o:title=""/>
          </v:shape>
          <o:OLEObject Type="Embed" ProgID="Equation.DSMT4" ShapeID="_x0000_i1064" DrawAspect="Content" ObjectID="_1734432084" r:id="rId87"/>
        </w:object>
      </w:r>
      <w:r w:rsidR="00DD1747">
        <w:t xml:space="preserve"> </w:t>
      </w:r>
      <w:r w:rsidR="0080018F" w:rsidRPr="00380A04">
        <w:rPr>
          <w:noProof/>
        </w:rPr>
        <w:t xml:space="preserve">vector </w:t>
      </w:r>
      <w:r w:rsidR="00DE02AA" w:rsidRPr="00FC49A3">
        <w:rPr>
          <w:noProof/>
          <w:position w:val="-12"/>
        </w:rPr>
        <w:object w:dxaOrig="460" w:dyaOrig="360" w14:anchorId="4C00C322">
          <v:shape id="_x0000_i1065" type="#_x0000_t75" style="width:23.2pt;height:18pt" o:ole="" o:preferrelative="f">
            <v:imagedata r:id="rId88" o:title=""/>
            <o:lock v:ext="edit" aspectratio="f"/>
          </v:shape>
          <o:OLEObject Type="Embed" ProgID="Equation.DSMT4" ShapeID="_x0000_i1065" DrawAspect="Content" ObjectID="_1734432085" r:id="rId89"/>
        </w:object>
      </w:r>
      <w:r w:rsidR="0080018F" w:rsidRPr="00380A04">
        <w:rPr>
          <w:noProof/>
        </w:rPr>
        <w:t>,</w:t>
      </w:r>
      <w:r w:rsidR="0080018F" w:rsidRPr="00380A04">
        <w:rPr>
          <w:noProof/>
          <w:position w:val="-12"/>
        </w:rPr>
        <w:t xml:space="preserve"> </w:t>
      </w:r>
      <w:r w:rsidR="0080018F" w:rsidRPr="00380A04">
        <w:rPr>
          <w:noProof/>
        </w:rPr>
        <w:t xml:space="preserve">and the upper thresholds </w:t>
      </w:r>
      <w:r w:rsidR="00DE02AA" w:rsidRPr="00691776">
        <w:rPr>
          <w:position w:val="-18"/>
        </w:rPr>
        <w:object w:dxaOrig="1880" w:dyaOrig="420" w14:anchorId="720F35B5">
          <v:shape id="_x0000_i1066" type="#_x0000_t75" style="width:94.25pt;height:20.85pt" o:ole="" o:preferrelative="f">
            <v:imagedata r:id="rId90" o:title=""/>
            <o:lock v:ext="edit" aspectratio="f"/>
          </v:shape>
          <o:OLEObject Type="Embed" ProgID="Equation.DSMT4" ShapeID="_x0000_i1066" DrawAspect="Content" ObjectID="_1734432086" r:id="rId91"/>
        </w:object>
      </w:r>
      <w:r w:rsidR="00DE02AA">
        <w:t xml:space="preserve"> </w:t>
      </w:r>
      <w:r w:rsidR="0080018F" w:rsidRPr="00380A04">
        <w:rPr>
          <w:noProof/>
        </w:rPr>
        <w:t xml:space="preserve">into another </w:t>
      </w:r>
      <w:r w:rsidR="00DD1747" w:rsidRPr="00691776">
        <w:rPr>
          <w:position w:val="-10"/>
        </w:rPr>
        <w:object w:dxaOrig="680" w:dyaOrig="320" w14:anchorId="6D9CB860">
          <v:shape id="_x0000_i1067" type="#_x0000_t75" style="width:35.05pt;height:15.65pt" o:ole="">
            <v:imagedata r:id="rId53" o:title=""/>
          </v:shape>
          <o:OLEObject Type="Embed" ProgID="Equation.DSMT4" ShapeID="_x0000_i1067" DrawAspect="Content" ObjectID="_1734432087" r:id="rId92"/>
        </w:object>
      </w:r>
      <w:r w:rsidR="00DD1747">
        <w:t xml:space="preserve"> </w:t>
      </w:r>
      <w:r w:rsidR="0080018F" w:rsidRPr="00380A04">
        <w:rPr>
          <w:noProof/>
        </w:rPr>
        <w:t>vector</w:t>
      </w:r>
      <w:r w:rsidR="00683D9D">
        <w:rPr>
          <w:noProof/>
        </w:rPr>
        <w:t xml:space="preserve"> </w:t>
      </w:r>
      <w:r w:rsidR="00DE02AA" w:rsidRPr="00471D2A">
        <w:rPr>
          <w:noProof/>
          <w:position w:val="-14"/>
        </w:rPr>
        <w:object w:dxaOrig="400" w:dyaOrig="380" w14:anchorId="05B8D49B">
          <v:shape id="_x0000_i1068" type="#_x0000_t75" style="width:20.35pt;height:18.95pt" o:ole="" o:preferrelative="f">
            <v:imagedata r:id="rId93" o:title=""/>
            <o:lock v:ext="edit" aspectratio="f"/>
          </v:shape>
          <o:OLEObject Type="Embed" ProgID="Equation.DSMT4" ShapeID="_x0000_i1068" DrawAspect="Content" ObjectID="_1734432088" r:id="rId94"/>
        </w:object>
      </w:r>
      <w:r w:rsidR="0080018F" w:rsidRPr="00380A04">
        <w:rPr>
          <w:noProof/>
        </w:rPr>
        <w:t xml:space="preserve">. </w:t>
      </w:r>
      <w:r w:rsidR="0080018F">
        <w:rPr>
          <w:noProof/>
        </w:rPr>
        <w:t>Also</w:t>
      </w:r>
      <w:r w:rsidR="0051614D">
        <w:rPr>
          <w:noProof/>
        </w:rPr>
        <w:t>,</w:t>
      </w:r>
      <w:r w:rsidR="0080018F">
        <w:rPr>
          <w:noProof/>
        </w:rPr>
        <w:t xml:space="preserve"> d</w:t>
      </w:r>
      <w:r w:rsidR="0080018F" w:rsidRPr="00380A04">
        <w:rPr>
          <w:noProof/>
        </w:rPr>
        <w:t xml:space="preserve">efine </w:t>
      </w:r>
      <w:r w:rsidR="00DE02AA" w:rsidRPr="00FC49A3">
        <w:rPr>
          <w:noProof/>
          <w:position w:val="-12"/>
        </w:rPr>
        <w:object w:dxaOrig="1760" w:dyaOrig="360" w14:anchorId="324913A0">
          <v:shape id="_x0000_i1069" type="#_x0000_t75" style="width:87.65pt;height:18pt" o:ole="" o:preferrelative="f">
            <v:imagedata r:id="rId95" o:title=""/>
            <o:lock v:ext="edit" aspectratio="f"/>
          </v:shape>
          <o:OLEObject Type="Embed" ProgID="Equation.DSMT4" ShapeID="_x0000_i1069" DrawAspect="Content" ObjectID="_1734432089" r:id="rId96"/>
        </w:object>
      </w:r>
      <w:r w:rsidR="00CB2DBB" w:rsidRPr="00FC49A3">
        <w:rPr>
          <w:noProof/>
          <w:position w:val="-10"/>
        </w:rPr>
        <w:object w:dxaOrig="840" w:dyaOrig="320" w14:anchorId="38829CB2">
          <v:shape id="_x0000_i1070" type="#_x0000_t75" style="width:42.15pt;height:15.65pt" o:ole="" o:preferrelative="f">
            <v:imagedata r:id="rId97" o:title=""/>
            <o:lock v:ext="edit" aspectratio="f"/>
          </v:shape>
          <o:OLEObject Type="Embed" ProgID="Equation.3" ShapeID="_x0000_i1070" DrawAspect="Content" ObjectID="_1734432090" r:id="rId98"/>
        </w:object>
      </w:r>
      <w:r w:rsidR="0080018F" w:rsidRPr="00380A04">
        <w:rPr>
          <w:noProof/>
          <w:position w:val="-10"/>
        </w:rPr>
        <w:t xml:space="preserve"> </w:t>
      </w:r>
      <w:r w:rsidR="0080018F">
        <w:rPr>
          <w:noProof/>
        </w:rPr>
        <w:t>matrix]</w:t>
      </w:r>
      <w:r>
        <w:rPr>
          <w:noProof/>
        </w:rPr>
        <w:t>.</w:t>
      </w:r>
      <w:r w:rsidR="0003754B">
        <w:rPr>
          <w:noProof/>
        </w:rPr>
        <w:t xml:space="preserve"> </w:t>
      </w:r>
      <w:r w:rsidR="0080018F" w:rsidRPr="00380A04">
        <w:rPr>
          <w:noProof/>
        </w:rPr>
        <w:t xml:space="preserve">With these </w:t>
      </w:r>
      <w:r w:rsidR="005004A6">
        <w:rPr>
          <w:noProof/>
        </w:rPr>
        <w:t>notational preliminaries</w:t>
      </w:r>
      <w:r w:rsidR="0080018F" w:rsidRPr="00380A04">
        <w:rPr>
          <w:noProof/>
        </w:rPr>
        <w:t>, the latent propensit</w:t>
      </w:r>
      <w:r w:rsidR="005004A6">
        <w:rPr>
          <w:noProof/>
        </w:rPr>
        <w:t>ies</w:t>
      </w:r>
      <w:r w:rsidR="0080018F" w:rsidRPr="00380A04">
        <w:rPr>
          <w:noProof/>
        </w:rPr>
        <w:t xml:space="preserve"> underlying the </w:t>
      </w:r>
      <w:r w:rsidR="005004A6">
        <w:rPr>
          <w:noProof/>
        </w:rPr>
        <w:t xml:space="preserve">multivariate </w:t>
      </w:r>
      <w:r w:rsidR="0080018F" w:rsidRPr="00380A04">
        <w:rPr>
          <w:noProof/>
        </w:rPr>
        <w:t xml:space="preserve">count outcomes may be written in matrix form as: </w:t>
      </w:r>
    </w:p>
    <w:p w14:paraId="458263E8" w14:textId="0B5345DB" w:rsidR="0080018F" w:rsidRDefault="00DE02AA" w:rsidP="00AC636C">
      <w:pPr>
        <w:tabs>
          <w:tab w:val="right" w:pos="9360"/>
        </w:tabs>
        <w:spacing w:before="120" w:after="120" w:line="276" w:lineRule="auto"/>
        <w:jc w:val="both"/>
      </w:pPr>
      <w:r w:rsidRPr="004035E1">
        <w:rPr>
          <w:position w:val="-12"/>
        </w:rPr>
        <w:object w:dxaOrig="1160" w:dyaOrig="380" w14:anchorId="7429181B">
          <v:shape id="_x0000_i1071" type="#_x0000_t75" style="width:58.75pt;height:18.95pt" o:ole="" o:preferrelative="f">
            <v:imagedata r:id="rId99" o:title=""/>
            <o:lock v:ext="edit" aspectratio="f"/>
          </v:shape>
          <o:OLEObject Type="Embed" ProgID="Equation.DSMT4" ShapeID="_x0000_i1071" DrawAspect="Content" ObjectID="_1734432091" r:id="rId100"/>
        </w:object>
      </w:r>
      <w:r w:rsidR="005004A6" w:rsidRPr="004035E1">
        <w:t xml:space="preserve">, </w:t>
      </w:r>
      <w:r w:rsidRPr="00392EDE">
        <w:rPr>
          <w:position w:val="-14"/>
        </w:rPr>
        <w:object w:dxaOrig="1620" w:dyaOrig="400" w14:anchorId="6736E48C">
          <v:shape id="_x0000_i1072" type="#_x0000_t75" style="width:81.95pt;height:20.35pt" o:ole="" o:preferrelative="f">
            <v:imagedata r:id="rId101" o:title=""/>
            <o:lock v:ext="edit" aspectratio="f"/>
          </v:shape>
          <o:OLEObject Type="Embed" ProgID="Equation.DSMT4" ShapeID="_x0000_i1072" DrawAspect="Content" ObjectID="_1734432092" r:id="rId102"/>
        </w:object>
      </w:r>
      <w:r w:rsidR="005004A6" w:rsidRPr="004035E1">
        <w:t xml:space="preserve">,  </w:t>
      </w:r>
      <w:r w:rsidR="00DD1747">
        <w:t xml:space="preserve">where </w:t>
      </w:r>
      <w:r w:rsidRPr="00691776">
        <w:rPr>
          <w:position w:val="-12"/>
        </w:rPr>
        <w:object w:dxaOrig="1880" w:dyaOrig="380" w14:anchorId="781F84E5">
          <v:shape id="_x0000_i1073" type="#_x0000_t75" style="width:94.25pt;height:18.95pt" o:ole="" o:preferrelative="f">
            <v:imagedata r:id="rId103" o:title=""/>
            <o:lock v:ext="edit" aspectratio="f"/>
          </v:shape>
          <o:OLEObject Type="Embed" ProgID="Equation.DSMT4" ShapeID="_x0000_i1073" DrawAspect="Content" ObjectID="_1734432093" r:id="rId104"/>
        </w:object>
      </w:r>
      <w:r w:rsidR="00DD1747">
        <w:t>.</w:t>
      </w:r>
      <w:r w:rsidR="0080018F">
        <w:rPr>
          <w:noProof/>
        </w:rPr>
        <w:t xml:space="preserve"> </w:t>
      </w:r>
      <w:r w:rsidR="0080018F" w:rsidRPr="00380A04">
        <w:rPr>
          <w:noProof/>
        </w:rPr>
        <w:t xml:space="preserve"> </w:t>
      </w:r>
      <w:r w:rsidR="00060A21">
        <w:rPr>
          <w:noProof/>
        </w:rPr>
        <w:tab/>
        <w:t>(3)</w:t>
      </w:r>
    </w:p>
    <w:p w14:paraId="363F8D8E" w14:textId="590F9C4C" w:rsidR="0080018F" w:rsidRPr="00DF2CED" w:rsidRDefault="0080018F" w:rsidP="00AC636C">
      <w:pPr>
        <w:spacing w:after="0" w:line="276" w:lineRule="auto"/>
        <w:ind w:firstLine="720"/>
        <w:jc w:val="both"/>
      </w:pPr>
      <w:r w:rsidRPr="00096BC0">
        <w:rPr>
          <w:noProof/>
        </w:rPr>
        <w:t xml:space="preserve">Let </w:t>
      </w:r>
      <w:r w:rsidR="00C47613" w:rsidRPr="00392EDE">
        <w:rPr>
          <w:position w:val="-6"/>
        </w:rPr>
        <w:object w:dxaOrig="200" w:dyaOrig="279" w14:anchorId="723F7132">
          <v:shape id="_x0000_i1074" type="#_x0000_t75" style="width:10.4pt;height:13.75pt" o:ole="" o:preferrelative="f">
            <v:imagedata r:id="rId105" o:title=""/>
            <o:lock v:ext="edit" aspectratio="f"/>
          </v:shape>
          <o:OLEObject Type="Embed" ProgID="Equation.DSMT4" ShapeID="_x0000_i1074" DrawAspect="Content" ObjectID="_1734432094" r:id="rId106"/>
        </w:object>
      </w:r>
      <w:r w:rsidR="00DD1747" w:rsidRPr="008467CE">
        <w:t xml:space="preserve"> </w:t>
      </w:r>
      <w:r w:rsidRPr="00096BC0">
        <w:rPr>
          <w:noProof/>
        </w:rPr>
        <w:t>be the collection of parameters to be estimated:</w:t>
      </w:r>
      <w:r w:rsidR="00DE02AA" w:rsidRPr="002B1321">
        <w:rPr>
          <w:noProof/>
          <w:position w:val="-26"/>
        </w:rPr>
        <w:object w:dxaOrig="3620" w:dyaOrig="740" w14:anchorId="1AC5F2FB">
          <v:shape id="_x0000_i1075" type="#_x0000_t75" style="width:180.95pt;height:36.95pt" o:ole="" o:preferrelative="f">
            <v:imagedata r:id="rId107" o:title=""/>
            <o:lock v:ext="edit" aspectratio="f"/>
          </v:shape>
          <o:OLEObject Type="Embed" ProgID="Equation.DSMT4" ShapeID="_x0000_i1075" DrawAspect="Content" ObjectID="_1734432095" r:id="rId108"/>
        </w:object>
      </w:r>
      <w:r w:rsidRPr="00DF2CED">
        <w:rPr>
          <w:noProof/>
        </w:rPr>
        <w:t xml:space="preserve"> </w:t>
      </w:r>
      <w:r>
        <w:rPr>
          <w:noProof/>
        </w:rPr>
        <w:t xml:space="preserve">where the operator </w:t>
      </w:r>
      <w:r w:rsidR="00F54088" w:rsidRPr="00691776">
        <w:rPr>
          <w:position w:val="-10"/>
        </w:rPr>
        <w:object w:dxaOrig="960" w:dyaOrig="320" w14:anchorId="232B37B0">
          <v:shape id="_x0000_i1076" type="#_x0000_t75" style="width:47.85pt;height:15.65pt" o:ole="" o:preferrelative="f">
            <v:imagedata r:id="rId109" o:title=""/>
            <o:lock v:ext="edit" aspectratio="f"/>
          </v:shape>
          <o:OLEObject Type="Embed" ProgID="Equation.DSMT4" ShapeID="_x0000_i1076" DrawAspect="Content" ObjectID="_1734432096" r:id="rId110"/>
        </w:object>
      </w:r>
      <w:r w:rsidR="002B1321">
        <w:t xml:space="preserve"> row-</w:t>
      </w:r>
      <w:r w:rsidRPr="00096BC0">
        <w:rPr>
          <w:noProof/>
        </w:rPr>
        <w:t>vectorizes all the non-zero elements of the matrix/vector on which it operates</w:t>
      </w:r>
      <w:r>
        <w:rPr>
          <w:noProof/>
        </w:rPr>
        <w:t>, and the operator</w:t>
      </w:r>
      <w:r w:rsidR="002B1321">
        <w:t xml:space="preserve"> </w:t>
      </w:r>
      <w:r w:rsidR="00F54088" w:rsidRPr="00691776">
        <w:rPr>
          <w:position w:val="-10"/>
        </w:rPr>
        <w:object w:dxaOrig="1040" w:dyaOrig="320" w14:anchorId="5F1E6E4C">
          <v:shape id="_x0000_i1077" type="#_x0000_t75" style="width:51.65pt;height:15.65pt" o:ole="" o:preferrelative="f">
            <v:imagedata r:id="rId111" o:title=""/>
            <o:lock v:ext="edit" aspectratio="f"/>
          </v:shape>
          <o:OLEObject Type="Embed" ProgID="Equation.DSMT4" ShapeID="_x0000_i1077" DrawAspect="Content" ObjectID="_1734432097" r:id="rId112"/>
        </w:object>
      </w:r>
      <w:r w:rsidR="002B1321">
        <w:t xml:space="preserve"> row-</w:t>
      </w:r>
      <w:r>
        <w:t xml:space="preserve">vectorizes the upper diagonal elements of a matrix. </w:t>
      </w:r>
      <w:r w:rsidRPr="00AD20FE">
        <w:rPr>
          <w:noProof/>
        </w:rPr>
        <w:t xml:space="preserve">Then the likelihood function </w:t>
      </w:r>
      <w:r>
        <w:rPr>
          <w:noProof/>
        </w:rPr>
        <w:t xml:space="preserve">of a single individual </w:t>
      </w:r>
      <w:r w:rsidRPr="00AD20FE">
        <w:rPr>
          <w:noProof/>
        </w:rPr>
        <w:t>may be written as:</w:t>
      </w:r>
    </w:p>
    <w:p w14:paraId="3F2644FF" w14:textId="66288269" w:rsidR="0080018F" w:rsidRPr="00AD20FE" w:rsidRDefault="00DE02AA" w:rsidP="00AC636C">
      <w:pPr>
        <w:tabs>
          <w:tab w:val="right" w:pos="9360"/>
        </w:tabs>
        <w:spacing w:before="120" w:after="120" w:line="276" w:lineRule="auto"/>
        <w:rPr>
          <w:noProof/>
        </w:rPr>
      </w:pPr>
      <w:r w:rsidRPr="00DF2CED">
        <w:rPr>
          <w:noProof/>
          <w:position w:val="-16"/>
        </w:rPr>
        <w:object w:dxaOrig="2940" w:dyaOrig="440" w14:anchorId="5F731BD0">
          <v:shape id="_x0000_i1078" type="#_x0000_t75" style="width:146.85pt;height:22.75pt" o:ole="" o:preferrelative="f">
            <v:imagedata r:id="rId113" o:title=""/>
            <o:lock v:ext="edit" aspectratio="f"/>
          </v:shape>
          <o:OLEObject Type="Embed" ProgID="Equation.DSMT4" ShapeID="_x0000_i1078" DrawAspect="Content" ObjectID="_1734432098" r:id="rId114"/>
        </w:object>
      </w:r>
      <w:r w:rsidR="0080018F" w:rsidRPr="00AD20FE">
        <w:rPr>
          <w:noProof/>
        </w:rPr>
        <w:t xml:space="preserve">                                 </w:t>
      </w:r>
      <w:r w:rsidR="0080018F" w:rsidRPr="00AD20FE">
        <w:rPr>
          <w:noProof/>
          <w:lang w:eastAsia="zh-CN"/>
        </w:rPr>
        <w:t xml:space="preserve">                                 </w:t>
      </w:r>
      <w:r w:rsidR="0080018F" w:rsidRPr="00AD20FE">
        <w:rPr>
          <w:b/>
          <w:noProof/>
        </w:rPr>
        <w:tab/>
        <w:t xml:space="preserve">   </w:t>
      </w:r>
    </w:p>
    <w:p w14:paraId="3A31BE42" w14:textId="5EF233E1" w:rsidR="0080018F" w:rsidRPr="00A43FAE" w:rsidRDefault="00DE02AA" w:rsidP="00AC636C">
      <w:pPr>
        <w:tabs>
          <w:tab w:val="right" w:pos="9360"/>
        </w:tabs>
        <w:spacing w:after="0" w:line="276" w:lineRule="auto"/>
        <w:rPr>
          <w:noProof/>
        </w:rPr>
      </w:pPr>
      <w:r w:rsidRPr="00AD20FE">
        <w:rPr>
          <w:noProof/>
          <w:position w:val="-34"/>
        </w:rPr>
        <w:object w:dxaOrig="2560" w:dyaOrig="620" w14:anchorId="5DFEE82E">
          <v:shape id="_x0000_i1079" type="#_x0000_t75" style="width:128.35pt;height:30.8pt" o:ole="" o:preferrelative="f">
            <v:imagedata r:id="rId115" o:title=""/>
            <o:lock v:ext="edit" aspectratio="f"/>
          </v:shape>
          <o:OLEObject Type="Embed" ProgID="Equation.DSMT4" ShapeID="_x0000_i1079" DrawAspect="Content" ObjectID="_1734432099" r:id="rId116"/>
        </w:object>
      </w:r>
      <w:r w:rsidR="0051614D">
        <w:rPr>
          <w:noProof/>
        </w:rPr>
        <w:tab/>
        <w:t>(</w:t>
      </w:r>
      <w:r w:rsidR="00B96524">
        <w:rPr>
          <w:noProof/>
        </w:rPr>
        <w:t>4</w:t>
      </w:r>
      <w:r w:rsidR="0051614D">
        <w:rPr>
          <w:noProof/>
        </w:rPr>
        <w:t>)</w:t>
      </w:r>
    </w:p>
    <w:p w14:paraId="12B7A30A" w14:textId="34D8F7B8" w:rsidR="002B1321" w:rsidRDefault="0080018F" w:rsidP="00AC636C">
      <w:pPr>
        <w:spacing w:after="0" w:line="276" w:lineRule="auto"/>
        <w:jc w:val="both"/>
        <w:rPr>
          <w:noProof/>
        </w:rPr>
      </w:pPr>
      <w:r w:rsidRPr="00AD20FE">
        <w:rPr>
          <w:noProof/>
        </w:rPr>
        <w:t xml:space="preserve">where the integration domain </w:t>
      </w:r>
      <w:r w:rsidR="00DE02AA" w:rsidRPr="00AD20FE">
        <w:rPr>
          <w:noProof/>
          <w:position w:val="-14"/>
        </w:rPr>
        <w:object w:dxaOrig="2439" w:dyaOrig="380" w14:anchorId="171E22F3">
          <v:shape id="_x0000_i1080" type="#_x0000_t75" style="width:121.25pt;height:18.95pt" o:ole="" o:preferrelative="f">
            <v:imagedata r:id="rId117" o:title=""/>
            <o:lock v:ext="edit" aspectratio="f"/>
          </v:shape>
          <o:OLEObject Type="Embed" ProgID="Equation.DSMT4" ShapeID="_x0000_i1080" DrawAspect="Content" ObjectID="_1734432100" r:id="rId118"/>
        </w:object>
      </w:r>
      <w:r w:rsidRPr="00AD20FE">
        <w:rPr>
          <w:noProof/>
        </w:rPr>
        <w:t xml:space="preserve"> is simply the multivariate region of the </w:t>
      </w:r>
      <w:r w:rsidR="00162B4B" w:rsidRPr="00691776">
        <w:rPr>
          <w:position w:val="-12"/>
        </w:rPr>
        <w:object w:dxaOrig="279" w:dyaOrig="380" w14:anchorId="3912A39A">
          <v:shape id="_x0000_i1081" type="#_x0000_t75" style="width:14.2pt;height:17.05pt" o:ole="">
            <v:imagedata r:id="rId119" o:title=""/>
          </v:shape>
          <o:OLEObject Type="Embed" ProgID="Equation.DSMT4" ShapeID="_x0000_i1081" DrawAspect="Content" ObjectID="_1734432101" r:id="rId120"/>
        </w:object>
      </w:r>
      <w:r w:rsidRPr="00AD20FE">
        <w:rPr>
          <w:noProof/>
        </w:rPr>
        <w:t xml:space="preserve"> vector determined by the </w:t>
      </w:r>
      <w:r>
        <w:rPr>
          <w:noProof/>
        </w:rPr>
        <w:t>upper and lower thresholds</w:t>
      </w:r>
      <w:r w:rsidRPr="00AD20FE">
        <w:rPr>
          <w:noProof/>
        </w:rPr>
        <w:t xml:space="preserve">. </w:t>
      </w:r>
      <w:r w:rsidR="00DE02AA" w:rsidRPr="00772E8F">
        <w:rPr>
          <w:position w:val="-12"/>
        </w:rPr>
        <w:object w:dxaOrig="1260" w:dyaOrig="360" w14:anchorId="0DAF8F25">
          <v:shape id="_x0000_i1082" type="#_x0000_t75" style="width:63.95pt;height:18pt" o:ole="" o:preferrelative="f">
            <v:imagedata r:id="rId121" o:title=""/>
            <o:lock v:ext="edit" aspectratio="f"/>
          </v:shape>
          <o:OLEObject Type="Embed" ProgID="Equation.DSMT4" ShapeID="_x0000_i1082" DrawAspect="Content" ObjectID="_1734432102" r:id="rId122"/>
        </w:object>
      </w:r>
      <w:r w:rsidRPr="00AD20FE">
        <w:rPr>
          <w:noProof/>
        </w:rPr>
        <w:t xml:space="preserve"> is the MVN density function of dimension </w:t>
      </w:r>
      <w:r w:rsidRPr="007947AF">
        <w:rPr>
          <w:i/>
          <w:noProof/>
        </w:rPr>
        <w:t>C</w:t>
      </w:r>
      <w:r w:rsidRPr="00AD20FE">
        <w:rPr>
          <w:noProof/>
        </w:rPr>
        <w:t xml:space="preserve"> with a mean of</w:t>
      </w:r>
      <w:r w:rsidR="00162B4B">
        <w:rPr>
          <w:noProof/>
        </w:rPr>
        <w:t xml:space="preserve"> </w:t>
      </w:r>
      <w:r w:rsidR="00DE02AA" w:rsidRPr="00691776">
        <w:rPr>
          <w:position w:val="-10"/>
        </w:rPr>
        <w:object w:dxaOrig="380" w:dyaOrig="320" w14:anchorId="1404C128">
          <v:shape id="_x0000_i1083" type="#_x0000_t75" style="width:18.95pt;height:15.65pt" o:ole="" o:preferrelative="f">
            <v:imagedata r:id="rId123" o:title=""/>
            <o:lock v:ext="edit" aspectratio="f"/>
          </v:shape>
          <o:OLEObject Type="Embed" ProgID="Equation.DSMT4" ShapeID="_x0000_i1083" DrawAspect="Content" ObjectID="_1734432103" r:id="rId124"/>
        </w:object>
      </w:r>
      <w:r w:rsidR="00162B4B">
        <w:t xml:space="preserve"> </w:t>
      </w:r>
      <w:r w:rsidRPr="00AD20FE">
        <w:rPr>
          <w:noProof/>
        </w:rPr>
        <w:t xml:space="preserve">and a </w:t>
      </w:r>
      <w:r>
        <w:rPr>
          <w:noProof/>
        </w:rPr>
        <w:t>correlation</w:t>
      </w:r>
      <w:r w:rsidRPr="00AD20FE">
        <w:rPr>
          <w:noProof/>
        </w:rPr>
        <w:t xml:space="preserve"> </w:t>
      </w:r>
      <w:r w:rsidR="002B1321">
        <w:rPr>
          <w:noProof/>
        </w:rPr>
        <w:t xml:space="preserve">matrix </w:t>
      </w:r>
      <w:r w:rsidR="00DE02AA" w:rsidRPr="00471D2A">
        <w:rPr>
          <w:position w:val="-4"/>
        </w:rPr>
        <w:object w:dxaOrig="220" w:dyaOrig="260" w14:anchorId="7A7EDDDE">
          <v:shape id="_x0000_i1084" type="#_x0000_t75" style="width:10.4pt;height:12.8pt" o:ole="" o:preferrelative="f">
            <v:imagedata r:id="rId71" o:title=""/>
            <o:lock v:ext="edit" aspectratio="f"/>
          </v:shape>
          <o:OLEObject Type="Embed" ProgID="Equation.DSMT4" ShapeID="_x0000_i1084" DrawAspect="Content" ObjectID="_1734432104" r:id="rId125"/>
        </w:object>
      </w:r>
      <w:r w:rsidRPr="00AD20FE">
        <w:rPr>
          <w:noProof/>
        </w:rPr>
        <w:t xml:space="preserve">. The likelihood function for a </w:t>
      </w:r>
      <w:r w:rsidRPr="00AD20FE">
        <w:rPr>
          <w:noProof/>
        </w:rPr>
        <w:lastRenderedPageBreak/>
        <w:t xml:space="preserve">sample of </w:t>
      </w:r>
      <w:r w:rsidRPr="00AD20FE">
        <w:rPr>
          <w:i/>
          <w:noProof/>
        </w:rPr>
        <w:t>Q</w:t>
      </w:r>
      <w:r w:rsidRPr="00AD20FE">
        <w:rPr>
          <w:noProof/>
        </w:rPr>
        <w:t xml:space="preserve"> decision-makers is obtained as the product of the individual-level likelihood functions</w:t>
      </w:r>
      <w:r>
        <w:rPr>
          <w:noProof/>
        </w:rPr>
        <w:t xml:space="preserve"> defined in </w:t>
      </w:r>
      <w:r w:rsidR="00AC636C">
        <w:rPr>
          <w:noProof/>
        </w:rPr>
        <w:t>E</w:t>
      </w:r>
      <w:r w:rsidRPr="005B30AB">
        <w:rPr>
          <w:noProof/>
        </w:rPr>
        <w:t>quation (</w:t>
      </w:r>
      <w:r w:rsidR="00B96524" w:rsidRPr="005B30AB">
        <w:rPr>
          <w:noProof/>
        </w:rPr>
        <w:t>4</w:t>
      </w:r>
      <w:r w:rsidRPr="005B30AB">
        <w:rPr>
          <w:noProof/>
        </w:rPr>
        <w:t>).</w:t>
      </w:r>
      <w:r w:rsidRPr="00AD20FE">
        <w:rPr>
          <w:noProof/>
        </w:rPr>
        <w:t xml:space="preserve"> </w:t>
      </w:r>
      <w:r>
        <w:rPr>
          <w:noProof/>
        </w:rPr>
        <w:t xml:space="preserve"> </w:t>
      </w:r>
    </w:p>
    <w:p w14:paraId="215CB8BA" w14:textId="14D3C625" w:rsidR="0080018F" w:rsidRDefault="0080018F" w:rsidP="00AC636C">
      <w:pPr>
        <w:spacing w:after="0" w:line="276" w:lineRule="auto"/>
        <w:ind w:firstLine="360"/>
        <w:jc w:val="both"/>
      </w:pPr>
      <w:r>
        <w:t>The</w:t>
      </w:r>
      <w:r w:rsidR="002B1321">
        <w:t xml:space="preserve"> </w:t>
      </w:r>
      <w:r>
        <w:t xml:space="preserve">likelihood function </w:t>
      </w:r>
      <w:r w:rsidR="002B1321">
        <w:t xml:space="preserve">in Equation (4) </w:t>
      </w:r>
      <w:r>
        <w:t xml:space="preserve">involves the evaluation of </w:t>
      </w:r>
      <w:r w:rsidRPr="005F6739">
        <w:rPr>
          <w:i/>
        </w:rPr>
        <w:t>C</w:t>
      </w:r>
      <w:r>
        <w:t xml:space="preserve">-dimensional </w:t>
      </w:r>
      <w:r w:rsidR="002B1321">
        <w:t>rectangular</w:t>
      </w:r>
      <w:r w:rsidR="00162B4B">
        <w:t xml:space="preserve"> </w:t>
      </w:r>
      <w:r>
        <w:t>integral</w:t>
      </w:r>
      <w:r w:rsidR="00162B4B">
        <w:t>s</w:t>
      </w:r>
      <w:r>
        <w:t xml:space="preserve"> for each decision-maker, which can be computationally expensive. However, Bhat’s (2018) matrix-based approximation method for evaluating </w:t>
      </w:r>
      <w:r w:rsidR="00B96524">
        <w:t xml:space="preserve">the </w:t>
      </w:r>
      <w:r>
        <w:t xml:space="preserve">multivariate normal cumulative distribution (MVNCD) function was employed to evaluate this integral, which provides an efficient and tractable formulation to approximate </w:t>
      </w:r>
      <w:r w:rsidR="0051614D">
        <w:t xml:space="preserve">the </w:t>
      </w:r>
      <w:r>
        <w:t>integral.</w:t>
      </w:r>
    </w:p>
    <w:p w14:paraId="1B6539F5" w14:textId="77777777" w:rsidR="00D52C17" w:rsidRDefault="00D52C17" w:rsidP="00AC636C">
      <w:pPr>
        <w:spacing w:after="0" w:line="276" w:lineRule="auto"/>
        <w:ind w:firstLine="360"/>
        <w:jc w:val="both"/>
      </w:pPr>
    </w:p>
    <w:p w14:paraId="5E2535FF" w14:textId="3E067280" w:rsidR="00EA47D7" w:rsidRPr="00AC636C" w:rsidRDefault="00EA47D7" w:rsidP="00AC636C">
      <w:pPr>
        <w:pStyle w:val="ListParagraph"/>
        <w:numPr>
          <w:ilvl w:val="2"/>
          <w:numId w:val="1"/>
        </w:numPr>
        <w:tabs>
          <w:tab w:val="left" w:pos="720"/>
        </w:tabs>
        <w:spacing w:after="0" w:line="276" w:lineRule="auto"/>
        <w:ind w:left="720"/>
        <w:jc w:val="both"/>
        <w:rPr>
          <w:i/>
          <w:noProof/>
        </w:rPr>
      </w:pPr>
      <w:r w:rsidRPr="00AC636C">
        <w:rPr>
          <w:i/>
          <w:noProof/>
        </w:rPr>
        <w:t>Endogenous Effects Specification</w:t>
      </w:r>
    </w:p>
    <w:p w14:paraId="4757F80C" w14:textId="628E9E87" w:rsidR="00D52C17" w:rsidRPr="00861789" w:rsidRDefault="00EA47D7" w:rsidP="00AC636C">
      <w:pPr>
        <w:pStyle w:val="FootnoteText"/>
        <w:spacing w:line="276" w:lineRule="auto"/>
        <w:jc w:val="both"/>
        <w:rPr>
          <w:sz w:val="24"/>
          <w:szCs w:val="24"/>
        </w:rPr>
      </w:pPr>
      <w:r w:rsidRPr="00861789">
        <w:rPr>
          <w:noProof/>
          <w:sz w:val="24"/>
          <w:szCs w:val="24"/>
        </w:rPr>
        <w:t>The model framework discussed above accommodate</w:t>
      </w:r>
      <w:r w:rsidR="005B30AB">
        <w:rPr>
          <w:noProof/>
          <w:sz w:val="24"/>
          <w:szCs w:val="24"/>
        </w:rPr>
        <w:t>s</w:t>
      </w:r>
      <w:r w:rsidRPr="00861789">
        <w:rPr>
          <w:noProof/>
          <w:sz w:val="24"/>
          <w:szCs w:val="24"/>
        </w:rPr>
        <w:t xml:space="preserve"> jointness in the count of participation across the three N</w:t>
      </w:r>
      <w:r w:rsidR="009D141C">
        <w:rPr>
          <w:noProof/>
          <w:sz w:val="24"/>
          <w:szCs w:val="24"/>
        </w:rPr>
        <w:t>HCM</w:t>
      </w:r>
      <w:r w:rsidRPr="00861789">
        <w:rPr>
          <w:noProof/>
          <w:sz w:val="24"/>
          <w:szCs w:val="24"/>
        </w:rPr>
        <w:t xml:space="preserve"> channels through the correlation matrix </w:t>
      </w:r>
      <w:r w:rsidR="00DE02AA" w:rsidRPr="00471D2A">
        <w:rPr>
          <w:position w:val="-4"/>
        </w:rPr>
        <w:object w:dxaOrig="220" w:dyaOrig="260" w14:anchorId="00063239">
          <v:shape id="_x0000_i1085" type="#_x0000_t75" style="width:10.4pt;height:12.8pt" o:ole="" o:preferrelative="f">
            <v:imagedata r:id="rId71" o:title=""/>
            <o:lock v:ext="edit" aspectratio="f"/>
          </v:shape>
          <o:OLEObject Type="Embed" ProgID="Equation.DSMT4" ShapeID="_x0000_i1085" DrawAspect="Content" ObjectID="_1734432105" r:id="rId126"/>
        </w:object>
      </w:r>
      <w:r w:rsidR="00162B4B">
        <w:rPr>
          <w:sz w:val="24"/>
          <w:szCs w:val="24"/>
        </w:rPr>
        <w:t>.</w:t>
      </w:r>
      <w:r w:rsidRPr="00861789">
        <w:rPr>
          <w:sz w:val="24"/>
          <w:szCs w:val="24"/>
        </w:rPr>
        <w:t xml:space="preserve"> But, after accommodating such associations through the correlations, we can also </w:t>
      </w:r>
      <w:r w:rsidR="001B47A2" w:rsidRPr="00861789">
        <w:rPr>
          <w:sz w:val="24"/>
          <w:szCs w:val="24"/>
        </w:rPr>
        <w:t>obtain causal effects of one N</w:t>
      </w:r>
      <w:r w:rsidR="009D141C">
        <w:rPr>
          <w:sz w:val="24"/>
          <w:szCs w:val="24"/>
        </w:rPr>
        <w:t>HCM</w:t>
      </w:r>
      <w:r w:rsidR="001B47A2" w:rsidRPr="00861789">
        <w:rPr>
          <w:sz w:val="24"/>
          <w:szCs w:val="24"/>
        </w:rPr>
        <w:t xml:space="preserve"> count variable on the others</w:t>
      </w:r>
      <w:r w:rsidR="00CF4181" w:rsidRPr="00861789">
        <w:rPr>
          <w:sz w:val="24"/>
          <w:szCs w:val="24"/>
        </w:rPr>
        <w:t xml:space="preserve"> by including the observed count for one channel as an embedded endogenous explanatory variable in the </w:t>
      </w:r>
      <w:r w:rsidR="00DE02AA" w:rsidRPr="00471D2A">
        <w:rPr>
          <w:position w:val="-4"/>
          <w:sz w:val="24"/>
          <w:szCs w:val="24"/>
        </w:rPr>
        <w:object w:dxaOrig="200" w:dyaOrig="200" w14:anchorId="6A885154">
          <v:shape id="_x0000_i1086" type="#_x0000_t75" style="width:9.95pt;height:9.95pt" o:ole="" o:preferrelative="f">
            <v:imagedata r:id="rId127" o:title=""/>
            <o:lock v:ext="edit" aspectratio="f"/>
          </v:shape>
          <o:OLEObject Type="Embed" ProgID="Equation.DSMT4" ShapeID="_x0000_i1086" DrawAspect="Content" ObjectID="_1734432106" r:id="rId128"/>
        </w:object>
      </w:r>
      <w:r w:rsidR="00CF4181" w:rsidRPr="00861789">
        <w:rPr>
          <w:sz w:val="24"/>
          <w:szCs w:val="24"/>
        </w:rPr>
        <w:t xml:space="preserve"> vector with a non-zero coefficient in the specification of </w:t>
      </w:r>
      <w:r w:rsidR="00EC7D6C">
        <w:rPr>
          <w:sz w:val="24"/>
          <w:szCs w:val="24"/>
        </w:rPr>
        <w:t xml:space="preserve">the latent propensity for </w:t>
      </w:r>
      <w:r w:rsidR="00CF4181" w:rsidRPr="00861789">
        <w:rPr>
          <w:sz w:val="24"/>
          <w:szCs w:val="24"/>
        </w:rPr>
        <w:t>another endogenous variable</w:t>
      </w:r>
      <w:r w:rsidR="001B47A2" w:rsidRPr="00861789">
        <w:rPr>
          <w:sz w:val="24"/>
          <w:szCs w:val="24"/>
        </w:rPr>
        <w:t xml:space="preserve">. However, as discussed in detail in Bhat (2015), in multivariate model systems with limited dependent variables (that is, when one or more dependent variables are not observed on a continuous scale, such as the joint system considered in this paper that has count endogenous values), </w:t>
      </w:r>
      <w:r w:rsidR="00CF4181" w:rsidRPr="00861789">
        <w:rPr>
          <w:sz w:val="24"/>
          <w:szCs w:val="24"/>
        </w:rPr>
        <w:t xml:space="preserve">such a </w:t>
      </w:r>
      <w:r w:rsidR="001B47A2" w:rsidRPr="00861789">
        <w:rPr>
          <w:sz w:val="24"/>
          <w:szCs w:val="24"/>
        </w:rPr>
        <w:t xml:space="preserve">structural effect of one limited-dependent variable on another can only be in a single direction due to logical consistency considerations. Further, cyclical relationships are also not possible where </w:t>
      </w:r>
      <w:r w:rsidR="00CF4181" w:rsidRPr="00861789">
        <w:rPr>
          <w:sz w:val="24"/>
          <w:szCs w:val="24"/>
        </w:rPr>
        <w:t xml:space="preserve">observed </w:t>
      </w:r>
      <w:r w:rsidR="001B47A2" w:rsidRPr="00861789">
        <w:rPr>
          <w:sz w:val="24"/>
          <w:szCs w:val="24"/>
        </w:rPr>
        <w:t xml:space="preserve">endogenous variable A affects the underlying latent propensity for variable B, then </w:t>
      </w:r>
      <w:r w:rsidR="00CF4181" w:rsidRPr="00861789">
        <w:rPr>
          <w:sz w:val="24"/>
          <w:szCs w:val="24"/>
        </w:rPr>
        <w:t xml:space="preserve">observed </w:t>
      </w:r>
      <w:r w:rsidR="001B47A2" w:rsidRPr="00861789">
        <w:rPr>
          <w:sz w:val="24"/>
          <w:szCs w:val="24"/>
        </w:rPr>
        <w:t xml:space="preserve">endogenous variable B affects the underlying latent propensity for variable C, and </w:t>
      </w:r>
      <w:r w:rsidR="00CF4181" w:rsidRPr="00861789">
        <w:rPr>
          <w:sz w:val="24"/>
          <w:szCs w:val="24"/>
        </w:rPr>
        <w:t xml:space="preserve">observed </w:t>
      </w:r>
      <w:r w:rsidR="001B47A2" w:rsidRPr="00861789">
        <w:rPr>
          <w:sz w:val="24"/>
          <w:szCs w:val="24"/>
        </w:rPr>
        <w:t xml:space="preserve">variable C affects the latent propensity for variable A; see Maddala, 1986 and Bhat, 2015 for a detailed explanation). Taking these issues into account, six possible endogenous </w:t>
      </w:r>
      <w:r w:rsidR="00CF4181" w:rsidRPr="00861789">
        <w:rPr>
          <w:sz w:val="24"/>
          <w:szCs w:val="24"/>
        </w:rPr>
        <w:t xml:space="preserve">pathway </w:t>
      </w:r>
      <w:r w:rsidR="001B47A2" w:rsidRPr="00861789">
        <w:rPr>
          <w:sz w:val="24"/>
          <w:szCs w:val="24"/>
        </w:rPr>
        <w:t xml:space="preserve">specifications are possible, </w:t>
      </w:r>
      <w:r w:rsidR="001B47A2" w:rsidRPr="00060A21">
        <w:rPr>
          <w:sz w:val="24"/>
          <w:szCs w:val="24"/>
        </w:rPr>
        <w:t xml:space="preserve">as shown in </w:t>
      </w:r>
      <w:r w:rsidR="002C5F6C" w:rsidRPr="00F44F2C">
        <w:rPr>
          <w:sz w:val="24"/>
          <w:szCs w:val="24"/>
        </w:rPr>
        <w:t>Figure 1</w:t>
      </w:r>
      <w:r w:rsidR="001B47A2" w:rsidRPr="00060A21">
        <w:rPr>
          <w:sz w:val="24"/>
          <w:szCs w:val="24"/>
        </w:rPr>
        <w:t xml:space="preserve">. </w:t>
      </w:r>
      <w:r w:rsidR="00CF4181" w:rsidRPr="00060A21">
        <w:rPr>
          <w:sz w:val="24"/>
          <w:szCs w:val="24"/>
        </w:rPr>
        <w:t>All</w:t>
      </w:r>
      <w:r w:rsidR="00CF4181" w:rsidRPr="00861789">
        <w:rPr>
          <w:sz w:val="24"/>
          <w:szCs w:val="24"/>
        </w:rPr>
        <w:t xml:space="preserve"> six possible structures were estimated, along with the effects of other exogenous variables. The final specification involved </w:t>
      </w:r>
      <w:r w:rsidR="00F742CE">
        <w:rPr>
          <w:sz w:val="24"/>
          <w:szCs w:val="24"/>
        </w:rPr>
        <w:t xml:space="preserve">the first </w:t>
      </w:r>
      <w:r w:rsidR="00CF4181" w:rsidRPr="00861789">
        <w:rPr>
          <w:sz w:val="24"/>
          <w:szCs w:val="24"/>
        </w:rPr>
        <w:t>causal structure, which will be the one discussed in the next section.</w:t>
      </w:r>
    </w:p>
    <w:p w14:paraId="189F495D" w14:textId="77777777" w:rsidR="00D52C17" w:rsidRPr="00AD20FE" w:rsidRDefault="00D52C17" w:rsidP="00AC636C">
      <w:pPr>
        <w:pStyle w:val="ctrbodytext"/>
        <w:spacing w:after="0"/>
        <w:jc w:val="center"/>
        <w:rPr>
          <w:noProof/>
        </w:rPr>
      </w:pPr>
    </w:p>
    <w:p w14:paraId="5755A6EA" w14:textId="4F32E9C2" w:rsidR="002B1321" w:rsidRDefault="00D52C17" w:rsidP="00AC636C">
      <w:pPr>
        <w:pStyle w:val="Heading1"/>
      </w:pPr>
      <w:r w:rsidRPr="00EC2C4D">
        <w:t xml:space="preserve">MODEL ESTIMATION RESULTS </w:t>
      </w:r>
    </w:p>
    <w:p w14:paraId="538EA423" w14:textId="6E21D76A" w:rsidR="00CF4181" w:rsidRPr="00E322DC" w:rsidRDefault="00CF4181" w:rsidP="00AC636C">
      <w:pPr>
        <w:spacing w:after="0" w:line="276" w:lineRule="auto"/>
        <w:jc w:val="both"/>
      </w:pPr>
      <w:r w:rsidRPr="00E322DC">
        <w:t xml:space="preserve">The final model specification was developed through a systematic process of analyzing </w:t>
      </w:r>
      <w:r w:rsidR="00514913">
        <w:t xml:space="preserve">a number of </w:t>
      </w:r>
      <w:r w:rsidRPr="00E322DC">
        <w:t xml:space="preserve">alternate combinations of explanatory variables while removing statistically insignificant ones. </w:t>
      </w:r>
      <w:r w:rsidR="0096376F">
        <w:t>T</w:t>
      </w:r>
      <w:r w:rsidR="0095397F">
        <w:t xml:space="preserve">he </w:t>
      </w:r>
      <w:r w:rsidR="0096376F">
        <w:t xml:space="preserve">individual demographics and household </w:t>
      </w:r>
      <w:r w:rsidR="0095397F">
        <w:t xml:space="preserve">variables </w:t>
      </w:r>
      <w:r>
        <w:t xml:space="preserve">are in either bracketed categories (age and income), or are naturally discrete (gender, </w:t>
      </w:r>
      <w:r w:rsidR="0095397F">
        <w:t xml:space="preserve">race/ethnicity, education level, </w:t>
      </w:r>
      <w:r w:rsidR="00883B15">
        <w:t xml:space="preserve">motorized vehicle ownership level, and </w:t>
      </w:r>
      <w:r w:rsidR="0095397F">
        <w:t>household</w:t>
      </w:r>
      <w:r w:rsidR="00F742CE">
        <w:t xml:space="preserve"> structure</w:t>
      </w:r>
      <w:r w:rsidR="00883B15">
        <w:t>)</w:t>
      </w:r>
      <w:r>
        <w:t>.</w:t>
      </w:r>
      <w:r w:rsidR="002D1C69">
        <w:t xml:space="preserve"> </w:t>
      </w:r>
      <w:r w:rsidR="00883B15">
        <w:t>Within the group of</w:t>
      </w:r>
      <w:r w:rsidR="002D1C69">
        <w:t xml:space="preserve"> </w:t>
      </w:r>
      <w:r w:rsidR="0096376F">
        <w:t>employment status/</w:t>
      </w:r>
      <w:r w:rsidR="007F120A">
        <w:t xml:space="preserve">job </w:t>
      </w:r>
      <w:r w:rsidR="00722599">
        <w:t>characteristics variables</w:t>
      </w:r>
      <w:r w:rsidR="002D1C69">
        <w:t xml:space="preserve">, </w:t>
      </w:r>
      <w:r w:rsidR="007F120A">
        <w:t xml:space="preserve">the employment status </w:t>
      </w:r>
      <w:r w:rsidR="00883B15">
        <w:t xml:space="preserve">and self-employed status </w:t>
      </w:r>
      <w:r w:rsidR="002D1C69">
        <w:t>variable</w:t>
      </w:r>
      <w:r w:rsidR="00883B15">
        <w:t>s</w:t>
      </w:r>
      <w:r w:rsidR="002D1C69">
        <w:t xml:space="preserve"> </w:t>
      </w:r>
      <w:r w:rsidR="00883B15">
        <w:t>are</w:t>
      </w:r>
      <w:r w:rsidR="007F120A">
        <w:t xml:space="preserve"> </w:t>
      </w:r>
      <w:r w:rsidR="00722599">
        <w:t>naturally discrete</w:t>
      </w:r>
      <w:r w:rsidR="008E225A">
        <w:t>.</w:t>
      </w:r>
      <w:r w:rsidR="00722599">
        <w:t xml:space="preserve"> </w:t>
      </w:r>
      <w:r w:rsidR="00EC7D6C">
        <w:t xml:space="preserve">Among the residential BE variables, respondents were asked to characterize their household location in the three categories of urban, suburban, and rural neighborhoods. </w:t>
      </w:r>
      <w:r w:rsidR="00722599">
        <w:t>The C</w:t>
      </w:r>
      <w:r w:rsidR="002D1C69">
        <w:t>OVID</w:t>
      </w:r>
      <w:r w:rsidR="00722599">
        <w:t xml:space="preserve"> perspectives</w:t>
      </w:r>
      <w:r w:rsidR="004214D9">
        <w:t>/threat</w:t>
      </w:r>
      <w:r w:rsidR="00722599">
        <w:t xml:space="preserve"> variables </w:t>
      </w:r>
      <w:r w:rsidR="004214D9">
        <w:t>were obtained either on an ordinal scale or as a simpl</w:t>
      </w:r>
      <w:r w:rsidR="005B30AB">
        <w:t>e</w:t>
      </w:r>
      <w:r w:rsidR="004214D9">
        <w:t xml:space="preserve"> binary </w:t>
      </w:r>
      <w:r w:rsidR="004214D9">
        <w:lastRenderedPageBreak/>
        <w:t>variable.</w:t>
      </w:r>
      <w:r w:rsidR="004214D9">
        <w:rPr>
          <w:rStyle w:val="FootnoteReference"/>
        </w:rPr>
        <w:footnoteReference w:id="11"/>
      </w:r>
      <w:r w:rsidR="00EC7D6C">
        <w:t xml:space="preserve"> </w:t>
      </w:r>
      <w:r>
        <w:t xml:space="preserve">The effects of all these </w:t>
      </w:r>
      <w:r w:rsidR="00514913">
        <w:t xml:space="preserve">variables </w:t>
      </w:r>
      <w:r w:rsidRPr="00E322DC">
        <w:t xml:space="preserve">were tested as dummy variables in the most disaggregate form possible, </w:t>
      </w:r>
      <w:r w:rsidRPr="00C54D2D">
        <w:t>and progressively combined based on statistical tests and intuitive reasoning to yield parsimonious specifications.</w:t>
      </w:r>
      <w:r>
        <w:t xml:space="preserve"> </w:t>
      </w:r>
      <w:r w:rsidR="00514913">
        <w:t xml:space="preserve">For </w:t>
      </w:r>
      <w:r w:rsidR="008E225A">
        <w:t>the non-discrete job characteristics variables (</w:t>
      </w:r>
      <w:r w:rsidR="00514913">
        <w:t xml:space="preserve">number of </w:t>
      </w:r>
      <w:r w:rsidR="00883B15">
        <w:t xml:space="preserve">work </w:t>
      </w:r>
      <w:r w:rsidR="00514913">
        <w:t>days per month,</w:t>
      </w:r>
      <w:r w:rsidR="00B67FB3">
        <w:t xml:space="preserve"> </w:t>
      </w:r>
      <w:r w:rsidR="00514913">
        <w:t xml:space="preserve">commute duration, </w:t>
      </w:r>
      <w:r w:rsidR="00015740">
        <w:t>fraction</w:t>
      </w:r>
      <w:r w:rsidR="008E225A">
        <w:t xml:space="preserve"> of work days worked from home, and </w:t>
      </w:r>
      <w:r w:rsidR="00015740">
        <w:t>fraction</w:t>
      </w:r>
      <w:r w:rsidR="008E225A">
        <w:t xml:space="preserve"> of work days worked from a third workplace) </w:t>
      </w:r>
      <w:r w:rsidR="00514913">
        <w:t xml:space="preserve">and </w:t>
      </w:r>
      <w:r w:rsidR="00972AA6">
        <w:t xml:space="preserve">residential </w:t>
      </w:r>
      <w:r w:rsidR="00514913">
        <w:t>BE variables (residential and employment density, walkability index,  land-use diversity index, number of restaurants per</w:t>
      </w:r>
      <w:r w:rsidR="00883B15">
        <w:t xml:space="preserve"> square area</w:t>
      </w:r>
      <w:r w:rsidR="00514913">
        <w:t xml:space="preserve">, and </w:t>
      </w:r>
      <w:r w:rsidR="00015740">
        <w:t xml:space="preserve">fraction </w:t>
      </w:r>
      <w:r w:rsidR="00514913">
        <w:t>of fast food</w:t>
      </w:r>
      <w:r w:rsidR="00015740">
        <w:t xml:space="preserve"> eateries</w:t>
      </w:r>
      <w:r w:rsidR="00514913">
        <w:t xml:space="preserve">), various functional forms were tested, including a continuous linear form, a continuous logarithm form, a piece-wise linear form, and a </w:t>
      </w:r>
      <w:r w:rsidR="00972AA6">
        <w:t>set of dummy variables for different ranges</w:t>
      </w:r>
      <w:r w:rsidR="00514913">
        <w:t xml:space="preserve">. </w:t>
      </w:r>
      <w:r>
        <w:t xml:space="preserve">Further, we examined interaction effects </w:t>
      </w:r>
      <w:r w:rsidR="00514913">
        <w:t xml:space="preserve">across many sets of variables, though few of these came out to be statistically significant.  </w:t>
      </w:r>
    </w:p>
    <w:p w14:paraId="48B95296" w14:textId="538A4616" w:rsidR="00D46943" w:rsidRDefault="002D1C69" w:rsidP="00AC636C">
      <w:pPr>
        <w:shd w:val="clear" w:color="auto" w:fill="FFFFFF"/>
        <w:spacing w:after="0" w:line="276" w:lineRule="auto"/>
        <w:ind w:firstLine="720"/>
        <w:jc w:val="both"/>
      </w:pPr>
      <w:bookmarkStart w:id="35" w:name="_Hlk91324619"/>
      <w:r>
        <w:t>T</w:t>
      </w:r>
      <w:r w:rsidR="00CF4181">
        <w:t>he final model specification</w:t>
      </w:r>
      <w:r w:rsidR="00325457">
        <w:t xml:space="preserve"> </w:t>
      </w:r>
      <w:r>
        <w:t xml:space="preserve">is presented in Table </w:t>
      </w:r>
      <w:r w:rsidR="002C5F6C">
        <w:t>3</w:t>
      </w:r>
      <w:r>
        <w:t xml:space="preserve">. </w:t>
      </w:r>
      <w:r w:rsidR="00964E4F">
        <w:t>Five</w:t>
      </w:r>
      <w:r w:rsidR="00D46943">
        <w:t xml:space="preserve"> points of note before we proceed to a </w:t>
      </w:r>
      <w:r w:rsidR="00964E4F">
        <w:t xml:space="preserve">detailed </w:t>
      </w:r>
      <w:r w:rsidR="00D46943">
        <w:t>discussion of the results. First, a</w:t>
      </w:r>
      <w:r>
        <w:t>s can be observed, the effects of</w:t>
      </w:r>
      <w:r w:rsidR="00B67FB3">
        <w:t xml:space="preserve"> all </w:t>
      </w:r>
      <w:r>
        <w:t>the non-discrete</w:t>
      </w:r>
      <w:r w:rsidR="00B67FB3">
        <w:t xml:space="preserve"> job characteristics and BE</w:t>
      </w:r>
      <w:r>
        <w:t xml:space="preserve"> variables</w:t>
      </w:r>
      <w:r w:rsidR="00EC7D6C">
        <w:t xml:space="preserve"> appearing in the final specification</w:t>
      </w:r>
      <w:r w:rsidR="00972AA6">
        <w:t xml:space="preserve"> </w:t>
      </w:r>
      <w:r>
        <w:t xml:space="preserve">turned out to be best </w:t>
      </w:r>
      <w:r w:rsidR="00972AA6">
        <w:t xml:space="preserve">represented </w:t>
      </w:r>
      <w:r>
        <w:t>in</w:t>
      </w:r>
      <w:r w:rsidR="00972AA6">
        <w:t xml:space="preserve"> </w:t>
      </w:r>
      <w:r>
        <w:t>continuous linear form</w:t>
      </w:r>
      <w:r w:rsidR="00B67FB3">
        <w:t xml:space="preserve">. </w:t>
      </w:r>
      <w:r w:rsidR="00D46943">
        <w:t>Second</w:t>
      </w:r>
      <w:r w:rsidR="00CF4181">
        <w:t xml:space="preserve">, not all the included variables are statistically significant at a 95% level. </w:t>
      </w:r>
      <w:bookmarkStart w:id="36" w:name="_Hlk65015659"/>
      <w:r w:rsidR="00CF4181" w:rsidRPr="00DB18E0">
        <w:t xml:space="preserve">This is to acknowledge the </w:t>
      </w:r>
      <w:r w:rsidR="00CF4181">
        <w:t xml:space="preserve">relatively </w:t>
      </w:r>
      <w:r w:rsidR="00CF4181" w:rsidRPr="00DB18E0">
        <w:t xml:space="preserve">small </w:t>
      </w:r>
      <w:r w:rsidR="00CF4181">
        <w:t xml:space="preserve">sample </w:t>
      </w:r>
      <w:r w:rsidR="00CF4181" w:rsidRPr="00DB18E0">
        <w:t xml:space="preserve">size of our estimation that may have led to the marginal significance of some of the variables, which nonetheless can help inform future investigations with larger sample sizes. </w:t>
      </w:r>
      <w:bookmarkEnd w:id="35"/>
      <w:bookmarkEnd w:id="36"/>
      <w:r w:rsidR="00D46943">
        <w:t xml:space="preserve">Third, the parameters represent the elements of the </w:t>
      </w:r>
      <w:r w:rsidR="00DE02AA" w:rsidRPr="00107AF4">
        <w:rPr>
          <w:position w:val="-12"/>
        </w:rPr>
        <w:object w:dxaOrig="279" w:dyaOrig="380" w14:anchorId="7797624D">
          <v:shape id="_x0000_i1087" type="#_x0000_t75" style="width:13.75pt;height:18.95pt" o:ole="" o:preferrelative="f">
            <v:imagedata r:id="rId28" o:title=""/>
            <o:lock v:ext="edit" aspectratio="f"/>
          </v:shape>
          <o:OLEObject Type="Embed" ProgID="Equation.DSMT4" ShapeID="_x0000_i1087" DrawAspect="Content" ObjectID="_1734432107" r:id="rId129"/>
        </w:object>
      </w:r>
      <w:r w:rsidR="00D46943">
        <w:t>vector for each N</w:t>
      </w:r>
      <w:r w:rsidR="009D141C">
        <w:t>HCM</w:t>
      </w:r>
      <w:r w:rsidR="00D46943">
        <w:t xml:space="preserve"> channel </w:t>
      </w:r>
      <w:r w:rsidR="00D46943" w:rsidRPr="00691776">
        <w:rPr>
          <w:i/>
        </w:rPr>
        <w:t>c</w:t>
      </w:r>
      <w:r w:rsidR="00D65026">
        <w:t xml:space="preserve">; that is the effect of the variable on the underlying propensity </w:t>
      </w:r>
      <w:r w:rsidR="00DE02AA" w:rsidRPr="00107AF4">
        <w:rPr>
          <w:position w:val="-12"/>
        </w:rPr>
        <w:object w:dxaOrig="279" w:dyaOrig="380" w14:anchorId="61868880">
          <v:shape id="_x0000_i1088" type="#_x0000_t75" style="width:13.75pt;height:18.95pt" o:ole="" o:preferrelative="f">
            <v:imagedata r:id="rId130" o:title=""/>
            <o:lock v:ext="edit" aspectratio="f"/>
          </v:shape>
          <o:OLEObject Type="Embed" ProgID="Equation.DSMT4" ShapeID="_x0000_i1088" DrawAspect="Content" ObjectID="_1734432108" r:id="rId131"/>
        </w:object>
      </w:r>
      <w:r w:rsidR="001A01E4">
        <w:t xml:space="preserve"> </w:t>
      </w:r>
      <w:r w:rsidR="00D65026">
        <w:t>for participation in the N</w:t>
      </w:r>
      <w:r w:rsidR="009D141C">
        <w:t>HCM</w:t>
      </w:r>
      <w:r w:rsidR="00D65026">
        <w:t xml:space="preserve"> channel </w:t>
      </w:r>
      <w:r w:rsidR="00D65026" w:rsidRPr="00861789">
        <w:rPr>
          <w:i/>
        </w:rPr>
        <w:t>c</w:t>
      </w:r>
      <w:r w:rsidR="00D65026">
        <w:t xml:space="preserve">. </w:t>
      </w:r>
      <w:r w:rsidR="006B0339">
        <w:t xml:space="preserve">Fourth, </w:t>
      </w:r>
      <w:r w:rsidR="00964E4F">
        <w:t>whenever the same coefficient appears for more than one variable for an N</w:t>
      </w:r>
      <w:r w:rsidR="009D141C">
        <w:t>HCM</w:t>
      </w:r>
      <w:r w:rsidR="00964E4F">
        <w:t xml:space="preserve"> channel, it implies that the two corresponding variables were found not to have differential effects on the N</w:t>
      </w:r>
      <w:r w:rsidR="009D141C">
        <w:t>HCM</w:t>
      </w:r>
      <w:r w:rsidR="00964E4F">
        <w:t xml:space="preserve"> channel propensity. Also, a ‘</w:t>
      </w:r>
      <w:r w:rsidR="00D366FA">
        <w:t>--</w:t>
      </w:r>
      <w:r w:rsidR="00964E4F">
        <w:t>” for a variable-N</w:t>
      </w:r>
      <w:r w:rsidR="009D141C">
        <w:t>HCM</w:t>
      </w:r>
      <w:r w:rsidR="00964E4F">
        <w:t xml:space="preserve"> channel combination represents a null effect of that variable on the N</w:t>
      </w:r>
      <w:r w:rsidR="009D141C">
        <w:t>HCM</w:t>
      </w:r>
      <w:r w:rsidR="00964E4F">
        <w:t xml:space="preserve"> channel, and the absence of a variable from Table </w:t>
      </w:r>
      <w:r w:rsidR="002C5F6C">
        <w:t>3 (but listed in Table 1)</w:t>
      </w:r>
      <w:r w:rsidR="00964E4F">
        <w:t xml:space="preserve"> implies that the variable was not even marginally significant in explaining any of the three N</w:t>
      </w:r>
      <w:r w:rsidR="009D141C">
        <w:t>HCM</w:t>
      </w:r>
      <w:r w:rsidR="00964E4F">
        <w:t xml:space="preserve"> channel propensities. Finally, </w:t>
      </w:r>
      <w:r w:rsidR="006B0339">
        <w:t xml:space="preserve">as we will show later in </w:t>
      </w:r>
      <w:r w:rsidR="006B0339" w:rsidRPr="00D76210">
        <w:t xml:space="preserve">Section </w:t>
      </w:r>
      <w:r w:rsidR="00D76210" w:rsidRPr="00D76210">
        <w:t>5.1</w:t>
      </w:r>
      <w:r w:rsidR="006B0339" w:rsidRPr="00D76210">
        <w:t>,</w:t>
      </w:r>
      <w:r w:rsidR="006B0339">
        <w:t xml:space="preserve"> the results also </w:t>
      </w:r>
      <w:r w:rsidR="00E368C2">
        <w:t xml:space="preserve">implicitly </w:t>
      </w:r>
      <w:r w:rsidR="006B0339">
        <w:t xml:space="preserve">provide information about the </w:t>
      </w:r>
      <w:r w:rsidR="00F44F2C">
        <w:t xml:space="preserve">monthly </w:t>
      </w:r>
      <w:r w:rsidR="009D141C">
        <w:t>HCM</w:t>
      </w:r>
      <w:r w:rsidR="00F44F2C">
        <w:t xml:space="preserve"> count</w:t>
      </w:r>
      <w:r w:rsidR="006B0339">
        <w:t xml:space="preserve">. This is because the consumption </w:t>
      </w:r>
      <w:r w:rsidR="00D65026">
        <w:t xml:space="preserve">count </w:t>
      </w:r>
      <w:r w:rsidR="006B0339">
        <w:t xml:space="preserve">of </w:t>
      </w:r>
      <w:r w:rsidR="009D141C">
        <w:t>HCM</w:t>
      </w:r>
      <w:r w:rsidR="006B0339">
        <w:t xml:space="preserve">s </w:t>
      </w:r>
      <w:r w:rsidR="00D65026">
        <w:t>for any individual may be computed as the difference of 22 (the number of weekdays in a month) and the sum of the predicted values of count for the N</w:t>
      </w:r>
      <w:r w:rsidR="009D141C">
        <w:t>HCM</w:t>
      </w:r>
      <w:r w:rsidR="00D65026">
        <w:t xml:space="preserve"> channels. </w:t>
      </w:r>
      <w:r w:rsidR="006B0339">
        <w:t xml:space="preserve">Thus, </w:t>
      </w:r>
      <w:bookmarkStart w:id="37" w:name="_Hlk108458319"/>
      <w:r w:rsidR="006B0339">
        <w:t>if a variable coefficient on one N</w:t>
      </w:r>
      <w:r w:rsidR="009D141C">
        <w:t>HCM</w:t>
      </w:r>
      <w:r w:rsidR="006B0339">
        <w:t xml:space="preserve"> channel is positive (with the corresponding variable coefficients on other N</w:t>
      </w:r>
      <w:r w:rsidR="009D141C">
        <w:t>HCM</w:t>
      </w:r>
      <w:r w:rsidR="006B0339">
        <w:t xml:space="preserve"> channels being zero) or the coefficients on a variable on more than one N</w:t>
      </w:r>
      <w:r w:rsidR="009D141C">
        <w:t>HCM</w:t>
      </w:r>
      <w:r w:rsidR="006B0339">
        <w:t xml:space="preserve"> channel are </w:t>
      </w:r>
      <w:r w:rsidR="006B0339" w:rsidRPr="00861789">
        <w:rPr>
          <w:u w:val="single"/>
        </w:rPr>
        <w:t>all</w:t>
      </w:r>
      <w:r w:rsidR="006B0339">
        <w:t xml:space="preserve"> positive, this would </w:t>
      </w:r>
      <w:r w:rsidR="00D65026">
        <w:t xml:space="preserve">generally </w:t>
      </w:r>
      <w:r w:rsidR="006B0339">
        <w:t xml:space="preserve">imply a negative effect of the variable on </w:t>
      </w:r>
      <w:r w:rsidR="00D65026">
        <w:t xml:space="preserve">the </w:t>
      </w:r>
      <w:r w:rsidR="009D141C">
        <w:t>HCM</w:t>
      </w:r>
      <w:r w:rsidR="00D65026">
        <w:t xml:space="preserve"> count</w:t>
      </w:r>
      <w:r w:rsidR="006B0339">
        <w:t xml:space="preserve">. </w:t>
      </w:r>
      <w:bookmarkEnd w:id="37"/>
      <w:r w:rsidR="006B0339">
        <w:t>On the other hand, if a variable coefficient on one N</w:t>
      </w:r>
      <w:r w:rsidR="009D141C">
        <w:t>HCM</w:t>
      </w:r>
      <w:r w:rsidR="006B0339">
        <w:t xml:space="preserve"> channel is negative (with the corresponding variable coefficients on other N</w:t>
      </w:r>
      <w:r w:rsidR="009D141C">
        <w:t>HCM</w:t>
      </w:r>
      <w:r w:rsidR="006B0339">
        <w:t xml:space="preserve"> channels being zero) or the coefficients on a </w:t>
      </w:r>
      <w:r w:rsidR="006B0339">
        <w:lastRenderedPageBreak/>
        <w:t>variable on more than one N</w:t>
      </w:r>
      <w:r w:rsidR="009D141C">
        <w:t>HCM</w:t>
      </w:r>
      <w:r w:rsidR="006B0339">
        <w:t xml:space="preserve"> channel are </w:t>
      </w:r>
      <w:r w:rsidR="006B0339" w:rsidRPr="00691776">
        <w:rPr>
          <w:u w:val="single"/>
        </w:rPr>
        <w:t>all</w:t>
      </w:r>
      <w:r w:rsidR="006B0339">
        <w:t xml:space="preserve"> negative, this would </w:t>
      </w:r>
      <w:r w:rsidR="00D65026">
        <w:t xml:space="preserve">generally </w:t>
      </w:r>
      <w:r w:rsidR="006B0339">
        <w:t xml:space="preserve">imply a </w:t>
      </w:r>
      <w:r w:rsidR="002A2196">
        <w:t>positive</w:t>
      </w:r>
      <w:r w:rsidR="006B0339">
        <w:t xml:space="preserve"> effect of the variable on </w:t>
      </w:r>
      <w:r w:rsidR="00D65026">
        <w:t xml:space="preserve">the </w:t>
      </w:r>
      <w:r w:rsidR="009D141C">
        <w:t>HCM</w:t>
      </w:r>
      <w:r w:rsidR="00D65026">
        <w:t xml:space="preserve"> count</w:t>
      </w:r>
      <w:r w:rsidR="006B0339">
        <w:t xml:space="preserve">. </w:t>
      </w:r>
    </w:p>
    <w:p w14:paraId="223BC475" w14:textId="103369B1" w:rsidR="00CF4181" w:rsidRDefault="00CF4181" w:rsidP="00AC636C">
      <w:pPr>
        <w:shd w:val="clear" w:color="auto" w:fill="FFFFFF"/>
        <w:spacing w:after="0" w:line="276" w:lineRule="auto"/>
        <w:ind w:firstLine="720"/>
        <w:jc w:val="both"/>
      </w:pPr>
      <w:r w:rsidRPr="00874B05">
        <w:t xml:space="preserve">The </w:t>
      </w:r>
      <w:r w:rsidR="00514913">
        <w:t xml:space="preserve">model </w:t>
      </w:r>
      <w:r w:rsidRPr="00874B05">
        <w:t xml:space="preserve">results are discussed next </w:t>
      </w:r>
      <w:r w:rsidR="00514913">
        <w:t xml:space="preserve">by </w:t>
      </w:r>
      <w:r w:rsidR="00325457">
        <w:t xml:space="preserve">exogenous </w:t>
      </w:r>
      <w:r w:rsidR="00514913">
        <w:t xml:space="preserve">variable category, followed by </w:t>
      </w:r>
      <w:r w:rsidR="00325457">
        <w:t>the correlation effects and endogenous variable</w:t>
      </w:r>
      <w:r w:rsidR="00375309">
        <w:t xml:space="preserve"> parameter estimates</w:t>
      </w:r>
      <w:r w:rsidR="00325457">
        <w:t xml:space="preserve">. </w:t>
      </w:r>
    </w:p>
    <w:p w14:paraId="1F6A5F27" w14:textId="4ED12951" w:rsidR="003F7E94" w:rsidRDefault="003F7E94" w:rsidP="00AC636C">
      <w:pPr>
        <w:shd w:val="clear" w:color="auto" w:fill="FFFFFF"/>
        <w:spacing w:after="0" w:line="276" w:lineRule="auto"/>
        <w:ind w:firstLine="720"/>
        <w:jc w:val="both"/>
      </w:pPr>
    </w:p>
    <w:p w14:paraId="759D2DD2" w14:textId="6302BA73" w:rsidR="0028308A" w:rsidRPr="00AC636C" w:rsidRDefault="003F7E94" w:rsidP="00AC636C">
      <w:pPr>
        <w:pStyle w:val="Heading2"/>
        <w:spacing w:after="0" w:line="276" w:lineRule="auto"/>
        <w:jc w:val="both"/>
        <w:rPr>
          <w:i w:val="0"/>
        </w:rPr>
      </w:pPr>
      <w:bookmarkStart w:id="38" w:name="_Ref108206339"/>
      <w:r>
        <w:t xml:space="preserve"> </w:t>
      </w:r>
      <w:r w:rsidR="0028308A" w:rsidRPr="00AC636C">
        <w:rPr>
          <w:i w:val="0"/>
        </w:rPr>
        <w:t xml:space="preserve">Exogenous Variable </w:t>
      </w:r>
      <w:bookmarkEnd w:id="38"/>
      <w:r w:rsidR="00623CD6" w:rsidRPr="00AC636C">
        <w:rPr>
          <w:i w:val="0"/>
        </w:rPr>
        <w:t>Parameter Estimates</w:t>
      </w:r>
    </w:p>
    <w:p w14:paraId="0858D7E6" w14:textId="5F5375EA" w:rsidR="00594AD8" w:rsidRDefault="00594AD8" w:rsidP="00AC636C">
      <w:pPr>
        <w:pStyle w:val="Heading3"/>
        <w:spacing w:after="0" w:line="276" w:lineRule="auto"/>
        <w:jc w:val="both"/>
      </w:pPr>
      <w:r>
        <w:t>Individual</w:t>
      </w:r>
      <w:r w:rsidR="00B67FB3">
        <w:t xml:space="preserve"> Demographics</w:t>
      </w:r>
    </w:p>
    <w:p w14:paraId="45DA8D58" w14:textId="1E7FE358" w:rsidR="00342A5A" w:rsidRPr="00342A5A" w:rsidRDefault="00B67FB3" w:rsidP="00AC636C">
      <w:pPr>
        <w:autoSpaceDE w:val="0"/>
        <w:autoSpaceDN w:val="0"/>
        <w:adjustRightInd w:val="0"/>
        <w:spacing w:after="0" w:line="276" w:lineRule="auto"/>
        <w:jc w:val="both"/>
      </w:pPr>
      <w:r w:rsidRPr="00342A5A">
        <w:t xml:space="preserve">The individual demographics effects in Table </w:t>
      </w:r>
      <w:r w:rsidR="002C5F6C">
        <w:t>3</w:t>
      </w:r>
      <w:r w:rsidRPr="00342A5A">
        <w:t xml:space="preserve"> indicate </w:t>
      </w:r>
      <w:r w:rsidR="00986A1E" w:rsidRPr="00342A5A">
        <w:t xml:space="preserve">that </w:t>
      </w:r>
      <w:r w:rsidR="002A2196" w:rsidRPr="00342A5A">
        <w:t xml:space="preserve">women </w:t>
      </w:r>
      <w:r w:rsidR="00D65026">
        <w:t xml:space="preserve">have a lower propensity </w:t>
      </w:r>
      <w:r w:rsidR="0076205E" w:rsidRPr="00342A5A">
        <w:t>to eat out, but only if they are living alone without a partner</w:t>
      </w:r>
      <w:r w:rsidR="00655122">
        <w:t xml:space="preserve"> (while this variable is technically a combination of an individual-level variable and a household structure variable; that is, a woman living alone; we categorize it under the label of individual demographics for presentation convenience)</w:t>
      </w:r>
      <w:r w:rsidR="0076205E" w:rsidRPr="00342A5A">
        <w:t>. Th</w:t>
      </w:r>
      <w:r w:rsidR="00D65026">
        <w:t xml:space="preserve">e implication is that </w:t>
      </w:r>
      <w:r w:rsidR="0076205E" w:rsidRPr="00342A5A">
        <w:t xml:space="preserve">the </w:t>
      </w:r>
      <w:r w:rsidR="00D65026">
        <w:t xml:space="preserve">propensity for </w:t>
      </w:r>
      <w:r w:rsidR="0076205E" w:rsidRPr="00342A5A">
        <w:t xml:space="preserve">eat-out episodes is not different between men and women once they are in a partner relationship or in living arrangements with other individuals. This </w:t>
      </w:r>
      <w:r w:rsidR="00E368C2">
        <w:t xml:space="preserve">latter result </w:t>
      </w:r>
      <w:r w:rsidR="0076205E" w:rsidRPr="00342A5A">
        <w:t xml:space="preserve">may be an indication of </w:t>
      </w:r>
      <w:r w:rsidR="00AF0E51" w:rsidRPr="00342A5A">
        <w:t>inter-</w:t>
      </w:r>
      <w:r w:rsidR="0076205E" w:rsidRPr="00342A5A">
        <w:t xml:space="preserve">individual </w:t>
      </w:r>
      <w:r w:rsidR="00AF0E51" w:rsidRPr="00342A5A">
        <w:t>influence</w:t>
      </w:r>
      <w:r w:rsidR="00EC2D0A">
        <w:t>s</w:t>
      </w:r>
      <w:r w:rsidR="00AF0E51" w:rsidRPr="00342A5A">
        <w:t xml:space="preserve"> when </w:t>
      </w:r>
      <w:r w:rsidR="001A01E4">
        <w:t xml:space="preserve">living with others </w:t>
      </w:r>
      <w:r w:rsidR="0076205E" w:rsidRPr="00342A5A">
        <w:t xml:space="preserve">to the point where gender differentials tend to fade. </w:t>
      </w:r>
      <w:r w:rsidR="00E368C2">
        <w:t xml:space="preserve">But sans any influence from other adults in close living quarters, </w:t>
      </w:r>
      <w:r w:rsidR="00AF0E51" w:rsidRPr="00342A5A">
        <w:t xml:space="preserve">there is literature in the food and health fields that women </w:t>
      </w:r>
      <w:r w:rsidR="00E368C2">
        <w:t xml:space="preserve">intrinsically </w:t>
      </w:r>
      <w:r w:rsidR="00AF0E51" w:rsidRPr="00342A5A">
        <w:t xml:space="preserve">tend to not only eat more healthy, but also are </w:t>
      </w:r>
      <w:r w:rsidR="00E034F2">
        <w:t xml:space="preserve">much more </w:t>
      </w:r>
      <w:r w:rsidR="00AF0E51" w:rsidRPr="00342A5A">
        <w:t>open to vegetarianism (see, for example, Rosenfeld and Tomiyama, 202</w:t>
      </w:r>
      <w:r w:rsidR="005B30AB">
        <w:t>0</w:t>
      </w:r>
      <w:r w:rsidR="00AF0E51" w:rsidRPr="00342A5A">
        <w:t xml:space="preserve">). </w:t>
      </w:r>
      <w:r w:rsidR="0035257A" w:rsidRPr="00342A5A">
        <w:t>Such diet consciousness among women may be attributed in part to a higher body shape</w:t>
      </w:r>
      <w:r w:rsidR="00342A5A" w:rsidRPr="00342A5A">
        <w:t>/image</w:t>
      </w:r>
      <w:r w:rsidR="0035257A" w:rsidRPr="00342A5A">
        <w:t xml:space="preserve"> concern and</w:t>
      </w:r>
      <w:r w:rsidR="00342A5A" w:rsidRPr="00342A5A">
        <w:t xml:space="preserve"> a higher priority on </w:t>
      </w:r>
      <w:r w:rsidR="00342A5A" w:rsidRPr="00861789">
        <w:t>mental, emotional,</w:t>
      </w:r>
      <w:r w:rsidR="00354945">
        <w:t xml:space="preserve"> </w:t>
      </w:r>
      <w:r w:rsidR="001A01E4">
        <w:t xml:space="preserve">and </w:t>
      </w:r>
      <w:r w:rsidR="00342A5A" w:rsidRPr="00861789">
        <w:t>spiritual well-being (</w:t>
      </w:r>
      <w:bookmarkStart w:id="39" w:name="_Hlk109729982"/>
      <w:r w:rsidR="00342A5A" w:rsidRPr="00342A5A">
        <w:t>B</w:t>
      </w:r>
      <w:r w:rsidR="00CB2DBB" w:rsidRPr="00D44677">
        <w:t>ä</w:t>
      </w:r>
      <w:r w:rsidR="00342A5A" w:rsidRPr="00342A5A">
        <w:t>rebring et al., 2020</w:t>
      </w:r>
      <w:r w:rsidR="00CB2DBB">
        <w:t>;</w:t>
      </w:r>
      <w:r w:rsidR="00342A5A" w:rsidRPr="00342A5A">
        <w:t xml:space="preserve"> Pop et al., 2021</w:t>
      </w:r>
      <w:bookmarkEnd w:id="39"/>
      <w:r w:rsidR="00342A5A" w:rsidRPr="00342A5A">
        <w:t>)</w:t>
      </w:r>
      <w:r w:rsidR="00E368C2">
        <w:t xml:space="preserve">, which in turn leads to </w:t>
      </w:r>
      <w:r w:rsidR="00E034F2">
        <w:t xml:space="preserve">less consumption of </w:t>
      </w:r>
      <w:r w:rsidR="00342A5A" w:rsidRPr="00342A5A">
        <w:t>N</w:t>
      </w:r>
      <w:r w:rsidR="009D141C">
        <w:t>HCM</w:t>
      </w:r>
      <w:r w:rsidR="00342A5A" w:rsidRPr="00342A5A">
        <w:t xml:space="preserve">s </w:t>
      </w:r>
      <w:r w:rsidR="00E034F2">
        <w:t>(</w:t>
      </w:r>
      <w:r w:rsidR="00342A5A" w:rsidRPr="00342A5A">
        <w:t xml:space="preserve">that are generally associated with poorer diet quality than </w:t>
      </w:r>
      <w:r w:rsidR="009D141C">
        <w:t>HCM</w:t>
      </w:r>
      <w:r w:rsidR="00342A5A" w:rsidRPr="00342A5A">
        <w:t>s</w:t>
      </w:r>
      <w:r w:rsidR="00E034F2">
        <w:t>)</w:t>
      </w:r>
      <w:r w:rsidR="00342A5A" w:rsidRPr="00342A5A">
        <w:t xml:space="preserve">. </w:t>
      </w:r>
    </w:p>
    <w:p w14:paraId="7C989B0F" w14:textId="02048043" w:rsidR="00D46943" w:rsidRPr="00342A5A" w:rsidRDefault="00354945" w:rsidP="00D52C17">
      <w:pPr>
        <w:autoSpaceDE w:val="0"/>
        <w:autoSpaceDN w:val="0"/>
        <w:adjustRightInd w:val="0"/>
        <w:spacing w:after="0" w:line="276" w:lineRule="auto"/>
        <w:ind w:firstLine="720"/>
        <w:jc w:val="both"/>
      </w:pPr>
      <w:r>
        <w:t xml:space="preserve">In terms of age, </w:t>
      </w:r>
      <w:r w:rsidR="00986A1E" w:rsidRPr="00342A5A">
        <w:t>a</w:t>
      </w:r>
      <w:r w:rsidR="001576F2" w:rsidRPr="00342A5A">
        <w:t xml:space="preserve">dults over 30 years of age </w:t>
      </w:r>
      <w:r w:rsidR="00B67FB3" w:rsidRPr="00342A5A">
        <w:t xml:space="preserve">have </w:t>
      </w:r>
      <w:r w:rsidR="001576F2" w:rsidRPr="00342A5A">
        <w:t>a</w:t>
      </w:r>
      <w:r w:rsidR="00B67FB3" w:rsidRPr="00342A5A">
        <w:t xml:space="preserve"> </w:t>
      </w:r>
      <w:r w:rsidR="00E368C2">
        <w:t xml:space="preserve">generally </w:t>
      </w:r>
      <w:r w:rsidR="00B67FB3" w:rsidRPr="00342A5A">
        <w:t>reduced</w:t>
      </w:r>
      <w:r w:rsidR="001576F2" w:rsidRPr="00342A5A">
        <w:t xml:space="preserve"> inclination to</w:t>
      </w:r>
      <w:r w:rsidR="00986A1E" w:rsidRPr="00342A5A">
        <w:t>ward</w:t>
      </w:r>
      <w:r w:rsidR="00D02303" w:rsidRPr="00342A5A">
        <w:t xml:space="preserve"> </w:t>
      </w:r>
      <w:r w:rsidR="00E368C2">
        <w:t xml:space="preserve">eat-out and eat-in pick-up </w:t>
      </w:r>
      <w:r w:rsidR="001576F2" w:rsidRPr="00342A5A">
        <w:t xml:space="preserve">compared to </w:t>
      </w:r>
      <w:r w:rsidR="00B67FB3" w:rsidRPr="00342A5A">
        <w:t xml:space="preserve">their </w:t>
      </w:r>
      <w:r w:rsidR="000C0E90" w:rsidRPr="00342A5A">
        <w:t xml:space="preserve">younger </w:t>
      </w:r>
      <w:r w:rsidR="00B67FB3" w:rsidRPr="00342A5A">
        <w:t>peers</w:t>
      </w:r>
      <w:r w:rsidR="001576F2" w:rsidRPr="00342A5A">
        <w:t xml:space="preserve">. </w:t>
      </w:r>
      <w:r w:rsidR="00D02303" w:rsidRPr="00342A5A">
        <w:t xml:space="preserve">This </w:t>
      </w:r>
      <w:r w:rsidR="001576F2" w:rsidRPr="00342A5A">
        <w:t xml:space="preserve">reduced </w:t>
      </w:r>
      <w:r w:rsidR="00D02303" w:rsidRPr="00342A5A">
        <w:t>N</w:t>
      </w:r>
      <w:r w:rsidR="009D141C">
        <w:t>HCM</w:t>
      </w:r>
      <w:r w:rsidR="0096287A">
        <w:t xml:space="preserve"> consumption inclination</w:t>
      </w:r>
      <w:r w:rsidR="00D02303" w:rsidRPr="00342A5A">
        <w:t xml:space="preserve"> (and, therefore, increased inclination for </w:t>
      </w:r>
      <w:r w:rsidR="009D141C">
        <w:t>HCM</w:t>
      </w:r>
      <w:r w:rsidR="0096287A">
        <w:t>s</w:t>
      </w:r>
      <w:r w:rsidR="00D02303" w:rsidRPr="00342A5A">
        <w:t xml:space="preserve">) with age may </w:t>
      </w:r>
      <w:r w:rsidR="001576F2" w:rsidRPr="00342A5A">
        <w:t xml:space="preserve">be attributed to several physical and psychosocial factors. </w:t>
      </w:r>
      <w:r w:rsidR="00D46943" w:rsidRPr="00342A5A">
        <w:t>O</w:t>
      </w:r>
      <w:r w:rsidR="001576F2" w:rsidRPr="00342A5A">
        <w:t xml:space="preserve">lder </w:t>
      </w:r>
      <w:r w:rsidR="00D02303" w:rsidRPr="00342A5A">
        <w:t>individuals, especially those 65 years</w:t>
      </w:r>
      <w:r w:rsidR="00E034F2">
        <w:t xml:space="preserve"> and older</w:t>
      </w:r>
      <w:r w:rsidR="00D02303" w:rsidRPr="00342A5A">
        <w:t xml:space="preserve">, are typically over the peak of their life cycle and career responsibilities, leaving more </w:t>
      </w:r>
      <w:r w:rsidR="00E034F2">
        <w:t xml:space="preserve">pre-occupation-free </w:t>
      </w:r>
      <w:r w:rsidR="00D02303" w:rsidRPr="00342A5A">
        <w:t xml:space="preserve">time for preparing </w:t>
      </w:r>
      <w:r w:rsidR="009D141C">
        <w:t>HCM</w:t>
      </w:r>
      <w:r w:rsidR="00D02303" w:rsidRPr="00342A5A">
        <w:t>s. That is, even though we have controlled for lifecycle and intensity of work characteristics, older individuals may just not feel the same time and mental pressure as their younger peers</w:t>
      </w:r>
      <w:r w:rsidR="00570C54" w:rsidRPr="00342A5A">
        <w:t xml:space="preserve"> </w:t>
      </w:r>
      <w:r w:rsidR="00D02303" w:rsidRPr="00342A5A">
        <w:t>(see, for example</w:t>
      </w:r>
      <w:bookmarkStart w:id="40" w:name="_Hlk109730127"/>
      <w:r w:rsidR="005B30AB">
        <w:t xml:space="preserve">, </w:t>
      </w:r>
      <w:r w:rsidR="008467CE" w:rsidRPr="008467CE">
        <w:t>Neubauer et al., 2019</w:t>
      </w:r>
      <w:r w:rsidR="008467CE">
        <w:t xml:space="preserve"> and </w:t>
      </w:r>
      <w:r w:rsidR="008467CE">
        <w:fldChar w:fldCharType="begin"/>
      </w:r>
      <w:r w:rsidR="0009165F">
        <w:instrText xml:space="preserve"> ADDIN ZOTERO_ITEM CSL_CITATION {"citationID":"dlc0lTbc","properties":{"formattedCitation":"(Luong &amp; Charles, 2014)","plainCitation":"(Luong &amp; Charles, 2014)","dontUpdate":true,"noteIndex":0},"citationItems":[{"id":831,"uris":["http://zotero.org/users/9292995/items/NM69YBVN"],"itemData":{"id":831,"type":"article-journal","container-title":"Developmental Psychology","ISSN":"1939-0599","issue":"7","journalAbbreviation":"Developmental Psychology","note":"publisher: American Psychological Association","page":"1919","title":"Age differences in affective and cardiovascular responses to a negative social interaction: the role of goals, appraisals, and emotion regulation.","volume":"50","author":[{"family":"Luong","given":"Gloria"},{"family":"Charles","given":"Susan T"}],"issued":{"date-parts":[["2014"]]}}}],"schema":"https://github.com/citation-style-language/schema/raw/master/csl-citation.json"} </w:instrText>
      </w:r>
      <w:r w:rsidR="008467CE">
        <w:fldChar w:fldCharType="separate"/>
      </w:r>
      <w:r w:rsidR="008467CE" w:rsidRPr="008467CE">
        <w:t xml:space="preserve">Luong </w:t>
      </w:r>
      <w:r w:rsidR="008467CE">
        <w:t>and</w:t>
      </w:r>
      <w:r w:rsidR="008467CE" w:rsidRPr="008467CE">
        <w:t xml:space="preserve"> Charles</w:t>
      </w:r>
      <w:r w:rsidR="002C5F6C">
        <w:t xml:space="preserve">, </w:t>
      </w:r>
      <w:r w:rsidR="008467CE" w:rsidRPr="008467CE">
        <w:t>2014)</w:t>
      </w:r>
      <w:r w:rsidR="008467CE">
        <w:fldChar w:fldCharType="end"/>
      </w:r>
      <w:r w:rsidR="00D02303" w:rsidRPr="00342A5A">
        <w:t xml:space="preserve">. </w:t>
      </w:r>
      <w:bookmarkEnd w:id="40"/>
      <w:r w:rsidR="00D46943" w:rsidRPr="00342A5A">
        <w:t>Also</w:t>
      </w:r>
      <w:r w:rsidR="00986A1E" w:rsidRPr="00342A5A">
        <w:t xml:space="preserve">, </w:t>
      </w:r>
      <w:r w:rsidR="00570C54" w:rsidRPr="00342A5A">
        <w:t>the human development literature indicates that as humans get older, there is more resistance to change in established life rhythms, in part because change is perceived as a loss of control that leads to anxiety and stress (Duque et al., 20</w:t>
      </w:r>
      <w:r w:rsidR="002B38F7">
        <w:t>19</w:t>
      </w:r>
      <w:r w:rsidR="00570C54" w:rsidRPr="00342A5A">
        <w:t xml:space="preserve">). Thus, being accustomed to </w:t>
      </w:r>
      <w:r w:rsidR="009D141C">
        <w:t>HCM</w:t>
      </w:r>
      <w:r w:rsidR="00570C54" w:rsidRPr="00342A5A">
        <w:t xml:space="preserve">s for a good part of their lives, it is only natural that </w:t>
      </w:r>
      <w:r w:rsidR="00810346" w:rsidRPr="00342A5A">
        <w:t xml:space="preserve">older individuals </w:t>
      </w:r>
      <w:r w:rsidR="00E034F2">
        <w:t>save</w:t>
      </w:r>
      <w:r w:rsidR="0096287A">
        <w:t xml:space="preserve"> </w:t>
      </w:r>
      <w:r w:rsidR="00570C54" w:rsidRPr="00342A5A">
        <w:t>N</w:t>
      </w:r>
      <w:r w:rsidR="009D141C">
        <w:t>HCM</w:t>
      </w:r>
      <w:r w:rsidR="00570C54" w:rsidRPr="00342A5A">
        <w:t xml:space="preserve">s </w:t>
      </w:r>
      <w:r w:rsidR="0096287A">
        <w:t xml:space="preserve">for those </w:t>
      </w:r>
      <w:r w:rsidR="00570C54" w:rsidRPr="00342A5A">
        <w:t xml:space="preserve">occasional </w:t>
      </w:r>
      <w:r w:rsidR="0096287A">
        <w:t xml:space="preserve">celebratory </w:t>
      </w:r>
      <w:r w:rsidR="00570C54" w:rsidRPr="00342A5A">
        <w:t>event</w:t>
      </w:r>
      <w:r w:rsidR="00E034F2">
        <w:t>s</w:t>
      </w:r>
      <w:r w:rsidR="00570C54" w:rsidRPr="00342A5A">
        <w:t xml:space="preserve"> rather than as a routine affair. </w:t>
      </w:r>
      <w:r w:rsidR="00D46943" w:rsidRPr="00342A5A">
        <w:t>I</w:t>
      </w:r>
      <w:r w:rsidR="00810346" w:rsidRPr="00342A5A">
        <w:t>n addition to habituation factors, the hedonic benefits of eating out decline with age</w:t>
      </w:r>
      <w:r w:rsidR="0096287A">
        <w:t>.</w:t>
      </w:r>
      <w:r w:rsidR="00810346" w:rsidRPr="00342A5A">
        <w:t xml:space="preserve"> </w:t>
      </w:r>
      <w:r w:rsidR="00727D4B" w:rsidRPr="00342A5A">
        <w:t>In particular, younger adults strive to have expansive social networks and have a greater desire to signal cultural capital/social distinctiveness, which can lead to more episodes of N</w:t>
      </w:r>
      <w:r w:rsidR="009D141C">
        <w:t>HCM</w:t>
      </w:r>
      <w:r w:rsidR="00727D4B" w:rsidRPr="00342A5A">
        <w:t xml:space="preserve">s. On the other hand, as </w:t>
      </w:r>
      <w:r w:rsidR="0096287A">
        <w:t>humans</w:t>
      </w:r>
      <w:r w:rsidR="00727D4B" w:rsidRPr="00342A5A">
        <w:t xml:space="preserve"> get older, there is </w:t>
      </w:r>
      <w:r w:rsidR="0096287A">
        <w:t xml:space="preserve">a </w:t>
      </w:r>
      <w:r w:rsidR="00727D4B" w:rsidRPr="00342A5A">
        <w:t xml:space="preserve">higher preference for compact social networks </w:t>
      </w:r>
      <w:r w:rsidR="001A01E4">
        <w:t xml:space="preserve">and </w:t>
      </w:r>
      <w:r w:rsidR="005B30AB">
        <w:t xml:space="preserve">a </w:t>
      </w:r>
      <w:r w:rsidR="00727D4B" w:rsidRPr="00342A5A">
        <w:t xml:space="preserve">less </w:t>
      </w:r>
      <w:r w:rsidR="00E034F2">
        <w:t xml:space="preserve">perceived </w:t>
      </w:r>
      <w:r w:rsidR="00727D4B" w:rsidRPr="00342A5A">
        <w:t>need for signaling of any kind (Soh, 2019). Finally, the negative effect</w:t>
      </w:r>
      <w:r w:rsidR="00E034F2">
        <w:t>s</w:t>
      </w:r>
      <w:r w:rsidR="00727D4B" w:rsidRPr="00342A5A">
        <w:t xml:space="preserve"> of </w:t>
      </w:r>
      <w:r w:rsidR="00810346" w:rsidRPr="00342A5A">
        <w:t xml:space="preserve">age </w:t>
      </w:r>
      <w:r w:rsidR="00727D4B" w:rsidRPr="00342A5A">
        <w:t>on the propensit</w:t>
      </w:r>
      <w:r w:rsidR="00E034F2">
        <w:t>ies</w:t>
      </w:r>
      <w:r w:rsidR="00727D4B" w:rsidRPr="00342A5A">
        <w:t xml:space="preserve"> fo</w:t>
      </w:r>
      <w:r w:rsidR="00E034F2">
        <w:t xml:space="preserve">r eat-in </w:t>
      </w:r>
      <w:r w:rsidR="00D46943" w:rsidRPr="00342A5A">
        <w:t>take-out</w:t>
      </w:r>
      <w:r w:rsidR="00810346" w:rsidRPr="00342A5A">
        <w:t xml:space="preserve"> </w:t>
      </w:r>
      <w:r w:rsidR="00E034F2">
        <w:t xml:space="preserve">and delivery </w:t>
      </w:r>
      <w:r w:rsidR="005B30AB">
        <w:t>are</w:t>
      </w:r>
      <w:r w:rsidR="00810346" w:rsidRPr="00342A5A">
        <w:t xml:space="preserve"> </w:t>
      </w:r>
      <w:r w:rsidR="00D46943" w:rsidRPr="00342A5A">
        <w:t xml:space="preserve">not surprising, </w:t>
      </w:r>
      <w:r w:rsidR="00D46943" w:rsidRPr="00342A5A">
        <w:lastRenderedPageBreak/>
        <w:t>given that the</w:t>
      </w:r>
      <w:r w:rsidR="0096287A">
        <w:t xml:space="preserve"> use of </w:t>
      </w:r>
      <w:r w:rsidR="00E034F2">
        <w:t xml:space="preserve">these </w:t>
      </w:r>
      <w:r w:rsidR="00D46943" w:rsidRPr="00342A5A">
        <w:t>N</w:t>
      </w:r>
      <w:r w:rsidR="009D141C">
        <w:t>HCM</w:t>
      </w:r>
      <w:r w:rsidR="00D46943" w:rsidRPr="00342A5A">
        <w:t xml:space="preserve"> channels require</w:t>
      </w:r>
      <w:r w:rsidR="0096287A">
        <w:t>s</w:t>
      </w:r>
      <w:r w:rsidR="00D46943" w:rsidRPr="00342A5A">
        <w:t xml:space="preserve"> a certain level of technolo</w:t>
      </w:r>
      <w:r w:rsidR="0096287A">
        <w:t xml:space="preserve">gical proficiency and adeptness, </w:t>
      </w:r>
      <w:r w:rsidR="00D46943" w:rsidRPr="00342A5A">
        <w:t xml:space="preserve">which decreases with age </w:t>
      </w:r>
      <w:bookmarkStart w:id="41" w:name="_Hlk109730403"/>
      <w:r w:rsidR="00D46943" w:rsidRPr="00342A5A">
        <w:fldChar w:fldCharType="begin"/>
      </w:r>
      <w:r w:rsidR="008467CE">
        <w:instrText xml:space="preserve"> ADDIN ZOTERO_ITEM CSL_CITATION {"citationID":"KKAlNfnP","properties":{"formattedCitation":"(Ali et al., 2020; Michelle Faverio, 2022; Tsikriktsis, 2004)","plainCitation":"(Ali et al., 2020; Michelle Faverio, 2022; Tsikriktsis, 2004)","dontUpdate":true,"noteIndex":0},"citationItems":[{"id":516,"uris":["http://zotero.org/users/9292995/items/7JXAKBXN"],"itemData":{"id":516,"type":"article-journal","container-title":"Journal of Open Innovation: Technology, Market, and Complexity","ISSN":"2199-8531","issue":"1","journalAbbreviation":"Journal of Open Innovation: Technology, Market, and Complexity","note":"publisher: MDPI","page":"10","title":"Consumer adoption of online food delivery ordering (OFDO) services in Pakistan: The impact of the COVID-19 pandemic situation","volume":"7","author":[{"family":"Ali","given":"Saqib"},{"family":"Khalid","given":"Nadeem"},{"family":"Javed","given":"Hafiz Muhammad Usama"},{"family":"Islam","given":"Dewan Md Zahurul"}],"issued":{"date-parts":[["2020"]]}}},{"id":514,"uris":["http://zotero.org/users/9292995/items/VSL92VLW"],"itemData":{"id":514,"type":"report","event-place":"Pew Research Center","publisher-place":"Pew Research Center","title":"Share of those 65 and older who are tech users has grown in the past decade","URL":"https://www.pewresearch.org/fact-tank/2022/01/13/share-of-those-65-and-older-who-are-tech-users-has-grown-in-the-past-decade/","author":[{"literal":"Michelle Faverio"}],"issued":{"date-parts":[["2022"]]}}},{"id":517,"uris":["http://zotero.org/users/9292995/items/IQL8BMN6"],"itemData":{"id":517,"type":"article-journal","container-title":"Journal of service research","ISSN":"1094-6705","issue":"1","journalAbbreviation":"Journal of service research","note":"publisher: Sage Publications Sage CA: Thousand Oaks, CA","page":"42-52","title":"A technology readiness-based taxonomy of customers: A replication and extension","volume":"7","author":[{"family":"Tsikriktsis","given":"Nikos"}],"issued":{"date-parts":[["2004"]]}}}],"schema":"https://github.com/citation-style-language/schema/raw/master/csl-citation.json"} </w:instrText>
      </w:r>
      <w:r w:rsidR="00D46943" w:rsidRPr="00342A5A">
        <w:fldChar w:fldCharType="separate"/>
      </w:r>
      <w:r w:rsidR="00D46943" w:rsidRPr="00342A5A">
        <w:t>(Ali et al., 2020</w:t>
      </w:r>
      <w:r w:rsidR="00BA4C2F">
        <w:t>;</w:t>
      </w:r>
      <w:r w:rsidR="00D46943" w:rsidRPr="00342A5A">
        <w:t xml:space="preserve"> Faverio, 2022)</w:t>
      </w:r>
      <w:r w:rsidR="00D46943" w:rsidRPr="00342A5A">
        <w:fldChar w:fldCharType="end"/>
      </w:r>
      <w:r w:rsidR="00D46943" w:rsidRPr="00342A5A">
        <w:t>.</w:t>
      </w:r>
      <w:r w:rsidR="00E368C2">
        <w:t xml:space="preserve"> </w:t>
      </w:r>
      <w:bookmarkEnd w:id="41"/>
    </w:p>
    <w:p w14:paraId="1EEF0864" w14:textId="61F7F0C3" w:rsidR="005B30AB" w:rsidRDefault="00C445A4" w:rsidP="00D52C17">
      <w:pPr>
        <w:autoSpaceDE w:val="0"/>
        <w:autoSpaceDN w:val="0"/>
        <w:adjustRightInd w:val="0"/>
        <w:spacing w:after="0" w:line="276" w:lineRule="auto"/>
        <w:jc w:val="both"/>
      </w:pPr>
      <w:r w:rsidRPr="00342A5A">
        <w:tab/>
      </w:r>
      <w:bookmarkStart w:id="42" w:name="_Hlk108454004"/>
      <w:r w:rsidR="00FC5AA9" w:rsidRPr="00342A5A">
        <w:t>R</w:t>
      </w:r>
      <w:r w:rsidR="009C6EF7" w:rsidRPr="00342A5A">
        <w:t xml:space="preserve">acial minorities </w:t>
      </w:r>
      <w:r w:rsidR="00E86445" w:rsidRPr="00342A5A">
        <w:t xml:space="preserve">(non-whites) have a lower propensity </w:t>
      </w:r>
      <w:r w:rsidR="00860CE5">
        <w:t>for</w:t>
      </w:r>
      <w:r w:rsidR="009C6EF7" w:rsidRPr="00342A5A">
        <w:t xml:space="preserve"> eat</w:t>
      </w:r>
      <w:r w:rsidR="00860CE5">
        <w:t>-</w:t>
      </w:r>
      <w:r w:rsidR="009C6EF7" w:rsidRPr="00342A5A">
        <w:t>out and</w:t>
      </w:r>
      <w:r w:rsidR="00E034F2">
        <w:t xml:space="preserve"> </w:t>
      </w:r>
      <w:r w:rsidR="009C6EF7" w:rsidRPr="00342A5A">
        <w:t>food deliver</w:t>
      </w:r>
      <w:r w:rsidR="00E034F2">
        <w:t>y</w:t>
      </w:r>
      <w:r w:rsidR="00E86445" w:rsidRPr="00C445A4">
        <w:t xml:space="preserve"> </w:t>
      </w:r>
      <w:r w:rsidR="001A01E4">
        <w:t>relative to</w:t>
      </w:r>
      <w:r w:rsidR="00E86445" w:rsidRPr="00C445A4">
        <w:t xml:space="preserve"> white individuals</w:t>
      </w:r>
      <w:r w:rsidR="009C6EF7" w:rsidRPr="00C445A4">
        <w:t xml:space="preserve">. </w:t>
      </w:r>
      <w:r w:rsidR="00A9020C" w:rsidRPr="00C445A4">
        <w:t>Th</w:t>
      </w:r>
      <w:r w:rsidR="0096287A">
        <w:t>is</w:t>
      </w:r>
      <w:r w:rsidR="00A9020C" w:rsidRPr="00C445A4">
        <w:t xml:space="preserve"> result is consistent with the findings of Mills et al. (2018)</w:t>
      </w:r>
      <w:r w:rsidR="00C072CF">
        <w:t xml:space="preserve"> and Li et al. (2017), though Li et al. observe that the eat</w:t>
      </w:r>
      <w:r w:rsidR="005B30AB">
        <w:t>-</w:t>
      </w:r>
      <w:r w:rsidR="00C072CF">
        <w:t>out differences between white and Black individuals diminish after controlling for income and education</w:t>
      </w:r>
      <w:r w:rsidR="00E86445" w:rsidRPr="00C445A4">
        <w:t xml:space="preserve">. </w:t>
      </w:r>
      <w:r w:rsidR="00C072CF">
        <w:t>Our results on racial differences, however, remain even after controlling for income, ed</w:t>
      </w:r>
      <w:r w:rsidR="00E368C2">
        <w:t>u</w:t>
      </w:r>
      <w:r w:rsidR="00C072CF">
        <w:t xml:space="preserve">cation, and other variables in Table </w:t>
      </w:r>
      <w:r w:rsidR="0084494B">
        <w:t>3</w:t>
      </w:r>
      <w:r w:rsidR="00C072CF">
        <w:t>.</w:t>
      </w:r>
      <w:r w:rsidR="00C072CF">
        <w:rPr>
          <w:rStyle w:val="FootnoteReference"/>
        </w:rPr>
        <w:footnoteReference w:id="12"/>
      </w:r>
      <w:r w:rsidR="00C072CF">
        <w:t xml:space="preserve"> </w:t>
      </w:r>
      <w:r w:rsidR="004E7470">
        <w:t>T</w:t>
      </w:r>
      <w:r w:rsidR="00E01E17" w:rsidRPr="00C445A4">
        <w:t xml:space="preserve">he lower tendency of minorities to eat-out may be, at least in part, due to </w:t>
      </w:r>
      <w:bookmarkEnd w:id="42"/>
      <w:r w:rsidR="00E01E17" w:rsidRPr="00C445A4">
        <w:t xml:space="preserve">the </w:t>
      </w:r>
      <w:r w:rsidR="009C6EF7" w:rsidRPr="00C445A4">
        <w:t>discriminatory treatment</w:t>
      </w:r>
      <w:r w:rsidR="006E239E" w:rsidRPr="00C445A4">
        <w:t xml:space="preserve"> that</w:t>
      </w:r>
      <w:r w:rsidR="009C6EF7" w:rsidRPr="00C445A4">
        <w:t xml:space="preserve"> racial minorities</w:t>
      </w:r>
      <w:r w:rsidR="00783696" w:rsidRPr="00C445A4">
        <w:t xml:space="preserve"> </w:t>
      </w:r>
      <w:r w:rsidR="00E368C2">
        <w:t xml:space="preserve">tend to </w:t>
      </w:r>
      <w:r w:rsidR="00E01E17" w:rsidRPr="00C445A4">
        <w:t xml:space="preserve">experience </w:t>
      </w:r>
      <w:r w:rsidR="00E368C2">
        <w:t>at</w:t>
      </w:r>
      <w:r w:rsidR="00E01E17" w:rsidRPr="00C445A4">
        <w:t xml:space="preserve"> restaurants. For example, </w:t>
      </w:r>
      <w:r w:rsidR="00ED4A5C">
        <w:t xml:space="preserve">ethno-racial </w:t>
      </w:r>
      <w:r w:rsidR="00E01E17" w:rsidRPr="00C445A4">
        <w:t>studies have indicated that minorities</w:t>
      </w:r>
      <w:r w:rsidR="00E368C2">
        <w:t xml:space="preserve">, on average, </w:t>
      </w:r>
      <w:r w:rsidR="00E01E17" w:rsidRPr="00C445A4">
        <w:t xml:space="preserve">wait longer for a table at a restaurant, and also longer for the food after ordering (see </w:t>
      </w:r>
      <w:bookmarkStart w:id="43" w:name="_Hlk109730504"/>
      <w:r w:rsidR="008467CE">
        <w:fldChar w:fldCharType="begin"/>
      </w:r>
      <w:r w:rsidR="0009165F">
        <w:instrText xml:space="preserve"> ADDIN ZOTERO_ITEM CSL_CITATION {"citationID":"tuToyNOi","properties":{"formattedCitation":"(Billingsley, 2016; Brewster &amp; Heffner, 2021; L. Wang, 2014)","plainCitation":"(Billingsley, 2016; Brewster &amp; Heffner, 2021; L. Wang, 2014)","dontUpdate":true,"noteIndex":0},"citationItems":[{"id":834,"uris":["http://zotero.org/users/9292995/items/4CUZU8TR"],"itemData":{"id":834,"type":"article-journal","container-title":"Sociological Inquiry","ISSN":"0038-0245","issue":"4","journalAbbreviation":"Sociological Inquiry","note":"publisher: Wiley Online Library","page":"641-657","title":"Racialized and classed contexts: Shifting audiences and changes in emotional labor among restaurant servers","volume":"86","author":[{"family":"Billingsley","given":"Brianna L"}],"issued":{"date-parts":[["2016"]]}}},{"id":833,"uris":["http://zotero.org/users/9292995/items/QHXUEWFP"],"itemData":{"id":833,"type":"article-journal","container-title":"Journal of Hospitality &amp; Tourism Research","ISSN":"1096-3480","journalAbbreviation":"Journal of Hospitality &amp; Tourism Research","note":"publisher: SAGE Publications Sage CA: Los Angeles, CA","page":"10963480211020098","title":"Expressions of Anti-Black Biases, Job Satisfaction, and Turnover Intentions in the Full-Service Restaurant Industry","author":[{"family":"Brewster","given":"Zachary W"},{"family":"Heffner","given":"Allen V"}],"issued":{"date-parts":[["2021"]]}}},{"id":832,"uris":["http://zotero.org/users/9292995/items/KKL7VAAZ"],"itemData":{"id":832,"type":"article-journal","container-title":"Va. J. Soc. Pol'y &amp; L.","journalAbbreviation":"Va. J. Soc. Pol'y &amp; L.","note":"publisher: HeinOnline","page":"101","title":"At the tipping point: race and gender discrimination in a common economic transaction","volume":"21","author":[{"family":"Wang","given":"Lu-in"}],"issued":{"date-parts":[["2014"]]}}}],"schema":"https://github.com/citation-style-language/schema/raw/master/csl-citation.json"} </w:instrText>
      </w:r>
      <w:r w:rsidR="008467CE">
        <w:fldChar w:fldCharType="separate"/>
      </w:r>
      <w:r w:rsidR="008467CE" w:rsidRPr="008467CE">
        <w:t>Billingsley, 2016</w:t>
      </w:r>
      <w:r w:rsidR="00F44F2C">
        <w:t xml:space="preserve"> and</w:t>
      </w:r>
      <w:r w:rsidR="008467CE" w:rsidRPr="008467CE">
        <w:t xml:space="preserve"> Brewster </w:t>
      </w:r>
      <w:r w:rsidR="005B30AB">
        <w:t>and</w:t>
      </w:r>
      <w:r w:rsidR="008467CE" w:rsidRPr="008467CE">
        <w:t xml:space="preserve"> Heffner, 2021)</w:t>
      </w:r>
      <w:r w:rsidR="008467CE">
        <w:fldChar w:fldCharType="end"/>
      </w:r>
      <w:r w:rsidR="005B30AB">
        <w:t xml:space="preserve">. </w:t>
      </w:r>
      <w:bookmarkEnd w:id="43"/>
      <w:r w:rsidR="0096287A">
        <w:t xml:space="preserve">A similar reason may be behind the </w:t>
      </w:r>
      <w:r w:rsidR="00783696" w:rsidRPr="00C445A4">
        <w:t xml:space="preserve">disinclination among minorities </w:t>
      </w:r>
      <w:r w:rsidR="0096287A">
        <w:t xml:space="preserve">for </w:t>
      </w:r>
      <w:r w:rsidR="00783696" w:rsidRPr="00C445A4">
        <w:t>food delivery</w:t>
      </w:r>
      <w:r w:rsidRPr="00C445A4">
        <w:t xml:space="preserve">. Specifically, while the intention to use online delivery services is positively influenced by </w:t>
      </w:r>
      <w:r w:rsidR="009C6EF7" w:rsidRPr="00C445A4">
        <w:t xml:space="preserve">vendor, transaction, and delivery trustworthiness </w:t>
      </w:r>
      <w:r w:rsidRPr="00C445A4">
        <w:t>(Ju</w:t>
      </w:r>
      <w:r w:rsidR="002B38F7">
        <w:t>ng</w:t>
      </w:r>
      <w:r w:rsidRPr="00C445A4">
        <w:t xml:space="preserve"> et al., 20</w:t>
      </w:r>
      <w:r w:rsidR="00BA4C2F">
        <w:t>15</w:t>
      </w:r>
      <w:r w:rsidRPr="00C445A4">
        <w:t xml:space="preserve">), minorities are known to exhibit </w:t>
      </w:r>
      <w:r w:rsidRPr="00861789">
        <w:t>more misanthropy (less trust) than members of the majority, attributable in part to historical and contemporary discrimination</w:t>
      </w:r>
      <w:r w:rsidR="001576F2" w:rsidRPr="00C445A4">
        <w:t xml:space="preserve"> (</w:t>
      </w:r>
      <w:r w:rsidR="000C0E90" w:rsidRPr="00C445A4">
        <w:t>Smith</w:t>
      </w:r>
      <w:r w:rsidR="00E034F2">
        <w:t xml:space="preserve">, </w:t>
      </w:r>
      <w:r w:rsidR="000C0E90" w:rsidRPr="00C445A4">
        <w:t>2010</w:t>
      </w:r>
      <w:r w:rsidR="00BA4C2F">
        <w:t>;</w:t>
      </w:r>
      <w:r w:rsidR="00E034F2">
        <w:t xml:space="preserve"> </w:t>
      </w:r>
      <w:bookmarkStart w:id="44" w:name="_Hlk109730551"/>
      <w:r w:rsidR="008467CE" w:rsidRPr="005B30AB">
        <w:fldChar w:fldCharType="begin"/>
      </w:r>
      <w:r w:rsidR="0009165F">
        <w:instrText xml:space="preserve"> ADDIN ZOTERO_ITEM CSL_CITATION {"citationID":"MMc6RUB3","properties":{"formattedCitation":"(Wilkes &amp; Wu, 2018)","plainCitation":"(Wilkes &amp; Wu, 2018)","dontUpdate":true,"noteIndex":0},"citationItems":[{"id":835,"uris":["http://zotero.org/users/9292995/items/LGM8TPJ7"],"itemData":{"id":835,"type":"article-journal","container-title":"The Oxford Handbook of Social and political trust","ISSN":"0190274808","journalAbbreviation":"The Oxford Handbook of Social and political trust","note":"publisher: Oxford University Press Oxford, UK","page":"231","title":"Trust and minority groups","author":[{"family":"Wilkes","given":"Rima"},{"family":"Wu","given":"Cary"}],"issued":{"date-parts":[["2018"]]}}}],"schema":"https://github.com/citation-style-language/schema/raw/master/csl-citation.json"} </w:instrText>
      </w:r>
      <w:r w:rsidR="008467CE" w:rsidRPr="005B30AB">
        <w:fldChar w:fldCharType="separate"/>
      </w:r>
      <w:r w:rsidR="008467CE" w:rsidRPr="005B30AB">
        <w:t xml:space="preserve">Wilkes </w:t>
      </w:r>
      <w:r w:rsidR="005B30AB">
        <w:t>and</w:t>
      </w:r>
      <w:r w:rsidR="008467CE" w:rsidRPr="005B30AB">
        <w:t xml:space="preserve"> Wu, 2018)</w:t>
      </w:r>
      <w:r w:rsidR="008467CE" w:rsidRPr="005B30AB">
        <w:fldChar w:fldCharType="end"/>
      </w:r>
      <w:r w:rsidR="005B30AB" w:rsidRPr="005B30AB">
        <w:t>.</w:t>
      </w:r>
      <w:bookmarkEnd w:id="44"/>
    </w:p>
    <w:p w14:paraId="11080C99" w14:textId="26476F8C" w:rsidR="00ED4A5C" w:rsidRDefault="005B30AB" w:rsidP="00D52C17">
      <w:pPr>
        <w:autoSpaceDE w:val="0"/>
        <w:autoSpaceDN w:val="0"/>
        <w:adjustRightInd w:val="0"/>
        <w:spacing w:after="0" w:line="276" w:lineRule="auto"/>
        <w:ind w:firstLine="720"/>
        <w:jc w:val="both"/>
      </w:pPr>
      <w:r>
        <w:t>I</w:t>
      </w:r>
      <w:r w:rsidR="001576F2">
        <w:t xml:space="preserve">ndividuals with </w:t>
      </w:r>
      <w:r w:rsidR="00D21117">
        <w:t xml:space="preserve">graduate (i.e., </w:t>
      </w:r>
      <w:r w:rsidR="001576F2">
        <w:t>Master’s or Doctoral</w:t>
      </w:r>
      <w:r w:rsidR="00D21117">
        <w:t>)</w:t>
      </w:r>
      <w:r w:rsidR="001576F2">
        <w:t xml:space="preserve"> degrees </w:t>
      </w:r>
      <w:r w:rsidR="004E7470">
        <w:t xml:space="preserve">have a lower propensity for eat-out and eat-in takeout than those with less than graduate education. </w:t>
      </w:r>
      <w:r w:rsidR="00D936C8">
        <w:t>This finding</w:t>
      </w:r>
      <w:r w:rsidR="00D21117">
        <w:t xml:space="preserve"> </w:t>
      </w:r>
      <w:r w:rsidR="001576F2">
        <w:t xml:space="preserve">is </w:t>
      </w:r>
      <w:r w:rsidR="00691C96">
        <w:t xml:space="preserve">somewhat </w:t>
      </w:r>
      <w:r w:rsidR="001576F2">
        <w:t xml:space="preserve">in disagreement with the findings presented in </w:t>
      </w:r>
      <w:r w:rsidR="00691C96">
        <w:t>a few earlier studies</w:t>
      </w:r>
      <w:r w:rsidR="0096287A">
        <w:t xml:space="preserve">, which </w:t>
      </w:r>
      <w:r w:rsidR="001576F2">
        <w:t>suggest that a</w:t>
      </w:r>
      <w:r w:rsidR="001576F2" w:rsidRPr="00025391">
        <w:t xml:space="preserve">dults </w:t>
      </w:r>
      <w:r w:rsidR="001576F2">
        <w:t>with a</w:t>
      </w:r>
      <w:r w:rsidR="001576F2" w:rsidRPr="00025391">
        <w:t xml:space="preserve"> higher education</w:t>
      </w:r>
      <w:r w:rsidR="00860CE5">
        <w:t>al attainment</w:t>
      </w:r>
      <w:r w:rsidR="001576F2">
        <w:t xml:space="preserve"> are</w:t>
      </w:r>
      <w:r w:rsidR="001576F2" w:rsidRPr="00025391">
        <w:t xml:space="preserve"> more likely to eat</w:t>
      </w:r>
      <w:r w:rsidR="00691C96">
        <w:t>-</w:t>
      </w:r>
      <w:r w:rsidR="001576F2" w:rsidRPr="00025391">
        <w:t>out</w:t>
      </w:r>
      <w:r w:rsidR="001576F2">
        <w:t xml:space="preserve"> due to time</w:t>
      </w:r>
      <w:r w:rsidR="000C0E90">
        <w:t>-</w:t>
      </w:r>
      <w:r w:rsidR="001576F2">
        <w:t xml:space="preserve">saving and convenience factors </w:t>
      </w:r>
      <w:r w:rsidR="001576F2">
        <w:fldChar w:fldCharType="begin"/>
      </w:r>
      <w:r w:rsidR="008467CE">
        <w:instrText xml:space="preserve"> ADDIN ZOTERO_ITEM CSL_CITATION {"citationID":"lXI1LYmp","properties":{"formattedCitation":"(Adams et al., 2015; Kwon &amp; Ju, 2014; Zang et al., 2018)","plainCitation":"(Adams et al., 2015; Kwon &amp; Ju, 2014; Zang et al., 2018)","dontUpdate":true,"noteIndex":0},"citationItems":[{"id":506,"uris":["http://zotero.org/users/9292995/items/4MP5M7R3"],"itemData":{"id":506,"type":"article-journal","container-title":"International Journal of Behavioral Nutrition and Physical Activity","ISSN":"1479-5868","issue":"1","journalAbbreviation":"International Journal of Behavioral Nutrition and Physical Activity","note":"publisher: BioMed Central","page":"1-9","title":"Frequency and socio-demographic correlates of eating meals out and take-away meals at home: cross-sectional analysis of the UK national diet and nutrition survey, waves 1–4 (2008–12)","volume":"12","author":[{"family":"Adams","given":"Jean"},{"family":"Goffe","given":"Louis"},{"family":"Brown","given":"Tamara"},{"family":"Lake","given":"Amelia A"},{"family":"Summerbell","given":"Carolyn"},{"family":"White","given":"Martin"},{"family":"Wrieden","given":"Wendy"},{"family":"Adamson","given":"Ashley J"}],"issued":{"date-parts":[["2015"]]}}},{"id":525,"uris":["http://zotero.org/users/9292995/items/YJUXITWD"],"itemData":{"id":525,"type":"article-journal","container-title":"Nutrition research and practice","issue":"6","journalAbbreviation":"Nutrition research and practice","note":"publisher: The Korean Nutrition Society and The Korean Society of Community Nutrition","page":"670-678","title":"Trends in nutrient intakes and consumption while eating-out among Korean adults based on Korea National Health and Nutrition Examination Survey (1998-2012) data","volume":"8","author":[{"family":"Kwon","given":"Yong-Seok"},{"family":"Ju","given":"Se-Young"}],"issued":{"date-parts":[["2014"]]}}},{"id":524,"uris":["http://zotero.org/users/9292995/items/W27WUXDG"],"itemData":{"id":524,"type":"article-journal","container-title":"Nutrients","issue":"7","journalAbbreviation":"Nutrients","note":"publisher: Multidisciplinary Digital Publishing Institute","page":"951","title":"Eating out-of-home in adult residents in Shanghai and the nutritional differences among dining places","volume":"10","author":[{"family":"Zang","given":"Jiajie"},{"family":"Luo","given":"Baozhang"},{"family":"Wang","given":"Yaping"},{"family":"Zhu","given":"Zhenni"},{"family":"Wang","given":"Zhengyuan"},{"family":"He","given":"Xin"},{"family":"Wang","given":"Wenjing"},{"family":"Guo","given":"Yan"},{"family":"Chen","given":"Xiao"},{"family":"Wang","given":"Chunfang"}],"issued":{"date-parts":[["2018"]]}}}],"schema":"https://github.com/citation-style-language/schema/raw/master/csl-citation.json"} </w:instrText>
      </w:r>
      <w:r w:rsidR="001576F2">
        <w:fldChar w:fldCharType="separate"/>
      </w:r>
      <w:r w:rsidR="001576F2" w:rsidRPr="007F64E8">
        <w:t>(</w:t>
      </w:r>
      <w:r w:rsidR="00ED4A5C">
        <w:t xml:space="preserve">see, for example, </w:t>
      </w:r>
      <w:r w:rsidR="001576F2" w:rsidRPr="007F64E8">
        <w:t>Zang et al., 2018)</w:t>
      </w:r>
      <w:r w:rsidR="001576F2">
        <w:fldChar w:fldCharType="end"/>
      </w:r>
      <w:r w:rsidR="001576F2">
        <w:t>.</w:t>
      </w:r>
      <w:r w:rsidR="006E239E">
        <w:t xml:space="preserve"> </w:t>
      </w:r>
      <w:r w:rsidR="006B0339">
        <w:t>Mills et al. (2018) also find higher education</w:t>
      </w:r>
      <w:r w:rsidR="00860CE5">
        <w:t>al attainment</w:t>
      </w:r>
      <w:r w:rsidR="006B0339">
        <w:t xml:space="preserve"> to be positively associated with eat-out (unlike our result), though also distinctly and strongly negatively associated with eat-in takeout (similar to our result). However, </w:t>
      </w:r>
      <w:r w:rsidR="002A2196">
        <w:t xml:space="preserve">consistent with our study, </w:t>
      </w:r>
      <w:r w:rsidR="00691C96">
        <w:t xml:space="preserve">Mills et al. (2018) report </w:t>
      </w:r>
      <w:r w:rsidR="001576F2">
        <w:t>that</w:t>
      </w:r>
      <w:r w:rsidR="00691C96">
        <w:t xml:space="preserve"> </w:t>
      </w:r>
      <w:r w:rsidR="00860CE5">
        <w:t>individuals with higher educational degrees have</w:t>
      </w:r>
      <w:r w:rsidR="001576F2">
        <w:t xml:space="preserve"> </w:t>
      </w:r>
      <w:r w:rsidR="002A2196">
        <w:t xml:space="preserve">a higher tendency for </w:t>
      </w:r>
      <w:r w:rsidR="009D141C">
        <w:t>HCM</w:t>
      </w:r>
      <w:r w:rsidR="002A2196">
        <w:t xml:space="preserve">s (note that the negative coefficients on both eat-out and eat-in takeout in Table </w:t>
      </w:r>
      <w:r w:rsidR="00D76210" w:rsidRPr="00D76210">
        <w:t>3</w:t>
      </w:r>
      <w:r w:rsidR="002A2196" w:rsidRPr="00D76210">
        <w:t>,</w:t>
      </w:r>
      <w:r w:rsidR="002A2196">
        <w:t xml:space="preserve"> with no effect on eat-in delivery, implicitly point to </w:t>
      </w:r>
      <w:r w:rsidR="00860CE5">
        <w:t xml:space="preserve">the positive association between educational attainment and the </w:t>
      </w:r>
      <w:r w:rsidR="002A2196">
        <w:t>likel</w:t>
      </w:r>
      <w:r w:rsidR="00860CE5">
        <w:t>ihood</w:t>
      </w:r>
      <w:r w:rsidR="002A2196">
        <w:t xml:space="preserve"> to partake in </w:t>
      </w:r>
      <w:r w:rsidR="009D141C">
        <w:t>HCM</w:t>
      </w:r>
      <w:r w:rsidR="002A2196">
        <w:t xml:space="preserve">s). An explanation for this last result is that </w:t>
      </w:r>
      <w:r w:rsidR="00691C96">
        <w:t>high</w:t>
      </w:r>
      <w:r w:rsidR="0096287A">
        <w:t xml:space="preserve">er </w:t>
      </w:r>
      <w:r w:rsidR="00691C96">
        <w:t>educat</w:t>
      </w:r>
      <w:r w:rsidR="0096287A">
        <w:t>ion</w:t>
      </w:r>
      <w:r w:rsidR="00860CE5">
        <w:t xml:space="preserve">al attainment </w:t>
      </w:r>
      <w:r w:rsidR="0096287A">
        <w:t>leads to hi</w:t>
      </w:r>
      <w:r w:rsidR="00691C96">
        <w:t xml:space="preserve">gher food literacy and heightened health consciousness, </w:t>
      </w:r>
      <w:r w:rsidR="002A2196">
        <w:t xml:space="preserve">leading to more </w:t>
      </w:r>
      <w:r w:rsidR="009D141C">
        <w:t>HCM</w:t>
      </w:r>
      <w:r w:rsidR="002A2196">
        <w:t xml:space="preserve"> consumption</w:t>
      </w:r>
      <w:r w:rsidR="00691C96">
        <w:t xml:space="preserve"> </w:t>
      </w:r>
      <w:bookmarkStart w:id="45" w:name="_Hlk109730691"/>
      <w:r w:rsidR="00195126">
        <w:fldChar w:fldCharType="begin"/>
      </w:r>
      <w:r w:rsidR="0009165F">
        <w:instrText xml:space="preserve"> ADDIN ZOTERO_ITEM CSL_CITATION {"citationID":"MLMZj43g","properties":{"formattedCitation":"(Krause et al., 2018; Nogueira et al., 2016)","plainCitation":"(Krause et al., 2018; Nogueira et al., 2016)","dontUpdate":true,"noteIndex":0},"citationItems":[{"id":701,"uris":["http://zotero.org/users/9292995/items/CLL4LS4J"],"itemData":{"id":701,"type":"article-journal","container-title":"Appetite","ISSN":"0195-6663","journalAbbreviation":"Appetite","note":"publisher: Elsevier","page":"275-280","title":"A short food literacy questionnaire (SFLQ) for adults: Findings from a Swiss validation study","volume":"120","author":[{"family":"Krause","given":"Corinna Gréa"},{"family":"Beer-Borst","given":"Sigrid"},{"family":"Sommerhalder","given":"Kathrin"},{"family":"Hayoz","given":"Stefanie"},{"family":"Abel","given":"Thomas"}],"issued":{"date-parts":[["2018"]]}}},{"id":702,"uris":["http://zotero.org/users/9292995/items/4T48XY43"],"itemData":{"id":702,"type":"article-journal","container-title":"American journal of health behavior","ISSN":"1087-3244","issue":"4","journalAbbreviation":"American journal of health behavior","note":"publisher: PNG Publications","page":"427-436","title":"Nutrition label numeracy: Disparities and association with health behaviors","volume":"40","author":[{"family":"Nogueira","given":"Leticia M"},{"family":"Thai","given":"Chan L"},{"family":"Nelson","given":"Wendy"},{"family":"Oh","given":"April"}],"issued":{"date-parts":[["2016"]]}}}],"schema":"https://github.com/citation-style-language/schema/raw/master/csl-citation.json"} </w:instrText>
      </w:r>
      <w:r w:rsidR="00195126">
        <w:fldChar w:fldCharType="separate"/>
      </w:r>
      <w:r w:rsidR="00987193" w:rsidRPr="00987193">
        <w:t>(Krause et al., 2018</w:t>
      </w:r>
      <w:r w:rsidR="00BA4C2F">
        <w:t>;</w:t>
      </w:r>
      <w:r w:rsidR="00987193" w:rsidRPr="00987193">
        <w:t xml:space="preserve"> Nogueira et al., 2016)</w:t>
      </w:r>
      <w:r w:rsidR="00195126">
        <w:fldChar w:fldCharType="end"/>
      </w:r>
      <w:r w:rsidR="00195126">
        <w:t>.</w:t>
      </w:r>
      <w:r w:rsidR="00691C96">
        <w:t xml:space="preserve"> </w:t>
      </w:r>
      <w:bookmarkEnd w:id="45"/>
      <w:r w:rsidR="002A2196">
        <w:t xml:space="preserve">In summary, </w:t>
      </w:r>
      <w:r w:rsidR="00691C96">
        <w:t xml:space="preserve">the </w:t>
      </w:r>
      <w:r w:rsidR="002A2196">
        <w:t>heterogen</w:t>
      </w:r>
      <w:r>
        <w:t>e</w:t>
      </w:r>
      <w:r w:rsidR="002A2196">
        <w:t xml:space="preserve">ous results about the </w:t>
      </w:r>
      <w:r w:rsidR="00691C96">
        <w:t>impact of education level o</w:t>
      </w:r>
      <w:r w:rsidR="00983F7F">
        <w:t>n</w:t>
      </w:r>
      <w:r w:rsidR="00691C96">
        <w:t xml:space="preserve"> food consumption patter</w:t>
      </w:r>
      <w:r w:rsidR="00983F7F">
        <w:t>ns</w:t>
      </w:r>
      <w:r w:rsidR="002A2196">
        <w:t xml:space="preserve"> deserve</w:t>
      </w:r>
      <w:r w:rsidR="0096287A">
        <w:t xml:space="preserve"> additional attention </w:t>
      </w:r>
      <w:r w:rsidR="002A2196">
        <w:t xml:space="preserve">in future studies, </w:t>
      </w:r>
      <w:r w:rsidR="00ED4A5C">
        <w:t xml:space="preserve">with better </w:t>
      </w:r>
      <w:r w:rsidR="002A2196">
        <w:t>accounting for</w:t>
      </w:r>
      <w:r w:rsidR="00ED4A5C">
        <w:t xml:space="preserve"> </w:t>
      </w:r>
      <w:r w:rsidR="00983F7F">
        <w:t>context-specific factors (</w:t>
      </w:r>
      <w:r w:rsidR="002A2196">
        <w:t xml:space="preserve">such as </w:t>
      </w:r>
      <w:r w:rsidR="00983F7F">
        <w:t xml:space="preserve">time-pressure, convenience, </w:t>
      </w:r>
      <w:r w:rsidR="002A2196">
        <w:t xml:space="preserve">and </w:t>
      </w:r>
      <w:r w:rsidR="00983F7F">
        <w:t>health consciousness)</w:t>
      </w:r>
      <w:r w:rsidR="002A2196">
        <w:t xml:space="preserve">. </w:t>
      </w:r>
    </w:p>
    <w:p w14:paraId="1F316075" w14:textId="77777777" w:rsidR="002A2196" w:rsidRDefault="002A2196" w:rsidP="00D52C17">
      <w:pPr>
        <w:autoSpaceDE w:val="0"/>
        <w:autoSpaceDN w:val="0"/>
        <w:adjustRightInd w:val="0"/>
        <w:spacing w:after="0" w:line="276" w:lineRule="auto"/>
        <w:ind w:firstLine="720"/>
        <w:jc w:val="both"/>
      </w:pPr>
    </w:p>
    <w:p w14:paraId="23C2B4A1" w14:textId="1F8DD502" w:rsidR="00594AD8" w:rsidRDefault="00594AD8" w:rsidP="00447F64">
      <w:pPr>
        <w:pStyle w:val="Heading3"/>
        <w:keepNext/>
        <w:keepLines/>
        <w:spacing w:after="0"/>
        <w:jc w:val="both"/>
      </w:pPr>
      <w:r>
        <w:lastRenderedPageBreak/>
        <w:t>Household Characteristics</w:t>
      </w:r>
    </w:p>
    <w:p w14:paraId="56B783D0" w14:textId="14B41514" w:rsidR="009C6EF7" w:rsidRDefault="00983F7F" w:rsidP="00447F64">
      <w:pPr>
        <w:keepNext/>
        <w:keepLines/>
        <w:spacing w:after="0" w:line="276" w:lineRule="auto"/>
        <w:jc w:val="both"/>
      </w:pPr>
      <w:r>
        <w:t xml:space="preserve">The results from </w:t>
      </w:r>
      <w:r w:rsidR="00987193">
        <w:t>T</w:t>
      </w:r>
      <w:r>
        <w:t xml:space="preserve">able </w:t>
      </w:r>
      <w:r w:rsidR="0084494B">
        <w:t>3</w:t>
      </w:r>
      <w:r>
        <w:t xml:space="preserve"> suggest</w:t>
      </w:r>
      <w:r w:rsidR="00ED4A5C">
        <w:t xml:space="preserve">, consistent with the findings in the literature </w:t>
      </w:r>
      <w:bookmarkStart w:id="46" w:name="_Hlk109730771"/>
      <w:r w:rsidR="00ED4A5C">
        <w:fldChar w:fldCharType="begin"/>
      </w:r>
      <w:r w:rsidR="008467CE">
        <w:instrText xml:space="preserve"> ADDIN ZOTERO_ITEM CSL_CITATION {"citationID":"J0QGSrer","properties":{"formattedCitation":"(Adams et al., 2015; Chen et al., 2021; Dias et al., 2020; W. Kim &amp; Wang, 2021; Kwon &amp; Ju, 2014; Mills et al., 2018; Robson et al., 2016; Unnikrishnan &amp; Figliozzi, 2021; Zang et al., 2018)","plainCitation":"(Adams et al., 2015; Chen et al., 2021; Dias et al., 2020; W. Kim &amp; Wang, 2021; Kwon &amp; Ju, 2014; Mills et al., 2018; Robson et al., 2016; Unnikrishnan &amp; Figliozzi, 2021; Zang et al., 2018)","dontUpdate":true,"noteIndex":0},"citationItems":[{"id":506,"uris":["http://zotero.org/users/9292995/items/4MP5M7R3"],"itemData":{"id":506,"type":"article-journal","container-title":"International Journal of Behavioral Nutrition and Physical Activity","ISSN":"1479-5868","issue":"1","journalAbbreviation":"International Journal of Behavioral Nutrition and Physical Activity","note":"publisher: BioMed Central","page":"1-9","title":"Frequency and socio-demographic correlates of eating meals out and take-away meals at home: cross-sectional analysis of the UK national diet and nutrition survey, waves 1–4 (2008–12)","volume":"12","author":[{"family":"Adams","given":"Jean"},{"family":"Goffe","given":"Louis"},{"family":"Brown","given":"Tamara"},{"family":"Lake","given":"Amelia A"},{"family":"Summerbell","given":"Carolyn"},{"family":"White","given":"Martin"},{"family":"Wrieden","given":"Wendy"},{"family":"Adamson","given":"Ashley J"}],"issued":{"date-parts":[["2015"]]}}},{"id":112,"uris":["http://zotero.org/users/9292995/items/VEDE4RI7"],"itemData":{"id":112,"type":"article-journal","container-title":"Sensors","issue":"13","journalAbbreviation":"Sensors","note":"publisher: Multidisciplinary Digital Publishing Institute","page":"4564","title":"Estimating vehicle and pedestrian activity from town and city traffic cameras","volume":"21","author":[{"family":"Chen","given":"Li"},{"family":"Grimstead","given":"Ian"},{"family":"Bell","given":"Daniel"},{"family":"Karanka","given":"Joni"},{"family":"Dimond","given":"Laura"},{"family":"James","given":"Philip"},{"family":"Smith","given":"Luke"},{"family":"Edwardes","given":"Alistair"}],"issued":{"date-parts":[["2021"]]}}},{"id":425,"uris":["http://zotero.org/users/9292995/items/VYA5VQBP"],"itemData":{"id":425,"type":"article-journal","container-title":"Transportation Research Part C: Emerging Technologies","ISSN":"0968-090X","journalAbbreviation":"Transportation Research Part C: Emerging Technologies","note":"publisher: Elsevier","page":"643-656","title":"A comparison of online and in-person activity engagement: The case of shopping and eating meals","volume":"114","author":[{"family":"Dias","given":"Felipe F"},{"family":"Lavieri","given":"Patricia S"},{"family":"Sharda","given":"Shivam"},{"family":"Khoeini","given":"Sara"},{"family":"Bhat","given":"Chandra R"},{"family":"Pendyala","given":"Ram M"},{"family":"Pinjari","given":"Abdul R"},{"family":"Ramadurai","given":"Gitakrishnan"},{"family":"Srinivasan","given":"Karthik K"}],"issued":{"date-parts":[["2020"]]}}},{"id":416,"uris":["http://zotero.org/users/9292995/items/ESXZI25A"],"itemData":{"id":416,"type":"article-journal","container-title":"Transportation Research Part C: Emerging Technologies","ISSN":"0968-090X","journalAbbreviation":"Transportation Research Part C: Emerging Technologies","note":"publisher: Elsevier","page":"103052","title":"To be online or in-store: Analysis of retail, grocery, and food shopping in New York city","volume":"126","author":[{"family":"Kim","given":"Woojung"},{"family":"Wang","given":"Xiaokun Cara"}],"issued":{"date-parts":[["2021"]]}}},{"id":525,"uris":["http://zotero.org/users/9292995/items/YJUXITWD"],"itemData":{"id":525,"type":"article-journal","container-title":"Nutrition research and practice","issue":"6","journalAbbreviation":"Nutrition research and practice","note":"publisher: The Korean Nutrition Society and The Korean Society of Community Nutrition","page":"670-678","title":"Trends in nutrient intakes and consumption while eating-out among Korean adults based on Korea National Health and Nutrition Examination Survey (1998-2012) data","volume":"8","author":[{"family":"Kwon","given":"Yong-Seok"},{"family":"Ju","given":"Se-Young"}],"issued":{"date-parts":[["2014"]]}}},{"id":521,"uris":["http://zotero.org/users/9292995/items/GA87FN3E"],"itemData":{"id":521,"type":"article-journal","container-title":"Public health nutrition","ISSN":"1368-9800","issue":"12","journalAbbreviation":"Public health nutrition","note":"publisher: Cambridge University Press","page":"2255-2266","title":"Sociodemographic characteristics and frequency of consuming home-cooked meals and meals from out-of-home sources: cross-sectional analysis of a population-based cohort study","volume":"21","author":[{"family":"Mills","given":"Susanna"},{"family":"Adams","given":"Jean"},{"family":"Wrieden","given":"Wendy"},{"family":"White","given":"Martin"},{"family":"Brown","given":"Heather"}],"issued":{"date-parts":[["2018"]]}}},{"id":536,"uris":["http://zotero.org/users/9292995/items/G7IWEJ8N"],"itemData":{"id":536,"type":"article-journal","container-title":"Appetite","ISSN":"0195-6663","journalAbbreviation":"Appetite","note":"publisher: Elsevier","page":"147-153","title":"Eating dinner away from home: Perspectives of middle-to high-income parents","volume":"96","author":[{"family":"Robson","given":"Shannon M"},{"family":"Crosby","given":"Lori E"},{"family":"Stark","given":"Lori J"}],"issued":{"date-parts":[["2016"]]}}},{"id":423,"uris":["http://zotero.org/users/9292995/items/Y7P957DP"],"itemData":{"id":423,"type":"article-journal","container-title":"Transportation Research Interdisciplinary Perspectives","ISSN":"2590-1982","journalAbbreviation":"Transportation Research Interdisciplinary Perspectives","note":"publisher: Elsevier","page":"100402","title":"Exploratory analysis of factors affecting levels of home deliveries before, during, and post-COVID-19","volume":"10","author":[{"family":"Unnikrishnan","given":"Avinash"},{"family":"Figliozzi","given":"Miguel"}],"issued":{"date-parts":[["2021"]]}}},{"id":524,"uris":["http://zotero.org/users/9292995/items/W27WUXDG"],"itemData":{"id":524,"type":"article-journal","container-title":"Nutrients","issue":"7","journalAbbreviation":"Nutrients","note":"publisher: Multidisciplinary Digital Publishing Institute","page":"951","title":"Eating out-of-home in adult residents in Shanghai and the nutritional differences among dining places","volume":"10","author":[{"family":"Zang","given":"Jiajie"},{"family":"Luo","given":"Baozhang"},{"family":"Wang","given":"Yaping"},{"family":"Zhu","given":"Zhenni"},{"family":"Wang","given":"Zhengyuan"},{"family":"He","given":"Xin"},{"family":"Wang","given":"Wenjing"},{"family":"Guo","given":"Yan"},{"family":"Chen","given":"Xiao"},{"family":"Wang","given":"Chunfang"}],"issued":{"date-parts":[["2018"]]}}}],"schema":"https://github.com/citation-style-language/schema/raw/master/csl-citation.json"} </w:instrText>
      </w:r>
      <w:r w:rsidR="00ED4A5C">
        <w:fldChar w:fldCharType="separate"/>
      </w:r>
      <w:r w:rsidR="00ED4A5C" w:rsidRPr="006E239E">
        <w:t>(</w:t>
      </w:r>
      <w:r w:rsidR="00ED4A5C">
        <w:t>see, for example,</w:t>
      </w:r>
      <w:r w:rsidR="00F44F2C">
        <w:t xml:space="preserve"> </w:t>
      </w:r>
      <w:r w:rsidR="00ED4A5C" w:rsidRPr="006E239E">
        <w:t xml:space="preserve">Kim </w:t>
      </w:r>
      <w:r w:rsidR="00E72888">
        <w:t>and</w:t>
      </w:r>
      <w:r w:rsidR="00ED4A5C" w:rsidRPr="006E239E">
        <w:t xml:space="preserve"> Wang, 2021</w:t>
      </w:r>
      <w:r w:rsidR="00ED4A5C">
        <w:t>,</w:t>
      </w:r>
      <w:r w:rsidR="00ED4A5C" w:rsidRPr="006E239E">
        <w:t xml:space="preserve"> </w:t>
      </w:r>
      <w:r w:rsidR="00ED4A5C">
        <w:t xml:space="preserve">and </w:t>
      </w:r>
      <w:r w:rsidR="00ED4A5C" w:rsidRPr="006E239E">
        <w:t xml:space="preserve">Unnikrishnan </w:t>
      </w:r>
      <w:r w:rsidR="00ED4A5C">
        <w:t>and</w:t>
      </w:r>
      <w:r w:rsidR="00ED4A5C" w:rsidRPr="006E239E">
        <w:t xml:space="preserve"> Figliozzi, 2021)</w:t>
      </w:r>
      <w:r w:rsidR="00ED4A5C">
        <w:fldChar w:fldCharType="end"/>
      </w:r>
      <w:r w:rsidR="00ED4A5C">
        <w:t xml:space="preserve">, </w:t>
      </w:r>
      <w:bookmarkEnd w:id="46"/>
      <w:r>
        <w:t xml:space="preserve">that </w:t>
      </w:r>
      <w:r w:rsidR="00AA1E00">
        <w:t xml:space="preserve">individuals </w:t>
      </w:r>
      <w:r w:rsidR="00655122">
        <w:t xml:space="preserve">from </w:t>
      </w:r>
      <w:r w:rsidR="00ED4A5C">
        <w:t>high</w:t>
      </w:r>
      <w:r w:rsidR="005B30AB">
        <w:t>-</w:t>
      </w:r>
      <w:r w:rsidR="00ED4A5C">
        <w:t xml:space="preserve">income </w:t>
      </w:r>
      <w:r w:rsidR="00655122">
        <w:t>households</w:t>
      </w:r>
      <w:r w:rsidR="00AA1E00">
        <w:t xml:space="preserve"> </w:t>
      </w:r>
      <w:r w:rsidR="00655122">
        <w:t xml:space="preserve">($100,000 of annual income or more) are positively predisposed to </w:t>
      </w:r>
      <w:r w:rsidR="00266789">
        <w:t>N</w:t>
      </w:r>
      <w:r w:rsidR="009D141C">
        <w:t>HCM</w:t>
      </w:r>
      <w:r w:rsidR="00266789">
        <w:t xml:space="preserve"> consumption</w:t>
      </w:r>
      <w:r w:rsidR="009C6EF7">
        <w:t xml:space="preserve"> through the </w:t>
      </w:r>
      <w:r w:rsidR="00655122">
        <w:t xml:space="preserve">eat-out and eat-in takeout </w:t>
      </w:r>
      <w:r w:rsidR="009C6EF7">
        <w:t>channel</w:t>
      </w:r>
      <w:r w:rsidR="001A01E4">
        <w:t>.</w:t>
      </w:r>
      <w:r w:rsidR="00ED4A5C">
        <w:t xml:space="preserve"> This is generally attributed to </w:t>
      </w:r>
      <w:r w:rsidR="009C6EF7">
        <w:t>the greater purchasing power</w:t>
      </w:r>
      <w:r w:rsidR="00AA1E00">
        <w:t xml:space="preserve"> </w:t>
      </w:r>
      <w:r w:rsidR="00ED4A5C">
        <w:t>of high</w:t>
      </w:r>
      <w:r w:rsidR="005B30AB">
        <w:t>-</w:t>
      </w:r>
      <w:r w:rsidR="00ED4A5C">
        <w:t xml:space="preserve">income households, though also </w:t>
      </w:r>
      <w:r w:rsidR="001A01E4">
        <w:t xml:space="preserve">may </w:t>
      </w:r>
      <w:r w:rsidR="00ED4A5C">
        <w:t xml:space="preserve">serve </w:t>
      </w:r>
      <w:r w:rsidR="00AA1E00">
        <w:t>as a means to signal social capital and distinctiveness</w:t>
      </w:r>
      <w:r w:rsidR="009C6EF7">
        <w:t>. Also, h</w:t>
      </w:r>
      <w:r w:rsidR="00AA1E00">
        <w:t xml:space="preserve">igher </w:t>
      </w:r>
      <w:r w:rsidR="00266789">
        <w:t xml:space="preserve">income allows time-poor individuals </w:t>
      </w:r>
      <w:r w:rsidR="006553B9">
        <w:t xml:space="preserve">to </w:t>
      </w:r>
      <w:r w:rsidR="00266789">
        <w:t>invest in the additional time</w:t>
      </w:r>
      <w:r w:rsidR="000019A9">
        <w:t>-</w:t>
      </w:r>
      <w:r w:rsidR="00266789">
        <w:t xml:space="preserve">saving and convenience provided by </w:t>
      </w:r>
      <w:r w:rsidR="009C6EF7">
        <w:t>N</w:t>
      </w:r>
      <w:r w:rsidR="009D141C">
        <w:t>HCM</w:t>
      </w:r>
      <w:r w:rsidR="009C6EF7">
        <w:t xml:space="preserve"> </w:t>
      </w:r>
      <w:r w:rsidR="00AA1E00">
        <w:t xml:space="preserve">consumption </w:t>
      </w:r>
      <w:r w:rsidR="00266789">
        <w:fldChar w:fldCharType="begin"/>
      </w:r>
      <w:r w:rsidR="008467CE">
        <w:instrText xml:space="preserve"> ADDIN ZOTERO_ITEM CSL_CITATION {"citationID":"SSS67fN5","properties":{"formattedCitation":"(Clifford Astbury et al., 2020, pp. 2014\\uc0\\u8211{}2015; Spurlock et al., 2020)","plainCitation":"(Clifford Astbury et al., 2020, pp. 2014–2015; Spurlock et al., 2020)","dontUpdate":true,"noteIndex":0},"citationItems":[{"id":537,"uris":["http://zotero.org/users/9292995/items/ULU9ZIDI"],"itemData":{"id":537,"type":"article-journal","container-title":"Nutrients","issue":"8","journalAbbreviation":"Nutrients","note":"publisher: Multidisciplinary Digital Publishing Institute","page":"2280","title":"How does time use differ between individuals who do more versus less foodwork? A compositional data analysis of time use in the United Kingdom time use survey 2014–2015","volume":"12","author":[{"family":"Clifford Astbury","given":"Chloe"},{"family":"Foley","given":"Louise"},{"family":"Penney","given":"Tarra L"},{"family":"Adams","given":"Jean"}],"issued":{"date-parts":[["2020"]]}},"locator":"2014-2015"},{"id":512,"uris":["http://zotero.org/users/9292995/items/CK4A5I5A"],"itemData":{"id":512,"type":"article-journal","container-title":"Transportation Research Record","ISSN":"0361-1981","issue":"10","journalAbbreviation":"Transportation Research Record","note":"publisher: SAGE Publications Sage CA: Los Angeles, CA","page":"335-350","title":"Children, income, and the impact of home delivery on household shopping trips","volume":"2674","author":[{"family":"Spurlock","given":"C Anna"},{"family":"Todd-Blick","given":"Annika"},{"family":"Wong-Parodi","given":"Gabrielle"},{"family":"Walker","given":"Victor"}],"issued":{"date-parts":[["2020"]]}}}],"schema":"https://github.com/citation-style-language/schema/raw/master/csl-citation.json"} </w:instrText>
      </w:r>
      <w:r w:rsidR="00266789">
        <w:fldChar w:fldCharType="separate"/>
      </w:r>
      <w:bookmarkStart w:id="47" w:name="_Hlk109730798"/>
      <w:r w:rsidR="00B44216" w:rsidRPr="00B44216">
        <w:t>(Cliff</w:t>
      </w:r>
      <w:r w:rsidR="00ED4A5C">
        <w:t xml:space="preserve">ord </w:t>
      </w:r>
      <w:r w:rsidR="00B44216" w:rsidRPr="00B44216">
        <w:t>et al., 2020</w:t>
      </w:r>
      <w:r w:rsidR="000019A9">
        <w:t>,</w:t>
      </w:r>
      <w:r w:rsidR="00B44216" w:rsidRPr="00B44216">
        <w:t xml:space="preserve"> Spurlock et al., 2020</w:t>
      </w:r>
      <w:bookmarkEnd w:id="47"/>
      <w:r w:rsidR="00B44216" w:rsidRPr="00B44216">
        <w:t>)</w:t>
      </w:r>
      <w:r w:rsidR="00266789">
        <w:fldChar w:fldCharType="end"/>
      </w:r>
      <w:r w:rsidR="00266789">
        <w:t xml:space="preserve">. </w:t>
      </w:r>
    </w:p>
    <w:p w14:paraId="21820861" w14:textId="26E24F60" w:rsidR="00664008" w:rsidRDefault="00AA1E00" w:rsidP="00D52C17">
      <w:pPr>
        <w:spacing w:after="0" w:line="276" w:lineRule="auto"/>
        <w:ind w:firstLine="720"/>
        <w:jc w:val="both"/>
      </w:pPr>
      <w:r>
        <w:t xml:space="preserve">Individuals from households with three or more vehicles appear to have a higher propensity for eating out, which is not surprising as more vehicles imply better accessibility to restaurants of different kinds and cuisines. Also, individuals from households with two or more vehicles </w:t>
      </w:r>
      <w:r w:rsidR="00DE0CAC">
        <w:t xml:space="preserve">have a generally higher proclivity for </w:t>
      </w:r>
      <w:r>
        <w:t>eat-in delivery</w:t>
      </w:r>
      <w:r w:rsidR="00DE0CAC">
        <w:t>, a result that warrants more attention in future studies. O</w:t>
      </w:r>
      <w:r w:rsidR="00976143">
        <w:t xml:space="preserve">ne reason </w:t>
      </w:r>
      <w:r w:rsidR="00DE0CAC">
        <w:t xml:space="preserve">may be </w:t>
      </w:r>
      <w:r w:rsidR="00976143">
        <w:t>that</w:t>
      </w:r>
      <w:r w:rsidR="00B96524">
        <w:t xml:space="preserve"> </w:t>
      </w:r>
      <w:r w:rsidR="00983F7F">
        <w:t>high</w:t>
      </w:r>
      <w:r w:rsidR="00DE0CAC">
        <w:t xml:space="preserve"> </w:t>
      </w:r>
      <w:r w:rsidR="00983F7F">
        <w:t>vehicle ownership is</w:t>
      </w:r>
      <w:r w:rsidR="00DE0CAC">
        <w:t xml:space="preserve"> generally </w:t>
      </w:r>
      <w:r w:rsidR="00983F7F">
        <w:t xml:space="preserve">a reflection of </w:t>
      </w:r>
      <w:r w:rsidR="00B96524">
        <w:t>a</w:t>
      </w:r>
      <w:r w:rsidR="00DE0CAC">
        <w:t xml:space="preserve"> </w:t>
      </w:r>
      <w:r w:rsidR="00983F7F">
        <w:t>luxury-oriented lifestyle</w:t>
      </w:r>
      <w:r w:rsidR="00976143">
        <w:t>;</w:t>
      </w:r>
      <w:r w:rsidR="00983F7F">
        <w:t xml:space="preserve"> </w:t>
      </w:r>
      <w:r w:rsidR="00976143">
        <w:t>individuals from such household</w:t>
      </w:r>
      <w:r w:rsidR="00DE0CAC">
        <w:t xml:space="preserve">s may place </w:t>
      </w:r>
      <w:r w:rsidR="00976143">
        <w:t>a high premium</w:t>
      </w:r>
      <w:r w:rsidR="00DE0CAC">
        <w:t xml:space="preserve"> on</w:t>
      </w:r>
      <w:r w:rsidR="00976143">
        <w:t xml:space="preserve"> comfort and convenience, </w:t>
      </w:r>
      <w:r w:rsidR="00DE0CAC">
        <w:t xml:space="preserve">and so </w:t>
      </w:r>
      <w:r w:rsidR="00976143">
        <w:t>may be predisposed toward food delivery services</w:t>
      </w:r>
      <w:r w:rsidR="00DE0CAC">
        <w:t xml:space="preserve"> (while not being as predisposed to eat-in takeout)</w:t>
      </w:r>
      <w:r w:rsidR="00976143">
        <w:t>.</w:t>
      </w:r>
    </w:p>
    <w:p w14:paraId="6E36BF9F" w14:textId="66CF60DA" w:rsidR="004F7BFD" w:rsidRDefault="00FE4973" w:rsidP="00D52C17">
      <w:pPr>
        <w:autoSpaceDE w:val="0"/>
        <w:autoSpaceDN w:val="0"/>
        <w:adjustRightInd w:val="0"/>
        <w:spacing w:after="0" w:line="276" w:lineRule="auto"/>
        <w:ind w:firstLine="720"/>
        <w:jc w:val="both"/>
      </w:pPr>
      <w:r>
        <w:t xml:space="preserve">A number of interactions of individual demographics and household </w:t>
      </w:r>
      <w:r w:rsidR="00964E4F">
        <w:t>structure</w:t>
      </w:r>
      <w:r>
        <w:t xml:space="preserve"> were considered, including single women interacted with children of different age groups and employment status of adults in the household interacted with children</w:t>
      </w:r>
      <w:r w:rsidR="00017937">
        <w:t xml:space="preserve"> (the latter to consider work-family spillover and the ensuing competing demands for parents’ time and energy; see, for example, Devine et al., 2006). B</w:t>
      </w:r>
      <w:r>
        <w:t xml:space="preserve">ut the final specification turned out to have a relatively simple specification with no interaction effects. </w:t>
      </w:r>
      <w:r w:rsidR="004F7BFD">
        <w:t xml:space="preserve">The results in Table </w:t>
      </w:r>
      <w:r w:rsidR="0084494B">
        <w:t>3</w:t>
      </w:r>
      <w:r w:rsidR="004F7BFD">
        <w:t xml:space="preserve"> indicate the reduced tendency of joint families to eat-out, strongly support</w:t>
      </w:r>
      <w:r w:rsidR="0096287A">
        <w:t>ing</w:t>
      </w:r>
      <w:r w:rsidR="004F7BFD">
        <w:t xml:space="preserve"> the notion that eating choices in joint families are fundamentally driven by </w:t>
      </w:r>
      <w:r w:rsidR="0096287A">
        <w:t xml:space="preserve">a </w:t>
      </w:r>
      <w:r w:rsidR="004F7BFD">
        <w:t xml:space="preserve">social-cultural norm </w:t>
      </w:r>
      <w:r w:rsidR="0096287A">
        <w:t>of</w:t>
      </w:r>
      <w:r w:rsidR="004F7BFD">
        <w:t xml:space="preserve"> view</w:t>
      </w:r>
      <w:r w:rsidR="0096287A">
        <w:t>ing</w:t>
      </w:r>
      <w:r w:rsidR="004F7BFD">
        <w:t xml:space="preserve"> </w:t>
      </w:r>
      <w:r w:rsidR="0096287A">
        <w:t xml:space="preserve">the dinner meal </w:t>
      </w:r>
      <w:r w:rsidR="004F7BFD">
        <w:t>as a</w:t>
      </w:r>
      <w:r w:rsidR="001A01E4">
        <w:t xml:space="preserve"> </w:t>
      </w:r>
      <w:r w:rsidR="004F7BFD">
        <w:t>“</w:t>
      </w:r>
      <w:r w:rsidR="001A01E4">
        <w:t>sacred</w:t>
      </w:r>
      <w:r w:rsidR="004F7BFD">
        <w:t xml:space="preserve">” </w:t>
      </w:r>
      <w:r w:rsidR="000274DB">
        <w:t xml:space="preserve">in-home </w:t>
      </w:r>
      <w:r w:rsidR="004F7BFD">
        <w:t xml:space="preserve">family </w:t>
      </w:r>
      <w:r w:rsidR="000274DB">
        <w:t xml:space="preserve">gathering </w:t>
      </w:r>
      <w:r w:rsidR="004F7BFD">
        <w:t>event</w:t>
      </w:r>
      <w:r w:rsidR="0096287A">
        <w:t xml:space="preserve"> </w:t>
      </w:r>
      <w:r w:rsidR="004F7BFD">
        <w:t>(see</w:t>
      </w:r>
      <w:r w:rsidR="005A2707">
        <w:t xml:space="preserve"> </w:t>
      </w:r>
      <w:r w:rsidR="005A2707" w:rsidRPr="005A2707">
        <w:t>Fulkerson et al., 2011</w:t>
      </w:r>
      <w:r w:rsidR="004F7BFD">
        <w:t>). However, another possible explanation originates from home production theory, which postulates that households attempt to optimize “production” utility through their joint allocation of income, time, and market goods and services (Stewart</w:t>
      </w:r>
      <w:r w:rsidR="005A2707">
        <w:t xml:space="preserve"> and Yen</w:t>
      </w:r>
      <w:r w:rsidR="004F7BFD">
        <w:t xml:space="preserve">, 2004). From this standpoint, through collaboration in the cooking process (or specialization in the cooking process) and the basic cost economies of scale, eating at home can be a far more time-cost efficient mechanism to fulfill biological needs. </w:t>
      </w:r>
    </w:p>
    <w:p w14:paraId="47744687" w14:textId="30A16C2A" w:rsidR="000D602A" w:rsidRDefault="00FE4973" w:rsidP="00DD75BF">
      <w:pPr>
        <w:autoSpaceDE w:val="0"/>
        <w:autoSpaceDN w:val="0"/>
        <w:adjustRightInd w:val="0"/>
        <w:spacing w:after="0" w:line="276" w:lineRule="auto"/>
        <w:ind w:firstLine="720"/>
        <w:jc w:val="both"/>
      </w:pPr>
      <w:r>
        <w:t>Household</w:t>
      </w:r>
      <w:r w:rsidR="005A2707">
        <w:t>s</w:t>
      </w:r>
      <w:r>
        <w:t xml:space="preserve"> with </w:t>
      </w:r>
      <w:r w:rsidR="00E86EDA">
        <w:t xml:space="preserve">children </w:t>
      </w:r>
      <w:r>
        <w:t xml:space="preserve">(regardless of </w:t>
      </w:r>
      <w:r w:rsidR="005A2707">
        <w:t xml:space="preserve">the </w:t>
      </w:r>
      <w:r>
        <w:t>age of children or other household structure characteristics</w:t>
      </w:r>
      <w:r w:rsidR="002C38C1">
        <w:t>, which were tested through disaggregation by age groupings of children and interaction effects</w:t>
      </w:r>
      <w:r>
        <w:t>) have a lower propensity to participate in eat-out and eat-in takeout</w:t>
      </w:r>
      <w:r w:rsidR="00823082">
        <w:t xml:space="preserve"> (particularly the former)</w:t>
      </w:r>
      <w:r>
        <w:t xml:space="preserve">, presumably attributable to </w:t>
      </w:r>
      <w:r w:rsidR="00E86EDA">
        <w:t>financial stress from the lack of disposable income, feelings of guilt associated with exposing children to unhealthy food</w:t>
      </w:r>
      <w:r w:rsidR="009E01E2">
        <w:t>,</w:t>
      </w:r>
      <w:r w:rsidR="00E86EDA">
        <w:t xml:space="preserve"> and </w:t>
      </w:r>
      <w:r w:rsidR="00017937">
        <w:t xml:space="preserve">the generic </w:t>
      </w:r>
      <w:r w:rsidR="00E86EDA">
        <w:t xml:space="preserve">worry about </w:t>
      </w:r>
      <w:r w:rsidR="00017937">
        <w:t xml:space="preserve">having to handle the behavior of </w:t>
      </w:r>
      <w:r w:rsidR="00E86EDA">
        <w:t>children in public</w:t>
      </w:r>
      <w:r w:rsidR="00017937">
        <w:t xml:space="preserve"> places</w:t>
      </w:r>
      <w:r w:rsidR="00E86EDA">
        <w:t xml:space="preserve"> </w:t>
      </w:r>
      <w:bookmarkStart w:id="48" w:name="_Hlk109731581"/>
      <w:r w:rsidR="00E86EDA">
        <w:fldChar w:fldCharType="begin"/>
      </w:r>
      <w:r w:rsidR="00B44216">
        <w:instrText xml:space="preserve"> ADDIN ZOTERO_ITEM CSL_CITATION {"citationID":"IqvL0xyx","properties":{"formattedCitation":"(K. J. Kim &amp; Kim, 2021; Raskind et al., 2017)","plainCitation":"(K. J. Kim &amp; Kim, 2021; Raskind et al., 2017)","dontUpdate":true,"noteIndex":0},"citationItems":[{"id":439,"uris":["http://zotero.org/users/9292995/items/UJZ4WBLL"],"itemData":{"id":439,"type":"article-journal","container-title":"International Journal of Hospitality Management","ISSN":"0278-4319","journalAbbreviation":"International Journal of Hospitality Management","note":"publisher: Elsevier","page":"103069","title":"I Want to eat out, but something holding me back: Mom’s cooking stress and family dining out constraints","volume":"99","author":[{"family":"Kim","given":"Kathleen Jeehyae"},{"family":"Kim","given":"Dae-Young"}],"issued":{"date-parts":[["2021"]]}}},{"id":566,"uris":["http://zotero.org/users/9292995/items/NFDPTV97"],"itemData":{"id":566,"type":"article-journal","container-title":"Appetite","ISSN":"0195-6663","journalAbbreviation":"Appetite","note":"publisher: Elsevier","page":"124-133","title":"Decision-making processes shaping the home food environments of young adult women with and without children","volume":"113","author":[{"family":"Raskind","given":"Ilana G"},{"family":"Woodruff","given":"Rebecca C"},{"family":"Ballard","given":"Denise"},{"family":"Cherry","given":"Sabrina T"},{"family":"Daniel","given":"Sandra"},{"family":"Haardörfer","given":"Regine"},{"family":"Kegler","given":"Michelle C"}],"issued":{"date-parts":[["2017"]]}}}],"schema":"https://github.com/citation-style-language/schema/raw/master/csl-citation.json"} </w:instrText>
      </w:r>
      <w:r w:rsidR="00E86EDA">
        <w:fldChar w:fldCharType="separate"/>
      </w:r>
      <w:r w:rsidR="00E86EDA" w:rsidRPr="00597C7F">
        <w:t xml:space="preserve">(Kim </w:t>
      </w:r>
      <w:r w:rsidR="009E01E2">
        <w:t>and</w:t>
      </w:r>
      <w:r w:rsidR="00E86EDA" w:rsidRPr="00597C7F">
        <w:t xml:space="preserve"> Kim, 2021)</w:t>
      </w:r>
      <w:r w:rsidR="00E86EDA">
        <w:fldChar w:fldCharType="end"/>
      </w:r>
      <w:r w:rsidR="00664008">
        <w:t xml:space="preserve">. </w:t>
      </w:r>
      <w:bookmarkEnd w:id="48"/>
      <w:r w:rsidR="00017937">
        <w:t xml:space="preserve">Especially in the context of </w:t>
      </w:r>
      <w:r w:rsidR="00EC2D0A">
        <w:t xml:space="preserve">monitoring their children’s weight and diet, parents (especially mothers) feel a </w:t>
      </w:r>
      <w:r w:rsidR="0096287A">
        <w:t xml:space="preserve">“gatekeeping” </w:t>
      </w:r>
      <w:r w:rsidR="00EC2D0A">
        <w:t>responsibility for their children’s food choices, to the point of viewing their children’s dietary intake as a “quality of parenting” performance measure (Petersen et al., 2014 and Jones, 2018). This may result in avoiding N</w:t>
      </w:r>
      <w:r w:rsidR="009D141C">
        <w:t>HCM</w:t>
      </w:r>
      <w:r w:rsidR="00EC2D0A">
        <w:t xml:space="preserve">s </w:t>
      </w:r>
      <w:r w:rsidR="000274DB">
        <w:t xml:space="preserve">in favor of </w:t>
      </w:r>
      <w:r w:rsidR="009D141C">
        <w:t>HCM</w:t>
      </w:r>
      <w:r w:rsidR="000274DB">
        <w:t>s</w:t>
      </w:r>
      <w:r w:rsidR="00EC2D0A">
        <w:t xml:space="preserve"> when children are present in the household, </w:t>
      </w:r>
      <w:r w:rsidR="00EC2D0A">
        <w:lastRenderedPageBreak/>
        <w:t xml:space="preserve">given that </w:t>
      </w:r>
      <w:r w:rsidR="00EC2D0A" w:rsidRPr="00F37C04">
        <w:t>N</w:t>
      </w:r>
      <w:r w:rsidR="009D141C">
        <w:t>HCM</w:t>
      </w:r>
      <w:r w:rsidR="000274DB">
        <w:t xml:space="preserve">s </w:t>
      </w:r>
      <w:r w:rsidR="00EC2D0A">
        <w:t xml:space="preserve">are </w:t>
      </w:r>
      <w:r w:rsidR="00EC2D0A" w:rsidRPr="00F37C04">
        <w:t>generally associated with poorer diet quality</w:t>
      </w:r>
      <w:r w:rsidR="002C38C1">
        <w:t>. However, this tendency for lower intensity for N</w:t>
      </w:r>
      <w:r w:rsidR="009D141C">
        <w:t>HCM</w:t>
      </w:r>
      <w:r w:rsidR="002C38C1">
        <w:t xml:space="preserve">s in the presence of children does not seem to extend to food deliveries, which perhaps reflects the fine balance families with children find themselves having to maintain between healthy parent-cooked </w:t>
      </w:r>
      <w:r w:rsidR="009D141C">
        <w:t>HCM</w:t>
      </w:r>
      <w:r w:rsidR="002C38C1">
        <w:t xml:space="preserve"> meals and the time-pressure coping mechanism of ordering food </w:t>
      </w:r>
      <w:r w:rsidR="00E86EDA">
        <w:fldChar w:fldCharType="begin"/>
      </w:r>
      <w:r w:rsidR="008467CE">
        <w:instrText xml:space="preserve"> ADDIN ZOTERO_ITEM CSL_CITATION {"citationID":"C1io6ks5","properties":{"formattedCitation":"(Dias et al., 2020; Spurlock et al., 2020)","plainCitation":"(Dias et al., 2020; Spurlock et al., 2020)","dontUpdate":true,"noteIndex":0},"citationItems":[{"id":425,"uris":["http://zotero.org/users/9292995/items/VYA5VQBP"],"itemData":{"id":425,"type":"article-journal","container-title":"Transportation Research Part C: Emerging Technologies","ISSN":"0968-090X","journalAbbreviation":"Transportation Research Part C: Emerging Technologies","note":"publisher: Elsevier","page":"643-656","title":"A comparison of online and in-person activity engagement: The case of shopping and eating meals","volume":"114","author":[{"family":"Dias","given":"Felipe F"},{"family":"Lavieri","given":"Patricia S"},{"family":"Sharda","given":"Shivam"},{"family":"Khoeini","given":"Sara"},{"family":"Bhat","given":"Chandra R"},{"family":"Pendyala","given":"Ram M"},{"family":"Pinjari","given":"Abdul R"},{"family":"Ramadurai","given":"Gitakrishnan"},{"family":"Srinivasan","given":"Karthik K"}],"issued":{"date-parts":[["2020"]]}}},{"id":512,"uris":["http://zotero.org/users/9292995/items/CK4A5I5A"],"itemData":{"id":512,"type":"article-journal","container-title":"Transportation Research Record","ISSN":"0361-1981","issue":"10","journalAbbreviation":"Transportation Research Record","note":"publisher: SAGE Publications Sage CA: Los Angeles, CA","page":"335-350","title":"Children, income, and the impact of home delivery on household shopping trips","volume":"2674","author":[{"family":"Spurlock","given":"C Anna"},{"family":"Todd-Blick","given":"Annika"},{"family":"Wong-Parodi","given":"Gabrielle"},{"family":"Walker","given":"Victor"}],"issued":{"date-parts":[["2020"]]}}}],"schema":"https://github.com/citation-style-language/schema/raw/master/csl-citation.json"} </w:instrText>
      </w:r>
      <w:r w:rsidR="00E86EDA">
        <w:fldChar w:fldCharType="separate"/>
      </w:r>
      <w:r w:rsidR="00E86EDA" w:rsidRPr="00520740">
        <w:t>(Spurlock et al., 2020)</w:t>
      </w:r>
      <w:r w:rsidR="00E86EDA">
        <w:fldChar w:fldCharType="end"/>
      </w:r>
      <w:r w:rsidR="00E86EDA">
        <w:t xml:space="preserve">. </w:t>
      </w:r>
    </w:p>
    <w:p w14:paraId="4F64F612" w14:textId="77777777" w:rsidR="00D52C17" w:rsidRDefault="00D52C17" w:rsidP="00DD75BF">
      <w:pPr>
        <w:autoSpaceDE w:val="0"/>
        <w:autoSpaceDN w:val="0"/>
        <w:adjustRightInd w:val="0"/>
        <w:spacing w:after="0" w:line="276" w:lineRule="auto"/>
        <w:ind w:firstLine="720"/>
        <w:jc w:val="both"/>
      </w:pPr>
    </w:p>
    <w:p w14:paraId="2E65E726" w14:textId="77777777" w:rsidR="00D97B39" w:rsidRDefault="00D97B39" w:rsidP="00DD75BF">
      <w:pPr>
        <w:pStyle w:val="Heading3"/>
        <w:spacing w:after="0" w:line="276" w:lineRule="auto"/>
        <w:jc w:val="both"/>
      </w:pPr>
      <w:r>
        <w:t xml:space="preserve">Employment Status/Job </w:t>
      </w:r>
      <w:r w:rsidRPr="0028308A">
        <w:t>Characteristics</w:t>
      </w:r>
      <w:r>
        <w:t xml:space="preserve"> </w:t>
      </w:r>
    </w:p>
    <w:p w14:paraId="07F78DB3" w14:textId="139CA149" w:rsidR="001A01E4" w:rsidRDefault="00F144D1" w:rsidP="00DD75BF">
      <w:pPr>
        <w:spacing w:after="0" w:line="276" w:lineRule="auto"/>
        <w:jc w:val="both"/>
      </w:pPr>
      <w:r>
        <w:t xml:space="preserve">A number of employment status/job characteristics variables were considered, </w:t>
      </w:r>
      <w:r w:rsidR="007C1E84">
        <w:t>but only those related to employment status</w:t>
      </w:r>
      <w:r w:rsidR="00823082">
        <w:t xml:space="preserve"> (not employed or part-time employed or full-time employed)</w:t>
      </w:r>
      <w:r w:rsidR="007C1E84">
        <w:t xml:space="preserve">, number of </w:t>
      </w:r>
      <w:r w:rsidR="004F7BFD">
        <w:t xml:space="preserve">work </w:t>
      </w:r>
      <w:r w:rsidR="007C1E84">
        <w:t xml:space="preserve">days per month, and </w:t>
      </w:r>
      <w:r w:rsidR="00015740">
        <w:t xml:space="preserve">fraction </w:t>
      </w:r>
      <w:r w:rsidR="007C1E84">
        <w:t xml:space="preserve">of work </w:t>
      </w:r>
      <w:r w:rsidR="001A01E4">
        <w:t xml:space="preserve">days </w:t>
      </w:r>
      <w:r w:rsidR="007C1E84">
        <w:t>from home turned out to be i</w:t>
      </w:r>
      <w:r w:rsidR="00964E4F">
        <w:t>nfluential</w:t>
      </w:r>
      <w:r w:rsidR="007C1E84">
        <w:t xml:space="preserve">. </w:t>
      </w:r>
      <w:r w:rsidR="00823082">
        <w:t xml:space="preserve">It should be noted that part-time or full-time employed status refers here to the number of work hours per week (respondents were asked to self-report, with part-time being characterized as 30 hours or less per week, and full-time being more than 30 hours per week). </w:t>
      </w:r>
    </w:p>
    <w:p w14:paraId="124DD5A3" w14:textId="1983E298" w:rsidR="001651F6" w:rsidRDefault="00823082" w:rsidP="00DD75BF">
      <w:pPr>
        <w:spacing w:after="0" w:line="276" w:lineRule="auto"/>
        <w:ind w:firstLine="720"/>
        <w:jc w:val="both"/>
      </w:pPr>
      <w:r>
        <w:t>For the eat-out channel, only the number of work days per month turned out to be influential. That is, the effects of part-time and full-time status, relative to not being employed at all, were completely overshadowed once the number of work days per month was included</w:t>
      </w:r>
      <w:r w:rsidR="00646D4C">
        <w:t xml:space="preserve"> (and the best specification for number of work days turned out to be the linear form)</w:t>
      </w:r>
      <w:r>
        <w:t>.</w:t>
      </w:r>
      <w:r w:rsidR="00646D4C">
        <w:t xml:space="preserve"> This is an interesting finding. </w:t>
      </w:r>
      <w:r w:rsidR="00787AF1">
        <w:t>The suggestion is that two</w:t>
      </w:r>
      <w:r w:rsidR="001C27ED">
        <w:t xml:space="preserve"> </w:t>
      </w:r>
      <w:r w:rsidR="00787AF1">
        <w:t xml:space="preserve">individuals, one working </w:t>
      </w:r>
      <w:r w:rsidR="001C27ED">
        <w:t xml:space="preserve">part-time for 20 </w:t>
      </w:r>
      <w:r w:rsidR="00787AF1">
        <w:t>hour</w:t>
      </w:r>
      <w:r w:rsidR="001C27ED">
        <w:t xml:space="preserve">s in the </w:t>
      </w:r>
      <w:r w:rsidR="00787AF1">
        <w:t>week</w:t>
      </w:r>
      <w:r w:rsidR="001C27ED">
        <w:t>, but</w:t>
      </w:r>
      <w:r w:rsidR="00787AF1">
        <w:t xml:space="preserve"> </w:t>
      </w:r>
      <w:r w:rsidR="001C27ED">
        <w:t>on</w:t>
      </w:r>
      <w:r w:rsidR="00787AF1">
        <w:t xml:space="preserve"> </w:t>
      </w:r>
      <w:r w:rsidR="001C27ED">
        <w:t xml:space="preserve">all </w:t>
      </w:r>
      <w:r w:rsidR="00787AF1">
        <w:t>five days of the week</w:t>
      </w:r>
      <w:r w:rsidR="001C27ED">
        <w:t>,</w:t>
      </w:r>
      <w:r w:rsidR="00787AF1">
        <w:t xml:space="preserve"> and another </w:t>
      </w:r>
      <w:r w:rsidR="001C27ED">
        <w:t>working</w:t>
      </w:r>
      <w:r w:rsidR="001A01E4">
        <w:t xml:space="preserve"> </w:t>
      </w:r>
      <w:r w:rsidR="001C27ED">
        <w:t xml:space="preserve">full-time for 40 hours in the week, again on all five days of the week, do not have differential eat-out propensities (after controlling, of course, for other observed and unobserved factors). That is, our result suggests that it is not the intensity of the work day, but the number of work days that influences eat-out propensity. </w:t>
      </w:r>
      <w:r w:rsidR="001651F6">
        <w:t xml:space="preserve">In this context, work-related activities </w:t>
      </w:r>
      <w:r w:rsidR="00A811AB">
        <w:t xml:space="preserve">have been known to </w:t>
      </w:r>
      <w:r w:rsidR="001651F6">
        <w:t>contribute to time poverty (or at least the perception thereof</w:t>
      </w:r>
      <w:r w:rsidR="00A811AB">
        <w:t xml:space="preserve">; </w:t>
      </w:r>
      <w:r w:rsidR="001651F6">
        <w:t xml:space="preserve">see, for example, </w:t>
      </w:r>
      <w:r w:rsidR="005A2707" w:rsidRPr="005A2707">
        <w:t>Giurge et al., 2020</w:t>
      </w:r>
      <w:r w:rsidR="00BA4C2F">
        <w:t xml:space="preserve"> and</w:t>
      </w:r>
      <w:r w:rsidR="005A2707">
        <w:t xml:space="preserve"> </w:t>
      </w:r>
      <w:r w:rsidR="001651F6">
        <w:t xml:space="preserve">Bernardo et al., </w:t>
      </w:r>
      <w:r w:rsidR="00D76210" w:rsidRPr="00D76210">
        <w:t>2015)</w:t>
      </w:r>
      <w:r w:rsidR="00D76210">
        <w:t>.</w:t>
      </w:r>
      <w:r w:rsidR="001A01E4">
        <w:t xml:space="preserve"> This time poverty</w:t>
      </w:r>
      <w:r w:rsidR="001651F6">
        <w:t xml:space="preserve"> </w:t>
      </w:r>
      <w:r w:rsidR="00A811AB">
        <w:t>generally</w:t>
      </w:r>
      <w:r w:rsidR="001651F6">
        <w:t xml:space="preserve"> translate</w:t>
      </w:r>
      <w:r w:rsidR="00A811AB">
        <w:t>s</w:t>
      </w:r>
      <w:r w:rsidR="001651F6">
        <w:t xml:space="preserve"> into </w:t>
      </w:r>
      <w:r w:rsidR="00A811AB">
        <w:t xml:space="preserve">more </w:t>
      </w:r>
      <w:r w:rsidR="001651F6">
        <w:t>eat-out activities</w:t>
      </w:r>
      <w:r w:rsidR="001A01E4">
        <w:t xml:space="preserve"> (</w:t>
      </w:r>
      <w:r w:rsidR="001651F6">
        <w:t>see Oostenbach et al., 202</w:t>
      </w:r>
      <w:r w:rsidR="00BA4C2F">
        <w:t>2</w:t>
      </w:r>
      <w:r w:rsidR="001A01E4">
        <w:t>)</w:t>
      </w:r>
      <w:r w:rsidR="001651F6">
        <w:t xml:space="preserve">. What is interesting from our results though is that individuals view the opportunity cost of work time </w:t>
      </w:r>
      <w:r w:rsidR="002042F3">
        <w:t>(or, equiv</w:t>
      </w:r>
      <w:r w:rsidR="006064C3">
        <w:t>a</w:t>
      </w:r>
      <w:r w:rsidR="002042F3">
        <w:t xml:space="preserve">lently, time </w:t>
      </w:r>
      <w:r w:rsidR="001A01E4">
        <w:t>poverty</w:t>
      </w:r>
      <w:r w:rsidR="002042F3">
        <w:t xml:space="preserve">) </w:t>
      </w:r>
      <w:r w:rsidR="001651F6">
        <w:t xml:space="preserve">more in the context of number of days of work rather than the actual </w:t>
      </w:r>
      <w:r w:rsidR="006064C3">
        <w:t>daily intensity</w:t>
      </w:r>
      <w:r w:rsidR="001651F6">
        <w:t xml:space="preserve"> of work. </w:t>
      </w:r>
      <w:r w:rsidR="00A811AB">
        <w:t xml:space="preserve">Why this is </w:t>
      </w:r>
      <w:r w:rsidR="005A2707">
        <w:t>the case</w:t>
      </w:r>
      <w:r w:rsidR="00A811AB">
        <w:t xml:space="preserve"> certainly deserves more attention in the future. From a survey collection standpoint, our observations also underscore the need </w:t>
      </w:r>
      <w:r w:rsidR="001A01E4">
        <w:t xml:space="preserve">to </w:t>
      </w:r>
      <w:r w:rsidR="00A811AB">
        <w:t>captur</w:t>
      </w:r>
      <w:r w:rsidR="001A01E4">
        <w:t>e</w:t>
      </w:r>
      <w:r w:rsidR="00A811AB">
        <w:t xml:space="preserve"> multiple dimensions of work arrangements</w:t>
      </w:r>
      <w:r w:rsidR="001A01E4">
        <w:t xml:space="preserve"> (including number of days of work per month, number of days per week, and number of work hours on a typical work day),</w:t>
      </w:r>
      <w:r w:rsidR="00A811AB">
        <w:t xml:space="preserve"> not just part-time or full-time (as done in many data collection efforts). As we highlight further below, it is also important to start considering hybrid work arrangements, especially in a post-COVID world.</w:t>
      </w:r>
    </w:p>
    <w:p w14:paraId="3932B42F" w14:textId="12413B17" w:rsidR="009E644E" w:rsidRDefault="00A811AB" w:rsidP="00DD75BF">
      <w:pPr>
        <w:spacing w:after="0" w:line="276" w:lineRule="auto"/>
        <w:ind w:firstLine="720"/>
        <w:jc w:val="both"/>
      </w:pPr>
      <w:r>
        <w:t xml:space="preserve">In terms of the effect of the number of work days per month on eat-out propensity, </w:t>
      </w:r>
      <w:r w:rsidR="001C27ED">
        <w:t>the positive sign o</w:t>
      </w:r>
      <w:r>
        <w:t>f</w:t>
      </w:r>
      <w:r w:rsidR="001C27ED">
        <w:t xml:space="preserve"> the number of work days needs to be considered </w:t>
      </w:r>
      <w:r w:rsidR="000D16F4">
        <w:t>together</w:t>
      </w:r>
      <w:r w:rsidR="001C27ED">
        <w:t xml:space="preserve"> with the strong negative sign o</w:t>
      </w:r>
      <w:r w:rsidR="000D16F4">
        <w:t>f</w:t>
      </w:r>
      <w:r w:rsidR="001C27ED">
        <w:t xml:space="preserve"> the fraction of work days working from home. </w:t>
      </w:r>
      <w:r w:rsidR="000D16F4">
        <w:t xml:space="preserve">The magnitudes of the coefficients on these two variables indicate that it is only </w:t>
      </w:r>
      <w:r>
        <w:t xml:space="preserve">for </w:t>
      </w:r>
      <w:r w:rsidR="000D16F4">
        <w:t>those who work less than 4.3% [=(0.025/0.58</w:t>
      </w:r>
      <w:r w:rsidR="001A01E4">
        <w:t>5</w:t>
      </w:r>
      <w:r w:rsidR="000D16F4">
        <w:t>)</w:t>
      </w:r>
      <w:r w:rsidR="00DD75BF">
        <w:t>×</w:t>
      </w:r>
      <w:r w:rsidR="000D16F4">
        <w:t>100] of their work days from home that the positive eat-out propensity holds, which basically implies th</w:t>
      </w:r>
      <w:r w:rsidR="00575B81">
        <w:t>at the</w:t>
      </w:r>
      <w:r w:rsidR="000D16F4">
        <w:t xml:space="preserve"> higher propensity of eat-out </w:t>
      </w:r>
      <w:r w:rsidR="00575B81">
        <w:t xml:space="preserve">applies pretty much only to those who do not work from home </w:t>
      </w:r>
      <w:r>
        <w:t xml:space="preserve">at all (or do so on that occasional day of the month) </w:t>
      </w:r>
      <w:r w:rsidR="00575B81">
        <w:t xml:space="preserve">and </w:t>
      </w:r>
      <w:r w:rsidR="00F44F2C">
        <w:t xml:space="preserve">who </w:t>
      </w:r>
      <w:r w:rsidR="00575B81">
        <w:t xml:space="preserve">travel to their in-person work office </w:t>
      </w:r>
      <w:r>
        <w:lastRenderedPageBreak/>
        <w:t xml:space="preserve">almost </w:t>
      </w:r>
      <w:r w:rsidR="00575B81">
        <w:t xml:space="preserve">every working day. Indeed, this </w:t>
      </w:r>
      <w:r>
        <w:t xml:space="preserve">result </w:t>
      </w:r>
      <w:r w:rsidR="00575B81">
        <w:t>makes sense, as the accessibility and convenience to visit restaurants</w:t>
      </w:r>
      <w:r w:rsidR="001651F6">
        <w:t xml:space="preserve"> </w:t>
      </w:r>
      <w:r w:rsidR="005A2707">
        <w:t>are</w:t>
      </w:r>
      <w:r w:rsidR="00575B81">
        <w:t xml:space="preserve"> greatly enhanced when an individual is already </w:t>
      </w:r>
      <w:r w:rsidR="001651F6">
        <w:t xml:space="preserve">outside home on their work-to-home evening commute. </w:t>
      </w:r>
      <w:r w:rsidR="009E644E">
        <w:t xml:space="preserve">On the other hand, individuals who work more than </w:t>
      </w:r>
      <w:r w:rsidR="001A01E4">
        <w:t xml:space="preserve">an </w:t>
      </w:r>
      <w:r w:rsidR="009E644E">
        <w:t xml:space="preserve">occasional day from home have a lower tendency to eat-out, </w:t>
      </w:r>
      <w:r w:rsidR="002042F3">
        <w:t xml:space="preserve">relative to </w:t>
      </w:r>
      <w:r w:rsidR="001A01E4">
        <w:t xml:space="preserve">both </w:t>
      </w:r>
      <w:r w:rsidR="002042F3">
        <w:t xml:space="preserve">those who travel in to work regularly as well as </w:t>
      </w:r>
      <w:r w:rsidR="001A01E4">
        <w:t xml:space="preserve">those </w:t>
      </w:r>
      <w:r w:rsidR="002042F3">
        <w:t>who are not employed</w:t>
      </w:r>
      <w:r w:rsidR="001A01E4">
        <w:t xml:space="preserve">. It is possible </w:t>
      </w:r>
      <w:r w:rsidR="009E644E">
        <w:t xml:space="preserve">that those who work more from home may have a general preference to be “homebound” not only for work but also for other non-work activities, including eating out </w:t>
      </w:r>
      <w:bookmarkStart w:id="49" w:name="_Hlk109732866"/>
      <w:r w:rsidR="009E644E">
        <w:fldChar w:fldCharType="begin"/>
      </w:r>
      <w:r w:rsidR="009E644E">
        <w:instrText xml:space="preserve"> ADDIN ZOTERO_ITEM CSL_CITATION {"citationID":"7KoU7DM2","properties":{"formattedCitation":"(Xiao et al., 2021)","plainCitation":"(Xiao et al., 2021)","noteIndex":0},"citationItems":[{"id":574,"uris":["http://zotero.org/users/9292995/items/EURRM9K4"],"itemData":{"id":574,"type":"article-journal","container-title":"Journal of Occupational and Environmental Medicine","issue":"3","journalAbbreviation":"Journal of Occupational and Environmental Medicine","note":"publisher: Wolters Kluwer Health","page":"181","title":"Impacts of working from home during COVID-19 pandemic on physical and mental well-being of office workstation users","volume":"63","author":[{"family":"Xiao","given":"Yijing"},{"family":"Becerik-Gerber","given":"Burcin"},{"family":"Lucas","given":"Gale"},{"family":"Roll","given":"Shawn C"}],"issued":{"date-parts":[["2021"]]}}}],"schema":"https://github.com/citation-style-language/schema/raw/master/csl-citation.json"} </w:instrText>
      </w:r>
      <w:r w:rsidR="009E644E">
        <w:fldChar w:fldCharType="separate"/>
      </w:r>
      <w:r w:rsidR="009E644E" w:rsidRPr="0054406B">
        <w:t>(Xiao et al., 2021)</w:t>
      </w:r>
      <w:r w:rsidR="009E644E">
        <w:fldChar w:fldCharType="end"/>
      </w:r>
      <w:r w:rsidR="009E644E">
        <w:t xml:space="preserve">. </w:t>
      </w:r>
      <w:bookmarkEnd w:id="49"/>
      <w:r w:rsidR="009E644E">
        <w:t xml:space="preserve">Interestingly, commute duration </w:t>
      </w:r>
      <w:r w:rsidR="002042F3">
        <w:t xml:space="preserve">to the in-person workplace did not turn out </w:t>
      </w:r>
      <w:r w:rsidR="005A2707">
        <w:t xml:space="preserve">to </w:t>
      </w:r>
      <w:r w:rsidR="002042F3">
        <w:t>be a</w:t>
      </w:r>
      <w:r w:rsidR="0089432E">
        <w:t xml:space="preserve">n </w:t>
      </w:r>
      <w:r w:rsidR="002042F3">
        <w:t xml:space="preserve">even marginally significant predictor of eat-out propensity, even for those individuals who always traveled to the work office on each working day. </w:t>
      </w:r>
    </w:p>
    <w:p w14:paraId="50689B59" w14:textId="3BBF552F" w:rsidR="009E644E" w:rsidRDefault="002042F3" w:rsidP="00DD75BF">
      <w:pPr>
        <w:spacing w:after="0" w:line="276" w:lineRule="auto"/>
        <w:ind w:firstLine="720"/>
        <w:jc w:val="both"/>
      </w:pPr>
      <w:r>
        <w:t>For eat-in takeout and eat-in delivery, part-time workers have the highest propensity, followed by full-time workers.</w:t>
      </w:r>
      <w:r w:rsidR="001A01E4">
        <w:rPr>
          <w:rStyle w:val="FootnoteReference"/>
        </w:rPr>
        <w:footnoteReference w:id="13"/>
      </w:r>
      <w:r>
        <w:t xml:space="preserve"> The higher propensity of part-time workers for eat-in may be tied to more time availability. Also, </w:t>
      </w:r>
      <w:r w:rsidR="006064C3">
        <w:t xml:space="preserve">in a flipped situation relative to </w:t>
      </w:r>
      <w:r>
        <w:t xml:space="preserve">the case of eat-out, </w:t>
      </w:r>
      <w:r w:rsidR="006064C3">
        <w:t xml:space="preserve">it appears that time scarcity perceptions get filtered through the lens of the daily intensity of work </w:t>
      </w:r>
      <w:r w:rsidR="001A01E4">
        <w:t xml:space="preserve">for eat-ins </w:t>
      </w:r>
      <w:r w:rsidR="006064C3">
        <w:t>rather than the number of days of work (given that part-time and full-time status influences the eat-in propensities rather than number of work days per month). This further calls for how time scarcity perceptions get formed in the context of N</w:t>
      </w:r>
      <w:r w:rsidR="009D141C">
        <w:t>HCM</w:t>
      </w:r>
      <w:r w:rsidR="006064C3">
        <w:t xml:space="preserve"> consumption decisions, and reinforces the need to obtain a more complete characterization of work arrangements. Finally, in the group of employment status/job characteristics, the higher propensity of those who work more from home for the eat-in channels is not surprisin</w:t>
      </w:r>
      <w:r w:rsidR="00607091">
        <w:t>g.</w:t>
      </w:r>
    </w:p>
    <w:p w14:paraId="7386573C" w14:textId="77777777" w:rsidR="00D52C17" w:rsidRDefault="00D52C17" w:rsidP="00DD75BF">
      <w:pPr>
        <w:spacing w:after="0" w:line="276" w:lineRule="auto"/>
        <w:ind w:firstLine="720"/>
        <w:jc w:val="both"/>
      </w:pPr>
    </w:p>
    <w:p w14:paraId="4ACB60F0" w14:textId="01373338" w:rsidR="00DA0670" w:rsidRDefault="00DA0670" w:rsidP="00DD75BF">
      <w:pPr>
        <w:pStyle w:val="Heading3"/>
        <w:spacing w:after="0" w:line="276" w:lineRule="auto"/>
        <w:jc w:val="both"/>
      </w:pPr>
      <w:r>
        <w:t xml:space="preserve">Residential </w:t>
      </w:r>
      <w:r w:rsidR="00FE4973">
        <w:t>Location BE Factors</w:t>
      </w:r>
    </w:p>
    <w:p w14:paraId="2437A0B9" w14:textId="7AB279E2" w:rsidR="006E3142" w:rsidRDefault="00DD0777" w:rsidP="00DD75BF">
      <w:pPr>
        <w:spacing w:after="0" w:line="276" w:lineRule="auto"/>
        <w:jc w:val="both"/>
      </w:pPr>
      <w:r>
        <w:t>A number of r</w:t>
      </w:r>
      <w:r w:rsidR="006E3142">
        <w:t xml:space="preserve">esidential location </w:t>
      </w:r>
      <w:r>
        <w:t xml:space="preserve">BE factors were developed using the SLD database and through web-scraping, as discussed earlier. </w:t>
      </w:r>
      <w:r w:rsidR="00607091">
        <w:t>T</w:t>
      </w:r>
      <w:r w:rsidR="00EE2C50">
        <w:t>hree</w:t>
      </w:r>
      <w:r>
        <w:t xml:space="preserve"> </w:t>
      </w:r>
      <w:r w:rsidR="00EE2C50">
        <w:t xml:space="preserve">of these </w:t>
      </w:r>
      <w:r>
        <w:t>turned out to be drivers of N</w:t>
      </w:r>
      <w:r w:rsidR="009D141C">
        <w:t>HCM</w:t>
      </w:r>
      <w:r>
        <w:t xml:space="preserve"> behavior in our analysis</w:t>
      </w:r>
      <w:r w:rsidR="00607091">
        <w:t>.</w:t>
      </w:r>
      <w:r w:rsidR="004D6498">
        <w:rPr>
          <w:rStyle w:val="FootnoteReference"/>
        </w:rPr>
        <w:footnoteReference w:id="14"/>
      </w:r>
      <w:r>
        <w:t xml:space="preserve"> </w:t>
      </w:r>
      <w:r w:rsidR="006E3142">
        <w:t xml:space="preserve">Individuals dwelling in urban </w:t>
      </w:r>
      <w:r w:rsidR="00EE2C50">
        <w:t xml:space="preserve">and suburban </w:t>
      </w:r>
      <w:r w:rsidR="006E3142">
        <w:t xml:space="preserve">neighborhoods </w:t>
      </w:r>
      <w:r w:rsidR="00EE2C50">
        <w:t xml:space="preserve">(relative to those in rural neighborhoods) </w:t>
      </w:r>
      <w:r w:rsidR="006E3142">
        <w:t xml:space="preserve">are more </w:t>
      </w:r>
      <w:r w:rsidR="000D36F9">
        <w:t>disposed</w:t>
      </w:r>
      <w:r w:rsidR="006E3142">
        <w:t xml:space="preserve"> to order food </w:t>
      </w:r>
      <w:r w:rsidR="00EE2C50">
        <w:t xml:space="preserve">takeouts and </w:t>
      </w:r>
      <w:r w:rsidR="006E3142">
        <w:t>deliveries</w:t>
      </w:r>
      <w:r w:rsidR="00EE2C50">
        <w:t>, perhaps because such services are more commonly offered in non-rural areas than in rural areas (see</w:t>
      </w:r>
      <w:r w:rsidR="00DD458E">
        <w:t xml:space="preserve"> </w:t>
      </w:r>
      <w:r w:rsidR="006E3142">
        <w:t>Wang and He</w:t>
      </w:r>
      <w:r w:rsidR="00EE2C50">
        <w:t xml:space="preserve">, </w:t>
      </w:r>
      <w:r w:rsidR="006E3142">
        <w:t>2021)</w:t>
      </w:r>
      <w:r w:rsidR="00EE2C50">
        <w:t xml:space="preserve">. </w:t>
      </w:r>
      <w:r w:rsidR="006E3142">
        <w:t>Additionally, urbanized areas are associated with higher population density</w:t>
      </w:r>
      <w:r w:rsidR="000D36F9">
        <w:t>,</w:t>
      </w:r>
      <w:r w:rsidR="006E3142">
        <w:t xml:space="preserve"> which improves</w:t>
      </w:r>
      <w:r w:rsidR="005A2707">
        <w:t xml:space="preserve"> the</w:t>
      </w:r>
      <w:r w:rsidR="006E3142">
        <w:t xml:space="preserve"> reliability and reduces the price of delivery services </w:t>
      </w:r>
      <w:r w:rsidR="006E3142">
        <w:fldChar w:fldCharType="begin"/>
      </w:r>
      <w:r w:rsidR="00195126">
        <w:instrText xml:space="preserve"> ADDIN ZOTERO_ITEM CSL_CITATION {"citationID":"Xr1myYLl","properties":{"formattedCitation":"(W. Kim &amp; Wang, 2021)","plainCitation":"(W. Kim &amp; Wang, 2021)","dontUpdate":true,"noteIndex":0},"citationItems":[{"id":416,"uris":["http://zotero.org/users/9292995/items/ESXZI25A"],"itemData":{"id":416,"type":"article-journal","container-title":"Transportation Research Part C: Emerging Technologies","ISSN":"0968-090X","journalAbbreviation":"Transportation Research Part C: Emerging Technologies","note":"publisher: Elsevier","page":"103052","title":"To be online or in-store: Analysis of retail, grocery, and food shopping in New York city","volume":"126","author":[{"family":"Kim","given":"Woojung"},{"family":"Wang","given":"Xiaokun Cara"}],"issued":{"date-parts":[["2021"]]}}}],"schema":"https://github.com/citation-style-language/schema/raw/master/csl-citation.json"} </w:instrText>
      </w:r>
      <w:r w:rsidR="006E3142">
        <w:fldChar w:fldCharType="separate"/>
      </w:r>
      <w:r w:rsidR="006E3142" w:rsidRPr="00377EF9">
        <w:t xml:space="preserve">(Kim </w:t>
      </w:r>
      <w:r w:rsidR="006E3142">
        <w:t>and</w:t>
      </w:r>
      <w:r w:rsidR="006E3142" w:rsidRPr="00377EF9">
        <w:t xml:space="preserve"> Wang, 2021)</w:t>
      </w:r>
      <w:r w:rsidR="006E3142">
        <w:fldChar w:fldCharType="end"/>
      </w:r>
      <w:r w:rsidR="006E3142">
        <w:t>.</w:t>
      </w:r>
      <w:r w:rsidR="00DD458E">
        <w:t xml:space="preserve"> However, in addition to density (as captured by the urban/suburban/rural classification), land-use mix also appears to play a role.  Our analysis, the first to our knowledge to introduce land-use mix in the context of eat-in N</w:t>
      </w:r>
      <w:r w:rsidR="009D141C">
        <w:t>HCM</w:t>
      </w:r>
      <w:r w:rsidR="00DD458E">
        <w:t xml:space="preserve"> behavior, suggests that those living in areas with a richer land-use mix have a particular disinclination toward food delivery services</w:t>
      </w:r>
      <w:r w:rsidR="00420E62">
        <w:t>,</w:t>
      </w:r>
      <w:r w:rsidR="0024290A">
        <w:t xml:space="preserve"> </w:t>
      </w:r>
      <w:r>
        <w:t xml:space="preserve">The </w:t>
      </w:r>
      <w:r w:rsidR="00DD458E">
        <w:t>third BE</w:t>
      </w:r>
      <w:r>
        <w:t xml:space="preserve"> variable pertains to “Number of restaurants per </w:t>
      </w:r>
      <w:r w:rsidR="00DD458E">
        <w:t xml:space="preserve">square mile area” </w:t>
      </w:r>
      <w:r>
        <w:t xml:space="preserve">in the zip code of residence. </w:t>
      </w:r>
      <w:r w:rsidR="004D6498">
        <w:t>As the number of opportunities for eating-out increases</w:t>
      </w:r>
      <w:r w:rsidR="00DD458E">
        <w:t xml:space="preserve"> beyond a threshold of </w:t>
      </w:r>
      <w:r w:rsidR="00607091">
        <w:t>2</w:t>
      </w:r>
      <w:r w:rsidR="00DD458E">
        <w:t>0 (</w:t>
      </w:r>
      <w:r w:rsidR="00607091">
        <w:t xml:space="preserve">in the typical size of a suburban </w:t>
      </w:r>
      <w:r w:rsidR="00607091">
        <w:lastRenderedPageBreak/>
        <w:t xml:space="preserve">zip code in Texas, this translates to about </w:t>
      </w:r>
      <w:r w:rsidR="005A2707">
        <w:t>280</w:t>
      </w:r>
      <w:r w:rsidR="00607091">
        <w:t xml:space="preserve"> restaurants), there is a higher eat-out tendency, which can be ascribed to </w:t>
      </w:r>
      <w:r w:rsidR="004D6498">
        <w:t>the higher exposure and improved accessibility to eat</w:t>
      </w:r>
      <w:r w:rsidR="00DD458E">
        <w:t>eries</w:t>
      </w:r>
      <w:r w:rsidR="004D6498">
        <w:t xml:space="preserve">. </w:t>
      </w:r>
    </w:p>
    <w:p w14:paraId="7E1ACD48" w14:textId="77777777" w:rsidR="00D52C17" w:rsidRDefault="00D52C17" w:rsidP="00DD75BF">
      <w:pPr>
        <w:spacing w:after="0" w:line="276" w:lineRule="auto"/>
        <w:jc w:val="both"/>
      </w:pPr>
    </w:p>
    <w:p w14:paraId="7AB65494" w14:textId="23AB1A57" w:rsidR="00594AD8" w:rsidRDefault="00594AD8" w:rsidP="00DD75BF">
      <w:pPr>
        <w:pStyle w:val="Heading3"/>
        <w:spacing w:after="0" w:line="276" w:lineRule="auto"/>
        <w:jc w:val="both"/>
      </w:pPr>
      <w:r>
        <w:t xml:space="preserve">COVID-19 </w:t>
      </w:r>
      <w:r w:rsidR="00300C16">
        <w:t>Threat/Perception Variables</w:t>
      </w:r>
    </w:p>
    <w:p w14:paraId="4988D8A6" w14:textId="2BFAD8DA" w:rsidR="00300C16" w:rsidRPr="00861789" w:rsidRDefault="00300C16" w:rsidP="00DD75BF">
      <w:pPr>
        <w:pStyle w:val="FootnoteText"/>
        <w:spacing w:line="276" w:lineRule="auto"/>
        <w:jc w:val="both"/>
        <w:rPr>
          <w:sz w:val="24"/>
          <w:szCs w:val="24"/>
        </w:rPr>
      </w:pPr>
      <w:r w:rsidRPr="00861789">
        <w:rPr>
          <w:sz w:val="24"/>
          <w:szCs w:val="24"/>
        </w:rPr>
        <w:t xml:space="preserve">Of the four </w:t>
      </w:r>
      <w:r w:rsidR="00607091" w:rsidRPr="00442309">
        <w:rPr>
          <w:sz w:val="24"/>
        </w:rPr>
        <w:t xml:space="preserve">COVID-19 </w:t>
      </w:r>
      <w:r w:rsidR="00607091">
        <w:rPr>
          <w:sz w:val="24"/>
          <w:szCs w:val="24"/>
        </w:rPr>
        <w:t xml:space="preserve">threat/perception </w:t>
      </w:r>
      <w:r w:rsidRPr="00861789">
        <w:rPr>
          <w:sz w:val="24"/>
          <w:szCs w:val="24"/>
        </w:rPr>
        <w:t>variables, response</w:t>
      </w:r>
      <w:r w:rsidR="00860CE5">
        <w:rPr>
          <w:sz w:val="24"/>
          <w:szCs w:val="24"/>
        </w:rPr>
        <w:t>s</w:t>
      </w:r>
      <w:r w:rsidRPr="00861789">
        <w:rPr>
          <w:sz w:val="24"/>
          <w:szCs w:val="24"/>
        </w:rPr>
        <w:t xml:space="preserve"> to two </w:t>
      </w:r>
      <w:r w:rsidR="000D602A" w:rsidRPr="00861789">
        <w:rPr>
          <w:sz w:val="24"/>
          <w:szCs w:val="24"/>
        </w:rPr>
        <w:t>statements; “C</w:t>
      </w:r>
      <w:r w:rsidR="0084494B">
        <w:rPr>
          <w:sz w:val="24"/>
          <w:szCs w:val="24"/>
        </w:rPr>
        <w:t>OVID</w:t>
      </w:r>
      <w:r w:rsidR="000D602A" w:rsidRPr="00861789">
        <w:rPr>
          <w:sz w:val="24"/>
          <w:szCs w:val="24"/>
        </w:rPr>
        <w:t xml:space="preserve">-19 </w:t>
      </w:r>
      <w:r w:rsidR="000D602A" w:rsidRPr="00442309">
        <w:rPr>
          <w:sz w:val="24"/>
        </w:rPr>
        <w:t>was</w:t>
      </w:r>
      <w:r w:rsidR="000D602A" w:rsidRPr="00861789">
        <w:rPr>
          <w:sz w:val="24"/>
          <w:szCs w:val="24"/>
        </w:rPr>
        <w:t>/is</w:t>
      </w:r>
      <w:r w:rsidR="000D602A" w:rsidRPr="00442309">
        <w:rPr>
          <w:sz w:val="24"/>
        </w:rPr>
        <w:t xml:space="preserve"> still </w:t>
      </w:r>
      <w:r w:rsidR="000D602A" w:rsidRPr="00861789">
        <w:rPr>
          <w:sz w:val="24"/>
          <w:szCs w:val="24"/>
        </w:rPr>
        <w:t>a</w:t>
      </w:r>
      <w:r w:rsidR="000D602A" w:rsidRPr="00442309">
        <w:rPr>
          <w:sz w:val="24"/>
        </w:rPr>
        <w:t xml:space="preserve"> threat to </w:t>
      </w:r>
      <w:r w:rsidR="000D602A" w:rsidRPr="00861789">
        <w:rPr>
          <w:sz w:val="24"/>
          <w:szCs w:val="24"/>
        </w:rPr>
        <w:t>my</w:t>
      </w:r>
      <w:r w:rsidR="000D602A" w:rsidRPr="00442309">
        <w:rPr>
          <w:sz w:val="24"/>
        </w:rPr>
        <w:t xml:space="preserve"> loved ones</w:t>
      </w:r>
      <w:r w:rsidR="000D602A" w:rsidRPr="00861789">
        <w:rPr>
          <w:sz w:val="24"/>
          <w:szCs w:val="24"/>
        </w:rPr>
        <w:t xml:space="preserve">”, and “My </w:t>
      </w:r>
      <w:r w:rsidR="000D602A" w:rsidRPr="00442309">
        <w:rPr>
          <w:sz w:val="24"/>
        </w:rPr>
        <w:t xml:space="preserve">personal well-being was or still is at risk </w:t>
      </w:r>
      <w:r w:rsidR="000D602A" w:rsidRPr="00861789">
        <w:rPr>
          <w:sz w:val="24"/>
          <w:szCs w:val="24"/>
        </w:rPr>
        <w:t>during the pandemic”</w:t>
      </w:r>
      <w:r w:rsidR="00860CE5">
        <w:rPr>
          <w:sz w:val="24"/>
          <w:szCs w:val="24"/>
        </w:rPr>
        <w:t>,</w:t>
      </w:r>
      <w:r w:rsidR="000D602A" w:rsidRPr="00861789">
        <w:rPr>
          <w:sz w:val="24"/>
          <w:szCs w:val="24"/>
        </w:rPr>
        <w:t xml:space="preserve"> </w:t>
      </w:r>
      <w:r w:rsidRPr="00861789">
        <w:rPr>
          <w:sz w:val="24"/>
          <w:szCs w:val="24"/>
        </w:rPr>
        <w:t>were sought on a five</w:t>
      </w:r>
      <w:r w:rsidR="00442309">
        <w:rPr>
          <w:sz w:val="24"/>
          <w:szCs w:val="24"/>
        </w:rPr>
        <w:t>-</w:t>
      </w:r>
      <w:r w:rsidRPr="00861789">
        <w:rPr>
          <w:sz w:val="24"/>
          <w:szCs w:val="24"/>
        </w:rPr>
        <w:t>point Likert scale</w:t>
      </w:r>
      <w:r w:rsidR="000D602A" w:rsidRPr="00861789">
        <w:rPr>
          <w:sz w:val="24"/>
          <w:szCs w:val="24"/>
        </w:rPr>
        <w:t xml:space="preserve"> </w:t>
      </w:r>
      <w:r w:rsidR="000D602A">
        <w:rPr>
          <w:sz w:val="24"/>
          <w:szCs w:val="24"/>
        </w:rPr>
        <w:t xml:space="preserve">in the survey </w:t>
      </w:r>
      <w:r w:rsidR="000D602A" w:rsidRPr="00861789">
        <w:rPr>
          <w:sz w:val="24"/>
          <w:szCs w:val="24"/>
        </w:rPr>
        <w:t xml:space="preserve">from strongly disagree to strongly agree, as discussed </w:t>
      </w:r>
      <w:r w:rsidR="008B02E0">
        <w:rPr>
          <w:sz w:val="24"/>
          <w:szCs w:val="24"/>
        </w:rPr>
        <w:t xml:space="preserve">at the beginning of this section. </w:t>
      </w:r>
      <w:r w:rsidR="000D602A" w:rsidRPr="00861789">
        <w:rPr>
          <w:sz w:val="24"/>
          <w:szCs w:val="24"/>
        </w:rPr>
        <w:t>In our analysis, the best specification for representing these two variables corresponded to a binary classification where the “somewhat agree and strongly agree” responses were collapsed into a single “Yes” category, and the other three were combined into the “</w:t>
      </w:r>
      <w:r w:rsidR="00860CE5">
        <w:rPr>
          <w:sz w:val="24"/>
          <w:szCs w:val="24"/>
        </w:rPr>
        <w:t>N</w:t>
      </w:r>
      <w:r w:rsidR="000D602A" w:rsidRPr="00861789">
        <w:rPr>
          <w:sz w:val="24"/>
          <w:szCs w:val="24"/>
        </w:rPr>
        <w:t>o” category.</w:t>
      </w:r>
    </w:p>
    <w:p w14:paraId="46CB1638" w14:textId="65424A53" w:rsidR="0088774A" w:rsidRDefault="00F42E5C" w:rsidP="00DD75BF">
      <w:pPr>
        <w:spacing w:after="0" w:line="276" w:lineRule="auto"/>
        <w:ind w:firstLine="720"/>
        <w:jc w:val="both"/>
      </w:pPr>
      <w:r w:rsidRPr="000D602A">
        <w:t xml:space="preserve">The results </w:t>
      </w:r>
      <w:r w:rsidR="000D602A">
        <w:t xml:space="preserve">in Table </w:t>
      </w:r>
      <w:r w:rsidR="008B02E0">
        <w:t>3</w:t>
      </w:r>
      <w:r w:rsidR="000D602A">
        <w:t xml:space="preserve"> </w:t>
      </w:r>
      <w:r w:rsidR="001A01E4">
        <w:t>reveal</w:t>
      </w:r>
      <w:r w:rsidR="00607091">
        <w:t xml:space="preserve"> that eat</w:t>
      </w:r>
      <w:r w:rsidR="00442309">
        <w:t>-</w:t>
      </w:r>
      <w:r w:rsidR="00607091">
        <w:t>out propensity appears to be particularly influenced by the concern about other individuals as opposed to personal concerns.</w:t>
      </w:r>
      <w:r w:rsidR="00A001B6">
        <w:t xml:space="preserve"> </w:t>
      </w:r>
      <w:r w:rsidR="00A001B6" w:rsidRPr="000D602A">
        <w:t>Typically, eating out is</w:t>
      </w:r>
      <w:r w:rsidR="00A001B6">
        <w:t xml:space="preserve"> viewed as </w:t>
      </w:r>
      <w:r w:rsidR="00A001B6" w:rsidRPr="000D602A">
        <w:t>a social activity with family or friends which may pose a hea</w:t>
      </w:r>
      <w:r w:rsidR="00A001B6">
        <w:t xml:space="preserve">lth risk </w:t>
      </w:r>
      <w:r w:rsidR="00A001B6" w:rsidRPr="000D602A">
        <w:t xml:space="preserve">to loved ones due to the increased public exposure. </w:t>
      </w:r>
      <w:r w:rsidR="00A001B6">
        <w:t xml:space="preserve">The two other variables related to personal considerations; “I am immunocompromised” and “My personal well-being was or still is at risk”; were highly correlated, and the latter turned up </w:t>
      </w:r>
      <w:r w:rsidR="001A01E4">
        <w:t xml:space="preserve">being </w:t>
      </w:r>
      <w:r w:rsidR="00A001B6">
        <w:t>more influential in the specification. The</w:t>
      </w:r>
      <w:r w:rsidR="00FA368F">
        <w:t xml:space="preserve"> result suggests that the concern for one’s own health and well-being is likely to encourage pursuing contactless services that can be accomplished through food pick-up and delivery </w:t>
      </w:r>
      <w:bookmarkStart w:id="50" w:name="_Hlk109734489"/>
      <w:r w:rsidR="00FA368F">
        <w:fldChar w:fldCharType="begin"/>
      </w:r>
      <w:r w:rsidR="00FA368F">
        <w:instrText xml:space="preserve"> ADDIN ZOTERO_ITEM CSL_CITATION {"citationID":"ytDYYZ4e","properties":{"formattedCitation":"(Mehrolia et al., 2021)","plainCitation":"(Mehrolia et al., 2021)","noteIndex":0},"citationItems":[{"id":571,"uris":["http://zotero.org/users/9292995/items/TCZN6BW3"],"itemData":{"id":571,"type":"article-journal","container-title":"International journal of consumer studies","ISSN":"1470-6423","issue":"3","journalAbbreviation":"International journal of consumer studies","note":"publisher: Wiley Online Library","page":"396-408","title":"Customers response to online food delivery services during COVID‐19 outbreak using binary logistic regression","volume":"45","author":[{"family":"Mehrolia","given":"Sangeeta"},{"family":"Alagarsamy","given":"Subburaj"},{"family":"Solaikutty","given":"Vijay Mallikraj"}],"issued":{"date-parts":[["2021"]]}}}],"schema":"https://github.com/citation-style-language/schema/raw/master/csl-citation.json"} </w:instrText>
      </w:r>
      <w:r w:rsidR="00FA368F">
        <w:fldChar w:fldCharType="separate"/>
      </w:r>
      <w:r w:rsidR="00FA368F">
        <w:t>(Mehrolia et al., 2021)</w:t>
      </w:r>
      <w:r w:rsidR="00FA368F">
        <w:fldChar w:fldCharType="end"/>
      </w:r>
      <w:r w:rsidR="00FA368F">
        <w:t>.</w:t>
      </w:r>
      <w:r w:rsidR="00D8087A" w:rsidRPr="000D602A">
        <w:t xml:space="preserve"> </w:t>
      </w:r>
      <w:bookmarkEnd w:id="50"/>
    </w:p>
    <w:p w14:paraId="3B2A4611" w14:textId="77777777" w:rsidR="00D52C17" w:rsidRDefault="00D52C17" w:rsidP="00DD75BF">
      <w:pPr>
        <w:spacing w:after="0" w:line="276" w:lineRule="auto"/>
        <w:ind w:firstLine="720"/>
        <w:jc w:val="both"/>
      </w:pPr>
    </w:p>
    <w:p w14:paraId="782034D6" w14:textId="4F1D03C9" w:rsidR="0088774A" w:rsidRPr="009A16BE" w:rsidRDefault="0088774A" w:rsidP="00DD75BF">
      <w:pPr>
        <w:spacing w:after="0" w:line="276" w:lineRule="auto"/>
        <w:jc w:val="both"/>
        <w:rPr>
          <w:u w:val="single"/>
        </w:rPr>
      </w:pPr>
      <w:r w:rsidRPr="009A16BE">
        <w:rPr>
          <w:u w:val="single"/>
        </w:rPr>
        <w:t>Thresholds</w:t>
      </w:r>
    </w:p>
    <w:p w14:paraId="69798CC2" w14:textId="425752E3" w:rsidR="009D240E" w:rsidRDefault="0088774A" w:rsidP="00DD75BF">
      <w:pPr>
        <w:spacing w:after="0" w:line="276" w:lineRule="auto"/>
        <w:jc w:val="both"/>
      </w:pPr>
      <w:r>
        <w:t xml:space="preserve">The elements of the </w:t>
      </w:r>
      <w:r w:rsidR="00DE02AA" w:rsidRPr="00162B4B">
        <w:rPr>
          <w:position w:val="-12"/>
        </w:rPr>
        <w:object w:dxaOrig="320" w:dyaOrig="360" w14:anchorId="7B13EF2A">
          <v:shape id="_x0000_i1089" type="#_x0000_t75" style="width:15.65pt;height:18pt" o:ole="" o:preferrelative="f">
            <v:imagedata r:id="rId77" o:title=""/>
            <o:lock v:ext="edit" aspectratio="f"/>
          </v:shape>
          <o:OLEObject Type="Embed" ProgID="Equation.DSMT4" ShapeID="_x0000_i1089" DrawAspect="Content" ObjectID="_1734432109" r:id="rId132"/>
        </w:object>
      </w:r>
      <w:r w:rsidRPr="004035E1">
        <w:t xml:space="preserve"> </w:t>
      </w:r>
      <w:r>
        <w:t xml:space="preserve">vector for each channel in Table </w:t>
      </w:r>
      <w:r w:rsidR="0084494B">
        <w:t>3</w:t>
      </w:r>
      <w:r>
        <w:t xml:space="preserve"> </w:t>
      </w:r>
      <w:r w:rsidR="00E64FE9">
        <w:t xml:space="preserve">(these represent the upper bounds for each count) </w:t>
      </w:r>
      <w:r>
        <w:t>do not have any substantive interpretations. They serve to map the underlying propensity to the actual observed count. These elements are important for predicting the actual count combination for each individual, but, by themselves</w:t>
      </w:r>
      <w:r w:rsidR="00801D4D">
        <w:t>,</w:t>
      </w:r>
      <w:r>
        <w:t xml:space="preserve"> do not have any meaning</w:t>
      </w:r>
      <w:r w:rsidR="009D240E">
        <w:t>.</w:t>
      </w:r>
    </w:p>
    <w:p w14:paraId="1CA58F42" w14:textId="77777777" w:rsidR="00D52C17" w:rsidRDefault="00D52C17" w:rsidP="00DD75BF">
      <w:pPr>
        <w:spacing w:after="0" w:line="276" w:lineRule="auto"/>
        <w:jc w:val="both"/>
      </w:pPr>
    </w:p>
    <w:p w14:paraId="2F973BD7" w14:textId="6CB125C4" w:rsidR="0028308A" w:rsidRPr="00DD75BF" w:rsidRDefault="003F7E94" w:rsidP="00DD75BF">
      <w:pPr>
        <w:pStyle w:val="Heading2"/>
        <w:spacing w:after="0" w:line="276" w:lineRule="auto"/>
        <w:jc w:val="both"/>
        <w:rPr>
          <w:i w:val="0"/>
        </w:rPr>
      </w:pPr>
      <w:bookmarkStart w:id="51" w:name="_Ref108206340"/>
      <w:r>
        <w:t xml:space="preserve"> </w:t>
      </w:r>
      <w:r w:rsidR="00623CD6" w:rsidRPr="00DD75BF">
        <w:rPr>
          <w:i w:val="0"/>
        </w:rPr>
        <w:t>Endogenous Variable Parameter Estimates</w:t>
      </w:r>
      <w:bookmarkEnd w:id="51"/>
    </w:p>
    <w:p w14:paraId="5DBB0ABC" w14:textId="515DDF83" w:rsidR="00FA368F" w:rsidRDefault="008B02E0" w:rsidP="00DD75BF">
      <w:pPr>
        <w:spacing w:after="0" w:line="276" w:lineRule="auto"/>
        <w:jc w:val="both"/>
      </w:pPr>
      <w:r>
        <w:t xml:space="preserve">Table 3 </w:t>
      </w:r>
      <w:r w:rsidR="001F6254" w:rsidRPr="00861789">
        <w:t xml:space="preserve">also presents the </w:t>
      </w:r>
      <w:r w:rsidR="00663BDB" w:rsidRPr="00861789">
        <w:t xml:space="preserve">estimates of the endogenous </w:t>
      </w:r>
      <w:r w:rsidR="00AD70D2" w:rsidRPr="00861789">
        <w:t>variable</w:t>
      </w:r>
      <w:r w:rsidR="00663BDB" w:rsidRPr="00861789">
        <w:t xml:space="preserve"> </w:t>
      </w:r>
      <w:r w:rsidR="00623CD6">
        <w:t>parameters for the</w:t>
      </w:r>
      <w:r w:rsidR="00663BDB" w:rsidRPr="00861789">
        <w:t xml:space="preserve"> </w:t>
      </w:r>
      <w:r w:rsidR="00623CD6">
        <w:t xml:space="preserve">first </w:t>
      </w:r>
      <w:r w:rsidR="00AD70D2" w:rsidRPr="00861789">
        <w:t xml:space="preserve">pathway specification </w:t>
      </w:r>
      <w:r w:rsidR="00663BDB" w:rsidRPr="00861789">
        <w:t>structure in</w:t>
      </w:r>
      <w:r>
        <w:t xml:space="preserve"> Figure 1. </w:t>
      </w:r>
      <w:r w:rsidR="00FA368F">
        <w:t>Both continuous functional forms for these endogenous effects</w:t>
      </w:r>
      <w:r w:rsidR="00E64FE9">
        <w:t>,</w:t>
      </w:r>
      <w:r w:rsidR="00FA368F">
        <w:t xml:space="preserve"> as well as categorical forms of the effects</w:t>
      </w:r>
      <w:r w:rsidR="00E64FE9">
        <w:t>,</w:t>
      </w:r>
      <w:r w:rsidR="00FA368F">
        <w:t xml:space="preserve"> were attempted. In the latter case, we introduced the endogenous counts in the most disaggregate dummy variable form, but progressively constrained the count category effects based on the results. The final specification included a non-linear dummy variable form for the eat-in delivery effect on eat-out and for the eat-out effect on eat-in takeout. But </w:t>
      </w:r>
      <w:r w:rsidR="00860CE5">
        <w:t>the</w:t>
      </w:r>
      <w:r w:rsidR="00FA368F">
        <w:t xml:space="preserve"> linear continuous form outperformed the non-linear form for the eat-in delivery effect on eat-in takeout. Also, s</w:t>
      </w:r>
      <w:r w:rsidR="00663BDB" w:rsidRPr="00861789">
        <w:t xml:space="preserve">ince the jointness among the endogenous variables </w:t>
      </w:r>
      <w:r w:rsidR="00AD70D2" w:rsidRPr="00861789">
        <w:t xml:space="preserve">due to unobserved correlation effects (discussed later in this section) </w:t>
      </w:r>
      <w:r w:rsidR="00663BDB" w:rsidRPr="00861789">
        <w:t>is accounted for, the recursive effects capture the “true” causal effect</w:t>
      </w:r>
      <w:r w:rsidR="00442309">
        <w:t>s</w:t>
      </w:r>
      <w:r w:rsidR="00663BDB" w:rsidRPr="00861789">
        <w:t xml:space="preserve"> </w:t>
      </w:r>
      <w:r w:rsidR="00AD70D2" w:rsidRPr="00861789">
        <w:t>of one N</w:t>
      </w:r>
      <w:r w:rsidR="009D141C">
        <w:t>HCM</w:t>
      </w:r>
      <w:r w:rsidR="00AD70D2" w:rsidRPr="00861789">
        <w:t xml:space="preserve"> channel count on </w:t>
      </w:r>
      <w:r w:rsidR="00C808B5" w:rsidRPr="00861789">
        <w:t xml:space="preserve">the propensity for </w:t>
      </w:r>
      <w:r w:rsidR="00AD70D2" w:rsidRPr="00861789">
        <w:t xml:space="preserve">another. </w:t>
      </w:r>
    </w:p>
    <w:p w14:paraId="4328E7D9" w14:textId="5AC7E505" w:rsidR="00E64FE9" w:rsidRDefault="008F6DC4" w:rsidP="00DD75BF">
      <w:pPr>
        <w:spacing w:after="0" w:line="276" w:lineRule="auto"/>
        <w:ind w:firstLine="720"/>
        <w:jc w:val="both"/>
      </w:pPr>
      <w:r w:rsidRPr="00861789">
        <w:t>Th</w:t>
      </w:r>
      <w:r w:rsidR="008D0E70" w:rsidRPr="00861789">
        <w:t>e</w:t>
      </w:r>
      <w:r w:rsidRPr="00861789">
        <w:t xml:space="preserve"> </w:t>
      </w:r>
      <w:r w:rsidR="008D0E70" w:rsidRPr="00861789">
        <w:t xml:space="preserve">prevailing </w:t>
      </w:r>
      <w:r w:rsidRPr="00861789">
        <w:t xml:space="preserve">causal structure </w:t>
      </w:r>
      <w:r w:rsidR="008D0E70" w:rsidRPr="00861789">
        <w:t>indicates</w:t>
      </w:r>
      <w:r w:rsidRPr="00861789">
        <w:t xml:space="preserve"> that the </w:t>
      </w:r>
      <w:r w:rsidR="008556F0" w:rsidRPr="00861789">
        <w:t xml:space="preserve">chain of recursive effects starts with decisions related to eat-in delivery. </w:t>
      </w:r>
      <w:r w:rsidR="00672AFC" w:rsidRPr="00861789">
        <w:t>I</w:t>
      </w:r>
      <w:r w:rsidRPr="00861789">
        <w:t>ndividuals who order</w:t>
      </w:r>
      <w:r w:rsidR="00663BDB" w:rsidRPr="00861789">
        <w:t xml:space="preserve"> food delivery for dinner meals </w:t>
      </w:r>
      <w:r w:rsidR="00860CE5">
        <w:t xml:space="preserve">more </w:t>
      </w:r>
      <w:r w:rsidR="00860CE5" w:rsidRPr="00861789">
        <w:t xml:space="preserve">frequently </w:t>
      </w:r>
      <w:r w:rsidR="00AD70D2" w:rsidRPr="00861789">
        <w:t xml:space="preserve">have a </w:t>
      </w:r>
      <w:r w:rsidR="002C5F6C">
        <w:t xml:space="preserve">progressively </w:t>
      </w:r>
      <w:r w:rsidR="00442309">
        <w:t>higher</w:t>
      </w:r>
      <w:r w:rsidR="00AD70D2" w:rsidRPr="00861789">
        <w:t xml:space="preserve"> propensity to </w:t>
      </w:r>
      <w:r w:rsidRPr="00861789">
        <w:t>eat-out</w:t>
      </w:r>
      <w:r w:rsidR="008556F0" w:rsidRPr="00861789">
        <w:t xml:space="preserve">, </w:t>
      </w:r>
      <w:r w:rsidR="00AD70D2" w:rsidRPr="00861789">
        <w:t xml:space="preserve">and also are </w:t>
      </w:r>
      <w:r w:rsidR="008556F0" w:rsidRPr="00861789">
        <w:t xml:space="preserve">less </w:t>
      </w:r>
      <w:r w:rsidR="00C808B5" w:rsidRPr="00861789">
        <w:t>predisposed</w:t>
      </w:r>
      <w:r w:rsidR="00AD70D2" w:rsidRPr="00861789">
        <w:t xml:space="preserve"> to </w:t>
      </w:r>
      <w:r w:rsidR="008556F0" w:rsidRPr="00861789">
        <w:t xml:space="preserve">order </w:t>
      </w:r>
      <w:r w:rsidR="008556F0" w:rsidRPr="00861789">
        <w:lastRenderedPageBreak/>
        <w:t>through the takeout channel</w:t>
      </w:r>
      <w:r w:rsidRPr="00861789">
        <w:t xml:space="preserve">. These results imply a </w:t>
      </w:r>
      <w:r w:rsidR="00FA368F">
        <w:t>complementary</w:t>
      </w:r>
      <w:r w:rsidR="00AD70D2" w:rsidRPr="00861789">
        <w:t xml:space="preserve"> </w:t>
      </w:r>
      <w:r w:rsidRPr="00861789">
        <w:t>relationship between food delivery and dining out</w:t>
      </w:r>
      <w:r w:rsidR="00FA368F">
        <w:t xml:space="preserve">, but a substitutive relationship </w:t>
      </w:r>
      <w:r w:rsidR="00C00475" w:rsidRPr="00861789">
        <w:t xml:space="preserve">between food delivery and </w:t>
      </w:r>
      <w:r w:rsidR="00AD70D2" w:rsidRPr="00861789">
        <w:t>takeout</w:t>
      </w:r>
      <w:r w:rsidR="00C00475" w:rsidRPr="00861789">
        <w:t>.</w:t>
      </w:r>
      <w:r w:rsidR="00DE3010" w:rsidRPr="00861789">
        <w:t xml:space="preserve"> </w:t>
      </w:r>
      <w:r w:rsidR="00770D23">
        <w:t xml:space="preserve">Our research adds to the ongoing discourse on the relationship between eating out, takeout, and delivery. For example, </w:t>
      </w:r>
      <w:r w:rsidR="002B38F7">
        <w:t xml:space="preserve">Kim </w:t>
      </w:r>
      <w:r w:rsidR="00770D23">
        <w:t>and Wang (202</w:t>
      </w:r>
      <w:r w:rsidR="00EE6F3D">
        <w:t>1</w:t>
      </w:r>
      <w:r w:rsidR="00770D23">
        <w:t xml:space="preserve">) and Ma et al. (2021) report a complimentary effect where adding delivery services increases restaurants’ revenue and dine-in visits due to the advertising effect of online delivery platforms, while Collison (2020) and Dias et al. (2020) suggest a substitution (cannibalization) effect where expenditures on food delivery draw away from restaurant dine-in expenditures. Perhaps the reason behind the contradictory findings is the sensitivity of the effect of delivery on eat-out to the type of restaurant and the overall market </w:t>
      </w:r>
      <w:bookmarkStart w:id="52" w:name="_Hlk109734657"/>
      <w:r w:rsidR="00770D23">
        <w:fldChar w:fldCharType="begin"/>
      </w:r>
      <w:r w:rsidR="008467CE">
        <w:instrText xml:space="preserve"> ADDIN ZOTERO_ITEM CSL_CITATION {"citationID":"QbTgLNT4","properties":{"formattedCitation":"(Ma et al., 2021; Weltevreden &amp; van Rietbergen, 2009)","plainCitation":"(Ma et al., 2021; Weltevreden &amp; van Rietbergen, 2009)","dontUpdate":true,"noteIndex":0},"citationItems":[{"id":591,"uris":["http://zotero.org/users/9292995/items/NJ3MYIPU"],"itemData":{"id":591,"type":"article-journal","container-title":"International Journal of Hospitality Management","ISSN":"0278-4319","journalAbbreviation":"International Journal of Hospitality Management","note":"publisher: Elsevier","page":"102981","title":"A blended model of restaurant deliveries, dine-in demand and capacity constraints","volume":"96","author":[{"family":"Ma","given":"Jing"},{"family":"Webb","given":"Timothy"},{"family":"Schwartz","given":"Zvi"}],"issued":{"date-parts":[["2021"]]}}},{"id":608,"uris":["http://zotero.org/users/9292995/items/B5Y424JX"],"itemData":{"id":608,"type":"article-journal","container-title":"Environment and Planning B: Planning and Design","ISSN":"0265-8135","issue":"2","journalAbbreviation":"Environment and Planning B: Planning and Design","note":"publisher: SAGE Publications Sage UK: London, England","page":"279-299","title":"The implications of e-shopping for in-store shopping at various shopping locations in the Netherlands","volume":"36","author":[{"family":"Weltevreden","given":"Jesse WJ"},{"family":"Rietbergen","given":"Ton","non-dropping-particle":"van"}],"issued":{"date-parts":[["2009"]]}}}],"schema":"https://github.com/citation-style-language/schema/raw/master/csl-citation.json"} </w:instrText>
      </w:r>
      <w:r w:rsidR="00770D23">
        <w:fldChar w:fldCharType="separate"/>
      </w:r>
      <w:r w:rsidR="00770D23">
        <w:t>(Ma et al., 2021</w:t>
      </w:r>
      <w:r w:rsidR="00EE6F3D">
        <w:t>;</w:t>
      </w:r>
      <w:r w:rsidR="00770D23">
        <w:t xml:space="preserve"> Weltevreden and </w:t>
      </w:r>
      <w:r w:rsidR="00EE6F3D">
        <w:t xml:space="preserve">van </w:t>
      </w:r>
      <w:r w:rsidR="00770D23">
        <w:t>Rietbergen, 2009)</w:t>
      </w:r>
      <w:r w:rsidR="00770D23">
        <w:fldChar w:fldCharType="end"/>
      </w:r>
      <w:r w:rsidR="00770D23">
        <w:t>. However</w:t>
      </w:r>
      <w:bookmarkEnd w:id="52"/>
      <w:r w:rsidR="00770D23">
        <w:t xml:space="preserve">, unlike the previous studies that investigated the relationship between delivery and eat-out, this study is </w:t>
      </w:r>
      <w:r w:rsidR="00E64FE9">
        <w:t>undertaken</w:t>
      </w:r>
      <w:r w:rsidR="00770D23">
        <w:t xml:space="preserve"> in a transitory post-COVID landscape when things started opening up rapidly and Texans, for the most part, started going about their lives. </w:t>
      </w:r>
      <w:r w:rsidR="00E64FE9">
        <w:t>In this context, d</w:t>
      </w:r>
      <w:r w:rsidR="00770D23">
        <w:t xml:space="preserve">uring the pandemic, many consumers used the delivery channel for the first time, while others increased their consumption and solidified their delivery ordering habits. </w:t>
      </w:r>
      <w:r w:rsidR="00E64FE9">
        <w:t xml:space="preserve">After the end of the </w:t>
      </w:r>
      <w:r w:rsidR="00770D23">
        <w:t xml:space="preserve">lockdown restrictions, individuals might have been eager to visit the restaurants they ordered from online during the pandemic, which may explain the complementary effect. </w:t>
      </w:r>
      <w:r w:rsidR="00E64FE9">
        <w:t>Also</w:t>
      </w:r>
      <w:r w:rsidR="0044625E" w:rsidRPr="00861789">
        <w:t>, it is not surprising that as we come out of the pandemic, it is the eat-in N</w:t>
      </w:r>
      <w:r w:rsidR="009D141C">
        <w:t>HCM</w:t>
      </w:r>
      <w:r w:rsidR="0044625E" w:rsidRPr="00861789">
        <w:t xml:space="preserve"> channel that drives and affects the other channels. </w:t>
      </w:r>
    </w:p>
    <w:p w14:paraId="285CBFAB" w14:textId="28F30AAA" w:rsidR="00770D23" w:rsidRDefault="00E64FE9" w:rsidP="00D52C17">
      <w:pPr>
        <w:spacing w:after="0" w:line="276" w:lineRule="auto"/>
        <w:ind w:firstLine="720"/>
        <w:jc w:val="both"/>
      </w:pPr>
      <w:r>
        <w:t>T</w:t>
      </w:r>
      <w:r w:rsidR="00770D23" w:rsidRPr="00861789">
        <w:t>he substitutive relationship between eat-in delivery and eat-in takeout is also not surprising (even though, to our knowledge, this is the first study to examine the inter-relationship between these two eat-in N</w:t>
      </w:r>
      <w:r w:rsidR="009D141C">
        <w:t>HCM</w:t>
      </w:r>
      <w:r w:rsidR="00770D23" w:rsidRPr="00861789">
        <w:t xml:space="preserve"> channels). Delivery and takeout are clear competitors because they both satisfy eat-in meals. For a similar reason, eat</w:t>
      </w:r>
      <w:r w:rsidR="00442309">
        <w:t>-</w:t>
      </w:r>
      <w:r w:rsidR="00770D23" w:rsidRPr="00861789">
        <w:t xml:space="preserve">out also </w:t>
      </w:r>
      <w:r w:rsidR="0084494B" w:rsidRPr="00861789">
        <w:t>ha</w:t>
      </w:r>
      <w:r w:rsidR="0084494B">
        <w:t>s</w:t>
      </w:r>
      <w:r w:rsidR="0084494B" w:rsidRPr="00861789">
        <w:t xml:space="preserve"> </w:t>
      </w:r>
      <w:r w:rsidR="00770D23" w:rsidRPr="00861789">
        <w:t xml:space="preserve">a substitutive relationship with eat-in takeout propensity. In </w:t>
      </w:r>
      <w:r w:rsidR="008B02E0">
        <w:t xml:space="preserve">Section 5, </w:t>
      </w:r>
      <w:r w:rsidR="00770D23" w:rsidRPr="00861789">
        <w:t>we further study the magnitude of such effects on the actual counts of each N</w:t>
      </w:r>
      <w:r w:rsidR="009D141C">
        <w:t>HCM</w:t>
      </w:r>
      <w:r w:rsidR="00770D23" w:rsidRPr="00861789">
        <w:t xml:space="preserve"> channel.</w:t>
      </w:r>
    </w:p>
    <w:p w14:paraId="1B087B67" w14:textId="2F72E6CD" w:rsidR="0089432E" w:rsidRDefault="0089432E" w:rsidP="00D52C17">
      <w:pPr>
        <w:spacing w:after="0" w:line="276" w:lineRule="auto"/>
        <w:jc w:val="both"/>
      </w:pPr>
    </w:p>
    <w:p w14:paraId="1D89D22C" w14:textId="4EA68F96" w:rsidR="0089432E" w:rsidRPr="00DD75BF" w:rsidRDefault="0089432E" w:rsidP="00D52C17">
      <w:pPr>
        <w:pStyle w:val="Heading2"/>
        <w:spacing w:after="0"/>
        <w:jc w:val="both"/>
        <w:rPr>
          <w:i w:val="0"/>
        </w:rPr>
      </w:pPr>
      <w:r>
        <w:t xml:space="preserve"> </w:t>
      </w:r>
      <w:r w:rsidRPr="00DD75BF">
        <w:rPr>
          <w:i w:val="0"/>
        </w:rPr>
        <w:t xml:space="preserve">Error Correlation Matrix </w:t>
      </w:r>
    </w:p>
    <w:p w14:paraId="3EAA7773" w14:textId="2F555145" w:rsidR="00CD5711" w:rsidRDefault="00C808B5" w:rsidP="00D52C17">
      <w:pPr>
        <w:spacing w:after="0"/>
        <w:jc w:val="both"/>
      </w:pPr>
      <w:r w:rsidRPr="00861789">
        <w:t xml:space="preserve">The error correlation matrix at the bottom of Table </w:t>
      </w:r>
      <w:r w:rsidR="002C5F6C">
        <w:t>3</w:t>
      </w:r>
      <w:r w:rsidRPr="00861789">
        <w:t xml:space="preserve"> shows </w:t>
      </w:r>
      <w:r w:rsidR="00770D23">
        <w:t xml:space="preserve">a statistically significant negative error correlation between the eat-out and eat-in delivery propensities, and </w:t>
      </w:r>
      <w:r w:rsidR="00164680">
        <w:t xml:space="preserve">a </w:t>
      </w:r>
      <w:r w:rsidR="00770D23">
        <w:t xml:space="preserve">marginally positive correlation between </w:t>
      </w:r>
      <w:r w:rsidR="00C508CF" w:rsidRPr="00861789">
        <w:t xml:space="preserve">the </w:t>
      </w:r>
      <w:r w:rsidRPr="00861789">
        <w:t>two eat-in N</w:t>
      </w:r>
      <w:r w:rsidR="009D141C">
        <w:t>HCM</w:t>
      </w:r>
      <w:r w:rsidRPr="00861789">
        <w:t xml:space="preserve"> channel</w:t>
      </w:r>
      <w:r w:rsidR="00C508CF" w:rsidRPr="00861789">
        <w:t xml:space="preserve"> inclinations</w:t>
      </w:r>
      <w:r w:rsidR="00164680">
        <w:t xml:space="preserve"> (the correlation between eat-out and eat-in takeout is also negative, though statistically insignificant)</w:t>
      </w:r>
      <w:r w:rsidRPr="00861789">
        <w:t xml:space="preserve">. </w:t>
      </w:r>
      <w:r w:rsidR="00164680" w:rsidRPr="00861789">
        <w:t>Th</w:t>
      </w:r>
      <w:r w:rsidR="00164680">
        <w:t>ese results</w:t>
      </w:r>
      <w:r w:rsidR="00164680" w:rsidRPr="00861789">
        <w:t xml:space="preserve"> </w:t>
      </w:r>
      <w:r w:rsidR="00164680">
        <w:t xml:space="preserve">are </w:t>
      </w:r>
      <w:r w:rsidR="00164680" w:rsidRPr="00861789">
        <w:t xml:space="preserve">to be expected, as unobserved lifestyle preferences and attitudinal variables are likely to simultaneously affect the propensity of </w:t>
      </w:r>
      <w:r w:rsidR="00164680">
        <w:t>the N</w:t>
      </w:r>
      <w:r w:rsidR="009D141C">
        <w:t>HCM</w:t>
      </w:r>
      <w:r w:rsidR="00164680" w:rsidRPr="00861789">
        <w:t xml:space="preserve"> options. In particular, individuals who may be introverted, or like to eat their meals in the privacy of the familiar surroundings and ambi</w:t>
      </w:r>
      <w:r w:rsidR="00442309">
        <w:t>a</w:t>
      </w:r>
      <w:r w:rsidR="00164680" w:rsidRPr="00861789">
        <w:t>nce of their home (while also enjoying the convenience of consuming food from the outside), or fear risks of contracting COVID in ways beyond what has been captured through the COVID-19 threat/perspectives variables, are intrinsically likely to adopt the two eat-in channels</w:t>
      </w:r>
      <w:r w:rsidR="00164680">
        <w:t xml:space="preserve"> and avoid the eat-out channel</w:t>
      </w:r>
      <w:r w:rsidR="00164680" w:rsidRPr="00861789">
        <w:t xml:space="preserve">. </w:t>
      </w:r>
      <w:r w:rsidR="00770D23">
        <w:t xml:space="preserve">Importantly, </w:t>
      </w:r>
      <w:r w:rsidR="00164680">
        <w:t xml:space="preserve">though, </w:t>
      </w:r>
      <w:r w:rsidR="00770D23">
        <w:t xml:space="preserve">these error correlations </w:t>
      </w:r>
      <w:r w:rsidR="00164680">
        <w:t xml:space="preserve">in the underlying propensities of the channels </w:t>
      </w:r>
      <w:r w:rsidR="00770D23">
        <w:t xml:space="preserve">are in opposite directions of the </w:t>
      </w:r>
      <w:r w:rsidR="00164680">
        <w:t xml:space="preserve">causal effects of the eat-in delivery channel count on the propensity of the other two channels. </w:t>
      </w:r>
      <w:r w:rsidR="00767660">
        <w:t xml:space="preserve">The implication is that if these error correlations were ignored, it would incorrectly underestimate the complementary effect of delivery on eat-out (and </w:t>
      </w:r>
      <w:r w:rsidR="00F147F9">
        <w:t xml:space="preserve">potentially </w:t>
      </w:r>
      <w:r w:rsidR="00767660">
        <w:t xml:space="preserve">also </w:t>
      </w:r>
      <w:r w:rsidR="00F147F9">
        <w:t xml:space="preserve">can completely </w:t>
      </w:r>
      <w:r w:rsidR="00767660">
        <w:t xml:space="preserve">overturn the complementarity effect into a substitutive one), and </w:t>
      </w:r>
      <w:r w:rsidR="00767660">
        <w:lastRenderedPageBreak/>
        <w:t>would inaccurately also underestimate the substitutive effect of delivery on takeouts</w:t>
      </w:r>
      <w:r w:rsidR="00F44F2C">
        <w:t xml:space="preserve">, as discussed further below. </w:t>
      </w:r>
    </w:p>
    <w:p w14:paraId="0A61100B" w14:textId="37AAFCFE" w:rsidR="006D5AC1" w:rsidRDefault="00CD5711" w:rsidP="00DD75BF">
      <w:pPr>
        <w:spacing w:after="0" w:line="276" w:lineRule="auto"/>
        <w:ind w:firstLine="720"/>
        <w:jc w:val="both"/>
      </w:pPr>
      <w:r>
        <w:t>To be sure</w:t>
      </w:r>
      <w:r w:rsidR="008E7C92" w:rsidRPr="00861789">
        <w:t>,</w:t>
      </w:r>
      <w:r w:rsidR="00767660">
        <w:t xml:space="preserve"> in any population, there are going to be </w:t>
      </w:r>
      <w:r w:rsidR="00C508CF" w:rsidRPr="00861789">
        <w:t>individual</w:t>
      </w:r>
      <w:r w:rsidR="00767660">
        <w:t>s</w:t>
      </w:r>
      <w:r w:rsidR="00C508CF" w:rsidRPr="00861789">
        <w:t xml:space="preserve"> who generically prefer eating in the privacy of their home</w:t>
      </w:r>
      <w:r w:rsidR="00767660">
        <w:t>s (</w:t>
      </w:r>
      <w:r w:rsidR="00C508CF" w:rsidRPr="00861789">
        <w:t>lea</w:t>
      </w:r>
      <w:r w:rsidR="0088774A" w:rsidRPr="00861789">
        <w:t>d</w:t>
      </w:r>
      <w:r w:rsidR="00767660">
        <w:t>ing</w:t>
      </w:r>
      <w:r w:rsidR="00C508CF" w:rsidRPr="00861789">
        <w:t xml:space="preserve"> to higher propensities of both the eat-in channels</w:t>
      </w:r>
      <w:r w:rsidR="0088774A" w:rsidRPr="00861789">
        <w:t xml:space="preserve"> </w:t>
      </w:r>
      <w:r w:rsidR="00367FE0">
        <w:t>with less preference for the eat-out channel</w:t>
      </w:r>
      <w:r w:rsidR="00767660">
        <w:t xml:space="preserve">, as </w:t>
      </w:r>
      <w:r w:rsidR="0088774A" w:rsidRPr="00861789">
        <w:t>captured by the error correlation</w:t>
      </w:r>
      <w:r w:rsidR="00367FE0">
        <w:t>s</w:t>
      </w:r>
      <w:r w:rsidR="0088774A" w:rsidRPr="00861789">
        <w:t>)</w:t>
      </w:r>
      <w:r w:rsidR="00C508CF" w:rsidRPr="00861789">
        <w:t xml:space="preserve">. </w:t>
      </w:r>
      <w:r w:rsidR="009B687F">
        <w:t xml:space="preserve">Now, consider that we want to </w:t>
      </w:r>
      <w:r w:rsidR="00767660">
        <w:t>examine the effect of deliveries on eat-outs from a sample of this population</w:t>
      </w:r>
      <w:r w:rsidR="009B687F">
        <w:t xml:space="preserve">. For presentation simplicity, consider the question of how a </w:t>
      </w:r>
      <w:r>
        <w:t xml:space="preserve">single </w:t>
      </w:r>
      <w:r w:rsidR="009B687F">
        <w:t>delivery instance will shape future eat-outs</w:t>
      </w:r>
      <w:r>
        <w:t>.</w:t>
      </w:r>
      <w:r w:rsidR="009B687F">
        <w:t xml:space="preserve"> We </w:t>
      </w:r>
      <w:r w:rsidR="00E64FE9">
        <w:t xml:space="preserve">may </w:t>
      </w:r>
      <w:r w:rsidR="009B687F">
        <w:t xml:space="preserve">do so by examining the number of eat-outs in the week following </w:t>
      </w:r>
      <w:r>
        <w:t xml:space="preserve">a </w:t>
      </w:r>
      <w:r w:rsidR="009B687F">
        <w:t xml:space="preserve">delivery instance in the sample. </w:t>
      </w:r>
      <w:r w:rsidR="00F147F9">
        <w:t>Among the group of those who prefer</w:t>
      </w:r>
      <w:r>
        <w:t xml:space="preserve"> the </w:t>
      </w:r>
      <w:r w:rsidR="00F147F9">
        <w:t xml:space="preserve">privacy </w:t>
      </w:r>
      <w:r>
        <w:t xml:space="preserve">of their homes </w:t>
      </w:r>
      <w:r w:rsidR="00F147F9">
        <w:t xml:space="preserve">when eating, </w:t>
      </w:r>
      <w:r>
        <w:t>individuals</w:t>
      </w:r>
      <w:r w:rsidR="00F147F9">
        <w:t xml:space="preserve"> would be loath to eating out after the delivery instance. But this reticence toward eating out </w:t>
      </w:r>
      <w:r>
        <w:t>is not</w:t>
      </w:r>
      <w:r w:rsidR="00F147F9">
        <w:t xml:space="preserve"> reflective of the tendency of a random individual (who will have much more of an adventurous and variety-seeking nature) to eat out </w:t>
      </w:r>
      <w:r>
        <w:t xml:space="preserve">after experiencing a delivery instance (say from the </w:t>
      </w:r>
      <w:r w:rsidR="00F147F9">
        <w:t xml:space="preserve">restaurant from where the delivery </w:t>
      </w:r>
      <w:r>
        <w:t xml:space="preserve">was </w:t>
      </w:r>
      <w:r w:rsidR="00F147F9">
        <w:t>placed</w:t>
      </w:r>
      <w:r>
        <w:t>)</w:t>
      </w:r>
      <w:r w:rsidR="00F147F9">
        <w:t xml:space="preserve">. </w:t>
      </w:r>
      <w:r>
        <w:t>More generally, the unobserved “privacy-in-eating” tendency of a select group in the sample will corrupt (lower) the “true” effect of delivery on eat-out tendency, unless that “privacy</w:t>
      </w:r>
      <w:r w:rsidR="00E64FE9">
        <w:t>-</w:t>
      </w:r>
      <w:r>
        <w:t>in</w:t>
      </w:r>
      <w:r w:rsidR="00E64FE9">
        <w:t>-</w:t>
      </w:r>
      <w:r>
        <w:t>eating” effect (unobserved correlation effect) is controlled for. Similarly, if the study was to examine takeout tendency after a delivery instance, the higher-than-norm</w:t>
      </w:r>
      <w:r w:rsidR="00E64FE9">
        <w:t>al</w:t>
      </w:r>
      <w:r>
        <w:t xml:space="preserve"> tendency of the “privacy-in eating” group </w:t>
      </w:r>
      <w:r w:rsidR="006B3DBC">
        <w:t xml:space="preserve">to takeout following the delivery instance will temper the “true” negative impact of delivery on take-outs in the general population, underplaying the substitutive tendency between the two eat-in channels. </w:t>
      </w:r>
    </w:p>
    <w:p w14:paraId="36DA2F7A" w14:textId="19F06647" w:rsidR="00D52C17" w:rsidRDefault="00D52C17" w:rsidP="00DD75BF">
      <w:pPr>
        <w:spacing w:after="0" w:line="276" w:lineRule="auto"/>
      </w:pPr>
    </w:p>
    <w:p w14:paraId="666A43E0" w14:textId="2B31C627" w:rsidR="00E912E2" w:rsidRPr="00DD75BF" w:rsidRDefault="00DD75BF" w:rsidP="00DD75BF">
      <w:pPr>
        <w:pStyle w:val="Heading2"/>
        <w:spacing w:after="0" w:line="276" w:lineRule="auto"/>
        <w:rPr>
          <w:i w:val="0"/>
        </w:rPr>
      </w:pPr>
      <w:r>
        <w:rPr>
          <w:i w:val="0"/>
        </w:rPr>
        <w:t xml:space="preserve"> </w:t>
      </w:r>
      <w:r w:rsidR="00903542" w:rsidRPr="00DD75BF">
        <w:rPr>
          <w:i w:val="0"/>
        </w:rPr>
        <w:t xml:space="preserve">The </w:t>
      </w:r>
      <w:r w:rsidR="00E912E2" w:rsidRPr="00DD75BF">
        <w:rPr>
          <w:i w:val="0"/>
        </w:rPr>
        <w:t>G</w:t>
      </w:r>
      <w:r w:rsidR="00903542" w:rsidRPr="00DD75BF">
        <w:rPr>
          <w:i w:val="0"/>
        </w:rPr>
        <w:t>oodness-of-</w:t>
      </w:r>
      <w:r w:rsidR="00E912E2" w:rsidRPr="00DD75BF">
        <w:rPr>
          <w:i w:val="0"/>
        </w:rPr>
        <w:t>F</w:t>
      </w:r>
      <w:r w:rsidR="00903542" w:rsidRPr="00DD75BF">
        <w:rPr>
          <w:i w:val="0"/>
        </w:rPr>
        <w:t xml:space="preserve">it </w:t>
      </w:r>
      <w:r w:rsidR="00E912E2" w:rsidRPr="00DD75BF">
        <w:rPr>
          <w:i w:val="0"/>
        </w:rPr>
        <w:t>M</w:t>
      </w:r>
      <w:r w:rsidR="00903542" w:rsidRPr="00DD75BF">
        <w:rPr>
          <w:i w:val="0"/>
        </w:rPr>
        <w:t>easures</w:t>
      </w:r>
    </w:p>
    <w:p w14:paraId="01A95725" w14:textId="771B9270" w:rsidR="00306A10" w:rsidRPr="00DD75BF" w:rsidRDefault="00306A10" w:rsidP="00DD75BF">
      <w:pPr>
        <w:spacing w:after="0" w:line="276" w:lineRule="auto"/>
        <w:jc w:val="both"/>
        <w:rPr>
          <w:color w:val="FF0000"/>
        </w:rPr>
      </w:pPr>
      <w:r>
        <w:t>The joint model used in modeling the frequency of N</w:t>
      </w:r>
      <w:r w:rsidR="009D141C">
        <w:t>HCM</w:t>
      </w:r>
      <w:r>
        <w:t xml:space="preserve">s through the three different channels provides important insights on the different factors influencing individuals dining preferences. But it is also important to consider the data fit provided by such a model relative to a naïve </w:t>
      </w:r>
      <w:r w:rsidR="0033731D">
        <w:t xml:space="preserve">independent </w:t>
      </w:r>
      <w:r>
        <w:t xml:space="preserve">model that completely ignores jointness (i.e. the correlations) among the three dimensions as well as the endogenous effects. The </w:t>
      </w:r>
      <w:r w:rsidR="0033731D">
        <w:t xml:space="preserve">two </w:t>
      </w:r>
      <w:r>
        <w:t xml:space="preserve">models can be compared using </w:t>
      </w:r>
      <w:r w:rsidR="0033731D">
        <w:t xml:space="preserve">a simple nested likelihood ratio test because the independent model is </w:t>
      </w:r>
      <w:r w:rsidR="00A9392B">
        <w:t xml:space="preserve">a </w:t>
      </w:r>
      <w:r w:rsidR="0033731D">
        <w:t xml:space="preserve">nested (and restricted) version of our proposed joint model. </w:t>
      </w:r>
    </w:p>
    <w:p w14:paraId="5880D7D1" w14:textId="5D5FB657" w:rsidR="00306A10" w:rsidRDefault="00306A10" w:rsidP="00DD75BF">
      <w:pPr>
        <w:spacing w:after="0" w:line="276" w:lineRule="auto"/>
        <w:ind w:firstLine="720"/>
        <w:jc w:val="both"/>
      </w:pPr>
      <w:r>
        <w:t xml:space="preserve">We also evaluate the data fit of the joint and the independent models intuitively and informally at both the disaggregate and aggregate levels. At the disaggregate level, for the joint model, we compute an average (across individuals) probability of correct prediction </w:t>
      </w:r>
      <w:r w:rsidR="00797676">
        <w:t>of</w:t>
      </w:r>
      <w:r>
        <w:t xml:space="preserve"> the observed </w:t>
      </w:r>
      <w:r w:rsidR="00797676">
        <w:t xml:space="preserve">monthly count combination </w:t>
      </w:r>
      <w:r>
        <w:t xml:space="preserve">level. A similar disaggregate measure is computed for the independent model. At the aggregate level, we </w:t>
      </w:r>
      <w:r w:rsidR="00797676">
        <w:t xml:space="preserve">first </w:t>
      </w:r>
      <w:r>
        <w:t>compute</w:t>
      </w:r>
      <w:r w:rsidR="00797676">
        <w:t>, at the individual level,</w:t>
      </w:r>
      <w:r>
        <w:t xml:space="preserve"> </w:t>
      </w:r>
      <w:r w:rsidR="00797676">
        <w:t xml:space="preserve">the </w:t>
      </w:r>
      <w:r>
        <w:t xml:space="preserve">multivariate </w:t>
      </w:r>
      <w:r w:rsidR="00797676">
        <w:t xml:space="preserve">probability </w:t>
      </w:r>
      <w:r>
        <w:t xml:space="preserve">prediction for each of the 539 multivariate combination outcomes </w:t>
      </w:r>
      <w:r w:rsidR="00797676">
        <w:t xml:space="preserve">of </w:t>
      </w:r>
      <w:r>
        <w:t>the three channels of N</w:t>
      </w:r>
      <w:r w:rsidR="009D141C">
        <w:t>HCM</w:t>
      </w:r>
      <w:r>
        <w:t xml:space="preserve"> (total possible combinations=</w:t>
      </w:r>
      <w:r w:rsidRPr="00E56A43">
        <w:rPr>
          <w:position w:val="-6"/>
        </w:rPr>
        <w:object w:dxaOrig="1480" w:dyaOrig="279" w14:anchorId="5A464ABE">
          <v:shape id="_x0000_i1090" type="#_x0000_t75" style="width:72.95pt;height:14.2pt" o:ole="">
            <v:imagedata r:id="rId133" o:title=""/>
          </v:shape>
          <o:OLEObject Type="Embed" ProgID="Equation.DSMT4" ShapeID="_x0000_i1090" DrawAspect="Content" ObjectID="_1734432110" r:id="rId134"/>
        </w:object>
      </w:r>
      <w:r>
        <w:t xml:space="preserve">). </w:t>
      </w:r>
      <w:r w:rsidR="00797676">
        <w:t xml:space="preserve">Then, we can aggregate these counts across individuals for each of the 539 combinations and compare our model-predicted aggregate values with the actual number of individuals in each of these combinations. </w:t>
      </w:r>
      <w:r w:rsidRPr="001234E5">
        <w:t xml:space="preserve">But, </w:t>
      </w:r>
      <w:r w:rsidR="00797676">
        <w:t xml:space="preserve">this </w:t>
      </w:r>
      <w:r w:rsidR="0033731D">
        <w:t xml:space="preserve">presentation would be cumbersome; besides, many of the 539 combinations will have </w:t>
      </w:r>
      <w:r w:rsidR="00797676">
        <w:t>zero observed entries</w:t>
      </w:r>
      <w:r w:rsidR="0033731D">
        <w:t>. So,</w:t>
      </w:r>
      <w:r w:rsidR="00797676">
        <w:t xml:space="preserve"> for presentation compactness, we aggregate the number of individuals based on three bins for eat-out (0, 1-3, and &gt;3), three bins for eat-in takeout (0,</w:t>
      </w:r>
      <w:r w:rsidR="00EE6F3D">
        <w:t xml:space="preserve"> </w:t>
      </w:r>
      <w:r w:rsidR="00797676">
        <w:t>1-2, and &gt;2), and three bins for eat-in delivery (0,</w:t>
      </w:r>
      <w:r w:rsidR="00EE6F3D">
        <w:t xml:space="preserve"> </w:t>
      </w:r>
      <w:r w:rsidR="00797676">
        <w:t xml:space="preserve">1-2, and &gt;2). We then </w:t>
      </w:r>
      <w:r w:rsidR="0033731D">
        <w:t xml:space="preserve">compare the observed and model-predicted numbers of individuals in each of the resulting </w:t>
      </w:r>
      <w:r w:rsidR="001A2686">
        <w:t>27</w:t>
      </w:r>
      <w:r w:rsidR="0033731D">
        <w:t xml:space="preserve"> combination bins</w:t>
      </w:r>
      <w:r w:rsidR="00797676">
        <w:t xml:space="preserve">, to compute a weighted </w:t>
      </w:r>
      <w:r w:rsidR="00797676">
        <w:lastRenderedPageBreak/>
        <w:t xml:space="preserve">absolute percentage error (WAPE) value (the weighting here is based on the actual observed share of individuals in each of the </w:t>
      </w:r>
      <w:r w:rsidR="00390615">
        <w:t xml:space="preserve">27 </w:t>
      </w:r>
      <w:r w:rsidR="00797676">
        <w:t>combination</w:t>
      </w:r>
      <w:r w:rsidR="0033731D">
        <w:t xml:space="preserve"> bins</w:t>
      </w:r>
      <w:r w:rsidR="00797676">
        <w:t xml:space="preserve">). </w:t>
      </w:r>
    </w:p>
    <w:p w14:paraId="084E7942" w14:textId="247B280A" w:rsidR="00AE6752" w:rsidRDefault="00306A10" w:rsidP="00DD75BF">
      <w:pPr>
        <w:spacing w:after="0" w:line="276" w:lineRule="auto"/>
        <w:ind w:firstLine="720"/>
        <w:jc w:val="both"/>
      </w:pPr>
      <w:r>
        <w:t>The results of the data fit evaluation</w:t>
      </w:r>
      <w:r w:rsidR="00A9392B">
        <w:t>s</w:t>
      </w:r>
      <w:r>
        <w:t xml:space="preserve"> are provided in Table 4. </w:t>
      </w:r>
      <w:r w:rsidR="0033731D">
        <w:t xml:space="preserve">The </w:t>
      </w:r>
      <w:r w:rsidR="00BB7B16">
        <w:t>likelihood-</w:t>
      </w:r>
      <w:r w:rsidR="0033731D">
        <w:t xml:space="preserve">based fit measures </w:t>
      </w:r>
      <w:r>
        <w:t xml:space="preserve">and the average probability of correct prediction from the joint model indicate the </w:t>
      </w:r>
      <w:r w:rsidR="00D757B6">
        <w:t>better</w:t>
      </w:r>
      <w:r>
        <w:t xml:space="preserve"> fit </w:t>
      </w:r>
      <w:r w:rsidR="00D757B6">
        <w:t xml:space="preserve">relative to the independent model </w:t>
      </w:r>
      <w:r w:rsidR="00A9392B">
        <w:t>(see top row panel of Table 4)</w:t>
      </w:r>
      <w:r>
        <w:t xml:space="preserve">. </w:t>
      </w:r>
      <w:bookmarkStart w:id="53" w:name="_Hlk119673878"/>
      <w:r w:rsidR="00D757B6">
        <w:t xml:space="preserve">Note that while the difference in adjusted rho-bar squared and average probability of correct prediction between the two models may seem marginal, these differences are actually quite substantial given the 539 combinations possible. To provide a sense of this, note that the average probability of correct prediction of an equal share model would be 0.00186, so </w:t>
      </w:r>
      <w:r w:rsidR="009C257C">
        <w:t xml:space="preserve">even an improvement in the third or fourth </w:t>
      </w:r>
      <w:r w:rsidR="00D757B6">
        <w:t>decimal p</w:t>
      </w:r>
      <w:r w:rsidR="009C257C">
        <w:t>laces</w:t>
      </w:r>
      <w:r w:rsidR="00D757B6">
        <w:t xml:space="preserve"> </w:t>
      </w:r>
      <w:r w:rsidR="009C257C">
        <w:t>of</w:t>
      </w:r>
      <w:r w:rsidR="00D757B6">
        <w:t xml:space="preserve"> the disaggregate metrics is not trivial. </w:t>
      </w:r>
      <w:r>
        <w:t>In terms of aggregate data fit too</w:t>
      </w:r>
      <w:r w:rsidR="00A9392B">
        <w:t xml:space="preserve"> (see bottom row of </w:t>
      </w:r>
      <w:r w:rsidR="00BB7B16">
        <w:t xml:space="preserve">the </w:t>
      </w:r>
      <w:r w:rsidR="00A9392B">
        <w:t>panel)</w:t>
      </w:r>
      <w:r>
        <w:t xml:space="preserve">, for each of the </w:t>
      </w:r>
      <w:r w:rsidR="00BB7B16">
        <w:t xml:space="preserve">27 </w:t>
      </w:r>
      <w:r>
        <w:t>combination</w:t>
      </w:r>
      <w:r w:rsidR="0033731D">
        <w:t xml:space="preserve"> bins</w:t>
      </w:r>
      <w:r>
        <w:t>, the</w:t>
      </w:r>
      <w:r w:rsidR="0033731D">
        <w:t xml:space="preserve"> numbers </w:t>
      </w:r>
      <w:r>
        <w:t>predicted by the joint model are better than those predicted by the independent model. Overall, across the</w:t>
      </w:r>
      <w:r w:rsidR="0033731D">
        <w:t xml:space="preserve"> </w:t>
      </w:r>
      <w:r w:rsidR="00BB7B16">
        <w:t>27</w:t>
      </w:r>
      <w:r w:rsidR="0033731D">
        <w:t xml:space="preserve"> </w:t>
      </w:r>
      <w:r>
        <w:t xml:space="preserve">combinations, the weighted average (weighted on the observed shares) of the absolute percentage error is </w:t>
      </w:r>
      <w:r w:rsidR="00AE6752">
        <w:t>13.19</w:t>
      </w:r>
      <w:r w:rsidR="00BB7B16">
        <w:t>%</w:t>
      </w:r>
      <w:r>
        <w:t xml:space="preserve"> for the joint model and </w:t>
      </w:r>
      <w:r w:rsidR="00AE6752">
        <w:t>16.62</w:t>
      </w:r>
      <w:r w:rsidR="00BB7B16">
        <w:t>%</w:t>
      </w:r>
      <w:r>
        <w:t xml:space="preserve"> for the independent model, once again highlighting the superior fit of the joint model.</w:t>
      </w:r>
    </w:p>
    <w:p w14:paraId="5196759E" w14:textId="182CCB33" w:rsidR="00F57C3B" w:rsidRDefault="00F57C3B" w:rsidP="00A700CB">
      <w:pPr>
        <w:ind w:firstLine="720"/>
        <w:jc w:val="both"/>
      </w:pPr>
      <w:r w:rsidRPr="0098093F">
        <w:rPr>
          <w:lang w:eastAsia="zh-CN"/>
        </w:rPr>
        <w:t xml:space="preserve">To ensure that the superior data fit of the joint model is not simply an artifact of overfitting on the overall estimation sample, we evaluated the performance of the joint and independent models </w:t>
      </w:r>
      <w:bookmarkStart w:id="54" w:name="_Hlk120044919"/>
      <w:r w:rsidRPr="0098093F">
        <w:rPr>
          <w:lang w:eastAsia="zh-CN"/>
        </w:rPr>
        <w:t>on various market segment</w:t>
      </w:r>
      <w:r w:rsidR="00381210">
        <w:rPr>
          <w:lang w:eastAsia="zh-CN"/>
        </w:rPr>
        <w:t>s</w:t>
      </w:r>
      <w:r w:rsidRPr="0098093F">
        <w:rPr>
          <w:lang w:eastAsia="zh-CN"/>
        </w:rPr>
        <w:t xml:space="preserve"> of the estimation </w:t>
      </w:r>
      <w:bookmarkEnd w:id="54"/>
      <w:r w:rsidRPr="0098093F">
        <w:rPr>
          <w:lang w:eastAsia="zh-CN"/>
        </w:rPr>
        <w:t>sample (Ben-Akiva and Lerman</w:t>
      </w:r>
      <w:r w:rsidR="006C2A3C">
        <w:t>,</w:t>
      </w:r>
      <w:r w:rsidRPr="0098093F">
        <w:t>1985, page 208,</w:t>
      </w:r>
      <w:r w:rsidRPr="0098093F">
        <w:rPr>
          <w:lang w:eastAsia="zh-CN"/>
        </w:rPr>
        <w:t xml:space="preserve"> refer to such predictive tests as market segment prediction tests). These tests examine the performance of the two models for different market segments. At a disaggregate level, we computed the implied predictive log-likelihood (after estimating the predicted probability of each count combination for each observation) and compare the two models using an informal chi-squared predictive log-likelihood ratio test. At an aggregate level, </w:t>
      </w:r>
      <w:r w:rsidR="00554351">
        <w:rPr>
          <w:lang w:eastAsia="zh-CN"/>
        </w:rPr>
        <w:t xml:space="preserve">we computed </w:t>
      </w:r>
      <w:r w:rsidRPr="0098093F">
        <w:rPr>
          <w:lang w:eastAsia="zh-CN"/>
        </w:rPr>
        <w:t xml:space="preserve">the predicted and actual (observed) shares for each market segment in the same manner as for the full estimation sample, and </w:t>
      </w:r>
      <w:r w:rsidR="00554351">
        <w:rPr>
          <w:lang w:eastAsia="zh-CN"/>
        </w:rPr>
        <w:t xml:space="preserve">then evaluated </w:t>
      </w:r>
      <w:r w:rsidRPr="0098093F">
        <w:rPr>
          <w:lang w:eastAsia="zh-CN"/>
        </w:rPr>
        <w:t xml:space="preserve">the performance of the two models using the WAPE measure. To focus the discussion and conserve space, Table </w:t>
      </w:r>
      <w:r w:rsidR="00FA08E0" w:rsidRPr="0098093F">
        <w:rPr>
          <w:lang w:eastAsia="zh-CN"/>
        </w:rPr>
        <w:t>5</w:t>
      </w:r>
      <w:r w:rsidRPr="0098093F">
        <w:rPr>
          <w:lang w:eastAsia="zh-CN"/>
        </w:rPr>
        <w:t xml:space="preserve"> presents these data fit statistics for </w:t>
      </w:r>
      <w:r w:rsidR="00554351">
        <w:rPr>
          <w:lang w:eastAsia="zh-CN"/>
        </w:rPr>
        <w:t>six</w:t>
      </w:r>
      <w:r w:rsidR="000C24C5" w:rsidRPr="0098093F">
        <w:rPr>
          <w:lang w:eastAsia="zh-CN"/>
        </w:rPr>
        <w:t xml:space="preserve"> </w:t>
      </w:r>
      <w:r w:rsidRPr="0098093F">
        <w:rPr>
          <w:lang w:eastAsia="zh-CN"/>
        </w:rPr>
        <w:t>market segments based on selected variables (</w:t>
      </w:r>
      <w:r w:rsidR="000C24C5" w:rsidRPr="0098093F">
        <w:rPr>
          <w:lang w:eastAsia="zh-CN"/>
        </w:rPr>
        <w:t>gender</w:t>
      </w:r>
      <w:r w:rsidR="004E3AAC" w:rsidRPr="0098093F">
        <w:rPr>
          <w:lang w:eastAsia="zh-CN"/>
        </w:rPr>
        <w:t>,</w:t>
      </w:r>
      <w:r w:rsidR="000C24C5" w:rsidRPr="0098093F">
        <w:rPr>
          <w:lang w:eastAsia="zh-CN"/>
        </w:rPr>
        <w:t xml:space="preserve"> age, race</w:t>
      </w:r>
      <w:r w:rsidR="004E3AAC" w:rsidRPr="0098093F">
        <w:rPr>
          <w:lang w:eastAsia="zh-CN"/>
        </w:rPr>
        <w:t>,</w:t>
      </w:r>
      <w:r w:rsidR="000C24C5" w:rsidRPr="0098093F">
        <w:rPr>
          <w:lang w:eastAsia="zh-CN"/>
        </w:rPr>
        <w:t xml:space="preserve"> income, </w:t>
      </w:r>
      <w:r w:rsidR="00FA08E0" w:rsidRPr="0098093F">
        <w:rPr>
          <w:lang w:eastAsia="zh-CN"/>
        </w:rPr>
        <w:t xml:space="preserve">presence of children, and </w:t>
      </w:r>
      <w:r w:rsidR="00554351">
        <w:rPr>
          <w:lang w:eastAsia="zh-CN"/>
        </w:rPr>
        <w:t>residential location type</w:t>
      </w:r>
      <w:r w:rsidR="000C24C5" w:rsidRPr="0098093F">
        <w:rPr>
          <w:lang w:eastAsia="zh-CN"/>
        </w:rPr>
        <w:t>)</w:t>
      </w:r>
      <w:r w:rsidRPr="0098093F">
        <w:rPr>
          <w:lang w:eastAsia="zh-CN"/>
        </w:rPr>
        <w:t xml:space="preserve">. For each selected variable, the data fit for the market segment with </w:t>
      </w:r>
      <w:r w:rsidR="00C33BDC" w:rsidRPr="0098093F">
        <w:rPr>
          <w:lang w:eastAsia="zh-CN"/>
        </w:rPr>
        <w:t>the greatest</w:t>
      </w:r>
      <w:r w:rsidRPr="0098093F">
        <w:rPr>
          <w:lang w:eastAsia="zh-CN"/>
        </w:rPr>
        <w:t xml:space="preserve"> number of observations is presented (for example, for the </w:t>
      </w:r>
      <w:r w:rsidR="000C24C5" w:rsidRPr="0098093F">
        <w:rPr>
          <w:lang w:eastAsia="zh-CN"/>
        </w:rPr>
        <w:t xml:space="preserve">gender </w:t>
      </w:r>
      <w:r w:rsidRPr="0098093F">
        <w:rPr>
          <w:lang w:eastAsia="zh-CN"/>
        </w:rPr>
        <w:t>variable</w:t>
      </w:r>
      <w:r w:rsidR="000C24C5" w:rsidRPr="0098093F">
        <w:rPr>
          <w:lang w:eastAsia="zh-CN"/>
        </w:rPr>
        <w:t>,</w:t>
      </w:r>
      <w:r w:rsidRPr="0098093F">
        <w:rPr>
          <w:lang w:eastAsia="zh-CN"/>
        </w:rPr>
        <w:t xml:space="preserve"> Table </w:t>
      </w:r>
      <w:r w:rsidR="00FA08E0" w:rsidRPr="0098093F">
        <w:rPr>
          <w:lang w:eastAsia="zh-CN"/>
        </w:rPr>
        <w:t>5</w:t>
      </w:r>
      <w:r w:rsidRPr="0098093F">
        <w:rPr>
          <w:lang w:eastAsia="zh-CN"/>
        </w:rPr>
        <w:t xml:space="preserve"> provides the data fit for </w:t>
      </w:r>
      <w:r w:rsidR="00381210">
        <w:rPr>
          <w:lang w:eastAsia="zh-CN"/>
        </w:rPr>
        <w:t>females</w:t>
      </w:r>
      <w:r w:rsidR="000C24C5" w:rsidRPr="0098093F">
        <w:rPr>
          <w:lang w:eastAsia="zh-CN"/>
        </w:rPr>
        <w:t xml:space="preserve">, </w:t>
      </w:r>
      <w:r w:rsidRPr="0098093F">
        <w:rPr>
          <w:lang w:eastAsia="zh-CN"/>
        </w:rPr>
        <w:t xml:space="preserve">because this segment represents </w:t>
      </w:r>
      <w:r w:rsidR="00C33BDC">
        <w:rPr>
          <w:lang w:eastAsia="zh-CN"/>
        </w:rPr>
        <w:t>57.3</w:t>
      </w:r>
      <w:r w:rsidRPr="0098093F">
        <w:rPr>
          <w:lang w:eastAsia="zh-CN"/>
        </w:rPr>
        <w:t xml:space="preserve">% of the total sample). The results show that the </w:t>
      </w:r>
      <w:r w:rsidR="00554351">
        <w:rPr>
          <w:lang w:eastAsia="zh-CN"/>
        </w:rPr>
        <w:t xml:space="preserve">informal </w:t>
      </w:r>
      <w:r w:rsidR="000C24C5" w:rsidRPr="00B76E28">
        <w:rPr>
          <w:lang w:eastAsia="zh-CN"/>
        </w:rPr>
        <w:t>predict</w:t>
      </w:r>
      <w:r w:rsidR="000C24C5">
        <w:rPr>
          <w:lang w:eastAsia="zh-CN"/>
        </w:rPr>
        <w:t>ive</w:t>
      </w:r>
      <w:r w:rsidR="000C24C5" w:rsidRPr="00B76E28">
        <w:rPr>
          <w:lang w:eastAsia="zh-CN"/>
        </w:rPr>
        <w:t xml:space="preserve"> log-likelihood ratio test</w:t>
      </w:r>
      <w:r w:rsidR="000C24C5">
        <w:rPr>
          <w:lang w:eastAsia="zh-CN"/>
        </w:rPr>
        <w:t>s</w:t>
      </w:r>
      <w:r w:rsidR="000C24C5" w:rsidRPr="00B76E28">
        <w:rPr>
          <w:lang w:eastAsia="zh-CN"/>
        </w:rPr>
        <w:t xml:space="preserve"> </w:t>
      </w:r>
      <w:r w:rsidR="00554351">
        <w:rPr>
          <w:lang w:eastAsia="zh-CN"/>
        </w:rPr>
        <w:t xml:space="preserve">(see the third numeric row of Table 5) </w:t>
      </w:r>
      <w:r w:rsidR="000C24C5" w:rsidRPr="00B76E28">
        <w:rPr>
          <w:lang w:eastAsia="zh-CN"/>
        </w:rPr>
        <w:t xml:space="preserve">reject the </w:t>
      </w:r>
      <w:r w:rsidR="000C24C5">
        <w:rPr>
          <w:lang w:eastAsia="zh-CN"/>
        </w:rPr>
        <w:t xml:space="preserve">independent model </w:t>
      </w:r>
      <w:r w:rsidR="000C24C5" w:rsidRPr="00B76E28">
        <w:rPr>
          <w:lang w:eastAsia="zh-CN"/>
        </w:rPr>
        <w:t xml:space="preserve">in preference for the </w:t>
      </w:r>
      <w:r w:rsidR="000C24C5">
        <w:rPr>
          <w:lang w:eastAsia="zh-CN"/>
        </w:rPr>
        <w:t xml:space="preserve">joint </w:t>
      </w:r>
      <w:r w:rsidR="000C24C5" w:rsidRPr="00B76E28">
        <w:rPr>
          <w:lang w:eastAsia="zh-CN"/>
        </w:rPr>
        <w:t>model for each market segment</w:t>
      </w:r>
      <w:r w:rsidR="000C24C5" w:rsidRPr="00F003B0">
        <w:rPr>
          <w:lang w:eastAsia="zh-CN"/>
        </w:rPr>
        <w:t xml:space="preserve"> </w:t>
      </w:r>
      <w:r w:rsidR="000C24C5">
        <w:rPr>
          <w:lang w:eastAsia="zh-CN"/>
        </w:rPr>
        <w:t xml:space="preserve">and also </w:t>
      </w:r>
      <w:r w:rsidR="000267AA">
        <w:rPr>
          <w:lang w:eastAsia="zh-CN"/>
        </w:rPr>
        <w:t xml:space="preserve">indicate </w:t>
      </w:r>
      <w:r w:rsidR="000C24C5">
        <w:rPr>
          <w:lang w:eastAsia="zh-CN"/>
        </w:rPr>
        <w:t xml:space="preserve">that the </w:t>
      </w:r>
      <w:r w:rsidRPr="0098093F">
        <w:rPr>
          <w:lang w:eastAsia="zh-CN"/>
        </w:rPr>
        <w:t>predicted shares from the</w:t>
      </w:r>
      <w:r w:rsidR="000C24C5">
        <w:rPr>
          <w:lang w:eastAsia="zh-CN"/>
        </w:rPr>
        <w:t xml:space="preserve"> joint </w:t>
      </w:r>
      <w:r w:rsidRPr="0098093F">
        <w:rPr>
          <w:lang w:eastAsia="zh-CN"/>
        </w:rPr>
        <w:t xml:space="preserve">model are closer to the true shares than the predicted shares from the </w:t>
      </w:r>
      <w:r w:rsidR="000C24C5">
        <w:rPr>
          <w:lang w:eastAsia="zh-CN"/>
        </w:rPr>
        <w:t>independent model for each market segment</w:t>
      </w:r>
      <w:r w:rsidR="00554351">
        <w:rPr>
          <w:lang w:eastAsia="zh-CN"/>
        </w:rPr>
        <w:t xml:space="preserve"> (see the final numeric row of Table 5 for each segment)</w:t>
      </w:r>
      <w:r w:rsidRPr="0098093F">
        <w:rPr>
          <w:lang w:eastAsia="zh-CN"/>
        </w:rPr>
        <w:t>.</w:t>
      </w:r>
      <w:r w:rsidR="000267AA">
        <w:rPr>
          <w:lang w:eastAsia="zh-CN"/>
        </w:rPr>
        <w:t xml:space="preserve"> These observations provide additional support and validation that the joint model indeed offers an improved robust data fit</w:t>
      </w:r>
      <w:r w:rsidR="006C2A3C">
        <w:rPr>
          <w:lang w:eastAsia="zh-CN"/>
        </w:rPr>
        <w:t xml:space="preserve"> that</w:t>
      </w:r>
      <w:r w:rsidR="000267AA">
        <w:rPr>
          <w:lang w:eastAsia="zh-CN"/>
        </w:rPr>
        <w:t xml:space="preserve"> is not simply an artifact of overfitting. </w:t>
      </w:r>
    </w:p>
    <w:bookmarkEnd w:id="53"/>
    <w:p w14:paraId="7ECCF901" w14:textId="77777777" w:rsidR="00D52C17" w:rsidRPr="00A9392B" w:rsidRDefault="00D52C17" w:rsidP="00DD75BF">
      <w:pPr>
        <w:spacing w:after="0" w:line="276" w:lineRule="auto"/>
      </w:pPr>
    </w:p>
    <w:p w14:paraId="6CF3D977" w14:textId="72DDE7DC" w:rsidR="00A85872" w:rsidRDefault="0024290A" w:rsidP="00DD75BF">
      <w:pPr>
        <w:pStyle w:val="Heading1"/>
      </w:pPr>
      <w:r>
        <w:t>MAGNITUDE EFFECTS OF VARIABLES</w:t>
      </w:r>
    </w:p>
    <w:p w14:paraId="118316DE" w14:textId="4124BEFF" w:rsidR="008669D4" w:rsidRPr="000E1B51" w:rsidRDefault="008669D4" w:rsidP="00DD75BF">
      <w:pPr>
        <w:pStyle w:val="Heading2"/>
        <w:spacing w:after="0" w:line="276" w:lineRule="auto"/>
        <w:rPr>
          <w:i w:val="0"/>
        </w:rPr>
      </w:pPr>
      <w:r w:rsidRPr="000E1B51">
        <w:rPr>
          <w:i w:val="0"/>
        </w:rPr>
        <w:t xml:space="preserve"> Analysis Preparation</w:t>
      </w:r>
    </w:p>
    <w:p w14:paraId="6639C2FB" w14:textId="7D56A7C5" w:rsidR="0033731D" w:rsidRDefault="00306A10" w:rsidP="00DD75BF">
      <w:pPr>
        <w:spacing w:after="0" w:line="276" w:lineRule="auto"/>
        <w:jc w:val="both"/>
      </w:pPr>
      <w:bookmarkStart w:id="55" w:name="_Hlk119670268"/>
      <w:r w:rsidRPr="000569A9">
        <w:t xml:space="preserve">The results provided in Section 4.2 do not provide information on the actual effects of the variables on </w:t>
      </w:r>
      <w:r w:rsidRPr="002E5DCF">
        <w:t>N</w:t>
      </w:r>
      <w:r w:rsidR="009D141C">
        <w:t>HCM</w:t>
      </w:r>
      <w:r w:rsidRPr="002E5DCF">
        <w:t xml:space="preserve"> frequency by channel, nor do they provide a sense of the relative magnitudes of impacts </w:t>
      </w:r>
      <w:r w:rsidRPr="002E5DCF">
        <w:lastRenderedPageBreak/>
        <w:t xml:space="preserve">of different variables. </w:t>
      </w:r>
      <w:r w:rsidR="00CA7F87">
        <w:t>In fact,</w:t>
      </w:r>
      <w:r w:rsidR="00CA7F87" w:rsidRPr="001234E5">
        <w:t xml:space="preserve"> even the directionality of </w:t>
      </w:r>
      <w:r w:rsidR="0084494B">
        <w:t xml:space="preserve">the </w:t>
      </w:r>
      <w:r w:rsidR="00CA7F87" w:rsidRPr="001234E5">
        <w:t xml:space="preserve">effect of a variable on the underlying propensity does not provide a sense of how the variable may actually impact </w:t>
      </w:r>
      <w:r w:rsidR="00CA7F87">
        <w:t xml:space="preserve">counts in each channel. Besides, with the unobserved correlation effects and endogenous effects, the </w:t>
      </w:r>
      <w:r w:rsidR="0033731D">
        <w:t xml:space="preserve">variable </w:t>
      </w:r>
      <w:r w:rsidR="00CA7F87">
        <w:t xml:space="preserve">effects get even more challenging to </w:t>
      </w:r>
      <w:r w:rsidR="0033731D">
        <w:t xml:space="preserve">quantify </w:t>
      </w:r>
      <w:r w:rsidR="00CA7F87">
        <w:t xml:space="preserve">from the model estimates. </w:t>
      </w:r>
    </w:p>
    <w:p w14:paraId="3CB959A9" w14:textId="4594BCF8" w:rsidR="00306A10" w:rsidRDefault="00CA7F87" w:rsidP="00DD75BF">
      <w:pPr>
        <w:spacing w:after="0" w:line="276" w:lineRule="auto"/>
        <w:ind w:firstLine="720"/>
        <w:jc w:val="both"/>
        <w:rPr>
          <w:b/>
          <w:i/>
        </w:rPr>
      </w:pPr>
      <w:r w:rsidRPr="001234E5">
        <w:t>To determine directionality and magnitude effects, the estimates need to be translated to actual outcome effects, which however will vary across individuals because of the non-linear nature of our model.</w:t>
      </w:r>
      <w:r>
        <w:t xml:space="preserve"> </w:t>
      </w:r>
      <w:r w:rsidRPr="001234E5">
        <w:t xml:space="preserve">But </w:t>
      </w:r>
      <w:r>
        <w:t xml:space="preserve">an average </w:t>
      </w:r>
      <w:r w:rsidRPr="001234E5">
        <w:t xml:space="preserve">effect </w:t>
      </w:r>
      <w:r>
        <w:t xml:space="preserve">of a change in the variable on the monthly </w:t>
      </w:r>
      <w:r w:rsidR="0033731D">
        <w:t xml:space="preserve">count </w:t>
      </w:r>
      <w:r>
        <w:t>of each of the three N</w:t>
      </w:r>
      <w:r w:rsidR="009D141C">
        <w:t>HCM</w:t>
      </w:r>
      <w:r>
        <w:t xml:space="preserve"> channels (and, implicitly, then, also the monthly </w:t>
      </w:r>
      <w:r w:rsidR="0033731D">
        <w:t>count</w:t>
      </w:r>
      <w:r>
        <w:t xml:space="preserve"> of </w:t>
      </w:r>
      <w:r w:rsidR="009D141C">
        <w:t>HCM</w:t>
      </w:r>
      <w:r>
        <w:t xml:space="preserve"> meals over the 22 weekdays) </w:t>
      </w:r>
      <w:r w:rsidRPr="001234E5">
        <w:t>can be computed</w:t>
      </w:r>
      <w:r>
        <w:t>, using average treatment effects or ATEs</w:t>
      </w:r>
      <w:r w:rsidRPr="001234E5">
        <w:t xml:space="preserve">. </w:t>
      </w:r>
    </w:p>
    <w:bookmarkEnd w:id="55"/>
    <w:p w14:paraId="2DB16E61" w14:textId="5799B082" w:rsidR="00306A10" w:rsidRDefault="0033731D" w:rsidP="00DD75BF">
      <w:pPr>
        <w:spacing w:after="0" w:line="276" w:lineRule="auto"/>
        <w:ind w:firstLine="720"/>
        <w:jc w:val="both"/>
      </w:pPr>
      <w:r>
        <w:t xml:space="preserve">The ATE computation procedure is as follows. </w:t>
      </w:r>
      <w:r w:rsidR="00306A10">
        <w:t xml:space="preserve">First, similar to the </w:t>
      </w:r>
      <w:r w:rsidR="005F5793">
        <w:t xml:space="preserve">computation of the aggregate data fit measures in Section </w:t>
      </w:r>
      <w:r w:rsidR="00A9392B">
        <w:t>4.4</w:t>
      </w:r>
      <w:r w:rsidR="005F5793">
        <w:t>, we compute</w:t>
      </w:r>
      <w:r w:rsidR="00A9392B">
        <w:t>, for each individual,</w:t>
      </w:r>
      <w:r w:rsidR="005F5793">
        <w:t xml:space="preserve"> the </w:t>
      </w:r>
      <w:r w:rsidR="00306A10">
        <w:t>multivariate predictions for each of the 539 multivariate combinations of possible outcomes for the three channels of N</w:t>
      </w:r>
      <w:r w:rsidR="009D141C">
        <w:t>HCM</w:t>
      </w:r>
      <w:r w:rsidR="00306A10">
        <w:t xml:space="preserve">. Then, for each individual, we compute the </w:t>
      </w:r>
      <w:r w:rsidR="00306A10" w:rsidRPr="00A95EAE">
        <w:t xml:space="preserve">expected count for each univariate channel </w:t>
      </w:r>
      <w:r w:rsidR="00A81948">
        <w:t xml:space="preserve">as the </w:t>
      </w:r>
      <w:r w:rsidR="00306A10" w:rsidRPr="00A95EAE">
        <w:t>appropriate weighted su</w:t>
      </w:r>
      <w:r w:rsidR="00A81948">
        <w:t>m</w:t>
      </w:r>
      <w:r w:rsidR="005F5793">
        <w:t xml:space="preserve"> of the specific count </w:t>
      </w:r>
      <w:r w:rsidR="00A81948">
        <w:t xml:space="preserve">value </w:t>
      </w:r>
      <w:r w:rsidR="005F5793">
        <w:t>combination with the probability of the count combination</w:t>
      </w:r>
      <w:r w:rsidR="00306A10">
        <w:t xml:space="preserve">. Thus, let the </w:t>
      </w:r>
      <w:r w:rsidR="00A81948">
        <w:t xml:space="preserve">index of </w:t>
      </w:r>
      <w:r w:rsidR="00306A10">
        <w:t xml:space="preserve">counts be </w:t>
      </w:r>
      <w:r w:rsidR="00306A10">
        <w:rPr>
          <w:i/>
        </w:rPr>
        <w:t xml:space="preserve">r </w:t>
      </w:r>
      <w:r w:rsidR="00306A10">
        <w:t>(</w:t>
      </w:r>
      <w:r w:rsidR="00306A10">
        <w:rPr>
          <w:i/>
        </w:rPr>
        <w:t>r</w:t>
      </w:r>
      <w:r w:rsidR="00306A10">
        <w:t>=0,1,2,</w:t>
      </w:r>
      <w:r w:rsidR="005F5793">
        <w:t>…,</w:t>
      </w:r>
      <w:r w:rsidR="00306A10">
        <w:t>10)</w:t>
      </w:r>
      <w:r w:rsidR="00A81948">
        <w:t xml:space="preserve"> for the eat-out channel</w:t>
      </w:r>
      <w:r w:rsidR="00306A10">
        <w:t>,</w:t>
      </w:r>
      <w:r w:rsidR="00A81948">
        <w:t xml:space="preserve"> </w:t>
      </w:r>
      <w:r w:rsidR="00306A10">
        <w:rPr>
          <w:i/>
        </w:rPr>
        <w:t xml:space="preserve">s </w:t>
      </w:r>
      <w:r w:rsidR="00306A10">
        <w:t>(</w:t>
      </w:r>
      <w:r w:rsidR="00306A10">
        <w:rPr>
          <w:i/>
        </w:rPr>
        <w:t>s</w:t>
      </w:r>
      <w:r w:rsidR="00306A10">
        <w:t>=0,1,</w:t>
      </w:r>
      <w:r w:rsidR="005F5793">
        <w:t>…</w:t>
      </w:r>
      <w:r w:rsidR="00DD75BF">
        <w:t>,</w:t>
      </w:r>
      <w:r w:rsidR="00306A10">
        <w:t xml:space="preserve">6) </w:t>
      </w:r>
      <w:r w:rsidR="00A81948">
        <w:t xml:space="preserve">for the eat-in take-out channel, </w:t>
      </w:r>
      <w:r w:rsidR="00306A10">
        <w:t xml:space="preserve">and </w:t>
      </w:r>
      <w:r w:rsidR="005F5793">
        <w:rPr>
          <w:i/>
        </w:rPr>
        <w:t xml:space="preserve">t </w:t>
      </w:r>
      <w:r w:rsidR="005F5793">
        <w:t>(</w:t>
      </w:r>
      <w:r w:rsidR="005F5793">
        <w:rPr>
          <w:i/>
        </w:rPr>
        <w:t>t</w:t>
      </w:r>
      <w:r w:rsidR="005F5793">
        <w:t>=0,1,…</w:t>
      </w:r>
      <w:r w:rsidR="00DD75BF">
        <w:t>,</w:t>
      </w:r>
      <w:r w:rsidR="005F5793">
        <w:t xml:space="preserve">6) for the </w:t>
      </w:r>
      <w:r w:rsidR="00A81948">
        <w:t xml:space="preserve">eat-in </w:t>
      </w:r>
      <w:r w:rsidR="005F5793">
        <w:t>delivery channel</w:t>
      </w:r>
      <w:r w:rsidR="00306A10">
        <w:t xml:space="preserve">. Let the ordered outcomes be </w:t>
      </w:r>
      <w:r w:rsidR="00EE6F3D" w:rsidRPr="00FD56DA">
        <w:rPr>
          <w:position w:val="-12"/>
        </w:rPr>
        <w:object w:dxaOrig="380" w:dyaOrig="360" w14:anchorId="641995E6">
          <v:shape id="_x0000_i1091" type="#_x0000_t75" style="width:18.95pt;height:18.95pt" o:ole="" o:preferrelative="f">
            <v:imagedata r:id="rId135" o:title=""/>
            <o:lock v:ext="edit" aspectratio="f"/>
          </v:shape>
          <o:OLEObject Type="Embed" ProgID="Equation.DSMT4" ShapeID="_x0000_i1091" DrawAspect="Content" ObjectID="_1734432111" r:id="rId136"/>
        </w:object>
      </w:r>
      <w:r w:rsidR="00306A10">
        <w:t>,</w:t>
      </w:r>
      <w:r w:rsidR="00DE02AA">
        <w:t xml:space="preserve"> </w:t>
      </w:r>
      <w:r w:rsidR="00EE6F3D" w:rsidRPr="00FD56DA">
        <w:rPr>
          <w:position w:val="-12"/>
        </w:rPr>
        <w:object w:dxaOrig="360" w:dyaOrig="360" w14:anchorId="4498813B">
          <v:shape id="_x0000_i1092" type="#_x0000_t75" style="width:18.95pt;height:18.95pt" o:ole="">
            <v:imagedata r:id="rId137" o:title=""/>
          </v:shape>
          <o:OLEObject Type="Embed" ProgID="Equation.DSMT4" ShapeID="_x0000_i1092" DrawAspect="Content" ObjectID="_1734432112" r:id="rId138"/>
        </w:object>
      </w:r>
      <w:r w:rsidR="00EE6F3D">
        <w:t xml:space="preserve">, </w:t>
      </w:r>
      <w:r w:rsidR="00306A10">
        <w:t xml:space="preserve">and </w:t>
      </w:r>
      <w:r w:rsidR="00EE6F3D" w:rsidRPr="00FD56DA">
        <w:rPr>
          <w:position w:val="-12"/>
        </w:rPr>
        <w:object w:dxaOrig="380" w:dyaOrig="360" w14:anchorId="29A284C2">
          <v:shape id="_x0000_i1093" type="#_x0000_t75" style="width:18.95pt;height:18.95pt" o:ole="" o:preferrelative="f">
            <v:imagedata r:id="rId139" o:title=""/>
            <o:lock v:ext="edit" aspectratio="f"/>
          </v:shape>
          <o:OLEObject Type="Embed" ProgID="Equation.DSMT4" ShapeID="_x0000_i1093" DrawAspect="Content" ObjectID="_1734432113" r:id="rId140"/>
        </w:object>
      </w:r>
      <w:r w:rsidR="00306A10">
        <w:t xml:space="preserve"> for eat-out, eat-in takeout and eat-in delivery channels respectively. Let </w:t>
      </w:r>
      <w:r w:rsidR="00DE02AA" w:rsidRPr="00FD56DA">
        <w:rPr>
          <w:position w:val="-12"/>
        </w:rPr>
        <w:object w:dxaOrig="2580" w:dyaOrig="360" w14:anchorId="5ACBD586">
          <v:shape id="_x0000_i1094" type="#_x0000_t75" style="width:128.85pt;height:18pt" o:ole="" o:preferrelative="f">
            <v:imagedata r:id="rId141" o:title=""/>
            <o:lock v:ext="edit" aspectratio="f"/>
          </v:shape>
          <o:OLEObject Type="Embed" ProgID="Equation.DSMT4" ShapeID="_x0000_i1094" DrawAspect="Content" ObjectID="_1734432114" r:id="rId142"/>
        </w:object>
      </w:r>
      <w:r w:rsidR="00860CE5">
        <w:t xml:space="preserve"> </w:t>
      </w:r>
      <w:r w:rsidR="00306A10">
        <w:t xml:space="preserve">be the multivariate probability for a specific combination of </w:t>
      </w:r>
      <w:r w:rsidR="00306A10">
        <w:rPr>
          <w:i/>
        </w:rPr>
        <w:t>r</w:t>
      </w:r>
      <w:r w:rsidR="00306A10">
        <w:t xml:space="preserve">, </w:t>
      </w:r>
      <w:r w:rsidR="00306A10">
        <w:rPr>
          <w:i/>
        </w:rPr>
        <w:t>s</w:t>
      </w:r>
      <w:r w:rsidR="00306A10">
        <w:t xml:space="preserve">, and </w:t>
      </w:r>
      <w:r w:rsidR="00306A10">
        <w:rPr>
          <w:i/>
        </w:rPr>
        <w:t>t</w:t>
      </w:r>
      <w:r>
        <w:t>, and for a specific individual, c</w:t>
      </w:r>
      <w:r w:rsidR="00306A10">
        <w:t>omputed using our model estimates.</w:t>
      </w:r>
      <w:r w:rsidR="00306A10">
        <w:rPr>
          <w:i/>
        </w:rPr>
        <w:t xml:space="preserve"> </w:t>
      </w:r>
      <w:r w:rsidR="00306A10">
        <w:t xml:space="preserve">Finally, let </w:t>
      </w:r>
      <w:r w:rsidR="00DE02AA" w:rsidRPr="00FD56DA">
        <w:rPr>
          <w:position w:val="-12"/>
        </w:rPr>
        <w:object w:dxaOrig="380" w:dyaOrig="400" w14:anchorId="58CB67B8">
          <v:shape id="_x0000_i1095" type="#_x0000_t75" style="width:18.95pt;height:20.35pt" o:ole="" o:preferrelative="f">
            <v:imagedata r:id="rId143" o:title=""/>
            <o:lock v:ext="edit" aspectratio="f"/>
          </v:shape>
          <o:OLEObject Type="Embed" ProgID="Equation.DSMT4" ShapeID="_x0000_i1095" DrawAspect="Content" ObjectID="_1734432115" r:id="rId144"/>
        </w:object>
      </w:r>
      <w:r w:rsidR="00306A10">
        <w:t xml:space="preserve">, </w:t>
      </w:r>
      <w:r w:rsidR="00DE02AA" w:rsidRPr="00FD56DA">
        <w:rPr>
          <w:position w:val="-12"/>
        </w:rPr>
        <w:object w:dxaOrig="360" w:dyaOrig="400" w14:anchorId="0E56E938">
          <v:shape id="_x0000_i1096" type="#_x0000_t75" style="width:18pt;height:20.35pt" o:ole="" o:preferrelative="f">
            <v:imagedata r:id="rId145" o:title=""/>
            <o:lock v:ext="edit" aspectratio="f"/>
          </v:shape>
          <o:OLEObject Type="Embed" ProgID="Equation.DSMT4" ShapeID="_x0000_i1096" DrawAspect="Content" ObjectID="_1734432116" r:id="rId146"/>
        </w:object>
      </w:r>
      <w:r w:rsidR="00EE6F3D">
        <w:t>,</w:t>
      </w:r>
      <w:r w:rsidR="00306A10">
        <w:t xml:space="preserve"> and </w:t>
      </w:r>
      <w:r w:rsidR="00DE02AA" w:rsidRPr="00FD56DA">
        <w:rPr>
          <w:position w:val="-12"/>
        </w:rPr>
        <w:object w:dxaOrig="380" w:dyaOrig="400" w14:anchorId="373DC7FC">
          <v:shape id="_x0000_i1097" type="#_x0000_t75" style="width:18.95pt;height:20.35pt" o:ole="" o:preferrelative="f">
            <v:imagedata r:id="rId147" o:title=""/>
            <o:lock v:ext="edit" aspectratio="f"/>
          </v:shape>
          <o:OLEObject Type="Embed" ProgID="Equation.DSMT4" ShapeID="_x0000_i1097" DrawAspect="Content" ObjectID="_1734432117" r:id="rId148"/>
        </w:object>
      </w:r>
      <w:r w:rsidR="00860CE5">
        <w:t xml:space="preserve"> </w:t>
      </w:r>
      <w:r w:rsidR="00306A10">
        <w:t xml:space="preserve">be the expected </w:t>
      </w:r>
      <w:r w:rsidR="00246E8E">
        <w:t xml:space="preserve">univariate </w:t>
      </w:r>
      <w:r w:rsidR="00306A10">
        <w:t xml:space="preserve">monthly count </w:t>
      </w:r>
      <w:r>
        <w:t xml:space="preserve">for the individual </w:t>
      </w:r>
      <w:r w:rsidR="00306A10">
        <w:t xml:space="preserve">for the three </w:t>
      </w:r>
      <w:r w:rsidR="00246E8E">
        <w:t>N</w:t>
      </w:r>
      <w:r w:rsidR="009D141C">
        <w:t>HCM</w:t>
      </w:r>
      <w:r w:rsidR="00246E8E">
        <w:t xml:space="preserve"> </w:t>
      </w:r>
      <w:r w:rsidR="00306A10">
        <w:t>channels,</w:t>
      </w:r>
    </w:p>
    <w:p w14:paraId="0AE44BBE" w14:textId="0BD4A5BD" w:rsidR="00306A10" w:rsidRDefault="00DE02AA" w:rsidP="005A5EAE">
      <w:pPr>
        <w:tabs>
          <w:tab w:val="right" w:pos="9360"/>
        </w:tabs>
        <w:spacing w:before="60" w:after="60" w:line="276" w:lineRule="auto"/>
        <w:jc w:val="both"/>
      </w:pPr>
      <w:r w:rsidRPr="00694B7E">
        <w:rPr>
          <w:position w:val="-30"/>
        </w:rPr>
        <w:object w:dxaOrig="4380" w:dyaOrig="720" w14:anchorId="582DE2B1">
          <v:shape id="_x0000_i1098" type="#_x0000_t75" style="width:218.85pt;height:36pt" o:ole="" o:preferrelative="f">
            <v:imagedata r:id="rId149" o:title=""/>
            <o:lock v:ext="edit" aspectratio="f"/>
          </v:shape>
          <o:OLEObject Type="Embed" ProgID="Equation.DSMT4" ShapeID="_x0000_i1098" DrawAspect="Content" ObjectID="_1734432118" r:id="rId150"/>
        </w:object>
      </w:r>
      <w:r w:rsidR="001D7F79">
        <w:tab/>
        <w:t>(5)</w:t>
      </w:r>
    </w:p>
    <w:p w14:paraId="733A7CF4" w14:textId="5B7F2FE0" w:rsidR="00306A10" w:rsidRDefault="00DE02AA" w:rsidP="005A5EAE">
      <w:pPr>
        <w:tabs>
          <w:tab w:val="right" w:pos="9360"/>
        </w:tabs>
        <w:spacing w:before="60" w:after="60" w:line="276" w:lineRule="auto"/>
        <w:jc w:val="both"/>
      </w:pPr>
      <w:r w:rsidRPr="00694B7E">
        <w:rPr>
          <w:position w:val="-30"/>
        </w:rPr>
        <w:object w:dxaOrig="4360" w:dyaOrig="720" w14:anchorId="735E7976">
          <v:shape id="_x0000_i1099" type="#_x0000_t75" style="width:218.35pt;height:36pt" o:ole="" o:preferrelative="f">
            <v:imagedata r:id="rId151" o:title=""/>
            <o:lock v:ext="edit" aspectratio="f"/>
          </v:shape>
          <o:OLEObject Type="Embed" ProgID="Equation.DSMT4" ShapeID="_x0000_i1099" DrawAspect="Content" ObjectID="_1734432119" r:id="rId152"/>
        </w:object>
      </w:r>
      <w:r w:rsidR="001D7F79">
        <w:tab/>
        <w:t>(6)</w:t>
      </w:r>
    </w:p>
    <w:p w14:paraId="25D8A10A" w14:textId="06B95E73" w:rsidR="00306A10" w:rsidRPr="00694B7E" w:rsidRDefault="00DE02AA" w:rsidP="005A5EAE">
      <w:pPr>
        <w:tabs>
          <w:tab w:val="right" w:pos="9360"/>
        </w:tabs>
        <w:spacing w:before="60" w:after="60" w:line="276" w:lineRule="auto"/>
        <w:jc w:val="both"/>
      </w:pPr>
      <w:r w:rsidRPr="00694B7E">
        <w:rPr>
          <w:position w:val="-30"/>
        </w:rPr>
        <w:object w:dxaOrig="4360" w:dyaOrig="720" w14:anchorId="0A66A9EB">
          <v:shape id="_x0000_i1100" type="#_x0000_t75" style="width:218.35pt;height:36pt" o:ole="" o:preferrelative="f">
            <v:imagedata r:id="rId153" o:title=""/>
            <o:lock v:ext="edit" aspectratio="f"/>
          </v:shape>
          <o:OLEObject Type="Embed" ProgID="Equation.DSMT4" ShapeID="_x0000_i1100" DrawAspect="Content" ObjectID="_1734432120" r:id="rId154"/>
        </w:object>
      </w:r>
      <w:r w:rsidR="001D7F79">
        <w:tab/>
        <w:t>(7)</w:t>
      </w:r>
    </w:p>
    <w:p w14:paraId="02A6D4FA" w14:textId="08EF5E96" w:rsidR="00306A10" w:rsidRDefault="00306A10" w:rsidP="00DD75BF">
      <w:pPr>
        <w:spacing w:after="0" w:line="276" w:lineRule="auto"/>
      </w:pPr>
      <w:r w:rsidRPr="00A95EAE">
        <w:t xml:space="preserve">Finally, for each individual, </w:t>
      </w:r>
      <w:r>
        <w:t>we</w:t>
      </w:r>
      <w:r w:rsidRPr="00A95EAE">
        <w:t xml:space="preserve"> can then compute the expected count of </w:t>
      </w:r>
      <w:r w:rsidR="009D141C">
        <w:t>HCM</w:t>
      </w:r>
      <w:r>
        <w:t xml:space="preserve">, </w:t>
      </w:r>
      <w:r w:rsidR="00DE02AA" w:rsidRPr="00FD56DA">
        <w:rPr>
          <w:position w:val="-12"/>
        </w:rPr>
        <w:object w:dxaOrig="499" w:dyaOrig="400" w14:anchorId="1F914E33">
          <v:shape id="_x0000_i1101" type="#_x0000_t75" style="width:25.6pt;height:20.35pt" o:ole="" o:preferrelative="f">
            <v:imagedata r:id="rId155" o:title=""/>
            <o:lock v:ext="edit" aspectratio="f"/>
          </v:shape>
          <o:OLEObject Type="Embed" ProgID="Equation.DSMT4" ShapeID="_x0000_i1101" DrawAspect="Content" ObjectID="_1734432121" r:id="rId156"/>
        </w:object>
      </w:r>
      <w:r w:rsidRPr="00A95EAE">
        <w:t xml:space="preserve"> as</w:t>
      </w:r>
      <w:r>
        <w:t>:</w:t>
      </w:r>
    </w:p>
    <w:p w14:paraId="55453437" w14:textId="5D6E04FA" w:rsidR="00306A10" w:rsidRPr="00A95EAE" w:rsidRDefault="00DE02AA" w:rsidP="005A5EAE">
      <w:pPr>
        <w:tabs>
          <w:tab w:val="right" w:pos="9360"/>
        </w:tabs>
        <w:spacing w:before="60" w:after="60"/>
      </w:pPr>
      <w:r w:rsidRPr="00FD56DA">
        <w:rPr>
          <w:position w:val="-12"/>
        </w:rPr>
        <w:object w:dxaOrig="2580" w:dyaOrig="400" w14:anchorId="2471CC5A">
          <v:shape id="_x0000_i1102" type="#_x0000_t75" style="width:128.85pt;height:20.35pt" o:ole="" o:preferrelative="f">
            <v:imagedata r:id="rId157" o:title=""/>
            <o:lock v:ext="edit" aspectratio="f"/>
          </v:shape>
          <o:OLEObject Type="Embed" ProgID="Equation.DSMT4" ShapeID="_x0000_i1102" DrawAspect="Content" ObjectID="_1734432122" r:id="rId158"/>
        </w:object>
      </w:r>
      <w:r w:rsidR="001D7F79">
        <w:tab/>
        <w:t>(8)</w:t>
      </w:r>
    </w:p>
    <w:p w14:paraId="4B79A752" w14:textId="25B39048" w:rsidR="00246E8E" w:rsidRPr="00493DDD" w:rsidRDefault="00306A10" w:rsidP="00D52C17">
      <w:pPr>
        <w:spacing w:after="0" w:line="276" w:lineRule="auto"/>
        <w:jc w:val="both"/>
      </w:pPr>
      <w:r w:rsidRPr="00404A88">
        <w:t>The average of these quantities across all the individuals</w:t>
      </w:r>
      <w:r w:rsidR="005F5793">
        <w:t xml:space="preserve"> provides </w:t>
      </w:r>
      <w:r w:rsidRPr="00404A88">
        <w:t>the expected monthly count for the entire dataset.</w:t>
      </w:r>
      <w:r>
        <w:t xml:space="preserve"> Using this procedure, we </w:t>
      </w:r>
      <w:r w:rsidRPr="008669D4">
        <w:t xml:space="preserve">compute </w:t>
      </w:r>
      <w:r>
        <w:t>the average treatment effects (</w:t>
      </w:r>
      <w:r w:rsidRPr="008669D4">
        <w:t>ATEs</w:t>
      </w:r>
      <w:r w:rsidR="00246E8E">
        <w:t>; see Heckman and Vytlacil, 2000</w:t>
      </w:r>
      <w:r>
        <w:t>)</w:t>
      </w:r>
      <w:r w:rsidRPr="008669D4">
        <w:t xml:space="preserve"> for all pairwise changes from a specific level to another specific level for each variable. </w:t>
      </w:r>
      <w:r w:rsidR="00246E8E">
        <w:t xml:space="preserve">The ATE computes </w:t>
      </w:r>
      <w:r w:rsidR="00246E8E" w:rsidRPr="00493DDD">
        <w:t xml:space="preserve">the impact on a downstream posterior variable of interest due to a treatment that alters the state of an antecedent variable from </w:t>
      </w:r>
      <w:r w:rsidR="00246E8E" w:rsidRPr="00493DDD">
        <w:rPr>
          <w:i/>
          <w:iCs/>
        </w:rPr>
        <w:t>A</w:t>
      </w:r>
      <w:r w:rsidR="00246E8E" w:rsidRPr="00493DDD">
        <w:t xml:space="preserve"> to </w:t>
      </w:r>
      <w:r w:rsidR="00246E8E" w:rsidRPr="00493DDD">
        <w:rPr>
          <w:i/>
          <w:iCs/>
        </w:rPr>
        <w:t>B</w:t>
      </w:r>
      <w:r w:rsidR="00246E8E" w:rsidRPr="00493DDD">
        <w:t>. For example, if the intent is to estimate the “treatment” effect of age on</w:t>
      </w:r>
      <w:r w:rsidR="00246E8E">
        <w:t xml:space="preserve"> the N</w:t>
      </w:r>
      <w:r w:rsidR="009D141C">
        <w:t>HCM</w:t>
      </w:r>
      <w:r w:rsidR="00246E8E">
        <w:t xml:space="preserve"> channels</w:t>
      </w:r>
      <w:r w:rsidR="00246E8E" w:rsidRPr="00493DDD">
        <w:t xml:space="preserve">, </w:t>
      </w:r>
      <w:r w:rsidR="00246E8E" w:rsidRPr="00493DDD">
        <w:rPr>
          <w:i/>
        </w:rPr>
        <w:t>A</w:t>
      </w:r>
      <w:r w:rsidR="00246E8E" w:rsidRPr="00493DDD">
        <w:t xml:space="preserve"> can be the state where an individual is </w:t>
      </w:r>
      <w:r w:rsidR="00246E8E">
        <w:t xml:space="preserve">less than 30 years and </w:t>
      </w:r>
      <w:r w:rsidR="00246E8E" w:rsidRPr="00493DDD">
        <w:rPr>
          <w:i/>
        </w:rPr>
        <w:t>B</w:t>
      </w:r>
      <w:r w:rsidR="00246E8E" w:rsidRPr="00493DDD">
        <w:t xml:space="preserve"> can be the state where the individual is 65 years or </w:t>
      </w:r>
      <w:r w:rsidR="00246E8E" w:rsidRPr="00493DDD">
        <w:lastRenderedPageBreak/>
        <w:t xml:space="preserve">above. </w:t>
      </w:r>
      <w:r w:rsidR="00246E8E">
        <w:t xml:space="preserve">To quantify the </w:t>
      </w:r>
      <w:r w:rsidR="00246E8E" w:rsidRPr="00493DDD">
        <w:t>impact of this change in state</w:t>
      </w:r>
      <w:r w:rsidR="00246E8E">
        <w:t xml:space="preserve">, all individuals in the dataset are set to state </w:t>
      </w:r>
      <w:r w:rsidR="00246E8E" w:rsidRPr="00EE6F3D">
        <w:rPr>
          <w:i/>
        </w:rPr>
        <w:t>A</w:t>
      </w:r>
      <w:r w:rsidR="00246E8E">
        <w:t xml:space="preserve">, and </w:t>
      </w:r>
      <w:r w:rsidR="00246E8E" w:rsidRPr="00493DDD">
        <w:t xml:space="preserve">the </w:t>
      </w:r>
      <w:r w:rsidR="00246E8E">
        <w:t xml:space="preserve">expected univariate monthly count of individuals in each channel is computed as just discussed. Then, all the individuals in the dataset are set to state </w:t>
      </w:r>
      <w:r w:rsidR="00246E8E" w:rsidRPr="00EE6F3D">
        <w:rPr>
          <w:i/>
        </w:rPr>
        <w:t>B</w:t>
      </w:r>
      <w:r w:rsidR="00246E8E">
        <w:t>, and the expected univariat</w:t>
      </w:r>
      <w:r w:rsidR="00E87D85">
        <w:t>e</w:t>
      </w:r>
      <w:r w:rsidR="00246E8E">
        <w:t xml:space="preserve"> month</w:t>
      </w:r>
      <w:r w:rsidR="00E87D85">
        <w:t>l</w:t>
      </w:r>
      <w:r w:rsidR="00246E8E">
        <w:t xml:space="preserve">y </w:t>
      </w:r>
      <w:r w:rsidR="00E87D85">
        <w:t xml:space="preserve">counts are again computed. A percentage change can be computed for going from state </w:t>
      </w:r>
      <w:r w:rsidR="00E87D85" w:rsidRPr="00EE6F3D">
        <w:rPr>
          <w:i/>
        </w:rPr>
        <w:t>A</w:t>
      </w:r>
      <w:r w:rsidR="00E87D85">
        <w:t xml:space="preserve"> to state </w:t>
      </w:r>
      <w:r w:rsidR="00E87D85" w:rsidRPr="00EE6F3D">
        <w:rPr>
          <w:i/>
        </w:rPr>
        <w:t>B</w:t>
      </w:r>
      <w:r w:rsidR="00E87D85">
        <w:t xml:space="preserve">, which provides the magnitude and direction impact of the antecedent variable. </w:t>
      </w:r>
    </w:p>
    <w:p w14:paraId="3BBB639E" w14:textId="25C76763" w:rsidR="00E87D85" w:rsidRDefault="00E87D85" w:rsidP="00D52C17">
      <w:pPr>
        <w:spacing w:after="0" w:line="276" w:lineRule="auto"/>
        <w:ind w:firstLine="720"/>
        <w:jc w:val="both"/>
      </w:pPr>
      <w:r>
        <w:t xml:space="preserve">The above procedure can be applied to compute the ATE for the change from any state of a variable to any other state. For example, in the context of age, we can quantify the impact of age from the state of being less than 30 years to 30-49 years of age, or from the state of </w:t>
      </w:r>
      <w:r w:rsidR="00A81948">
        <w:t xml:space="preserve">less than </w:t>
      </w:r>
      <w:r>
        <w:t xml:space="preserve">30 years to </w:t>
      </w:r>
      <w:r w:rsidR="00A81948">
        <w:t>50</w:t>
      </w:r>
      <w:r>
        <w:t>-64 years, or for any other pairwise combination of states. But</w:t>
      </w:r>
      <w:r w:rsidR="00306A10" w:rsidRPr="008669D4">
        <w:t xml:space="preserve">, for presentation simplicity, we only report the ATEs for a change between the two extreme categories for </w:t>
      </w:r>
      <w:r>
        <w:t xml:space="preserve">each </w:t>
      </w:r>
      <w:r w:rsidR="00306A10" w:rsidRPr="008669D4">
        <w:t xml:space="preserve">variable (for example the effect </w:t>
      </w:r>
      <w:r>
        <w:t xml:space="preserve">of a change from being less than 30 years of age to being 65 years or older). </w:t>
      </w:r>
    </w:p>
    <w:p w14:paraId="2E44E1A5" w14:textId="0BF27E32" w:rsidR="00B37EEF" w:rsidRDefault="00FA08E0" w:rsidP="00DD75BF">
      <w:pPr>
        <w:spacing w:after="0" w:line="276" w:lineRule="auto"/>
        <w:ind w:firstLine="720"/>
        <w:jc w:val="both"/>
      </w:pPr>
      <w:r>
        <w:t>Table 6</w:t>
      </w:r>
      <w:r w:rsidR="00306A10" w:rsidRPr="008669D4">
        <w:t xml:space="preserve"> summarizes the computed ATEs for each variable.</w:t>
      </w:r>
      <w:r w:rsidR="00306A10">
        <w:t xml:space="preserve"> For example, the interpretation of the first numeric row corresponding to the “</w:t>
      </w:r>
      <w:r w:rsidR="00E87D85">
        <w:t>single female</w:t>
      </w:r>
      <w:r w:rsidR="00306A10">
        <w:t>” variable is as follows</w:t>
      </w:r>
      <w:r w:rsidR="00B37EEF">
        <w:t>. A single male (the base level demographic) is estimated to make, on average, 3.</w:t>
      </w:r>
      <w:r w:rsidR="00A81948">
        <w:t>72</w:t>
      </w:r>
      <w:r w:rsidR="00B37EEF">
        <w:t xml:space="preserve"> eat-outs, 1.</w:t>
      </w:r>
      <w:r w:rsidR="00A81948">
        <w:t>0</w:t>
      </w:r>
      <w:r w:rsidR="00B37EEF">
        <w:t>0 eat-in takeouts, 1.</w:t>
      </w:r>
      <w:r w:rsidR="00A81948">
        <w:t>0</w:t>
      </w:r>
      <w:r w:rsidR="00B37EEF">
        <w:t>9 eat-in deliveries, and 1</w:t>
      </w:r>
      <w:r w:rsidR="00A81948">
        <w:t>6</w:t>
      </w:r>
      <w:r w:rsidR="00B37EEF">
        <w:t>.</w:t>
      </w:r>
      <w:r w:rsidR="00A81948">
        <w:t>20</w:t>
      </w:r>
      <w:r w:rsidR="00B37EEF">
        <w:t xml:space="preserve"> </w:t>
      </w:r>
      <w:r w:rsidR="009D141C">
        <w:t>HCM</w:t>
      </w:r>
      <w:r w:rsidR="00B37EEF">
        <w:t>s on a monthly basis</w:t>
      </w:r>
      <w:r w:rsidR="00A81948">
        <w:t xml:space="preserve"> (see fourth broad column of </w:t>
      </w:r>
      <w:r>
        <w:t>Table 6</w:t>
      </w:r>
      <w:r w:rsidR="00A81948">
        <w:t>)</w:t>
      </w:r>
      <w:r w:rsidR="00B37EEF">
        <w:t xml:space="preserve">. In comparison, with all other variables being the same, a single </w:t>
      </w:r>
      <w:r w:rsidR="00A81948">
        <w:t>fe</w:t>
      </w:r>
      <w:r w:rsidR="00B37EEF">
        <w:t xml:space="preserve">male </w:t>
      </w:r>
      <w:r w:rsidR="009C0EE1">
        <w:t>is estimated to make</w:t>
      </w:r>
      <w:r w:rsidR="00A81948">
        <w:t>, on average,</w:t>
      </w:r>
      <w:r w:rsidR="00B37EEF">
        <w:t xml:space="preserve"> 3.</w:t>
      </w:r>
      <w:r w:rsidR="00A81948">
        <w:t>35</w:t>
      </w:r>
      <w:r w:rsidR="00B37EEF">
        <w:t xml:space="preserve"> eat-outs, 1.</w:t>
      </w:r>
      <w:r w:rsidR="00A81948">
        <w:t>04</w:t>
      </w:r>
      <w:r w:rsidR="00B37EEF">
        <w:t xml:space="preserve"> eat-ins, 1.</w:t>
      </w:r>
      <w:r w:rsidR="00A81948">
        <w:t>0</w:t>
      </w:r>
      <w:r w:rsidR="00B37EEF">
        <w:t>9 eat-in deliveries, and 1</w:t>
      </w:r>
      <w:r w:rsidR="00A81948">
        <w:t>6</w:t>
      </w:r>
      <w:r w:rsidR="00B37EEF">
        <w:t>.</w:t>
      </w:r>
      <w:r w:rsidR="00A81948">
        <w:t>5</w:t>
      </w:r>
      <w:r w:rsidR="00B37EEF">
        <w:t xml:space="preserve">2 </w:t>
      </w:r>
      <w:r w:rsidR="009D141C">
        <w:t>HCM</w:t>
      </w:r>
      <w:r w:rsidR="00B37EEF">
        <w:t>s</w:t>
      </w:r>
      <w:r w:rsidR="00A81948">
        <w:t xml:space="preserve"> (see fifth broad column of </w:t>
      </w:r>
      <w:r>
        <w:t>Table 6</w:t>
      </w:r>
      <w:r w:rsidR="00A81948">
        <w:t>)</w:t>
      </w:r>
      <w:r w:rsidR="00B37EEF">
        <w:t>.</w:t>
      </w:r>
      <w:r w:rsidR="009C0EE1">
        <w:t xml:space="preserve"> </w:t>
      </w:r>
      <w:r w:rsidR="00B37EEF">
        <w:t xml:space="preserve">Thus, a randomly picked single female is estimated to make </w:t>
      </w:r>
      <w:r w:rsidR="00A81948">
        <w:t>9.79</w:t>
      </w:r>
      <w:r w:rsidR="00B37EEF">
        <w:t xml:space="preserve">% fewer monthly eat-outs, </w:t>
      </w:r>
      <w:r w:rsidR="00A81948">
        <w:t>3</w:t>
      </w:r>
      <w:r w:rsidR="00B37EEF">
        <w:t xml:space="preserve">.43% more monthly eat-in takeouts, 0% more monthly eat-in deliveries, and </w:t>
      </w:r>
      <w:r w:rsidR="00A81948">
        <w:t>2</w:t>
      </w:r>
      <w:r w:rsidR="00B37EEF">
        <w:t>.</w:t>
      </w:r>
      <w:r w:rsidR="00A81948">
        <w:t>03</w:t>
      </w:r>
      <w:r w:rsidR="00B37EEF">
        <w:t xml:space="preserve">% more monthly </w:t>
      </w:r>
      <w:r w:rsidR="009D141C">
        <w:t>HCM</w:t>
      </w:r>
      <w:r w:rsidR="00B37EEF">
        <w:t>s</w:t>
      </w:r>
      <w:r w:rsidR="00A81948">
        <w:t xml:space="preserve"> (last broad column of </w:t>
      </w:r>
      <w:r>
        <w:t>Table 6</w:t>
      </w:r>
      <w:r w:rsidR="00A81948">
        <w:t>)</w:t>
      </w:r>
      <w:r w:rsidR="00B37EEF">
        <w:t xml:space="preserve">. </w:t>
      </w:r>
      <w:r w:rsidR="00306A10">
        <w:t xml:space="preserve">Similar interpretations can be made for all other variables reported in the table. </w:t>
      </w:r>
      <w:r w:rsidR="00F44654">
        <w:t>To be noted here is that, in terms of employment status</w:t>
      </w:r>
      <w:r w:rsidR="00A81948">
        <w:t xml:space="preserve"> variable effects in </w:t>
      </w:r>
      <w:r>
        <w:t>Table 6</w:t>
      </w:r>
      <w:r w:rsidR="00F44654">
        <w:t xml:space="preserve">, we examine the effect of not being employed </w:t>
      </w:r>
      <w:r w:rsidR="00A81948">
        <w:t xml:space="preserve">(base level) </w:t>
      </w:r>
      <w:r w:rsidR="00F44654">
        <w:t>versus being employed full-time and for 22 work days (almost all full-time employees worked 22 work days or more per month</w:t>
      </w:r>
      <w:r w:rsidR="00A81948">
        <w:t>, which is the treatment level</w:t>
      </w:r>
      <w:r w:rsidR="00F44654">
        <w:t xml:space="preserve">). </w:t>
      </w:r>
      <w:r w:rsidR="00A5144B">
        <w:t>We will label such employed individuals as “full time-22</w:t>
      </w:r>
      <w:r w:rsidR="00A81948">
        <w:t>ers</w:t>
      </w:r>
      <w:r w:rsidR="00A5144B">
        <w:t xml:space="preserve">” from here on. </w:t>
      </w:r>
      <w:r w:rsidR="00F44654">
        <w:t>In addition, because “</w:t>
      </w:r>
      <w:r w:rsidR="00984BD8">
        <w:t>fraction</w:t>
      </w:r>
      <w:r w:rsidR="00F44654">
        <w:t xml:space="preserve"> of work days from home” has an opposite direction of effect on eat-out relative to number of work days</w:t>
      </w:r>
      <w:r w:rsidR="00A81948">
        <w:t xml:space="preserve"> (see Table 3)</w:t>
      </w:r>
      <w:r w:rsidR="00F44654">
        <w:t xml:space="preserve">, we </w:t>
      </w:r>
      <w:r w:rsidR="0096286C">
        <w:t xml:space="preserve">computed ATEs for </w:t>
      </w:r>
      <w:r w:rsidR="00A81948">
        <w:t>four</w:t>
      </w:r>
      <w:r w:rsidR="0096286C">
        <w:t xml:space="preserve"> categories of full</w:t>
      </w:r>
      <w:r w:rsidR="00A5144B">
        <w:t xml:space="preserve"> </w:t>
      </w:r>
      <w:r w:rsidR="0096286C">
        <w:t>time</w:t>
      </w:r>
      <w:r w:rsidR="00A5144B">
        <w:t>-22</w:t>
      </w:r>
      <w:r w:rsidR="00A81948">
        <w:t>ers</w:t>
      </w:r>
      <w:r w:rsidR="0096286C">
        <w:t xml:space="preserve">: (1) those never working from </w:t>
      </w:r>
      <w:r w:rsidR="00BB7B16">
        <w:t xml:space="preserve">home </w:t>
      </w:r>
      <w:r w:rsidR="0096286C">
        <w:t xml:space="preserve">on for all workdays (percentage of work days from home=0), (2) those working from home for 33% of their workdays, (3) those working from home 66% of their workdays, and (4) those working all days from their home (percentage of work days from home=100%). </w:t>
      </w:r>
    </w:p>
    <w:p w14:paraId="6C641FCA" w14:textId="77777777" w:rsidR="00CA3119" w:rsidRDefault="00CA3119" w:rsidP="00DD75BF">
      <w:pPr>
        <w:spacing w:after="0" w:line="276" w:lineRule="auto"/>
        <w:ind w:firstLine="720"/>
        <w:jc w:val="both"/>
      </w:pPr>
    </w:p>
    <w:p w14:paraId="18C3E040" w14:textId="3E6167B6" w:rsidR="00C623EE" w:rsidRPr="00DD75BF" w:rsidRDefault="007F1926" w:rsidP="00DD75BF">
      <w:pPr>
        <w:pStyle w:val="Heading2"/>
        <w:spacing w:after="0" w:line="276" w:lineRule="auto"/>
        <w:rPr>
          <w:i w:val="0"/>
        </w:rPr>
      </w:pPr>
      <w:r>
        <w:t xml:space="preserve"> </w:t>
      </w:r>
      <w:r w:rsidR="00C623EE" w:rsidRPr="00DD75BF">
        <w:rPr>
          <w:i w:val="0"/>
        </w:rPr>
        <w:t xml:space="preserve">ATE </w:t>
      </w:r>
      <w:r w:rsidR="00DE08D9" w:rsidRPr="00DD75BF">
        <w:rPr>
          <w:i w:val="0"/>
        </w:rPr>
        <w:t>Results</w:t>
      </w:r>
    </w:p>
    <w:p w14:paraId="1A9F9DD4" w14:textId="13F0C127" w:rsidR="00EA45ED" w:rsidRDefault="00B37EEF" w:rsidP="00DD75BF">
      <w:pPr>
        <w:spacing w:after="0" w:line="276" w:lineRule="auto"/>
        <w:jc w:val="both"/>
      </w:pPr>
      <w:r>
        <w:t xml:space="preserve">It is important to note that, from a policy perspective, it is the ATEs that are more insightful than the model results themselves. The model results, on the other hand, are more useful if the intent is </w:t>
      </w:r>
      <w:r w:rsidR="00EA45ED">
        <w:t xml:space="preserve">to </w:t>
      </w:r>
      <w:r>
        <w:t>employ</w:t>
      </w:r>
      <w:r w:rsidR="00C623EE">
        <w:t xml:space="preserve"> the</w:t>
      </w:r>
      <w:r>
        <w:t xml:space="preserve"> joint model in an agent-based modeling framework, where each unique individual’s count of N</w:t>
      </w:r>
      <w:r w:rsidR="009D141C">
        <w:t>HCM</w:t>
      </w:r>
      <w:r>
        <w:t xml:space="preserve">s and </w:t>
      </w:r>
      <w:r w:rsidR="009D141C">
        <w:t>HCM</w:t>
      </w:r>
      <w:r>
        <w:t xml:space="preserve">s can be predicted </w:t>
      </w:r>
      <w:r w:rsidR="00466894">
        <w:t xml:space="preserve">in a disaggregate manner </w:t>
      </w:r>
      <w:r>
        <w:t>using the</w:t>
      </w:r>
      <w:r w:rsidR="00466894">
        <w:t xml:space="preserve"> estimates</w:t>
      </w:r>
      <w:r>
        <w:t>.</w:t>
      </w:r>
      <w:r w:rsidR="00466894">
        <w:t xml:space="preserve"> On the other hand, the ATEs are more of summary aggregate measures that represent overall “average” (across all individuals) shifts in the channel counts for each individual variable, though these shifts are after control</w:t>
      </w:r>
      <w:r w:rsidR="00C623EE">
        <w:t>l</w:t>
      </w:r>
      <w:r w:rsidR="00466894">
        <w:t xml:space="preserve">ing for other variables at the model estimation stage. Besides, as </w:t>
      </w:r>
      <w:r w:rsidR="00466894">
        <w:lastRenderedPageBreak/>
        <w:t>indicated earlier, the non-linear nature of the joint model, along with the correlations across channels and the endogenous effects, implies that the estimates themselves do not provide full information. For example, consider the effect of a joint family. The model estimates indicate that individuals in a joint family have a lower underlying propensity to eat</w:t>
      </w:r>
      <w:r w:rsidR="00430A34">
        <w:t>-</w:t>
      </w:r>
      <w:r w:rsidR="00466894">
        <w:t xml:space="preserve">out (see Table </w:t>
      </w:r>
      <w:r w:rsidR="002C5F6C">
        <w:t>3</w:t>
      </w:r>
      <w:r w:rsidR="00466894">
        <w:t xml:space="preserve">), but </w:t>
      </w:r>
      <w:r w:rsidR="00A81948">
        <w:t xml:space="preserve">with </w:t>
      </w:r>
      <w:r w:rsidR="00466894">
        <w:t xml:space="preserve">no impact on the underlying propensities for eat-in takeout and eat-in delivery. However, this does not mean </w:t>
      </w:r>
      <w:r w:rsidR="00EF03D3">
        <w:t xml:space="preserve">there will be no change </w:t>
      </w:r>
      <w:r w:rsidR="00A81948">
        <w:t xml:space="preserve">in the eat-in channels </w:t>
      </w:r>
      <w:r w:rsidR="00EF03D3">
        <w:t xml:space="preserve">between an individual not in a joint family and another observationally identical individual in a joint family. This is clearly observed in the positive ATE effect of being in a joint family on </w:t>
      </w:r>
      <w:r w:rsidR="00235A17">
        <w:t xml:space="preserve">both the </w:t>
      </w:r>
      <w:r w:rsidR="00EF03D3">
        <w:t>eat-in</w:t>
      </w:r>
      <w:r w:rsidR="00235A17">
        <w:t xml:space="preserve"> channels</w:t>
      </w:r>
      <w:r w:rsidR="00EF03D3">
        <w:t xml:space="preserve">. This is because of the negative endogeneity effect of eat-out on eat-in takeout, so that as eat-outs decrease, eat-in takeouts increase. </w:t>
      </w:r>
      <w:r w:rsidR="00235A17">
        <w:t>At the same time, an increase in eat-in takeouts also increases eat-in delivery through the positive unobserved error correlation between these two eat-in channels, leading to a positive increase even in eat-in</w:t>
      </w:r>
      <w:r w:rsidR="00420E62">
        <w:t xml:space="preserve">. </w:t>
      </w:r>
      <w:r w:rsidR="00624F58">
        <w:t xml:space="preserve">Similar nuances play out because of correlation effects, the non-linear variable effects, </w:t>
      </w:r>
      <w:r w:rsidR="0074331E">
        <w:t xml:space="preserve">and the endogeneity effects for other variables. </w:t>
      </w:r>
    </w:p>
    <w:p w14:paraId="68CDF7BA" w14:textId="3BCF3A32" w:rsidR="00A5144B" w:rsidRDefault="00EA45ED" w:rsidP="00DD75BF">
      <w:pPr>
        <w:spacing w:after="0" w:line="276" w:lineRule="auto"/>
        <w:ind w:firstLine="720"/>
        <w:jc w:val="both"/>
      </w:pPr>
      <w:r>
        <w:t xml:space="preserve">Overall, though, the ATE results </w:t>
      </w:r>
      <w:r w:rsidR="00A81948">
        <w:t xml:space="preserve">(focusing now only on the last broad column of </w:t>
      </w:r>
      <w:r w:rsidR="00FA08E0">
        <w:t>Table 6</w:t>
      </w:r>
      <w:r w:rsidR="00A81948">
        <w:t xml:space="preserve">) </w:t>
      </w:r>
      <w:r>
        <w:t xml:space="preserve">are consistent with, and follow from, the model results, with some nuances as just discussed. </w:t>
      </w:r>
      <w:r w:rsidR="00C953F9">
        <w:t xml:space="preserve">The most frequent </w:t>
      </w:r>
      <w:r w:rsidR="00F44654">
        <w:t xml:space="preserve">customers of the eat-out channel are white individuals, </w:t>
      </w:r>
      <w:r w:rsidR="00791466">
        <w:t xml:space="preserve">individuals from 3+ </w:t>
      </w:r>
      <w:r w:rsidR="00F44654">
        <w:t xml:space="preserve">motorized vehicle </w:t>
      </w:r>
      <w:r w:rsidR="00791466">
        <w:t>owning households</w:t>
      </w:r>
      <w:r w:rsidR="00F44654">
        <w:t>, those in non-joint families, those in households with no children, full</w:t>
      </w:r>
      <w:r w:rsidR="006670B2">
        <w:t xml:space="preserve"> </w:t>
      </w:r>
      <w:r w:rsidR="00F44654">
        <w:t>time</w:t>
      </w:r>
      <w:r w:rsidR="006670B2">
        <w:t>-</w:t>
      </w:r>
      <w:r w:rsidR="00235A17">
        <w:t xml:space="preserve">22ers </w:t>
      </w:r>
      <w:r w:rsidR="00F44654">
        <w:t xml:space="preserve">who never work from home or do so only for a small fraction of their workdays, and those residing in areas with a high density of restaurants. </w:t>
      </w:r>
      <w:r w:rsidR="00287F35">
        <w:t xml:space="preserve">The </w:t>
      </w:r>
      <w:r w:rsidR="004E36C1">
        <w:t>distinct</w:t>
      </w:r>
      <w:r w:rsidR="00287F35">
        <w:t xml:space="preserve"> consumer</w:t>
      </w:r>
      <w:r w:rsidR="004E36C1">
        <w:t xml:space="preserve"> segments</w:t>
      </w:r>
      <w:r w:rsidR="00287F35">
        <w:t xml:space="preserve"> f</w:t>
      </w:r>
      <w:r w:rsidR="00224860">
        <w:t xml:space="preserve">or </w:t>
      </w:r>
      <w:r w:rsidR="00287F35">
        <w:t xml:space="preserve">the </w:t>
      </w:r>
      <w:r w:rsidR="00224860">
        <w:t>eat-in takeout</w:t>
      </w:r>
      <w:r w:rsidR="00287F35">
        <w:t xml:space="preserve"> </w:t>
      </w:r>
      <w:r w:rsidR="004E36C1">
        <w:t xml:space="preserve">channel </w:t>
      </w:r>
      <w:r w:rsidR="00287F35">
        <w:t>include</w:t>
      </w:r>
      <w:r w:rsidR="00224860">
        <w:t xml:space="preserve"> </w:t>
      </w:r>
      <w:r w:rsidR="009459B2">
        <w:t xml:space="preserve">young individuals, those from high household incomes, </w:t>
      </w:r>
      <w:r w:rsidR="00F44654">
        <w:t xml:space="preserve">those working </w:t>
      </w:r>
      <w:r w:rsidR="0096286C">
        <w:t xml:space="preserve">from home all their workdays or a substantial fraction of their workdays, and </w:t>
      </w:r>
      <w:r w:rsidR="009459B2">
        <w:t>urban residents</w:t>
      </w:r>
      <w:r w:rsidR="00287F35">
        <w:t xml:space="preserve">; the most </w:t>
      </w:r>
      <w:r w:rsidR="004E36C1">
        <w:t xml:space="preserve">enthusiastic </w:t>
      </w:r>
      <w:r w:rsidR="00287F35">
        <w:t xml:space="preserve">consumers of the eat-in delivery channel are white individuals, those with less than three vehicles in the household, individuals with children, urban residents, and those worried about pandemic-related personal health risks. </w:t>
      </w:r>
      <w:r w:rsidR="0096286C">
        <w:t>The results suggest the important impact of work place location on dining channel choice</w:t>
      </w:r>
      <w:r w:rsidR="006E12EE">
        <w:t>.</w:t>
      </w:r>
      <w:r w:rsidR="0096286C">
        <w:t xml:space="preserve"> </w:t>
      </w:r>
      <w:r w:rsidR="00A5144B">
        <w:t xml:space="preserve">Indeed, the </w:t>
      </w:r>
      <w:r w:rsidR="006361C6">
        <w:t xml:space="preserve">predicted </w:t>
      </w:r>
      <w:r w:rsidR="00A5144B">
        <w:t xml:space="preserve">swing from an almost 73% increase in eat-out </w:t>
      </w:r>
      <w:r w:rsidR="006361C6">
        <w:t xml:space="preserve">(16.46% increase in eat-in takeout) </w:t>
      </w:r>
      <w:r w:rsidR="00A5144B">
        <w:t xml:space="preserve">among full time-22ers never working from home </w:t>
      </w:r>
      <w:r w:rsidR="006361C6">
        <w:t xml:space="preserve">(relative to those not employed) </w:t>
      </w:r>
      <w:r w:rsidR="00A5144B">
        <w:t>to</w:t>
      </w:r>
      <w:r w:rsidR="006361C6">
        <w:t xml:space="preserve"> only a 10.20%</w:t>
      </w:r>
      <w:r w:rsidR="00A5144B">
        <w:t xml:space="preserve"> </w:t>
      </w:r>
      <w:r w:rsidR="006361C6">
        <w:t>in</w:t>
      </w:r>
      <w:r w:rsidR="00A5144B">
        <w:t>crease in eat-</w:t>
      </w:r>
      <w:r w:rsidR="006361C6">
        <w:t>out</w:t>
      </w:r>
      <w:r w:rsidR="00A5144B">
        <w:t xml:space="preserve"> </w:t>
      </w:r>
      <w:r w:rsidR="006361C6">
        <w:t>(74.</w:t>
      </w:r>
      <w:r w:rsidR="00791466">
        <w:t>7</w:t>
      </w:r>
      <w:r w:rsidR="006361C6">
        <w:t xml:space="preserve">8% increase in eat-in takeout) among those working always from home is </w:t>
      </w:r>
      <w:r w:rsidR="00A5144B">
        <w:t xml:space="preserve">remarkable, </w:t>
      </w:r>
      <w:r w:rsidR="006361C6">
        <w:t>as is the predicted swing from an almost no change in eat-in delivery for full time-22ers never working from home to a 43.</w:t>
      </w:r>
      <w:r w:rsidR="00791466">
        <w:t>5</w:t>
      </w:r>
      <w:r w:rsidR="006361C6">
        <w:t xml:space="preserve">3%  increase in eat-in delivery for full time-22ers always working from home. These results </w:t>
      </w:r>
      <w:r w:rsidR="00A5144B">
        <w:t xml:space="preserve">reveal the importance of studying </w:t>
      </w:r>
      <w:r w:rsidR="00791466">
        <w:t>work place location (</w:t>
      </w:r>
      <w:r w:rsidR="00A5144B">
        <w:t>WPL</w:t>
      </w:r>
      <w:r w:rsidR="00791466">
        <w:t>)</w:t>
      </w:r>
      <w:r w:rsidR="00A5144B">
        <w:t xml:space="preserve"> </w:t>
      </w:r>
      <w:r w:rsidR="006361C6">
        <w:t xml:space="preserve">hybridization patterns </w:t>
      </w:r>
      <w:r w:rsidR="00A5144B">
        <w:t xml:space="preserve">into the future (see </w:t>
      </w:r>
      <w:r w:rsidR="00430A34">
        <w:fldChar w:fldCharType="begin"/>
      </w:r>
      <w:r w:rsidR="00430A34">
        <w:instrText xml:space="preserve"> ADDIN ZOTERO_ITEM CSL_CITATION {"citationID":"UvpCSGEm","properties":{"formattedCitation":"(Asmussen et al., 2022)","plainCitation":"(Asmussen et al., 2022)","noteIndex":0},"citationItems":[{"id":880,"uris":["http://zotero.org/users/9292995/items/2YXUWE76"],"itemData":{"id":880,"type":"article-journal","title":"On Modeling Future Workplace Location Decisions: An Analysis of Texas Employees","URL":"https://www.caee.utexas.edu/prof/bhat/ABSTRACTS/WPLSP.pdf","author":[{"family":"Asmussen","given":"Katherine E."},{"family":"Mondal","given":"Aupal"},{"family":"Bhat","given":"Chandra R."},{"family":"Pendyala","given":"Ram M."}],"issued":{"date-parts":[["2022"]]}}}],"schema":"https://github.com/citation-style-language/schema/raw/master/csl-citation.json"} </w:instrText>
      </w:r>
      <w:r w:rsidR="00430A34">
        <w:fldChar w:fldCharType="separate"/>
      </w:r>
      <w:r w:rsidR="00430A34" w:rsidRPr="00430A34">
        <w:t>Asmussen et al., 2022</w:t>
      </w:r>
      <w:r w:rsidR="00430A34">
        <w:fldChar w:fldCharType="end"/>
      </w:r>
      <w:r w:rsidR="00A5144B">
        <w:t xml:space="preserve"> for such a recent study). </w:t>
      </w:r>
    </w:p>
    <w:p w14:paraId="07B2603C" w14:textId="666457B2" w:rsidR="0096286C" w:rsidRDefault="00287F35" w:rsidP="00DD75BF">
      <w:pPr>
        <w:spacing w:after="0" w:line="276" w:lineRule="auto"/>
        <w:ind w:firstLine="720"/>
        <w:jc w:val="both"/>
      </w:pPr>
      <w:r>
        <w:t xml:space="preserve">The percentage shifts for </w:t>
      </w:r>
      <w:r w:rsidR="009D141C">
        <w:t>HCM</w:t>
      </w:r>
      <w:r>
        <w:t>s are generally lower</w:t>
      </w:r>
      <w:r w:rsidR="006361C6">
        <w:t xml:space="preserve"> in </w:t>
      </w:r>
      <w:r w:rsidR="00FA08E0">
        <w:t>Table 6</w:t>
      </w:r>
      <w:r>
        <w:t xml:space="preserve">, but this is just an artifact of the high number of </w:t>
      </w:r>
      <w:r w:rsidR="009D141C">
        <w:t>HCM</w:t>
      </w:r>
      <w:r>
        <w:t xml:space="preserve">s per month at the base level. Older individuals, non-white individuals, </w:t>
      </w:r>
      <w:r w:rsidR="00487D4C">
        <w:t xml:space="preserve">individuals with a graduate degree, </w:t>
      </w:r>
      <w:r w:rsidR="00791466">
        <w:t>individuals</w:t>
      </w:r>
      <w:r>
        <w:t xml:space="preserve"> in </w:t>
      </w:r>
      <w:r w:rsidR="00791466">
        <w:t xml:space="preserve">fewer motorized vehicle-owning households and in </w:t>
      </w:r>
      <w:r>
        <w:t>joint families</w:t>
      </w:r>
      <w:r w:rsidR="004E36C1">
        <w:t xml:space="preserve">, those </w:t>
      </w:r>
      <w:r>
        <w:t>with</w:t>
      </w:r>
      <w:r w:rsidR="004E36C1">
        <w:t xml:space="preserve"> </w:t>
      </w:r>
      <w:r>
        <w:t>children</w:t>
      </w:r>
      <w:r w:rsidR="004E36C1">
        <w:t xml:space="preserve"> in the household</w:t>
      </w:r>
      <w:r>
        <w:t xml:space="preserve">, </w:t>
      </w:r>
      <w:r w:rsidR="00791466">
        <w:t xml:space="preserve">and </w:t>
      </w:r>
      <w:r>
        <w:t xml:space="preserve">rural residents </w:t>
      </w:r>
      <w:r w:rsidR="004E36C1">
        <w:t xml:space="preserve">constitute the most committed segments of the </w:t>
      </w:r>
      <w:r w:rsidR="009D141C">
        <w:t>HCM</w:t>
      </w:r>
      <w:r w:rsidR="004E36C1">
        <w:t xml:space="preserve"> consumption channel</w:t>
      </w:r>
      <w:r w:rsidR="00A92CCA">
        <w:t xml:space="preserve">. Of course, the </w:t>
      </w:r>
      <w:r w:rsidR="009D141C">
        <w:t>HCM</w:t>
      </w:r>
      <w:r w:rsidR="00A92CCA">
        <w:t xml:space="preserve"> ATEs also </w:t>
      </w:r>
      <w:r w:rsidR="0096286C">
        <w:t xml:space="preserve">provide insights into the net effect </w:t>
      </w:r>
      <w:r w:rsidR="00A24501">
        <w:t xml:space="preserve">of variables </w:t>
      </w:r>
      <w:r w:rsidR="0096286C">
        <w:t>on travel related to dining</w:t>
      </w:r>
      <w:r w:rsidR="00A24501">
        <w:t xml:space="preserve"> through the cumulative effect on the total of </w:t>
      </w:r>
      <w:r w:rsidR="00487D4C">
        <w:t>all N</w:t>
      </w:r>
      <w:r w:rsidR="009D141C">
        <w:t>HCM</w:t>
      </w:r>
      <w:r w:rsidR="00487D4C">
        <w:t xml:space="preserve">s, which is nothing but the reverse of the effect on </w:t>
      </w:r>
      <w:r w:rsidR="009D141C">
        <w:t>HCM</w:t>
      </w:r>
      <w:r w:rsidR="00487D4C">
        <w:t>s (the percentage change in total N</w:t>
      </w:r>
      <w:r w:rsidR="009D141C">
        <w:t>HCM</w:t>
      </w:r>
      <w:r w:rsidR="00487D4C">
        <w:t xml:space="preserve">s would not be the negative of the value in the </w:t>
      </w:r>
      <w:r w:rsidR="009D141C">
        <w:t>HCM</w:t>
      </w:r>
      <w:r w:rsidR="00487D4C">
        <w:t xml:space="preserve"> column, because of a </w:t>
      </w:r>
      <w:r w:rsidR="00487D4C">
        <w:lastRenderedPageBreak/>
        <w:t>different base level for all N</w:t>
      </w:r>
      <w:r w:rsidR="009D141C">
        <w:t>HCM</w:t>
      </w:r>
      <w:r w:rsidR="00487D4C">
        <w:t xml:space="preserve">s; but the substantive implications are the same as that presented by the </w:t>
      </w:r>
      <w:r w:rsidR="009D141C">
        <w:t>HCM</w:t>
      </w:r>
      <w:r w:rsidR="00487D4C">
        <w:t xml:space="preserve"> ATEs)</w:t>
      </w:r>
      <w:r w:rsidR="0096286C">
        <w:t>.</w:t>
      </w:r>
      <w:r w:rsidR="00487D4C">
        <w:t xml:space="preserve"> Thus, </w:t>
      </w:r>
      <w:r w:rsidR="00A92CCA">
        <w:t xml:space="preserve">all those not included above as being most </w:t>
      </w:r>
      <w:r w:rsidR="009D141C">
        <w:t>HCM</w:t>
      </w:r>
      <w:r w:rsidR="00A92CCA">
        <w:t xml:space="preserve">-oriented constitute the ones that would generate the most travel. </w:t>
      </w:r>
    </w:p>
    <w:p w14:paraId="06C7351F" w14:textId="05534A37" w:rsidR="0096286C" w:rsidRDefault="00984326" w:rsidP="00DD75BF">
      <w:pPr>
        <w:spacing w:after="0" w:line="276" w:lineRule="auto"/>
        <w:ind w:firstLine="720"/>
        <w:jc w:val="both"/>
      </w:pPr>
      <w:r>
        <w:t xml:space="preserve">An additional observation from </w:t>
      </w:r>
      <w:r w:rsidR="00FA08E0">
        <w:t>Table 6</w:t>
      </w:r>
      <w:r>
        <w:t xml:space="preserve"> is that, except for the “presence of children”, the effect of all other variables shows clear complementarity in eat-out and eat-in delivery (though, in some few cases, there is a neutral effect on eat-in delivery with a clear impact on eat-out, as for single women and individuals with a graduate degree). </w:t>
      </w:r>
      <w:r w:rsidR="00515349">
        <w:t>The results also reveal that</w:t>
      </w:r>
      <w:r w:rsidR="005E44C5">
        <w:t>, while</w:t>
      </w:r>
      <w:r w:rsidR="00515349">
        <w:t xml:space="preserve"> there </w:t>
      </w:r>
      <w:r w:rsidR="005E44C5">
        <w:t xml:space="preserve">are some </w:t>
      </w:r>
      <w:r w:rsidR="00515349">
        <w:t>population segments for which there is a distinct positive increase in all N</w:t>
      </w:r>
      <w:r w:rsidR="009D141C">
        <w:t>HCM</w:t>
      </w:r>
      <w:r w:rsidR="00515349">
        <w:t xml:space="preserve"> channels at once: young individuals less than 30 years of age, full</w:t>
      </w:r>
      <w:r w:rsidR="006670B2">
        <w:t xml:space="preserve"> </w:t>
      </w:r>
      <w:r w:rsidR="00515349">
        <w:t>time</w:t>
      </w:r>
      <w:r w:rsidR="006670B2">
        <w:t>-</w:t>
      </w:r>
      <w:r w:rsidR="00515349">
        <w:t xml:space="preserve">22ers with </w:t>
      </w:r>
      <w:r w:rsidR="00791466">
        <w:t xml:space="preserve">a non-zero </w:t>
      </w:r>
      <w:r w:rsidR="00515349">
        <w:t>fraction of time working from home, and urban residents</w:t>
      </w:r>
      <w:r w:rsidR="005E44C5">
        <w:t xml:space="preserve">; other segments and BE factors have opposite effects between eat-in delivery and eat-in takeout, as well as between eat-out and eat-in takeout. </w:t>
      </w:r>
      <w:r w:rsidR="00836334">
        <w:t xml:space="preserve">This </w:t>
      </w:r>
      <w:r w:rsidR="005E44C5">
        <w:t>indicates the complex interplay among the many N</w:t>
      </w:r>
      <w:r w:rsidR="009D141C">
        <w:t>HCM</w:t>
      </w:r>
      <w:r w:rsidR="005E44C5">
        <w:t xml:space="preserve"> channels</w:t>
      </w:r>
      <w:r w:rsidR="00C34B9A">
        <w:t>.</w:t>
      </w:r>
      <w:r w:rsidR="005E44C5">
        <w:t xml:space="preserve"> </w:t>
      </w:r>
    </w:p>
    <w:p w14:paraId="74698F12" w14:textId="1879A23D" w:rsidR="00CB6615" w:rsidRDefault="00A75661" w:rsidP="00DD75BF">
      <w:pPr>
        <w:spacing w:after="0" w:line="276" w:lineRule="auto"/>
        <w:ind w:firstLine="720"/>
        <w:jc w:val="both"/>
      </w:pPr>
      <w:r>
        <w:t xml:space="preserve">In terms of COVID risks, the </w:t>
      </w:r>
      <w:r w:rsidRPr="000D602A">
        <w:t xml:space="preserve">results </w:t>
      </w:r>
      <w:r w:rsidR="002F3BE9">
        <w:t xml:space="preserve">again reinforce the notion that </w:t>
      </w:r>
      <w:r>
        <w:t>eat-out propens</w:t>
      </w:r>
      <w:r w:rsidR="002F3BE9">
        <w:t xml:space="preserve">ity is </w:t>
      </w:r>
      <w:r>
        <w:t xml:space="preserve">influenced by the concern about </w:t>
      </w:r>
      <w:r w:rsidR="002F3BE9">
        <w:t xml:space="preserve">being a COVID messenger to loved ones than risk to oneself. In fact, there is a small increase in eat-out tendency among </w:t>
      </w:r>
      <w:r>
        <w:t xml:space="preserve">individuals </w:t>
      </w:r>
      <w:r w:rsidR="002F3BE9">
        <w:t xml:space="preserve">with </w:t>
      </w:r>
      <w:r>
        <w:t xml:space="preserve">personal </w:t>
      </w:r>
      <w:r w:rsidR="002F3BE9">
        <w:t xml:space="preserve">health </w:t>
      </w:r>
      <w:r>
        <w:t>concerns</w:t>
      </w:r>
      <w:r w:rsidR="002F3BE9">
        <w:t>, spurred by the substantial increase in eat-in delivery that permeates apparently into the temptation to eat out those occasional times and also break the home isolation these individuals may otherwise impose on themselves. But this small increase in eat-out is dwarfed by the substantial increase in eat-in takeout and eat-in delivery within this segment of individuals with personal COVID concerns</w:t>
      </w:r>
      <w:r w:rsidR="007F1926">
        <w:t>. Finally, the endogenous effect ATEs represent “true” effects after accommodating for any “spurious” effects th</w:t>
      </w:r>
      <w:r w:rsidR="00430A34">
        <w:t>r</w:t>
      </w:r>
      <w:r w:rsidR="007F1926">
        <w:t xml:space="preserve">ough the error correlations. The endogenous effects more directly indicate the strong complementarity between eat-in delivery and eat-out, as well as the strong substitution between the other two pairwise channels. </w:t>
      </w:r>
    </w:p>
    <w:p w14:paraId="0D51AFD7" w14:textId="77777777" w:rsidR="00D52C17" w:rsidRDefault="00D52C17" w:rsidP="00DD75BF">
      <w:pPr>
        <w:spacing w:after="0" w:line="276" w:lineRule="auto"/>
        <w:ind w:firstLine="720"/>
        <w:jc w:val="both"/>
      </w:pPr>
    </w:p>
    <w:p w14:paraId="0F5E50BF" w14:textId="2A0106B2" w:rsidR="00B62CE4" w:rsidRDefault="0024290A" w:rsidP="00DD75BF">
      <w:pPr>
        <w:pStyle w:val="Heading1"/>
      </w:pPr>
      <w:r>
        <w:t>DISCUSSION AND CONCLUSIONS</w:t>
      </w:r>
    </w:p>
    <w:p w14:paraId="22286F79" w14:textId="1B13DB20" w:rsidR="002640B5" w:rsidRDefault="002640B5" w:rsidP="00DD75BF">
      <w:pPr>
        <w:spacing w:after="0" w:line="276" w:lineRule="auto"/>
        <w:jc w:val="both"/>
      </w:pPr>
      <w:r w:rsidRPr="002640B5">
        <w:t>In this paper, we have examined</w:t>
      </w:r>
      <w:r>
        <w:t xml:space="preserve"> N</w:t>
      </w:r>
      <w:r w:rsidR="009D141C">
        <w:t>HCM</w:t>
      </w:r>
      <w:r>
        <w:t xml:space="preserve"> </w:t>
      </w:r>
      <w:r w:rsidRPr="002640B5">
        <w:t xml:space="preserve">preferences of </w:t>
      </w:r>
      <w:r>
        <w:t>individuals by studying their monthly count of N</w:t>
      </w:r>
      <w:r w:rsidR="009D141C">
        <w:t>HCM</w:t>
      </w:r>
      <w:r>
        <w:t xml:space="preserve"> meals by channel type: eat-out, eat-in takeout, and eat</w:t>
      </w:r>
      <w:r w:rsidR="00860CE5">
        <w:t>-</w:t>
      </w:r>
      <w:r>
        <w:t>in</w:t>
      </w:r>
      <w:r w:rsidR="00860CE5">
        <w:t xml:space="preserve"> </w:t>
      </w:r>
      <w:r>
        <w:t>delivery. This research is a novel effort to understand N</w:t>
      </w:r>
      <w:r w:rsidR="009D141C">
        <w:t>HCM</w:t>
      </w:r>
      <w:r>
        <w:t xml:space="preserve"> consumption using data from a 2022 online survey collected in Texas</w:t>
      </w:r>
      <w:r w:rsidR="00791466">
        <w:t>.</w:t>
      </w:r>
      <w:r>
        <w:t xml:space="preserve"> A multivariate ordered probit model </w:t>
      </w:r>
      <w:r w:rsidR="00791466">
        <w:t>w</w:t>
      </w:r>
      <w:r>
        <w:t>as estimated</w:t>
      </w:r>
      <w:r w:rsidR="004F1D2C">
        <w:t xml:space="preserve"> to understand the interplay among the in-person dining out option and ICT-assisted (and COVID pandemic-accelerated) eat-in options</w:t>
      </w:r>
      <w:r>
        <w:t xml:space="preserve">. Model estimation results indicated </w:t>
      </w:r>
      <w:r w:rsidR="00791466">
        <w:t>the important (and varying</w:t>
      </w:r>
      <w:r w:rsidR="00860CE5">
        <w:t xml:space="preserve"> </w:t>
      </w:r>
      <w:r w:rsidR="00791466">
        <w:t>across</w:t>
      </w:r>
      <w:r w:rsidR="00860CE5">
        <w:t xml:space="preserve"> </w:t>
      </w:r>
      <w:r w:rsidR="00791466">
        <w:t>N</w:t>
      </w:r>
      <w:r w:rsidR="009D141C">
        <w:t>HCM</w:t>
      </w:r>
      <w:r w:rsidR="00791466">
        <w:t xml:space="preserve"> channels) effects of a range of variables, including individual and household demographics, employment status and job characteristics, residential location BE factors, and COVID-related perspectives. </w:t>
      </w:r>
      <w:r>
        <w:t xml:space="preserve">The results </w:t>
      </w:r>
      <w:r w:rsidR="00791466">
        <w:t xml:space="preserve">also </w:t>
      </w:r>
      <w:r>
        <w:t>show</w:t>
      </w:r>
      <w:r w:rsidR="00791466">
        <w:t>ed</w:t>
      </w:r>
      <w:r>
        <w:t xml:space="preserve"> clear evidence of</w:t>
      </w:r>
      <w:r w:rsidR="00791466">
        <w:t xml:space="preserve"> </w:t>
      </w:r>
      <w:r>
        <w:t>complementary and substitution effects at play</w:t>
      </w:r>
      <w:r w:rsidR="00791466">
        <w:t>, even after controlling for spurious associations due to unobserved correlations;</w:t>
      </w:r>
      <w:r>
        <w:t xml:space="preserve"> the delivery channel complements eating out, but substitutes takeout. Similarly, eat-out has a substitution effect on eat-in takeout. </w:t>
      </w:r>
    </w:p>
    <w:p w14:paraId="082DD822" w14:textId="11D38EFE" w:rsidR="008077AD" w:rsidRDefault="00C34B9A" w:rsidP="00DD75BF">
      <w:pPr>
        <w:spacing w:after="0" w:line="276" w:lineRule="auto"/>
        <w:ind w:firstLine="720"/>
        <w:jc w:val="both"/>
        <w:rPr>
          <w:color w:val="000000" w:themeColor="text1"/>
        </w:rPr>
      </w:pPr>
      <w:r>
        <w:rPr>
          <w:color w:val="000000" w:themeColor="text1"/>
        </w:rPr>
        <w:t xml:space="preserve">A number of implications may be drawn from our study findings for multiple sectors, which we organize below and discuss </w:t>
      </w:r>
      <w:r w:rsidR="00791466">
        <w:rPr>
          <w:color w:val="000000" w:themeColor="text1"/>
        </w:rPr>
        <w:t xml:space="preserve">in turn </w:t>
      </w:r>
      <w:r>
        <w:rPr>
          <w:color w:val="000000" w:themeColor="text1"/>
        </w:rPr>
        <w:t xml:space="preserve">for each of the </w:t>
      </w:r>
      <w:r w:rsidR="008077AD">
        <w:rPr>
          <w:color w:val="000000" w:themeColor="text1"/>
        </w:rPr>
        <w:t xml:space="preserve">transportation, </w:t>
      </w:r>
      <w:r w:rsidR="007F1926">
        <w:rPr>
          <w:color w:val="000000" w:themeColor="text1"/>
        </w:rPr>
        <w:t>public health, and food services</w:t>
      </w:r>
      <w:r>
        <w:rPr>
          <w:color w:val="000000" w:themeColor="text1"/>
        </w:rPr>
        <w:t xml:space="preserve"> sectors.</w:t>
      </w:r>
      <w:r w:rsidR="007F1926">
        <w:rPr>
          <w:color w:val="000000" w:themeColor="text1"/>
        </w:rPr>
        <w:t xml:space="preserve"> </w:t>
      </w:r>
      <w:r w:rsidR="00791466">
        <w:rPr>
          <w:color w:val="000000" w:themeColor="text1"/>
        </w:rPr>
        <w:t xml:space="preserve">We conclude the paper with general travel demand modeling considerations. </w:t>
      </w:r>
    </w:p>
    <w:p w14:paraId="7C216F7A" w14:textId="77777777" w:rsidR="00D52C17" w:rsidRDefault="00D52C17" w:rsidP="00DD75BF">
      <w:pPr>
        <w:spacing w:after="0" w:line="276" w:lineRule="auto"/>
        <w:ind w:firstLine="720"/>
        <w:jc w:val="both"/>
        <w:rPr>
          <w:color w:val="000000" w:themeColor="text1"/>
        </w:rPr>
      </w:pPr>
    </w:p>
    <w:p w14:paraId="470DEAF2" w14:textId="5141F2B7" w:rsidR="008077AD" w:rsidRPr="000E1B51" w:rsidRDefault="003F7E94" w:rsidP="00DD75BF">
      <w:pPr>
        <w:pStyle w:val="Heading2"/>
        <w:spacing w:after="0" w:line="276" w:lineRule="auto"/>
        <w:rPr>
          <w:i w:val="0"/>
        </w:rPr>
      </w:pPr>
      <w:r w:rsidRPr="000E1B51">
        <w:rPr>
          <w:i w:val="0"/>
        </w:rPr>
        <w:t xml:space="preserve"> </w:t>
      </w:r>
      <w:r w:rsidR="008077AD" w:rsidRPr="000E1B51">
        <w:rPr>
          <w:i w:val="0"/>
        </w:rPr>
        <w:t xml:space="preserve">Implications </w:t>
      </w:r>
      <w:r w:rsidR="00EB77E7" w:rsidRPr="000E1B51">
        <w:rPr>
          <w:i w:val="0"/>
        </w:rPr>
        <w:t>for</w:t>
      </w:r>
      <w:r w:rsidR="008077AD" w:rsidRPr="000E1B51">
        <w:rPr>
          <w:i w:val="0"/>
        </w:rPr>
        <w:t xml:space="preserve"> the Transportation Sector</w:t>
      </w:r>
    </w:p>
    <w:p w14:paraId="0090178E" w14:textId="72DD491E" w:rsidR="00A46037" w:rsidRDefault="007F1926" w:rsidP="00A379CC">
      <w:pPr>
        <w:spacing w:after="0" w:line="276" w:lineRule="auto"/>
        <w:jc w:val="both"/>
      </w:pPr>
      <w:r>
        <w:t xml:space="preserve">Work place locations of individuals </w:t>
      </w:r>
      <w:r w:rsidR="00012D7B">
        <w:t xml:space="preserve">are </w:t>
      </w:r>
      <w:r>
        <w:t>see</w:t>
      </w:r>
      <w:r w:rsidR="00012D7B">
        <w:t xml:space="preserve">ing </w:t>
      </w:r>
      <w:r>
        <w:t xml:space="preserve">a sea-shift from pre-COVID times, </w:t>
      </w:r>
      <w:r w:rsidR="00012D7B">
        <w:t xml:space="preserve">due to the forced </w:t>
      </w:r>
      <w:r w:rsidRPr="00CA4850">
        <w:t xml:space="preserve">remote and virtual </w:t>
      </w:r>
      <w:r w:rsidR="00012D7B">
        <w:t xml:space="preserve">work </w:t>
      </w:r>
      <w:r w:rsidRPr="00CA4850">
        <w:t xml:space="preserve">environments during </w:t>
      </w:r>
      <w:r>
        <w:t xml:space="preserve">the </w:t>
      </w:r>
      <w:r w:rsidRPr="00CA4850">
        <w:t>“shutdown” period of the pandemic</w:t>
      </w:r>
      <w:r>
        <w:t xml:space="preserve">. While how WPL choices may evolve over a longer time period is still </w:t>
      </w:r>
      <w:r w:rsidR="00012D7B">
        <w:t>an open area of research (and debate), our study unequivocally points to the importance of WPL choices of individuals on activity-travel patterns in a post-COVID era. While work arrangements were always an important determinant of overall spatial and temporal activity-travel patterns, work hybridization along with the increased introduction to, and comfort with,</w:t>
      </w:r>
      <w:r w:rsidR="00012D7B" w:rsidRPr="00F37C04">
        <w:rPr>
          <w:color w:val="000000" w:themeColor="text1"/>
        </w:rPr>
        <w:t xml:space="preserve"> </w:t>
      </w:r>
      <w:r w:rsidR="00012D7B">
        <w:rPr>
          <w:color w:val="000000" w:themeColor="text1"/>
        </w:rPr>
        <w:t>eat-in N</w:t>
      </w:r>
      <w:r w:rsidR="009D141C">
        <w:rPr>
          <w:color w:val="000000" w:themeColor="text1"/>
        </w:rPr>
        <w:t>HCM</w:t>
      </w:r>
      <w:r w:rsidR="00012D7B">
        <w:rPr>
          <w:color w:val="000000" w:themeColor="text1"/>
        </w:rPr>
        <w:t xml:space="preserve"> options, </w:t>
      </w:r>
      <w:r w:rsidR="006E12EE">
        <w:rPr>
          <w:color w:val="000000" w:themeColor="text1"/>
        </w:rPr>
        <w:t>is likely to expand the range of activity-travel options of individuals. The innovation of the</w:t>
      </w:r>
      <w:r w:rsidR="006E12EE" w:rsidRPr="006E12EE">
        <w:t xml:space="preserve"> </w:t>
      </w:r>
      <w:r w:rsidR="006E12EE">
        <w:t xml:space="preserve">current study is in its rigorous investigation of the interplay of dining options within this expanded activity-travel landscape. </w:t>
      </w:r>
      <w:r w:rsidR="006F1451">
        <w:t xml:space="preserve">According to our results, the most amount of </w:t>
      </w:r>
      <w:r w:rsidR="00791466">
        <w:t xml:space="preserve">total </w:t>
      </w:r>
      <w:r w:rsidR="006F1451">
        <w:t xml:space="preserve">NDMC-related travel (in terms of trips) will be generated by individuals working always from the work place. </w:t>
      </w:r>
      <w:r w:rsidR="00616EB8">
        <w:t xml:space="preserve">On </w:t>
      </w:r>
      <w:r w:rsidR="006F1451">
        <w:t xml:space="preserve">the </w:t>
      </w:r>
      <w:r w:rsidR="00791466">
        <w:t>other end</w:t>
      </w:r>
      <w:r w:rsidR="006F1451">
        <w:t xml:space="preserve">, individuals working always from home </w:t>
      </w:r>
      <w:r w:rsidR="00791466">
        <w:t xml:space="preserve">(and particularly those residing in urban areas) </w:t>
      </w:r>
      <w:r w:rsidR="006F1451">
        <w:t>are the most likely consumers of the two eat-in N</w:t>
      </w:r>
      <w:r w:rsidR="009D141C">
        <w:t>HCM</w:t>
      </w:r>
      <w:r w:rsidR="006F1451">
        <w:t xml:space="preserve"> channels. Interestingly, both these </w:t>
      </w:r>
      <w:r w:rsidR="00713E3A">
        <w:t xml:space="preserve">types of workers, according to our results, will increase total </w:t>
      </w:r>
      <w:r w:rsidR="00791466">
        <w:t>N</w:t>
      </w:r>
      <w:r w:rsidR="009D141C">
        <w:t>HCM</w:t>
      </w:r>
      <w:r w:rsidR="00791466">
        <w:t xml:space="preserve">-related </w:t>
      </w:r>
      <w:r w:rsidR="00713E3A">
        <w:t xml:space="preserve">travel </w:t>
      </w:r>
      <w:r w:rsidR="00791466">
        <w:t>compared to those who are not employed</w:t>
      </w:r>
      <w:r w:rsidR="00713E3A">
        <w:t xml:space="preserve">. </w:t>
      </w:r>
      <w:r w:rsidR="004E6546">
        <w:t xml:space="preserve">Our results also indicate that the </w:t>
      </w:r>
      <w:r w:rsidR="00F003B0">
        <w:t xml:space="preserve">fraction of days an individual works from the work office is particularly important in influencing the </w:t>
      </w:r>
      <w:r w:rsidR="004E6546">
        <w:t xml:space="preserve">number of eat-out episodes. This suggests activity-chaining during the evening commute, and strongly points to the need to adopt an activity-based approach to travel modeling in the increasingly </w:t>
      </w:r>
      <w:r w:rsidR="00F003B0">
        <w:t>N</w:t>
      </w:r>
      <w:r w:rsidR="009D141C">
        <w:t>HCM</w:t>
      </w:r>
      <w:r w:rsidR="00F003B0">
        <w:t xml:space="preserve"> </w:t>
      </w:r>
      <w:r w:rsidR="004E6546">
        <w:t>dining landscape of today. As has been discussed in multiple activity-</w:t>
      </w:r>
      <w:r w:rsidR="004E6546" w:rsidRPr="00137C2E">
        <w:t>based travel studies (see, for example, Bhat</w:t>
      </w:r>
      <w:r w:rsidR="005D3220" w:rsidRPr="00137C2E">
        <w:t xml:space="preserve"> and Sardesai (2006), Wang (2015), and Wan et al. (2021)</w:t>
      </w:r>
      <w:r w:rsidR="004E6546" w:rsidRPr="00137C2E">
        <w:t>),</w:t>
      </w:r>
      <w:r w:rsidR="004E6546">
        <w:t xml:space="preserve"> activity-chaining during the commute has a strong influence on commute mode choice, and has also contributed to extending the typical evening peak period.</w:t>
      </w:r>
    </w:p>
    <w:p w14:paraId="31691F3F" w14:textId="5260AC6A" w:rsidR="00860CE5" w:rsidRDefault="006F1451" w:rsidP="00391E47">
      <w:pPr>
        <w:spacing w:after="0"/>
        <w:ind w:firstLine="720"/>
        <w:jc w:val="both"/>
      </w:pPr>
      <w:bookmarkStart w:id="56" w:name="_Hlk119653712"/>
      <w:r>
        <w:t>Additional research on the length of the generated trips</w:t>
      </w:r>
      <w:r w:rsidR="00713E3A">
        <w:t xml:space="preserve"> and the spatial-temporal patterns of </w:t>
      </w:r>
      <w:r w:rsidR="00A46037">
        <w:t>N</w:t>
      </w:r>
      <w:r w:rsidR="009D141C">
        <w:t>HCM</w:t>
      </w:r>
      <w:r w:rsidR="00A46037">
        <w:t>-related</w:t>
      </w:r>
      <w:r w:rsidR="00713E3A">
        <w:t xml:space="preserve"> trips</w:t>
      </w:r>
      <w:r>
        <w:t xml:space="preserve">, both by personal and delivery vehicles, is needed to obtain a full picture of </w:t>
      </w:r>
      <w:r w:rsidR="00713E3A">
        <w:t xml:space="preserve">impact on </w:t>
      </w:r>
      <w:r>
        <w:t>vehicle miles of travel. Besides, th</w:t>
      </w:r>
      <w:r w:rsidR="00713E3A">
        <w:t xml:space="preserve">is </w:t>
      </w:r>
      <w:r>
        <w:t>impact</w:t>
      </w:r>
      <w:r w:rsidR="00713E3A">
        <w:t xml:space="preserve"> </w:t>
      </w:r>
      <w:r>
        <w:t xml:space="preserve">depends on the mode used for food pick-up and delivery. </w:t>
      </w:r>
      <w:bookmarkEnd w:id="56"/>
      <w:r>
        <w:t xml:space="preserve">For traditional car deliveries, the surge in delivery orders placed by teleworkers at the end of work hours may cause congestion in residential locations that are not designed to handle such traffic volumes. In addition to delivering by car, food delivery companies in dense cities are allowing </w:t>
      </w:r>
      <w:r w:rsidRPr="00CD70BA">
        <w:t>bikes</w:t>
      </w:r>
      <w:r>
        <w:t>,</w:t>
      </w:r>
      <w:r w:rsidRPr="00521FD0">
        <w:t xml:space="preserve"> </w:t>
      </w:r>
      <w:r w:rsidRPr="00CD70BA">
        <w:t>e-bikes</w:t>
      </w:r>
      <w:r>
        <w:t>, or other forms of micro-mobility</w:t>
      </w:r>
      <w:r w:rsidR="00A46037">
        <w:t xml:space="preserve"> for food delivery</w:t>
      </w:r>
      <w:r>
        <w:t xml:space="preserve"> </w:t>
      </w:r>
      <w:r w:rsidRPr="006C7F18">
        <w:fldChar w:fldCharType="begin"/>
      </w:r>
      <w:r w:rsidRPr="006C7F18">
        <w:instrText xml:space="preserve"> ADDIN ZOTERO_ITEM CSL_CITATION {"citationID":"wwR0UUTe","properties":{"formattedCitation":"(DoorDash, 2022; Uber, 2022)","plainCitation":"(DoorDash, 2022; Uber, 2022)","noteIndex":0},"citationItems":[{"id":582,"uris":["http://zotero.org/users/9292995/items/3N3I8E34"],"itemData":{"id":582,"type":"webpage","abstract":"Drive and deliver with DoorDash and start making money today. Pick your own schedule and use any car or bike. Fast signup, great pay, easy work. Be a Dasher now!","container-title":"DoorDash","title":"Become a Driver &amp; Deliver with DoorDash","URL":"https://www.doordash.com/dasher/signup/","author":[{"literal":"DoorDash"}],"accessed":{"date-parts":[["2022",5,21]]},"issued":{"date-parts":[["2022"]]}}},{"id":580,"uris":["http://zotero.org/users/9292995/items/NNKFZG8V"],"itemData":{"id":580,"type":"webpage","container-title":"Uber","language":"en","title":"Become a Delivery Driver Using Uber Eats","URL":"https://www.uber.com/us/en/deliver/","author":[{"literal":"Uber"}],"accessed":{"date-parts":[["2022",5,21]]},"issued":{"date-parts":[["2022"]]}}}],"schema":"https://github.com/citation-style-language/schema/raw/master/csl-citation.json"} </w:instrText>
      </w:r>
      <w:r w:rsidRPr="006C7F18">
        <w:fldChar w:fldCharType="separate"/>
      </w:r>
      <w:r w:rsidRPr="006C7F18">
        <w:t>(DoorDash, 2022</w:t>
      </w:r>
      <w:r w:rsidR="00DD75BF" w:rsidRPr="006C7F18">
        <w:t>;</w:t>
      </w:r>
      <w:r w:rsidRPr="006C7F18">
        <w:t xml:space="preserve"> Uber, 2022)</w:t>
      </w:r>
      <w:r w:rsidRPr="006C7F18">
        <w:fldChar w:fldCharType="end"/>
      </w:r>
      <w:r w:rsidRPr="006C7F18">
        <w:t>.</w:t>
      </w:r>
      <w:r>
        <w:t xml:space="preserve"> While these delivery modes </w:t>
      </w:r>
      <w:r w:rsidR="00A46037">
        <w:t xml:space="preserve">may </w:t>
      </w:r>
      <w:r>
        <w:t>aid in relieving vehicular congestion, they can cause a rapid spike in the bicyclist volume on bi</w:t>
      </w:r>
      <w:r w:rsidR="00713E3A">
        <w:t>cycle</w:t>
      </w:r>
      <w:r>
        <w:t xml:space="preserve"> lanes</w:t>
      </w:r>
      <w:r w:rsidR="00713E3A">
        <w:t>,</w:t>
      </w:r>
      <w:r>
        <w:t xml:space="preserve"> which affects the level of service o</w:t>
      </w:r>
      <w:r w:rsidR="00A46037">
        <w:t xml:space="preserve">n </w:t>
      </w:r>
      <w:r w:rsidR="00713E3A">
        <w:t xml:space="preserve">such </w:t>
      </w:r>
      <w:r>
        <w:t>lanes</w:t>
      </w:r>
      <w:r w:rsidR="00A46037">
        <w:t xml:space="preserve">, </w:t>
      </w:r>
      <w:r w:rsidR="00713E3A">
        <w:t>creat</w:t>
      </w:r>
      <w:r w:rsidR="00A46037">
        <w:t xml:space="preserve">ing a separate set of </w:t>
      </w:r>
      <w:r>
        <w:t xml:space="preserve">safety </w:t>
      </w:r>
      <w:r w:rsidR="00713E3A">
        <w:t>challenges</w:t>
      </w:r>
      <w:r>
        <w:t>.</w:t>
      </w:r>
      <w:r w:rsidR="00FB2660">
        <w:t xml:space="preserve"> </w:t>
      </w:r>
      <w:r w:rsidR="00554351">
        <w:t>O</w:t>
      </w:r>
      <w:r w:rsidR="00A379CC">
        <w:t xml:space="preserve">ur results </w:t>
      </w:r>
      <w:r w:rsidR="00554351">
        <w:t xml:space="preserve">also </w:t>
      </w:r>
      <w:r w:rsidR="00A379CC">
        <w:t xml:space="preserve">show that individuals residing in urban (dense) areas partake more in delivery and take-out dining relative </w:t>
      </w:r>
      <w:r w:rsidR="005A5444">
        <w:t xml:space="preserve">to </w:t>
      </w:r>
      <w:r w:rsidR="00A379CC">
        <w:t xml:space="preserve">their peers in lower density environments. This is likely to have travel demand repercussions, with already clogged urban cores seeing further increases in congestion through a growth in motorized and non-motorized traffic. </w:t>
      </w:r>
      <w:bookmarkStart w:id="57" w:name="_Hlk119653755"/>
      <w:r w:rsidR="008C0296">
        <w:t xml:space="preserve">Such travel demand implications may be assessed by integrating our model within a larger activity-based travel system, as further discussed in Section 6.4. </w:t>
      </w:r>
    </w:p>
    <w:bookmarkEnd w:id="57"/>
    <w:p w14:paraId="36CA14B8" w14:textId="09F90608" w:rsidR="006F1451" w:rsidRPr="00F44F2C" w:rsidRDefault="006F1451" w:rsidP="00391E47">
      <w:pPr>
        <w:spacing w:after="0" w:line="276" w:lineRule="auto"/>
        <w:ind w:firstLine="720"/>
        <w:jc w:val="both"/>
      </w:pPr>
      <w:r>
        <w:rPr>
          <w:color w:val="000000" w:themeColor="text1"/>
        </w:rPr>
        <w:t xml:space="preserve"> </w:t>
      </w:r>
    </w:p>
    <w:p w14:paraId="3703A25F" w14:textId="09022CB7" w:rsidR="008077AD" w:rsidRPr="000E1B51" w:rsidRDefault="003F7E94" w:rsidP="00447F64">
      <w:pPr>
        <w:pStyle w:val="Heading2"/>
        <w:keepNext/>
        <w:keepLines/>
        <w:spacing w:after="0" w:line="276" w:lineRule="auto"/>
        <w:rPr>
          <w:i w:val="0"/>
        </w:rPr>
      </w:pPr>
      <w:r w:rsidRPr="000E1B51">
        <w:rPr>
          <w:i w:val="0"/>
        </w:rPr>
        <w:lastRenderedPageBreak/>
        <w:t xml:space="preserve"> </w:t>
      </w:r>
      <w:r w:rsidR="008077AD" w:rsidRPr="000E1B51">
        <w:rPr>
          <w:i w:val="0"/>
        </w:rPr>
        <w:t xml:space="preserve">Implications </w:t>
      </w:r>
      <w:r w:rsidR="00EB77E7" w:rsidRPr="000E1B51">
        <w:rPr>
          <w:i w:val="0"/>
        </w:rPr>
        <w:t>for</w:t>
      </w:r>
      <w:r w:rsidR="008077AD" w:rsidRPr="000E1B51">
        <w:rPr>
          <w:i w:val="0"/>
        </w:rPr>
        <w:t xml:space="preserve"> the Health Sector</w:t>
      </w:r>
    </w:p>
    <w:p w14:paraId="5F12A467" w14:textId="43BC9DE1" w:rsidR="00A46037" w:rsidRDefault="00FA08E0" w:rsidP="00447F64">
      <w:pPr>
        <w:keepNext/>
        <w:keepLines/>
        <w:spacing w:after="0" w:line="276" w:lineRule="auto"/>
        <w:jc w:val="both"/>
      </w:pPr>
      <w:r>
        <w:t>Table 6</w:t>
      </w:r>
      <w:r w:rsidR="00A46037">
        <w:t xml:space="preserve"> s</w:t>
      </w:r>
      <w:r w:rsidR="00F4450C">
        <w:t xml:space="preserve">hows that young adults are </w:t>
      </w:r>
      <w:r w:rsidR="001C76C4">
        <w:t xml:space="preserve">particularly likely to be </w:t>
      </w:r>
      <w:r w:rsidR="00F4450C">
        <w:t xml:space="preserve">associated with high </w:t>
      </w:r>
      <w:r w:rsidR="00BA0117">
        <w:t>N</w:t>
      </w:r>
      <w:r w:rsidR="009D141C">
        <w:t>HCM</w:t>
      </w:r>
      <w:r w:rsidR="00BA0117">
        <w:t xml:space="preserve"> </w:t>
      </w:r>
      <w:r w:rsidR="00F4450C">
        <w:t>consumption</w:t>
      </w:r>
      <w:r w:rsidR="001C76C4">
        <w:t>.</w:t>
      </w:r>
      <w:r w:rsidR="00F4450C">
        <w:t xml:space="preserve"> </w:t>
      </w:r>
      <w:r w:rsidR="00BA0BC8">
        <w:t>Further,</w:t>
      </w:r>
      <w:r w:rsidR="001C76C4">
        <w:t xml:space="preserve"> N</w:t>
      </w:r>
      <w:r w:rsidR="009D141C">
        <w:t>HCM</w:t>
      </w:r>
      <w:r w:rsidR="001C76C4">
        <w:t>s, especially eat-in takeouts and deliver</w:t>
      </w:r>
      <w:r w:rsidR="00BA0117">
        <w:t xml:space="preserve">ies, </w:t>
      </w:r>
      <w:r w:rsidR="001C76C4">
        <w:t>often used by</w:t>
      </w:r>
      <w:r w:rsidR="00A46037">
        <w:t xml:space="preserve"> </w:t>
      </w:r>
      <w:r w:rsidR="001C76C4">
        <w:t xml:space="preserve">young adults, </w:t>
      </w:r>
      <w:r w:rsidR="00BA0BC8">
        <w:t xml:space="preserve">are </w:t>
      </w:r>
      <w:r w:rsidR="00A46037">
        <w:t xml:space="preserve">typically </w:t>
      </w:r>
      <w:r w:rsidR="00BA0BC8">
        <w:t xml:space="preserve">associated with high calorie, low nutrition fast </w:t>
      </w:r>
      <w:r w:rsidR="001C76C4">
        <w:t xml:space="preserve">food options. </w:t>
      </w:r>
      <w:r w:rsidR="00F4450C">
        <w:t xml:space="preserve">To </w:t>
      </w:r>
      <w:r w:rsidR="00A46037">
        <w:t>address</w:t>
      </w:r>
      <w:r w:rsidR="00F4450C">
        <w:t xml:space="preserve"> this issue, </w:t>
      </w:r>
      <w:r w:rsidR="001C459D">
        <w:t>policy efforts that highlight the strong connection between healthy eating and health</w:t>
      </w:r>
      <w:r w:rsidR="00A46037">
        <w:t>y</w:t>
      </w:r>
      <w:r w:rsidR="001C459D">
        <w:t xml:space="preserve"> living among this younger adult group </w:t>
      </w:r>
      <w:r w:rsidR="00616EB8">
        <w:t>are</w:t>
      </w:r>
      <w:r w:rsidR="001C459D">
        <w:t xml:space="preserve"> warranted. Further, given that old habits get wired in our neural pathways and are difficult to shed, nutritional programming and education at high schools and even earlier for the upcoming generation of adults would be beneficial and can put a stop </w:t>
      </w:r>
      <w:r w:rsidR="00F4450C">
        <w:t xml:space="preserve">to the </w:t>
      </w:r>
      <w:r w:rsidR="00BA0117">
        <w:t>inter-</w:t>
      </w:r>
      <w:r w:rsidR="00F4450C">
        <w:t xml:space="preserve">generational poor meal sourcing domino effect. </w:t>
      </w:r>
    </w:p>
    <w:p w14:paraId="380D15EE" w14:textId="10CC2E94" w:rsidR="00A46037" w:rsidRDefault="00F4450C" w:rsidP="00DD75BF">
      <w:pPr>
        <w:spacing w:after="0" w:line="276" w:lineRule="auto"/>
        <w:ind w:firstLine="720"/>
        <w:jc w:val="both"/>
      </w:pPr>
      <w:r>
        <w:t xml:space="preserve">Our ATE results also suggest </w:t>
      </w:r>
      <w:r w:rsidRPr="00BB3F63">
        <w:t xml:space="preserve">that </w:t>
      </w:r>
      <w:r>
        <w:t>non-w</w:t>
      </w:r>
      <w:r w:rsidRPr="00BB3F63">
        <w:t xml:space="preserve">hite </w:t>
      </w:r>
      <w:r>
        <w:t xml:space="preserve">individuals </w:t>
      </w:r>
      <w:r w:rsidR="00F54423">
        <w:t xml:space="preserve">and </w:t>
      </w:r>
      <w:r w:rsidR="00616EB8">
        <w:t>low-</w:t>
      </w:r>
      <w:r w:rsidR="00F54423">
        <w:t xml:space="preserve">income individuals </w:t>
      </w:r>
      <w:r>
        <w:t>consume takeout food</w:t>
      </w:r>
      <w:r w:rsidR="00F54423">
        <w:t xml:space="preserve"> </w:t>
      </w:r>
      <w:r>
        <w:t>more often than white consumers.</w:t>
      </w:r>
      <w:r w:rsidRPr="00F4450C">
        <w:t xml:space="preserve"> </w:t>
      </w:r>
      <w:r w:rsidR="00BA0117">
        <w:t xml:space="preserve">This may reflect the </w:t>
      </w:r>
      <w:r w:rsidR="00F54423">
        <w:t>time poverty</w:t>
      </w:r>
      <w:r w:rsidR="00BA0117">
        <w:t xml:space="preserve"> experienced by </w:t>
      </w:r>
      <w:r w:rsidR="00F54423">
        <w:t>minorit</w:t>
      </w:r>
      <w:r w:rsidR="00BA0117">
        <w:t>y</w:t>
      </w:r>
      <w:r w:rsidR="00F54423">
        <w:t xml:space="preserve"> and </w:t>
      </w:r>
      <w:r w:rsidR="00616EB8">
        <w:t>low-</w:t>
      </w:r>
      <w:r w:rsidR="00F54423">
        <w:t>income individuals</w:t>
      </w:r>
      <w:r w:rsidR="00616EB8">
        <w:t xml:space="preserve"> </w:t>
      </w:r>
      <w:bookmarkStart w:id="58" w:name="_Hlk110150833"/>
      <w:r w:rsidR="00616EB8">
        <w:fldChar w:fldCharType="begin"/>
      </w:r>
      <w:r w:rsidR="00616EB8">
        <w:instrText xml:space="preserve"> ADDIN ZOTERO_ITEM CSL_CITATION {"citationID":"AYsFm6gI","properties":{"formattedCitation":"(Bruns &amp; Pilkauskas, 2019; Miller, 2006)","plainCitation":"(Bruns &amp; Pilkauskas, 2019; Miller, 2006)","noteIndex":0},"citationItems":[{"id":882,"uris":["http://zotero.org/users/9292995/items/IFIL8L4I"],"itemData":{"id":882,"type":"article-journal","container-title":"Women's Health Issues","ISSN":"1049-3867","issue":"3","journalAbbreviation":"Women's Health Issues","note":"publisher: Elsevier","page":"205-212","title":"Multiple job holding and mental health among low-income mothers","volume":"29","author":[{"family":"Bruns","given":"Angela"},{"family":"Pilkauskas","given":"Natasha"}],"issued":{"date-parts":[["2019"]]}}},{"id":881,"uris":["http://zotero.org/users/9292995/items/UKTWIDX9"],"itemData":{"id":881,"type":"paper-conference","event-title":"AXHAUSEN KW Moving through nets: The Physical and Social Dimensions of Travel. Selected papers from the 10th International Conference of Travel Behaviour Research H. Elsevier Science Publishing Company","page":"353-380","publisher":"Citeseer","title":"Social exclusion in space and time","author":[{"family":"Miller","given":"Harvey J"}],"issued":{"date-parts":[["2006"]]}}}],"schema":"https://github.com/citation-style-language/schema/raw/master/csl-citation.json"} </w:instrText>
      </w:r>
      <w:r w:rsidR="00616EB8">
        <w:fldChar w:fldCharType="separate"/>
      </w:r>
      <w:r w:rsidR="00616EB8" w:rsidRPr="00616EB8">
        <w:t xml:space="preserve">(Bruns </w:t>
      </w:r>
      <w:r w:rsidR="00616EB8">
        <w:t>and</w:t>
      </w:r>
      <w:r w:rsidR="00616EB8" w:rsidRPr="00616EB8">
        <w:t xml:space="preserve"> Pilkauskas, 2019</w:t>
      </w:r>
      <w:r w:rsidR="00DD75BF">
        <w:t>;</w:t>
      </w:r>
      <w:r w:rsidR="00616EB8" w:rsidRPr="00616EB8">
        <w:t xml:space="preserve"> Miller, 2006)</w:t>
      </w:r>
      <w:r w:rsidR="00616EB8">
        <w:fldChar w:fldCharType="end"/>
      </w:r>
      <w:r w:rsidR="00616EB8">
        <w:t xml:space="preserve">. </w:t>
      </w:r>
      <w:bookmarkEnd w:id="58"/>
      <w:r w:rsidR="00F54423">
        <w:t>And t</w:t>
      </w:r>
      <w:r>
        <w:t>ime</w:t>
      </w:r>
      <w:r w:rsidR="00EB77E7">
        <w:t xml:space="preserve"> </w:t>
      </w:r>
      <w:r>
        <w:t>poverty</w:t>
      </w:r>
      <w:r w:rsidR="00F54423">
        <w:t xml:space="preserve"> </w:t>
      </w:r>
      <w:r w:rsidR="00C11BE1">
        <w:t>is one of the main</w:t>
      </w:r>
      <w:r w:rsidR="00C11BE1" w:rsidRPr="00C54580">
        <w:t xml:space="preserve"> barrier</w:t>
      </w:r>
      <w:r w:rsidR="00C11BE1">
        <w:t>s</w:t>
      </w:r>
      <w:r w:rsidR="00C11BE1" w:rsidRPr="00C54580">
        <w:t xml:space="preserve"> to </w:t>
      </w:r>
      <w:r w:rsidR="00C11BE1">
        <w:t>preparing home-cooked meals</w:t>
      </w:r>
      <w:r w:rsidR="00C11BE1" w:rsidRPr="00C54580">
        <w:t xml:space="preserve"> </w:t>
      </w:r>
      <w:bookmarkStart w:id="59" w:name="_Hlk109746059"/>
      <w:r w:rsidR="00C11BE1">
        <w:fldChar w:fldCharType="begin"/>
      </w:r>
      <w:r w:rsidR="0009165F">
        <w:instrText xml:space="preserve"> ADDIN ZOTERO_ITEM CSL_CITATION {"citationID":"AZoAccYq","properties":{"formattedCitation":"(Lavelle et al., 2016; Smith et al., 2013)","plainCitation":"(Lavelle et al., 2016; Smith et al., 2013)","dontUpdate":true,"noteIndex":0},"citationItems":[{"id":856,"uris":["http://zotero.org/users/9292995/items/5SGSHY3V"],"itemData":{"id":856,"type":"article-journal","container-title":"Appetite","ISSN":"0195-6663","journalAbbreviation":"Appetite","note":"publisher: Elsevier","page":"383-391","title":"Barriers and facilitators to cooking from ‘scratch’using basic or raw ingredients: A qualitative interview study","volume":"107","author":[{"family":"Lavelle","given":"Fiona"},{"family":"McGowan","given":"Laura"},{"family":"Spence","given":"Michelle"},{"family":"Caraher","given":"Martin"},{"family":"Raats","given":"Monique M"},{"family":"Hollywood","given":"Lynsey"},{"family":"McDowell","given":"Dawn"},{"family":"McCloat","given":"Amanda"},{"family":"Mooney","given":"Elaine"},{"family":"Dean","given":"Moira"}],"issued":{"date-parts":[["2016"]]}}},{"id":689,"uris":["http://zotero.org/users/9292995/items/VMDI6NYY"],"itemData":{"id":689,"type":"article-journal","container-title":"Nutrition journal","ISSN":"1475-2891","issue":"1","journalAbbreviation":"Nutrition journal","note":"publisher: BioMed Central","page":"1-10","title":"Trends in US home food preparation and consumption: analysis of national nutrition surveys and time use studies from 1965–1966 to 2007–2008","volume":"12","author":[{"family":"Smith","given":"Lindsey P"},{"family":"Ng","given":"Shu Wen"},{"family":"Popkin","given":"Barry M"}],"issued":{"date-parts":[["2013"]]}}}],"schema":"https://github.com/citation-style-language/schema/raw/master/csl-citation.json"} </w:instrText>
      </w:r>
      <w:r w:rsidR="00C11BE1">
        <w:fldChar w:fldCharType="separate"/>
      </w:r>
      <w:r w:rsidR="00C11BE1" w:rsidRPr="00F4450C">
        <w:t>(Lavelle et al., 2016</w:t>
      </w:r>
      <w:r w:rsidR="00DD75BF">
        <w:t>;</w:t>
      </w:r>
      <w:r w:rsidR="00A46037">
        <w:t xml:space="preserve"> </w:t>
      </w:r>
      <w:r w:rsidR="00C11BE1" w:rsidRPr="00F4450C">
        <w:t>Smith et al., 2013)</w:t>
      </w:r>
      <w:r w:rsidR="00C11BE1">
        <w:fldChar w:fldCharType="end"/>
      </w:r>
      <w:bookmarkEnd w:id="59"/>
      <w:r w:rsidR="00C11BE1">
        <w:t xml:space="preserve">. </w:t>
      </w:r>
      <w:r w:rsidR="006F36AE">
        <w:t>Besides, t</w:t>
      </w:r>
      <w:r w:rsidR="00C11BE1">
        <w:t>he combination of the costs of fresh foods and vegetables</w:t>
      </w:r>
      <w:r w:rsidR="006F36AE">
        <w:t xml:space="preserve"> at grocery stores</w:t>
      </w:r>
      <w:r w:rsidR="00C11BE1">
        <w:t>, relative to easy-to-grab inexpensive food,</w:t>
      </w:r>
      <w:r w:rsidR="006F36AE">
        <w:t xml:space="preserve"> further </w:t>
      </w:r>
      <w:r w:rsidR="00BA0117">
        <w:t xml:space="preserve">can </w:t>
      </w:r>
      <w:r w:rsidR="00C11BE1">
        <w:t xml:space="preserve">lead to takeouts from fast foods. </w:t>
      </w:r>
    </w:p>
    <w:p w14:paraId="4972D080" w14:textId="1A2463E7" w:rsidR="00F4450C" w:rsidRDefault="006F36AE" w:rsidP="00DD75BF">
      <w:pPr>
        <w:spacing w:after="0" w:line="276" w:lineRule="auto"/>
        <w:ind w:firstLine="720"/>
        <w:jc w:val="both"/>
      </w:pPr>
      <w:r>
        <w:t xml:space="preserve">Time poverty also affects those employed and who work long hours. </w:t>
      </w:r>
      <w:r w:rsidR="00F4450C">
        <w:t>Our results indicate that the time pressures e</w:t>
      </w:r>
      <w:r>
        <w:t xml:space="preserve">xperienced </w:t>
      </w:r>
      <w:r w:rsidR="00F4450C">
        <w:t>by employed individuals go beyond commu</w:t>
      </w:r>
      <w:r>
        <w:t>te time</w:t>
      </w:r>
      <w:r w:rsidR="00F4450C">
        <w:t>.</w:t>
      </w:r>
      <w:r>
        <w:t xml:space="preserve"> Even those working </w:t>
      </w:r>
      <w:r w:rsidR="00381210">
        <w:t>full-</w:t>
      </w:r>
      <w:r>
        <w:t xml:space="preserve">time from home tend to have fewer </w:t>
      </w:r>
      <w:r w:rsidR="009D141C">
        <w:t>HCM</w:t>
      </w:r>
      <w:r w:rsidR="00BA0117">
        <w:t xml:space="preserve"> instances</w:t>
      </w:r>
      <w:r>
        <w:t xml:space="preserve">, and have a high count of eat-in takeout and eat-in delivery. This indicates that </w:t>
      </w:r>
      <w:r w:rsidR="00A46037">
        <w:t>the</w:t>
      </w:r>
      <w:r>
        <w:t xml:space="preserve"> increase in </w:t>
      </w:r>
      <w:r w:rsidR="009D141C">
        <w:t>HCM</w:t>
      </w:r>
      <w:r>
        <w:t xml:space="preserve">s during the COVID-19 lockdown period, as suggested by studies such as </w:t>
      </w:r>
      <w:r w:rsidR="00E7457A">
        <w:t xml:space="preserve">Sarda et al., 2022, may have </w:t>
      </w:r>
      <w:r w:rsidR="00A46037">
        <w:t xml:space="preserve">been short-lived and is fading </w:t>
      </w:r>
      <w:r w:rsidR="00E7457A">
        <w:t xml:space="preserve">as we move out of the strict lockdown period of the pandemic. </w:t>
      </w:r>
      <w:r w:rsidR="00F4450C">
        <w:t xml:space="preserve">Overall, we conclude that time-poor employed individuals prefer </w:t>
      </w:r>
      <w:r w:rsidR="00F4450C" w:rsidRPr="00F4450C">
        <w:t>meals that are time efficient</w:t>
      </w:r>
      <w:r w:rsidR="00F4450C">
        <w:t xml:space="preserve"> and</w:t>
      </w:r>
      <w:r w:rsidR="00F4450C" w:rsidRPr="00F4450C">
        <w:t xml:space="preserve"> convenient</w:t>
      </w:r>
      <w:r w:rsidR="00F4450C">
        <w:t xml:space="preserve"> regardless of workplace location</w:t>
      </w:r>
      <w:r w:rsidR="00E7457A">
        <w:t>;</w:t>
      </w:r>
      <w:r w:rsidR="00F4450C">
        <w:t xml:space="preserve"> interventions need to focus on providing th</w:t>
      </w:r>
      <w:r w:rsidR="00BA0117">
        <w:t xml:space="preserve">ese individuals </w:t>
      </w:r>
      <w:r w:rsidR="00F4450C">
        <w:t>with healthy N</w:t>
      </w:r>
      <w:r w:rsidR="009D141C">
        <w:t>HCM</w:t>
      </w:r>
      <w:r w:rsidR="00F4450C">
        <w:t xml:space="preserve"> options and </w:t>
      </w:r>
      <w:r w:rsidR="00E7457A">
        <w:t xml:space="preserve">perhaps </w:t>
      </w:r>
      <w:r w:rsidR="00F4450C" w:rsidRPr="00F4450C">
        <w:t xml:space="preserve">batch cooking </w:t>
      </w:r>
      <w:r w:rsidR="00F4450C">
        <w:t xml:space="preserve">training to </w:t>
      </w:r>
      <w:r w:rsidR="00F4450C" w:rsidRPr="00F4450C">
        <w:t>reduc</w:t>
      </w:r>
      <w:r w:rsidR="00F4450C">
        <w:t xml:space="preserve">e </w:t>
      </w:r>
      <w:r w:rsidR="00F4450C" w:rsidRPr="00F4450C">
        <w:t>the</w:t>
      </w:r>
      <w:r w:rsidR="00E7457A">
        <w:t xml:space="preserve"> time</w:t>
      </w:r>
      <w:r w:rsidR="00860CE5">
        <w:t xml:space="preserve"> and</w:t>
      </w:r>
      <w:r w:rsidR="00E7457A">
        <w:t xml:space="preserve"> </w:t>
      </w:r>
      <w:r w:rsidR="00F4450C" w:rsidRPr="00F4450C">
        <w:t xml:space="preserve">effort </w:t>
      </w:r>
      <w:r w:rsidR="00E7457A">
        <w:t xml:space="preserve">to prepare </w:t>
      </w:r>
      <w:r w:rsidR="009D141C">
        <w:t>HCM</w:t>
      </w:r>
      <w:r w:rsidR="00E7457A">
        <w:t>s</w:t>
      </w:r>
      <w:r w:rsidR="00F4450C">
        <w:t>.</w:t>
      </w:r>
    </w:p>
    <w:p w14:paraId="0D4AB8EB" w14:textId="77777777" w:rsidR="00D52C17" w:rsidRDefault="00D52C17" w:rsidP="00DD75BF">
      <w:pPr>
        <w:spacing w:after="0" w:line="276" w:lineRule="auto"/>
        <w:ind w:firstLine="720"/>
        <w:jc w:val="both"/>
      </w:pPr>
    </w:p>
    <w:p w14:paraId="622A3FDD" w14:textId="6A094A18" w:rsidR="008077AD" w:rsidRPr="000E1B51" w:rsidRDefault="003F7E94" w:rsidP="00DD75BF">
      <w:pPr>
        <w:pStyle w:val="Heading2"/>
        <w:spacing w:after="0" w:line="276" w:lineRule="auto"/>
        <w:rPr>
          <w:i w:val="0"/>
        </w:rPr>
      </w:pPr>
      <w:r w:rsidRPr="000E1B51">
        <w:rPr>
          <w:i w:val="0"/>
        </w:rPr>
        <w:t xml:space="preserve"> </w:t>
      </w:r>
      <w:r w:rsidR="008077AD" w:rsidRPr="000E1B51">
        <w:rPr>
          <w:i w:val="0"/>
        </w:rPr>
        <w:t xml:space="preserve">Implications </w:t>
      </w:r>
      <w:r w:rsidR="00EB77E7" w:rsidRPr="000E1B51">
        <w:rPr>
          <w:i w:val="0"/>
        </w:rPr>
        <w:t>for</w:t>
      </w:r>
      <w:r w:rsidR="008077AD" w:rsidRPr="000E1B51">
        <w:rPr>
          <w:i w:val="0"/>
        </w:rPr>
        <w:t xml:space="preserve"> the Food Service Sector</w:t>
      </w:r>
    </w:p>
    <w:p w14:paraId="4113DBEE" w14:textId="17ACBAC7" w:rsidR="00BA0117" w:rsidRDefault="00AF7C47" w:rsidP="00DD75BF">
      <w:pPr>
        <w:spacing w:after="0" w:line="276" w:lineRule="auto"/>
        <w:jc w:val="both"/>
      </w:pPr>
      <w:r>
        <w:t xml:space="preserve">Restaurants can use the results of this study to tailor their marketing and services toward specific </w:t>
      </w:r>
      <w:r w:rsidR="00E7457A">
        <w:t>segments of the population</w:t>
      </w:r>
      <w:r>
        <w:t xml:space="preserve">. </w:t>
      </w:r>
      <w:r w:rsidRPr="00A3021C">
        <w:t>Old</w:t>
      </w:r>
      <w:r>
        <w:t>er consumers</w:t>
      </w:r>
      <w:r w:rsidRPr="00A3021C">
        <w:t xml:space="preserve"> use food </w:t>
      </w:r>
      <w:r w:rsidR="00DC3021">
        <w:t>takeout</w:t>
      </w:r>
      <w:r w:rsidRPr="00A3021C">
        <w:t xml:space="preserve"> and delivery </w:t>
      </w:r>
      <w:r>
        <w:t xml:space="preserve">services </w:t>
      </w:r>
      <w:r w:rsidR="0012363C">
        <w:t xml:space="preserve">much </w:t>
      </w:r>
      <w:r w:rsidRPr="00A3021C">
        <w:t>less</w:t>
      </w:r>
      <w:r>
        <w:t xml:space="preserve"> than younger </w:t>
      </w:r>
      <w:r w:rsidR="00DC3021">
        <w:t>individuals</w:t>
      </w:r>
      <w:r>
        <w:t xml:space="preserve">. A primary limiting factor for older individuals is the technological </w:t>
      </w:r>
      <w:r w:rsidR="00DC3021">
        <w:t>challenges associated with online ordering</w:t>
      </w:r>
      <w:r>
        <w:t xml:space="preserve">. </w:t>
      </w:r>
      <w:r w:rsidR="00DC3021">
        <w:t xml:space="preserve">In particular, </w:t>
      </w:r>
      <w:r w:rsidR="00DC3021" w:rsidRPr="00493DDD">
        <w:t xml:space="preserve">the gerontology and psychology literature has established that aging is generally associated with a decline in cognitive ability (such as memory, attention, and verbal and visual/spatial information retention; see </w:t>
      </w:r>
      <w:r w:rsidR="00DC3021" w:rsidRPr="00060A21">
        <w:t xml:space="preserve">Deary </w:t>
      </w:r>
      <w:r w:rsidR="00DC3021" w:rsidRPr="00F44F2C">
        <w:rPr>
          <w:iCs/>
        </w:rPr>
        <w:t>et al</w:t>
      </w:r>
      <w:r w:rsidR="00DC3021" w:rsidRPr="00060A21">
        <w:rPr>
          <w:iCs/>
        </w:rPr>
        <w:t>.,</w:t>
      </w:r>
      <w:r w:rsidR="00DC3021" w:rsidRPr="00E32A2A">
        <w:t xml:space="preserve"> </w:t>
      </w:r>
      <w:r w:rsidR="00DC3021" w:rsidRPr="00493DDD">
        <w:t xml:space="preserve">2009 and Boot </w:t>
      </w:r>
      <w:r w:rsidR="00DC3021" w:rsidRPr="00F44F2C">
        <w:rPr>
          <w:iCs/>
        </w:rPr>
        <w:t>et al</w:t>
      </w:r>
      <w:r w:rsidR="00DC3021" w:rsidRPr="00060A21">
        <w:rPr>
          <w:iCs/>
        </w:rPr>
        <w:t>.,</w:t>
      </w:r>
      <w:r w:rsidR="00DC3021" w:rsidRPr="00E32A2A">
        <w:t xml:space="preserve"> </w:t>
      </w:r>
      <w:r w:rsidR="00DC3021" w:rsidRPr="00493DDD">
        <w:t xml:space="preserve">2013). This suggests the need for careful </w:t>
      </w:r>
      <w:r w:rsidR="00616EB8">
        <w:t>human-</w:t>
      </w:r>
      <w:r w:rsidR="00DC3021">
        <w:t>machine interface (</w:t>
      </w:r>
      <w:r w:rsidR="00DC3021" w:rsidRPr="00493DDD">
        <w:t>HMI</w:t>
      </w:r>
      <w:r w:rsidR="00DC3021">
        <w:t>)</w:t>
      </w:r>
      <w:r w:rsidR="00DC3021" w:rsidRPr="00493DDD">
        <w:t xml:space="preserve"> design </w:t>
      </w:r>
      <w:r w:rsidR="00DC3021">
        <w:t xml:space="preserve">in ordering apps that </w:t>
      </w:r>
      <w:r w:rsidR="00DC3021" w:rsidRPr="00493DDD">
        <w:t>reduc</w:t>
      </w:r>
      <w:r w:rsidR="00DC3021">
        <w:t>e</w:t>
      </w:r>
      <w:r w:rsidR="00DC3021" w:rsidRPr="00493DDD">
        <w:t xml:space="preserve"> clutter and us</w:t>
      </w:r>
      <w:r w:rsidR="00DC3021">
        <w:t>e</w:t>
      </w:r>
      <w:r w:rsidR="00DC3021" w:rsidRPr="00493DDD">
        <w:t xml:space="preserve"> simple displays with large screens and buttons</w:t>
      </w:r>
      <w:r w:rsidR="00DC3021">
        <w:t>.</w:t>
      </w:r>
      <w:r w:rsidR="00DC3021" w:rsidRPr="00493DDD">
        <w:t xml:space="preserve"> </w:t>
      </w:r>
    </w:p>
    <w:p w14:paraId="335B7C08" w14:textId="0523B12B" w:rsidR="00BA0117" w:rsidRDefault="00AF7C47" w:rsidP="00DD75BF">
      <w:pPr>
        <w:spacing w:after="0" w:line="276" w:lineRule="auto"/>
        <w:ind w:firstLine="720"/>
        <w:jc w:val="both"/>
      </w:pPr>
      <w:r>
        <w:t>Restaurants also need to develop strategies for detecting an</w:t>
      </w:r>
      <w:r w:rsidR="00DE08D9">
        <w:t xml:space="preserve">d addressing </w:t>
      </w:r>
      <w:r>
        <w:t>racial</w:t>
      </w:r>
      <w:r w:rsidR="00DE08D9">
        <w:t xml:space="preserve"> bias </w:t>
      </w:r>
      <w:r>
        <w:t xml:space="preserve">in their services. Non-white consumers patronize restaurants </w:t>
      </w:r>
      <w:r w:rsidR="00BA0117">
        <w:t xml:space="preserve">about an estimated </w:t>
      </w:r>
      <w:r>
        <w:t>2</w:t>
      </w:r>
      <w:r w:rsidR="00BA0117">
        <w:t>4</w:t>
      </w:r>
      <w:r>
        <w:t xml:space="preserve">% less frequently compared to their white counterparts. </w:t>
      </w:r>
      <w:r w:rsidR="00DE08D9">
        <w:t>R</w:t>
      </w:r>
      <w:r>
        <w:t>estauranteurs need to ensure that their policies do not include</w:t>
      </w:r>
      <w:r w:rsidR="00DE08D9">
        <w:t xml:space="preserve"> </w:t>
      </w:r>
      <w:r w:rsidR="00BA0117">
        <w:t xml:space="preserve">any </w:t>
      </w:r>
      <w:r>
        <w:t>implicit discriminat</w:t>
      </w:r>
      <w:r w:rsidR="00BA0117">
        <w:t xml:space="preserve">ion </w:t>
      </w:r>
      <w:r w:rsidR="00616EB8">
        <w:t xml:space="preserve">against </w:t>
      </w:r>
      <w:r w:rsidR="00DE08D9">
        <w:t xml:space="preserve">specific </w:t>
      </w:r>
      <w:r>
        <w:t>groups.</w:t>
      </w:r>
      <w:r w:rsidR="00DE08D9">
        <w:t xml:space="preserve"> For example,</w:t>
      </w:r>
      <w:r>
        <w:t xml:space="preserve"> </w:t>
      </w:r>
      <w:bookmarkStart w:id="60" w:name="_Hlk109747945"/>
      <w:r>
        <w:fldChar w:fldCharType="begin"/>
      </w:r>
      <w:r w:rsidR="0009165F">
        <w:instrText xml:space="preserve"> ADDIN ZOTERO_ITEM CSL_CITATION {"citationID":"60NxcFCY","properties":{"formattedCitation":"(Jones, 2020)","plainCitation":"(Jones, 2020)","dontUpdate":true,"noteIndex":0},"citationItems":[{"id":857,"uris":["http://zotero.org/users/9292995/items/U2MWQP8V"],"itemData":{"id":857,"type":"article-magazine","title":"How to Make Sure Your Restaurant Is Welcoming to Everyone","URL":"https://www.foodandwine.com/fwpro/how-to-make-sure-your-restaurant-is-welcoming-to-everyone","author":[{"family":"Jones","given":"Shakera"}],"issued":{"date-parts":[["2020"]]}}}],"schema":"https://github.com/citation-style-language/schema/raw/master/csl-citation.json"} </w:instrText>
      </w:r>
      <w:r>
        <w:fldChar w:fldCharType="separate"/>
      </w:r>
      <w:r w:rsidRPr="00AF7C47">
        <w:t xml:space="preserve">Jones </w:t>
      </w:r>
      <w:r>
        <w:t>(</w:t>
      </w:r>
      <w:r w:rsidRPr="00AF7C47">
        <w:t>2020)</w:t>
      </w:r>
      <w:r>
        <w:fldChar w:fldCharType="end"/>
      </w:r>
      <w:bookmarkEnd w:id="60"/>
      <w:r>
        <w:t xml:space="preserve"> provides an example </w:t>
      </w:r>
      <w:r w:rsidR="00EB77E7">
        <w:t>of</w:t>
      </w:r>
      <w:r>
        <w:t xml:space="preserve"> how </w:t>
      </w:r>
      <w:r w:rsidR="00BA0117">
        <w:t xml:space="preserve">athletic wear-related </w:t>
      </w:r>
      <w:r>
        <w:t xml:space="preserve">dress code policies tend to discriminate against Black customers. Another intervention includes </w:t>
      </w:r>
      <w:r w:rsidR="00BA0117">
        <w:t xml:space="preserve">holding </w:t>
      </w:r>
      <w:r w:rsidRPr="00AF7C47">
        <w:t xml:space="preserve">anti-bias </w:t>
      </w:r>
      <w:r>
        <w:t xml:space="preserve">workshops, similar to the one </w:t>
      </w:r>
      <w:r>
        <w:lastRenderedPageBreak/>
        <w:t xml:space="preserve">implemented by Starbucks in response to a racial discrimination incident </w:t>
      </w:r>
      <w:bookmarkStart w:id="61" w:name="_Hlk109749942"/>
      <w:r>
        <w:fldChar w:fldCharType="begin"/>
      </w:r>
      <w:r>
        <w:instrText xml:space="preserve"> ADDIN ZOTERO_ITEM CSL_CITATION {"citationID":"zkz3UXVX","properties":{"formattedCitation":"(Dahlstrom, 2018)","plainCitation":"(Dahlstrom, 2018)","noteIndex":0},"citationItems":[{"id":858,"uris":["http://zotero.org/users/9292995/items/KS2MZ3JN"],"itemData":{"id":858,"type":"report","title":"Beyond May 29: Lessons from Starbucks anti-bias training — and what’s next","URL":"https://stories.starbucks.com/stories/2018/beyond-may-29-lessons-from-starbucks-anti-bias-training-and-whats-next/","author":[{"family":"Dahlstrom","given":"Linda"}],"issued":{"date-parts":[["2018"]]}}}],"schema":"https://github.com/citation-style-language/schema/raw/master/csl-citation.json"} </w:instrText>
      </w:r>
      <w:r>
        <w:fldChar w:fldCharType="separate"/>
      </w:r>
      <w:r w:rsidRPr="00AF7C47">
        <w:t>(Dahlstrom, 2018)</w:t>
      </w:r>
      <w:r>
        <w:fldChar w:fldCharType="end"/>
      </w:r>
      <w:r>
        <w:t xml:space="preserve">, </w:t>
      </w:r>
      <w:bookmarkEnd w:id="61"/>
      <w:r>
        <w:t xml:space="preserve">to train </w:t>
      </w:r>
      <w:r w:rsidR="00DE08D9">
        <w:t>restaurant employees</w:t>
      </w:r>
      <w:r>
        <w:t xml:space="preserve"> to avoid making racially biased decisions. </w:t>
      </w:r>
    </w:p>
    <w:p w14:paraId="5732B278" w14:textId="2E707ABC" w:rsidR="00AF7C47" w:rsidRDefault="00AF7C47" w:rsidP="00DD75BF">
      <w:pPr>
        <w:spacing w:after="0" w:line="276" w:lineRule="auto"/>
        <w:ind w:firstLine="720"/>
        <w:jc w:val="both"/>
      </w:pPr>
      <w:r>
        <w:t>The frequency of N</w:t>
      </w:r>
      <w:r w:rsidR="009D141C">
        <w:t>HCM</w:t>
      </w:r>
      <w:r>
        <w:t xml:space="preserve"> consumption is a</w:t>
      </w:r>
      <w:r w:rsidR="00390788">
        <w:t>dditionally</w:t>
      </w:r>
      <w:r>
        <w:t xml:space="preserve"> influence</w:t>
      </w:r>
      <w:r w:rsidR="00EB77E7">
        <w:t>d</w:t>
      </w:r>
      <w:r>
        <w:t xml:space="preserve"> by the presence of children in a household. Households with children eat-out less frequently compared to households without children. </w:t>
      </w:r>
      <w:r w:rsidR="00DE08D9">
        <w:t>Thus</w:t>
      </w:r>
      <w:r>
        <w:t>, restaurants can encourage dine</w:t>
      </w:r>
      <w:r w:rsidR="00BA0117">
        <w:t>-ins</w:t>
      </w:r>
      <w:r w:rsidR="00EB77E7">
        <w:t xml:space="preserve"> </w:t>
      </w:r>
      <w:r>
        <w:t>by organizing family</w:t>
      </w:r>
      <w:r w:rsidR="00EB77E7">
        <w:t>-</w:t>
      </w:r>
      <w:r>
        <w:t xml:space="preserve">friendly events or providing some form of childcare services or play areas. Also, to </w:t>
      </w:r>
      <w:r w:rsidR="00FF5917">
        <w:t xml:space="preserve">assuage any parental concerns about adverse health issues, </w:t>
      </w:r>
      <w:r>
        <w:t xml:space="preserve">restaurants </w:t>
      </w:r>
      <w:r w:rsidR="00DE08D9">
        <w:t xml:space="preserve">would benefit from </w:t>
      </w:r>
      <w:r>
        <w:t>includ</w:t>
      </w:r>
      <w:r w:rsidR="00DE08D9">
        <w:t xml:space="preserve">ing </w:t>
      </w:r>
      <w:r>
        <w:t xml:space="preserve">healthier </w:t>
      </w:r>
      <w:r w:rsidR="00FF5917">
        <w:t xml:space="preserve">food </w:t>
      </w:r>
      <w:r>
        <w:t>options</w:t>
      </w:r>
      <w:r w:rsidR="00FF5917">
        <w:t xml:space="preserve">, both on-premise and through </w:t>
      </w:r>
      <w:r>
        <w:t xml:space="preserve">their delivery </w:t>
      </w:r>
      <w:r w:rsidR="00FF5917">
        <w:t xml:space="preserve">channels (individuals with children constitute a </w:t>
      </w:r>
      <w:r>
        <w:t xml:space="preserve">significant portion of </w:t>
      </w:r>
      <w:r w:rsidR="00FF5917">
        <w:t xml:space="preserve">the </w:t>
      </w:r>
      <w:r>
        <w:t>delivery demand</w:t>
      </w:r>
      <w:r w:rsidR="00FF5917">
        <w:t xml:space="preserve"> segment</w:t>
      </w:r>
      <w:r w:rsidR="00DE08D9">
        <w:t>).</w:t>
      </w:r>
      <w:r w:rsidR="00390788">
        <w:t xml:space="preserve"> Finally, in a changing </w:t>
      </w:r>
      <w:r w:rsidR="00FF5917">
        <w:t xml:space="preserve">WPL </w:t>
      </w:r>
      <w:r w:rsidR="00390788">
        <w:t>landscape</w:t>
      </w:r>
      <w:r w:rsidR="00FF5917">
        <w:t>,</w:t>
      </w:r>
      <w:r w:rsidR="00390788">
        <w:t xml:space="preserve"> restaurants </w:t>
      </w:r>
      <w:r>
        <w:t xml:space="preserve">need to </w:t>
      </w:r>
      <w:r w:rsidR="00390788">
        <w:t xml:space="preserve">adapt </w:t>
      </w:r>
      <w:r>
        <w:t>their business models</w:t>
      </w:r>
      <w:r w:rsidR="00390788">
        <w:t xml:space="preserve"> and consider investing in</w:t>
      </w:r>
      <w:r w:rsidR="00FF5917">
        <w:t xml:space="preserve"> the </w:t>
      </w:r>
      <w:r w:rsidR="00390788">
        <w:t>off-premise eat-in N</w:t>
      </w:r>
      <w:r w:rsidR="009D141C">
        <w:t>HCM</w:t>
      </w:r>
      <w:r w:rsidR="00390788">
        <w:t xml:space="preserve"> channels. </w:t>
      </w:r>
    </w:p>
    <w:p w14:paraId="7CDECD74" w14:textId="77777777" w:rsidR="00D52C17" w:rsidRDefault="00D52C17" w:rsidP="00DD75BF">
      <w:pPr>
        <w:spacing w:after="0" w:line="276" w:lineRule="auto"/>
        <w:ind w:firstLine="720"/>
        <w:jc w:val="both"/>
      </w:pPr>
    </w:p>
    <w:p w14:paraId="309A3E9E" w14:textId="016C5EFA" w:rsidR="00FF5917" w:rsidRPr="000E1B51" w:rsidRDefault="003F7E94" w:rsidP="00DD75BF">
      <w:pPr>
        <w:pStyle w:val="Heading2"/>
        <w:spacing w:after="0" w:line="276" w:lineRule="auto"/>
        <w:rPr>
          <w:i w:val="0"/>
        </w:rPr>
      </w:pPr>
      <w:r w:rsidRPr="000E1B51">
        <w:rPr>
          <w:i w:val="0"/>
        </w:rPr>
        <w:t xml:space="preserve"> </w:t>
      </w:r>
      <w:r w:rsidR="00FF5917" w:rsidRPr="000E1B51">
        <w:rPr>
          <w:i w:val="0"/>
        </w:rPr>
        <w:t>General Travel Demand Modeling Considerations</w:t>
      </w:r>
    </w:p>
    <w:p w14:paraId="5E4FB05D" w14:textId="053EB0F4" w:rsidR="0089432E" w:rsidRDefault="00623CD6" w:rsidP="00DD75BF">
      <w:pPr>
        <w:spacing w:after="0" w:line="276" w:lineRule="auto"/>
        <w:jc w:val="both"/>
      </w:pPr>
      <w:r>
        <w:t>Finally, f</w:t>
      </w:r>
      <w:r w:rsidR="00C34B9A">
        <w:t>rom a travel demand modeling perspective, our results underscore the importance of considering each of the N</w:t>
      </w:r>
      <w:r w:rsidR="009D141C">
        <w:t>HCM</w:t>
      </w:r>
      <w:r w:rsidR="00C34B9A">
        <w:t xml:space="preserve"> channels as unique and separate from each other</w:t>
      </w:r>
      <w:r w:rsidR="004F1D2C">
        <w:t>, especially in a landscape where emerging technology is reshaping activity-travel patterns, and, in turn, activity-travel behavior is shaping technology use</w:t>
      </w:r>
      <w:r w:rsidR="005A5EAE">
        <w:t>.</w:t>
      </w:r>
      <w:r w:rsidR="00C34B9A">
        <w:t xml:space="preserve"> </w:t>
      </w:r>
      <w:r w:rsidR="00676FB0">
        <w:t>The factors affecting the count of N</w:t>
      </w:r>
      <w:r w:rsidR="009D141C">
        <w:t>HCM</w:t>
      </w:r>
      <w:r w:rsidR="00676FB0">
        <w:t xml:space="preserve"> consumption </w:t>
      </w:r>
      <w:r w:rsidR="00616EB8">
        <w:t xml:space="preserve">vary </w:t>
      </w:r>
      <w:r w:rsidR="00676FB0">
        <w:t xml:space="preserve">by channel type. At the same time, our study also reveals the complex interplay among the many channels, through unobserved error correlations as well as endogenous effects. To </w:t>
      </w:r>
      <w:r w:rsidR="00C34B9A">
        <w:t xml:space="preserve">our knowledge, </w:t>
      </w:r>
      <w:r w:rsidR="00676FB0">
        <w:t xml:space="preserve">this is the first study of dining choices that </w:t>
      </w:r>
      <w:r w:rsidR="00C34B9A">
        <w:t>conside</w:t>
      </w:r>
      <w:r w:rsidR="00676FB0">
        <w:t>rs</w:t>
      </w:r>
      <w:r w:rsidR="00C34B9A">
        <w:t xml:space="preserve"> all </w:t>
      </w:r>
      <w:r w:rsidR="00676FB0">
        <w:t xml:space="preserve">possible channels </w:t>
      </w:r>
      <w:r w:rsidR="00C34B9A">
        <w:t>together using a uniform temporal scale of analysis (</w:t>
      </w:r>
      <w:r w:rsidR="00676FB0">
        <w:t xml:space="preserve">monthly </w:t>
      </w:r>
      <w:r w:rsidR="00C34B9A">
        <w:t xml:space="preserve">dining </w:t>
      </w:r>
      <w:r w:rsidR="00676FB0">
        <w:t xml:space="preserve">consumption </w:t>
      </w:r>
      <w:r w:rsidR="00C34B9A">
        <w:t>co</w:t>
      </w:r>
      <w:r w:rsidR="00676FB0">
        <w:t xml:space="preserve">unts </w:t>
      </w:r>
      <w:r w:rsidR="00C34B9A">
        <w:t xml:space="preserve">for each of the channels). </w:t>
      </w:r>
      <w:r w:rsidR="00235A17">
        <w:t>The results point toward the need for future a</w:t>
      </w:r>
      <w:r w:rsidR="00676FB0">
        <w:t xml:space="preserve">ctivity-travel surveys </w:t>
      </w:r>
      <w:r w:rsidR="00235A17">
        <w:t xml:space="preserve">to include </w:t>
      </w:r>
      <w:r w:rsidR="00676FB0">
        <w:t xml:space="preserve">detailed questions about eat-in takeout and eat-in deliveries, along with out-of-home travel for eat-out. </w:t>
      </w:r>
      <w:r w:rsidR="00FF5917">
        <w:t>Then, t</w:t>
      </w:r>
      <w:r w:rsidR="00676FB0">
        <w:t>he model</w:t>
      </w:r>
      <w:r w:rsidR="00FF5917">
        <w:t xml:space="preserve">s of the type </w:t>
      </w:r>
      <w:r w:rsidR="00676FB0">
        <w:t xml:space="preserve">developed </w:t>
      </w:r>
      <w:r w:rsidR="00FF5917">
        <w:t xml:space="preserve">in this paper </w:t>
      </w:r>
      <w:r w:rsidR="00676FB0">
        <w:t xml:space="preserve">may be </w:t>
      </w:r>
      <w:r w:rsidR="004C099F" w:rsidRPr="00F37C04">
        <w:t xml:space="preserve">embedded within larger agent-based activity-travel </w:t>
      </w:r>
      <w:r w:rsidR="004C099F">
        <w:t xml:space="preserve">systems </w:t>
      </w:r>
      <w:r w:rsidR="004C099F" w:rsidRPr="00F37C04">
        <w:t>by modeling additional location and mode dimensions in downstream models for each forecasted N</w:t>
      </w:r>
      <w:r w:rsidR="009D141C">
        <w:t>HCM</w:t>
      </w:r>
      <w:r w:rsidR="004C099F" w:rsidRPr="00F37C04">
        <w:t xml:space="preserve"> activity occasion</w:t>
      </w:r>
      <w:r w:rsidR="00CC2E29">
        <w:t>, which we believe is an important direction for future research</w:t>
      </w:r>
      <w:r w:rsidR="004C099F" w:rsidRPr="00F37C04">
        <w:t>. This downstream follow</w:t>
      </w:r>
      <w:r w:rsidR="004C099F">
        <w:t>-</w:t>
      </w:r>
      <w:r w:rsidR="004C099F" w:rsidRPr="0081571B">
        <w:t xml:space="preserve">through would be similar to Suel and Polak’s (2017) </w:t>
      </w:r>
      <w:r w:rsidR="004C099F">
        <w:t>study</w:t>
      </w:r>
      <w:r w:rsidR="004C099F" w:rsidRPr="0081571B">
        <w:t xml:space="preserve"> that accommodates multi-channel grocery shopping</w:t>
      </w:r>
      <w:r w:rsidR="004C099F">
        <w:t>,</w:t>
      </w:r>
      <w:r w:rsidR="004C099F" w:rsidRPr="0081571B">
        <w:t xml:space="preserve"> but </w:t>
      </w:r>
      <w:r w:rsidR="004C099F">
        <w:t xml:space="preserve">is </w:t>
      </w:r>
      <w:r w:rsidR="004C099F" w:rsidRPr="0081571B">
        <w:t xml:space="preserve">conditional on participation (that is, Suel and Polak assume activity generation is known from an earlier step, which is exactly the output from our model). </w:t>
      </w:r>
    </w:p>
    <w:p w14:paraId="3E156C90" w14:textId="0119525D" w:rsidR="002C1487" w:rsidRDefault="002C1487" w:rsidP="00FC5243">
      <w:pPr>
        <w:spacing w:after="0" w:line="276" w:lineRule="auto"/>
        <w:ind w:firstLine="720"/>
        <w:jc w:val="both"/>
      </w:pPr>
      <w:r>
        <w:t>Our study also points to t</w:t>
      </w:r>
      <w:r w:rsidR="00B73342">
        <w:t>hree</w:t>
      </w:r>
      <w:r>
        <w:t xml:space="preserve"> </w:t>
      </w:r>
      <w:r w:rsidRPr="002C1487">
        <w:t xml:space="preserve">critical </w:t>
      </w:r>
      <w:r w:rsidR="00B73342">
        <w:t xml:space="preserve">and general </w:t>
      </w:r>
      <w:r>
        <w:t xml:space="preserve">needs in </w:t>
      </w:r>
      <w:r w:rsidR="00B73342">
        <w:t xml:space="preserve">activity-travel </w:t>
      </w:r>
      <w:r>
        <w:t>modeling</w:t>
      </w:r>
      <w:r w:rsidR="00B73342">
        <w:t xml:space="preserve"> in a post-COVID era</w:t>
      </w:r>
      <w:r>
        <w:t>. The first is to develop models that</w:t>
      </w:r>
      <w:r w:rsidR="00CC094A">
        <w:t xml:space="preserve"> accommodate and recognize</w:t>
      </w:r>
      <w:r>
        <w:t xml:space="preserve"> the hybridization of workplace locations</w:t>
      </w:r>
      <w:r w:rsidR="00CC094A">
        <w:t xml:space="preserve">, given </w:t>
      </w:r>
      <w:r>
        <w:t xml:space="preserve">the split of workplace locations over the course of a month has an important bearing on dining choices. Future activity-travel surveys should elicit detailed information on </w:t>
      </w:r>
      <w:r w:rsidR="00FE4305">
        <w:t xml:space="preserve">the many dimensions of work arrangements (including number of days of work per month, number of days per week, number of work hours on a typical work day, and the split of workdays across remote and in-person arrangements), not just </w:t>
      </w:r>
      <w:r w:rsidR="00CC094A">
        <w:t>the number of hours of work per week</w:t>
      </w:r>
      <w:r w:rsidR="00FE4305">
        <w:t xml:space="preserve">. The second </w:t>
      </w:r>
      <w:r w:rsidR="005216A1">
        <w:t xml:space="preserve">need </w:t>
      </w:r>
      <w:r w:rsidR="00FE4305">
        <w:t xml:space="preserve">is to </w:t>
      </w:r>
      <w:r w:rsidRPr="002C1487">
        <w:t xml:space="preserve">recognize the intertwined and inter-dependent nature of </w:t>
      </w:r>
      <w:r w:rsidR="00FE4305">
        <w:t xml:space="preserve">choice-making in the presence of multiple dining channel options. This immediately points to the need to integrate urban service trip modeling with passenger movement modeling within an integrated framework, rather than </w:t>
      </w:r>
      <w:r w:rsidR="00CC094A">
        <w:t xml:space="preserve">use a siloed approach that separates passenger movement modeling from </w:t>
      </w:r>
      <w:r w:rsidR="00CC094A">
        <w:lastRenderedPageBreak/>
        <w:t xml:space="preserve">non-passenger movement modeling. </w:t>
      </w:r>
      <w:r w:rsidR="00B73342">
        <w:t xml:space="preserve">The third need is to formulate activity-travel models that </w:t>
      </w:r>
      <w:r w:rsidR="00543B5A">
        <w:t xml:space="preserve">consider expenditures within the context of activity pursuits, especially given </w:t>
      </w:r>
      <w:r w:rsidR="005D7733">
        <w:t xml:space="preserve">that </w:t>
      </w:r>
      <w:r w:rsidR="00543B5A">
        <w:t>e-commerce</w:t>
      </w:r>
      <w:r w:rsidR="004B279C">
        <w:t>-</w:t>
      </w:r>
      <w:r w:rsidR="00543B5A">
        <w:t xml:space="preserve">driven activities (of which e-dining activities are a part) have increased in occurrence in the post-COVID era. While there have been some theoretical and empirical scholarly works that accommodate expenditures in activity generation (see, for example, Jara Diaz et al., 2016), all activity-travel models today in practice ignore expenditures as a basis for activity generation. </w:t>
      </w:r>
      <w:bookmarkStart w:id="62" w:name="_Hlk119751136"/>
      <w:r w:rsidR="008B2D1E">
        <w:t xml:space="preserve">Of course, including expenditures in modeling also requires obtaining information on expenditures in activity-travel surveys, which has its own challenges with respect to the ability of respondents to recall how much they spent on specific activities over a period of time. </w:t>
      </w:r>
      <w:r w:rsidR="00543B5A">
        <w:t xml:space="preserve"> </w:t>
      </w:r>
    </w:p>
    <w:p w14:paraId="7A7E9038" w14:textId="43796B2A" w:rsidR="00CC2E29" w:rsidRDefault="00AB4E58" w:rsidP="00DD75BF">
      <w:pPr>
        <w:spacing w:after="0" w:line="276" w:lineRule="auto"/>
        <w:ind w:firstLine="720"/>
        <w:jc w:val="both"/>
        <w:rPr>
          <w:color w:val="000000" w:themeColor="text1"/>
        </w:rPr>
      </w:pPr>
      <w:bookmarkStart w:id="63" w:name="_Hlk119741600"/>
      <w:bookmarkEnd w:id="62"/>
      <w:r>
        <w:t xml:space="preserve">Of course, the current paper only considers dining choices. Even that, our paper assumes that meals are entirely prepared (cooked) at home or entirely obtained </w:t>
      </w:r>
      <w:r w:rsidR="003D7C97">
        <w:t xml:space="preserve">as </w:t>
      </w:r>
      <w:r>
        <w:t xml:space="preserve">ready-to-eat meals from elsewhere. However, today, pre-cooked meal delivery plans that require some level of additional preparation at home (such as quick-and-easy </w:t>
      </w:r>
      <w:r w:rsidR="005D7733">
        <w:t>five-</w:t>
      </w:r>
      <w:r>
        <w:t xml:space="preserve">minute meals) are being increasingly embraced by consumers (such plans are offered, for example, by enterprises such as HelloFresh, Home Chef, Freshly, Blue Apron, and Dinerly). Our study does not explicitly consider such a combination dining channel, which can be added in future surveys as an additional option and considered in </w:t>
      </w:r>
      <w:r w:rsidR="007848CA">
        <w:t>the analysis</w:t>
      </w:r>
      <w:r>
        <w:t xml:space="preserve">. </w:t>
      </w:r>
      <w:bookmarkEnd w:id="63"/>
      <w:r>
        <w:t>On</w:t>
      </w:r>
      <w:r w:rsidR="0089432E">
        <w:t xml:space="preserve"> a broader level, dining choices may be made </w:t>
      </w:r>
      <w:r w:rsidR="00235A17">
        <w:t>jointly</w:t>
      </w:r>
      <w:r w:rsidR="0089432E">
        <w:t xml:space="preserve"> with </w:t>
      </w:r>
      <w:r w:rsidR="00CC2E29">
        <w:t xml:space="preserve">other activity-travel choices, calling for the expansion of the set of dependent outcomes to include </w:t>
      </w:r>
      <w:r w:rsidR="00FC5243">
        <w:t>N</w:t>
      </w:r>
      <w:r w:rsidR="009D141C">
        <w:t>HCM</w:t>
      </w:r>
      <w:r w:rsidR="00FC5243">
        <w:t xml:space="preserve"> choices at other times of the day and </w:t>
      </w:r>
      <w:r w:rsidR="00C4498A">
        <w:t xml:space="preserve">other </w:t>
      </w:r>
      <w:r w:rsidR="00CC2E29">
        <w:t>grocery shopping</w:t>
      </w:r>
      <w:r w:rsidR="00FC5243">
        <w:t>/</w:t>
      </w:r>
      <w:r w:rsidR="00CC2E29">
        <w:t>non-grocery shopping channels too. But</w:t>
      </w:r>
      <w:r w:rsidR="00C4498A">
        <w:t>, overall, our study</w:t>
      </w:r>
      <w:r w:rsidR="0089432E">
        <w:t xml:space="preserve"> provides </w:t>
      </w:r>
      <w:r w:rsidR="00CC2E29">
        <w:t xml:space="preserve">valuable insights </w:t>
      </w:r>
      <w:r w:rsidR="00CC2E29">
        <w:rPr>
          <w:color w:val="000000" w:themeColor="text1"/>
        </w:rPr>
        <w:t>into</w:t>
      </w:r>
      <w:r w:rsidR="00CC2E29" w:rsidRPr="001D105C">
        <w:rPr>
          <w:color w:val="000000" w:themeColor="text1"/>
        </w:rPr>
        <w:t xml:space="preserve"> the factors impacting the number of N</w:t>
      </w:r>
      <w:r w:rsidR="009D141C">
        <w:rPr>
          <w:color w:val="000000" w:themeColor="text1"/>
        </w:rPr>
        <w:t>HCM</w:t>
      </w:r>
      <w:r w:rsidR="00CC2E29" w:rsidRPr="001D105C">
        <w:rPr>
          <w:color w:val="000000" w:themeColor="text1"/>
        </w:rPr>
        <w:t xml:space="preserve"> instances by </w:t>
      </w:r>
      <w:r w:rsidR="00C4498A">
        <w:rPr>
          <w:color w:val="000000" w:themeColor="text1"/>
        </w:rPr>
        <w:t xml:space="preserve">each of </w:t>
      </w:r>
      <w:r w:rsidR="00616EB8">
        <w:rPr>
          <w:color w:val="000000" w:themeColor="text1"/>
        </w:rPr>
        <w:t xml:space="preserve">the </w:t>
      </w:r>
      <w:r w:rsidR="00C4498A">
        <w:rPr>
          <w:color w:val="000000" w:themeColor="text1"/>
        </w:rPr>
        <w:t xml:space="preserve">three channel types </w:t>
      </w:r>
      <w:r w:rsidR="00CC2E29">
        <w:rPr>
          <w:color w:val="000000" w:themeColor="text1"/>
        </w:rPr>
        <w:t>that can assist</w:t>
      </w:r>
      <w:r w:rsidR="00CC2E29" w:rsidRPr="001D105C">
        <w:rPr>
          <w:color w:val="000000" w:themeColor="text1"/>
        </w:rPr>
        <w:t xml:space="preserve"> travel demand analysts in an environment where </w:t>
      </w:r>
      <w:r w:rsidR="00C4498A">
        <w:rPr>
          <w:color w:val="000000" w:themeColor="text1"/>
        </w:rPr>
        <w:t xml:space="preserve">the use of all the three channel types is becoming increasingly prevalent. </w:t>
      </w:r>
    </w:p>
    <w:p w14:paraId="724278C9" w14:textId="77777777" w:rsidR="00D52C17" w:rsidRDefault="00D52C17" w:rsidP="00DD75BF">
      <w:pPr>
        <w:spacing w:after="0" w:line="276" w:lineRule="auto"/>
        <w:jc w:val="both"/>
        <w:rPr>
          <w:color w:val="000000" w:themeColor="text1"/>
        </w:rPr>
      </w:pPr>
    </w:p>
    <w:p w14:paraId="75C85498" w14:textId="77777777" w:rsidR="004A3F04" w:rsidRDefault="004A3F04" w:rsidP="00DD75BF">
      <w:pPr>
        <w:keepNext/>
        <w:keepLines/>
        <w:spacing w:after="0" w:line="276" w:lineRule="auto"/>
        <w:rPr>
          <w:b/>
        </w:rPr>
      </w:pPr>
      <w:r>
        <w:rPr>
          <w:b/>
        </w:rPr>
        <w:t>ACKNOWLEDGEMENTS</w:t>
      </w:r>
    </w:p>
    <w:p w14:paraId="590D694E" w14:textId="0251AD3A" w:rsidR="0089432E" w:rsidRDefault="004A3F04" w:rsidP="00390615">
      <w:pPr>
        <w:spacing w:after="0" w:line="276" w:lineRule="auto"/>
        <w:jc w:val="both"/>
      </w:pPr>
      <w:r w:rsidRPr="001A345C">
        <w:t xml:space="preserve">This research was </w:t>
      </w:r>
      <w:r>
        <w:t xml:space="preserve">based on data collected for the study of work place location choices as part of </w:t>
      </w:r>
      <w:r w:rsidRPr="001A345C">
        <w:rPr>
          <w:bCs/>
        </w:rPr>
        <w:t>Texas Department of Transportation (TxDOT) project number 0-7054: Integration of Stated Preference and Revealed Preference Methods in Regional Travel Survey Programs.</w:t>
      </w:r>
      <w:r>
        <w:rPr>
          <w:bCs/>
        </w:rPr>
        <w:t xml:space="preserve"> </w:t>
      </w:r>
      <w:r w:rsidRPr="004A3F04">
        <w:rPr>
          <w:bCs/>
        </w:rPr>
        <w:t>The authors are grateful to Lisa Mac</w:t>
      </w:r>
      <w:r>
        <w:rPr>
          <w:bCs/>
        </w:rPr>
        <w:t xml:space="preserve">ias </w:t>
      </w:r>
      <w:r w:rsidR="00F54088">
        <w:t xml:space="preserve">for her help </w:t>
      </w:r>
      <w:r w:rsidR="00F54088" w:rsidRPr="00C6225F">
        <w:t>in formatting this document</w:t>
      </w:r>
      <w:r w:rsidR="002D73A8">
        <w:rPr>
          <w:bCs/>
        </w:rPr>
        <w:t xml:space="preserve">, and to </w:t>
      </w:r>
      <w:r w:rsidR="00390615">
        <w:rPr>
          <w:bCs/>
        </w:rPr>
        <w:t>three</w:t>
      </w:r>
      <w:r w:rsidR="00390615" w:rsidRPr="00390615">
        <w:rPr>
          <w:bCs/>
        </w:rPr>
        <w:t xml:space="preserve"> anonymous reviewers who</w:t>
      </w:r>
      <w:r w:rsidR="00390615">
        <w:rPr>
          <w:bCs/>
        </w:rPr>
        <w:t xml:space="preserve"> </w:t>
      </w:r>
      <w:r w:rsidR="00390615" w:rsidRPr="00390615">
        <w:rPr>
          <w:bCs/>
        </w:rPr>
        <w:t xml:space="preserve">provided useful comments </w:t>
      </w:r>
      <w:r w:rsidR="00390615">
        <w:rPr>
          <w:bCs/>
        </w:rPr>
        <w:t xml:space="preserve">and suggestions </w:t>
      </w:r>
      <w:r w:rsidR="00390615" w:rsidRPr="00390615">
        <w:rPr>
          <w:bCs/>
        </w:rPr>
        <w:t>on an earlier version of th</w:t>
      </w:r>
      <w:r w:rsidR="002D73A8">
        <w:rPr>
          <w:bCs/>
        </w:rPr>
        <w:t>is</w:t>
      </w:r>
      <w:r w:rsidR="00390615" w:rsidRPr="00390615">
        <w:rPr>
          <w:bCs/>
        </w:rPr>
        <w:t xml:space="preserve"> paper</w:t>
      </w:r>
      <w:r w:rsidR="005D3220" w:rsidRPr="005D3220">
        <w:rPr>
          <w:bCs/>
        </w:rPr>
        <w:t>.</w:t>
      </w:r>
    </w:p>
    <w:p w14:paraId="65486F8A" w14:textId="51DDCF1A" w:rsidR="00DD75BF" w:rsidRDefault="00DD75BF" w:rsidP="005A5EAE">
      <w:pPr>
        <w:spacing w:after="0"/>
        <w:rPr>
          <w:b/>
        </w:rPr>
      </w:pPr>
    </w:p>
    <w:p w14:paraId="1DD2393B" w14:textId="44DCCA44" w:rsidR="00322C2E" w:rsidRDefault="0024290A" w:rsidP="00DD75BF">
      <w:pPr>
        <w:pStyle w:val="Heading1"/>
        <w:numPr>
          <w:ilvl w:val="0"/>
          <w:numId w:val="0"/>
        </w:numPr>
        <w:ind w:left="360" w:hanging="360"/>
      </w:pPr>
      <w:r w:rsidRPr="00C0180F">
        <w:t>REFERENCES</w:t>
      </w:r>
    </w:p>
    <w:bookmarkStart w:id="64" w:name="_Hlk109816133"/>
    <w:p w14:paraId="680F6352" w14:textId="6E543E58" w:rsidR="002B38F7" w:rsidRPr="00390615" w:rsidRDefault="002B38F7" w:rsidP="00F513B0">
      <w:pPr>
        <w:pStyle w:val="Bibliography"/>
        <w:tabs>
          <w:tab w:val="right" w:pos="540"/>
        </w:tabs>
        <w:spacing w:afterLines="20" w:after="48" w:line="240" w:lineRule="auto"/>
        <w:ind w:left="540" w:hanging="540"/>
        <w:jc w:val="both"/>
      </w:pPr>
      <w:r w:rsidRPr="00D44677">
        <w:fldChar w:fldCharType="begin"/>
      </w:r>
      <w:r w:rsidRPr="00D44677">
        <w:instrText xml:space="preserve"> ADDIN ZOTERO_BIBL {"uncited":[],"omitted":[],"custom":[]} CSL_BIBLIOGRAPHY </w:instrText>
      </w:r>
      <w:r w:rsidRPr="00D44677">
        <w:fldChar w:fldCharType="separate"/>
      </w:r>
      <w:r w:rsidRPr="00390615">
        <w:t xml:space="preserve">Ahuja, K., Chandra, V., Lord, V., </w:t>
      </w:r>
      <w:r w:rsidR="00420E62" w:rsidRPr="00390615">
        <w:t>and</w:t>
      </w:r>
      <w:r w:rsidRPr="00390615">
        <w:t xml:space="preserve"> Peens, C. (2021). </w:t>
      </w:r>
      <w:r w:rsidRPr="00390615">
        <w:rPr>
          <w:iCs/>
        </w:rPr>
        <w:t>Ordering in: The rapid evolution of food delivery</w:t>
      </w:r>
      <w:r w:rsidRPr="00390615">
        <w:t xml:space="preserve">. </w:t>
      </w:r>
      <w:r w:rsidRPr="00390615">
        <w:rPr>
          <w:i/>
        </w:rPr>
        <w:t>Mc</w:t>
      </w:r>
      <w:r w:rsidR="00834D95" w:rsidRPr="00390615">
        <w:rPr>
          <w:i/>
        </w:rPr>
        <w:t>K</w:t>
      </w:r>
      <w:r w:rsidRPr="00390615">
        <w:rPr>
          <w:i/>
        </w:rPr>
        <w:t>insey</w:t>
      </w:r>
      <w:r w:rsidR="00834D95" w:rsidRPr="00390615">
        <w:rPr>
          <w:i/>
        </w:rPr>
        <w:t xml:space="preserve"> &amp; Company</w:t>
      </w:r>
      <w:r w:rsidRPr="00390615">
        <w:t>. https://www.mckinsey.com/industries/technology-media-and-telecommunications/our-insights/ordering-in-the-rapid-evolution-of-food-deliver</w:t>
      </w:r>
      <w:r w:rsidR="00834D95" w:rsidRPr="00390615">
        <w:t xml:space="preserve">y </w:t>
      </w:r>
    </w:p>
    <w:p w14:paraId="316228F1" w14:textId="513BC3F2" w:rsidR="002B38F7" w:rsidRPr="00390615" w:rsidRDefault="002B38F7" w:rsidP="00F513B0">
      <w:pPr>
        <w:pStyle w:val="Bibliography"/>
        <w:tabs>
          <w:tab w:val="right" w:pos="540"/>
        </w:tabs>
        <w:spacing w:afterLines="20" w:after="48" w:line="240" w:lineRule="auto"/>
        <w:ind w:left="540" w:hanging="540"/>
        <w:jc w:val="both"/>
      </w:pPr>
      <w:r w:rsidRPr="00390615">
        <w:t xml:space="preserve">Ali, S., Khalid, N., Javed, H. M. U., </w:t>
      </w:r>
      <w:r w:rsidR="00420E62" w:rsidRPr="00390615">
        <w:t>and</w:t>
      </w:r>
      <w:r w:rsidRPr="00390615">
        <w:t xml:space="preserve"> Islam, D. M. Z. (2020). Consumer adoption of online food delivery ordering (OFDO) services in Pakistan: The impact of the COVID-19 pandemic situation. </w:t>
      </w:r>
      <w:r w:rsidRPr="00390615">
        <w:rPr>
          <w:i/>
          <w:iCs/>
        </w:rPr>
        <w:t>Journal of Open Innovation: Technology, Market, and Complexity</w:t>
      </w:r>
      <w:r w:rsidRPr="00390615">
        <w:t xml:space="preserve">, </w:t>
      </w:r>
      <w:r w:rsidRPr="00390615">
        <w:rPr>
          <w:i/>
          <w:iCs/>
        </w:rPr>
        <w:t>7</w:t>
      </w:r>
      <w:r w:rsidRPr="00390615">
        <w:t>(1), 10.</w:t>
      </w:r>
    </w:p>
    <w:p w14:paraId="1DC96B76" w14:textId="2C268B49" w:rsidR="002B38F7" w:rsidRPr="00390615" w:rsidRDefault="002B38F7" w:rsidP="00F513B0">
      <w:pPr>
        <w:pStyle w:val="Bibliography"/>
        <w:tabs>
          <w:tab w:val="right" w:pos="540"/>
        </w:tabs>
        <w:spacing w:afterLines="20" w:after="48" w:line="240" w:lineRule="auto"/>
        <w:ind w:left="540" w:hanging="540"/>
        <w:jc w:val="both"/>
      </w:pPr>
      <w:r w:rsidRPr="00390615">
        <w:t xml:space="preserve">Appelhans, B. M., Waring, M. E., Schneider, K. L., </w:t>
      </w:r>
      <w:r w:rsidR="00420E62" w:rsidRPr="00390615">
        <w:t>and</w:t>
      </w:r>
      <w:r w:rsidRPr="00390615">
        <w:t xml:space="preserve"> Pagoto, S. L. (2014). Food preparation supplies predict children’s family meal and home-prepared dinner consumption in low-income households. </w:t>
      </w:r>
      <w:r w:rsidRPr="00390615">
        <w:rPr>
          <w:i/>
          <w:iCs/>
        </w:rPr>
        <w:t>Appetite</w:t>
      </w:r>
      <w:r w:rsidRPr="00390615">
        <w:t xml:space="preserve">, </w:t>
      </w:r>
      <w:r w:rsidRPr="00390615">
        <w:rPr>
          <w:i/>
          <w:iCs/>
        </w:rPr>
        <w:t>76</w:t>
      </w:r>
      <w:r w:rsidRPr="00390615">
        <w:t>, 1–8.</w:t>
      </w:r>
    </w:p>
    <w:p w14:paraId="532C5366" w14:textId="509508DD" w:rsidR="002B38F7" w:rsidRPr="00390615" w:rsidRDefault="002B38F7" w:rsidP="00391E47">
      <w:pPr>
        <w:pStyle w:val="Bibliography"/>
        <w:keepLines/>
        <w:tabs>
          <w:tab w:val="right" w:pos="540"/>
        </w:tabs>
        <w:spacing w:afterLines="20" w:after="48" w:line="240" w:lineRule="auto"/>
        <w:ind w:left="547" w:hanging="547"/>
        <w:jc w:val="both"/>
      </w:pPr>
      <w:r w:rsidRPr="00390615">
        <w:lastRenderedPageBreak/>
        <w:fldChar w:fldCharType="begin"/>
      </w:r>
      <w:r w:rsidRPr="00390615">
        <w:instrText xml:space="preserve"> ADDIN ZOTERO_BIBL {"uncited":[],"omitted":[],"custom":[]} CSL_BIBLIOGRAPHY </w:instrText>
      </w:r>
      <w:r w:rsidRPr="00390615">
        <w:fldChar w:fldCharType="separate"/>
      </w:r>
      <w:r w:rsidRPr="00390615">
        <w:t xml:space="preserve">Asmussen, K. E., Mondal, A., Bhat, C. R., </w:t>
      </w:r>
      <w:r w:rsidR="00420E62" w:rsidRPr="00390615">
        <w:t>and</w:t>
      </w:r>
      <w:r w:rsidRPr="00390615">
        <w:t xml:space="preserve"> Pendyala, R. M. (2022). </w:t>
      </w:r>
      <w:r w:rsidR="00834D95" w:rsidRPr="00390615">
        <w:rPr>
          <w:shd w:val="clear" w:color="auto" w:fill="FFFFFF"/>
        </w:rPr>
        <w:t>On modeling future workplace location decisions: An analysis of Texas employees</w:t>
      </w:r>
      <w:r w:rsidRPr="00390615">
        <w:t xml:space="preserve">. </w:t>
      </w:r>
      <w:r w:rsidR="00834D95" w:rsidRPr="00390615">
        <w:rPr>
          <w:color w:val="222222"/>
          <w:shd w:val="clear" w:color="auto" w:fill="FFFFFF"/>
        </w:rPr>
        <w:t>Technical paper, Department of Civil, Architectural and Environmental Engineering, The University of Texas at Austin.</w:t>
      </w:r>
      <w:r w:rsidR="00834D95" w:rsidRPr="00390615">
        <w:t xml:space="preserve"> </w:t>
      </w:r>
      <w:r w:rsidRPr="00390615">
        <w:t>https://www.caee.utexas.edu/prof/bhat/ABSTRACTS/WPLSP.pdf</w:t>
      </w:r>
    </w:p>
    <w:p w14:paraId="18C3829F" w14:textId="623FE655" w:rsidR="002B38F7" w:rsidRPr="00390615" w:rsidRDefault="002B38F7" w:rsidP="00F513B0">
      <w:pPr>
        <w:tabs>
          <w:tab w:val="right" w:pos="540"/>
        </w:tabs>
        <w:spacing w:afterLines="20" w:after="48" w:line="240" w:lineRule="auto"/>
        <w:ind w:left="540" w:hanging="540"/>
        <w:jc w:val="both"/>
      </w:pPr>
      <w:r w:rsidRPr="00390615">
        <w:fldChar w:fldCharType="end"/>
      </w:r>
      <w:r w:rsidRPr="00390615">
        <w:t xml:space="preserve">Bärebring, L., Palmqvist, M., Winkvist, A., </w:t>
      </w:r>
      <w:r w:rsidR="00420E62" w:rsidRPr="00390615">
        <w:t>and</w:t>
      </w:r>
      <w:r w:rsidRPr="00390615">
        <w:t xml:space="preserve"> Augustin, H. (2020). Gender differences in perceived food healthiness and food avoidance in a Swedish population-based survey: A cross sectional study. </w:t>
      </w:r>
      <w:r w:rsidRPr="00390615">
        <w:rPr>
          <w:i/>
          <w:iCs/>
        </w:rPr>
        <w:t>Nutrition Journal</w:t>
      </w:r>
      <w:r w:rsidRPr="00390615">
        <w:t xml:space="preserve">, </w:t>
      </w:r>
      <w:r w:rsidRPr="00390615">
        <w:rPr>
          <w:i/>
          <w:iCs/>
        </w:rPr>
        <w:t>19</w:t>
      </w:r>
      <w:r w:rsidRPr="00390615">
        <w:t xml:space="preserve">, </w:t>
      </w:r>
      <w:r w:rsidR="00834D95" w:rsidRPr="00390615">
        <w:t>140</w:t>
      </w:r>
      <w:r w:rsidRPr="00390615">
        <w:t>.</w:t>
      </w:r>
    </w:p>
    <w:p w14:paraId="4874416A" w14:textId="38263A0D" w:rsidR="006C2A3C" w:rsidRPr="00390615" w:rsidRDefault="006C2A3C" w:rsidP="00391E47">
      <w:pPr>
        <w:autoSpaceDE w:val="0"/>
        <w:autoSpaceDN w:val="0"/>
        <w:adjustRightInd w:val="0"/>
        <w:spacing w:after="0" w:line="240" w:lineRule="auto"/>
        <w:ind w:left="540" w:hanging="540"/>
        <w:jc w:val="both"/>
      </w:pPr>
      <w:r w:rsidRPr="00390615">
        <w:t xml:space="preserve">Ben-Akiva, M., </w:t>
      </w:r>
      <w:r w:rsidR="00391E47">
        <w:t xml:space="preserve">and </w:t>
      </w:r>
      <w:r w:rsidRPr="00390615">
        <w:t xml:space="preserve">Lerman, S. 1985. </w:t>
      </w:r>
      <w:r w:rsidRPr="00391E47">
        <w:rPr>
          <w:i/>
        </w:rPr>
        <w:t>Discrete Choice Analysis: Theory and Application to Travel Demand</w:t>
      </w:r>
      <w:r w:rsidRPr="00390615">
        <w:t>. MIT Press, Cambridge.</w:t>
      </w:r>
    </w:p>
    <w:p w14:paraId="1F76C330" w14:textId="21974DF7" w:rsidR="002B38F7" w:rsidRPr="00390615" w:rsidRDefault="002B38F7" w:rsidP="00F513B0">
      <w:pPr>
        <w:pStyle w:val="Bibliography"/>
        <w:tabs>
          <w:tab w:val="right" w:pos="540"/>
        </w:tabs>
        <w:spacing w:afterLines="20" w:after="48" w:line="240" w:lineRule="auto"/>
        <w:ind w:left="540" w:hanging="540"/>
        <w:jc w:val="both"/>
      </w:pPr>
      <w:r w:rsidRPr="00390615">
        <w:t>Bernardo, C., Paleti, R., Hoklas, M., and Bhat, C.R. (2015)</w:t>
      </w:r>
      <w:r w:rsidR="004214B6" w:rsidRPr="00390615">
        <w:t>.</w:t>
      </w:r>
      <w:r w:rsidRPr="00390615">
        <w:t xml:space="preserve"> An empirical investigation into the time-use and activity patterns of dual-earner couples with and without young children</w:t>
      </w:r>
      <w:r w:rsidR="004214B6" w:rsidRPr="00390615">
        <w:t>.</w:t>
      </w:r>
      <w:r w:rsidRPr="00390615">
        <w:t xml:space="preserve"> </w:t>
      </w:r>
      <w:r w:rsidRPr="00390615">
        <w:rPr>
          <w:i/>
        </w:rPr>
        <w:t>Transportation Research Part A</w:t>
      </w:r>
      <w:r w:rsidRPr="00390615">
        <w:t xml:space="preserve">, </w:t>
      </w:r>
      <w:r w:rsidRPr="00390615">
        <w:rPr>
          <w:i/>
        </w:rPr>
        <w:t>76</w:t>
      </w:r>
      <w:r w:rsidRPr="00390615">
        <w:t>, 71</w:t>
      </w:r>
      <w:r w:rsidR="00834D95" w:rsidRPr="00390615">
        <w:t>–</w:t>
      </w:r>
      <w:r w:rsidRPr="00390615">
        <w:t>91</w:t>
      </w:r>
      <w:r w:rsidR="004214B6" w:rsidRPr="00390615">
        <w:t>.</w:t>
      </w:r>
    </w:p>
    <w:p w14:paraId="2A2ACF79" w14:textId="522D72A4" w:rsidR="002B38F7" w:rsidRPr="00390615" w:rsidRDefault="002B38F7" w:rsidP="00F513B0">
      <w:pPr>
        <w:pStyle w:val="Bibliography"/>
        <w:tabs>
          <w:tab w:val="right" w:pos="540"/>
        </w:tabs>
        <w:spacing w:afterLines="20" w:after="48" w:line="240" w:lineRule="auto"/>
        <w:ind w:left="540" w:hanging="540"/>
        <w:jc w:val="both"/>
      </w:pPr>
      <w:r w:rsidRPr="00390615">
        <w:t xml:space="preserve">Bhat, C. R. (2015). A new generalized heterogeneous data model (GHDM) to jointly model mixed types of dependent variables. </w:t>
      </w:r>
      <w:r w:rsidRPr="00390615">
        <w:rPr>
          <w:i/>
          <w:iCs/>
        </w:rPr>
        <w:t>Transportation Research Part B</w:t>
      </w:r>
      <w:r w:rsidRPr="00390615">
        <w:t xml:space="preserve">, </w:t>
      </w:r>
      <w:r w:rsidRPr="00390615">
        <w:rPr>
          <w:i/>
          <w:iCs/>
        </w:rPr>
        <w:t>79</w:t>
      </w:r>
      <w:r w:rsidRPr="00390615">
        <w:t>, 50–77.</w:t>
      </w:r>
    </w:p>
    <w:p w14:paraId="47660FED" w14:textId="2956E5ED" w:rsidR="002B38F7" w:rsidRPr="00390615" w:rsidRDefault="002B38F7" w:rsidP="00F513B0">
      <w:pPr>
        <w:pStyle w:val="Bibliography"/>
        <w:tabs>
          <w:tab w:val="right" w:pos="540"/>
        </w:tabs>
        <w:spacing w:afterLines="20" w:after="48" w:line="240" w:lineRule="auto"/>
        <w:ind w:left="540" w:hanging="540"/>
        <w:jc w:val="both"/>
      </w:pPr>
      <w:r w:rsidRPr="00390615">
        <w:t xml:space="preserve">Bhat, C. R. (2018). New matrix-based methods for the analytic evaluation of the multivariate cumulative normal distribution function. </w:t>
      </w:r>
      <w:r w:rsidRPr="00390615">
        <w:rPr>
          <w:i/>
          <w:iCs/>
        </w:rPr>
        <w:t>Transportation Research Part B</w:t>
      </w:r>
      <w:r w:rsidRPr="00390615">
        <w:t xml:space="preserve">, </w:t>
      </w:r>
      <w:r w:rsidRPr="00390615">
        <w:rPr>
          <w:i/>
          <w:iCs/>
        </w:rPr>
        <w:t>109</w:t>
      </w:r>
      <w:r w:rsidRPr="00390615">
        <w:t>, 238–256.</w:t>
      </w:r>
    </w:p>
    <w:p w14:paraId="317DCF11" w14:textId="73615390" w:rsidR="002B38F7" w:rsidRPr="00390615" w:rsidRDefault="002B38F7" w:rsidP="00F513B0">
      <w:pPr>
        <w:pStyle w:val="Bibliography"/>
        <w:tabs>
          <w:tab w:val="right" w:pos="540"/>
        </w:tabs>
        <w:spacing w:afterLines="20" w:after="48" w:line="240" w:lineRule="auto"/>
        <w:ind w:left="540" w:hanging="540"/>
        <w:jc w:val="both"/>
      </w:pPr>
      <w:r w:rsidRPr="00390615">
        <w:t xml:space="preserve">Bhat, C. R., </w:t>
      </w:r>
      <w:r w:rsidR="00420E62" w:rsidRPr="00390615">
        <w:t>and</w:t>
      </w:r>
      <w:r w:rsidRPr="00390615">
        <w:t xml:space="preserve"> Gossen, R. (2004). A mixed multinomial logit model analysis of weekend recreational episode type choice. </w:t>
      </w:r>
      <w:r w:rsidRPr="00390615">
        <w:rPr>
          <w:i/>
          <w:iCs/>
        </w:rPr>
        <w:t>Transportation Research Part B</w:t>
      </w:r>
      <w:r w:rsidR="004214B6" w:rsidRPr="00390615">
        <w:rPr>
          <w:iCs/>
        </w:rPr>
        <w:t xml:space="preserve">, </w:t>
      </w:r>
      <w:r w:rsidRPr="00390615">
        <w:rPr>
          <w:i/>
          <w:iCs/>
        </w:rPr>
        <w:t>38</w:t>
      </w:r>
      <w:r w:rsidRPr="00390615">
        <w:t>(9), 767–787.</w:t>
      </w:r>
    </w:p>
    <w:p w14:paraId="36681321" w14:textId="09CED868" w:rsidR="00137C2E" w:rsidRPr="00390615" w:rsidRDefault="00137C2E" w:rsidP="00F513B0">
      <w:pPr>
        <w:pStyle w:val="Bibliography"/>
        <w:tabs>
          <w:tab w:val="right" w:pos="540"/>
        </w:tabs>
        <w:spacing w:afterLines="20" w:after="48" w:line="240" w:lineRule="auto"/>
        <w:ind w:left="540" w:hanging="540"/>
        <w:jc w:val="both"/>
      </w:pPr>
      <w:r w:rsidRPr="00390615">
        <w:t xml:space="preserve">Bhat, C. R., </w:t>
      </w:r>
      <w:r w:rsidR="009D450A">
        <w:t>and</w:t>
      </w:r>
      <w:r w:rsidRPr="00390615">
        <w:t xml:space="preserve"> Sardesai, R. (2006). The impact of stop-making and travel time reliability on commute mode choice. </w:t>
      </w:r>
      <w:r w:rsidRPr="009D450A">
        <w:rPr>
          <w:i/>
        </w:rPr>
        <w:t>Transportation Research Part B</w:t>
      </w:r>
      <w:r w:rsidRPr="00390615">
        <w:t xml:space="preserve">, </w:t>
      </w:r>
      <w:r w:rsidRPr="009D450A">
        <w:rPr>
          <w:i/>
        </w:rPr>
        <w:t>40</w:t>
      </w:r>
      <w:r w:rsidRPr="00390615">
        <w:t>(9), 709</w:t>
      </w:r>
      <w:r w:rsidR="009D450A">
        <w:t>–</w:t>
      </w:r>
      <w:r w:rsidRPr="00390615">
        <w:t>730.</w:t>
      </w:r>
    </w:p>
    <w:p w14:paraId="427D7C18" w14:textId="27F9D4DE" w:rsidR="002B38F7" w:rsidRPr="00390615" w:rsidRDefault="002B38F7" w:rsidP="00F513B0">
      <w:pPr>
        <w:pStyle w:val="Bibliography"/>
        <w:tabs>
          <w:tab w:val="right" w:pos="540"/>
        </w:tabs>
        <w:spacing w:afterLines="20" w:after="48" w:line="240" w:lineRule="auto"/>
        <w:ind w:left="540" w:hanging="540"/>
        <w:jc w:val="both"/>
      </w:pPr>
      <w:r w:rsidRPr="00390615">
        <w:t xml:space="preserve">Billingsley, B. L. (2016). Racialized and classed contexts: Shifting audiences and changes in emotional labor among restaurant servers. </w:t>
      </w:r>
      <w:r w:rsidRPr="00390615">
        <w:rPr>
          <w:i/>
          <w:iCs/>
        </w:rPr>
        <w:t>Sociological Inquiry</w:t>
      </w:r>
      <w:r w:rsidRPr="00390615">
        <w:t xml:space="preserve">, </w:t>
      </w:r>
      <w:r w:rsidRPr="00390615">
        <w:rPr>
          <w:i/>
          <w:iCs/>
        </w:rPr>
        <w:t>86</w:t>
      </w:r>
      <w:r w:rsidRPr="00390615">
        <w:t>(4), 641–657.</w:t>
      </w:r>
    </w:p>
    <w:p w14:paraId="630E720B" w14:textId="487F3B73" w:rsidR="002B38F7" w:rsidRPr="00390615" w:rsidRDefault="002B38F7" w:rsidP="00F513B0">
      <w:pPr>
        <w:pStyle w:val="Bibliography"/>
        <w:tabs>
          <w:tab w:val="right" w:pos="540"/>
        </w:tabs>
        <w:spacing w:afterLines="20" w:after="48" w:line="240" w:lineRule="auto"/>
        <w:ind w:left="540" w:hanging="540"/>
        <w:jc w:val="both"/>
      </w:pPr>
      <w:r w:rsidRPr="00390615">
        <w:fldChar w:fldCharType="begin"/>
      </w:r>
      <w:r w:rsidRPr="00390615">
        <w:instrText xml:space="preserve"> ADDIN ZOTERO_BIBL {"uncited":[],"omitted":[],"custom":[]} CSL_BIBLIOGRAPHY </w:instrText>
      </w:r>
      <w:r w:rsidRPr="00390615">
        <w:fldChar w:fldCharType="separate"/>
      </w:r>
      <w:r w:rsidRPr="00390615">
        <w:t xml:space="preserve">Boot, W. R., Simons, D. J., Stothart, C., </w:t>
      </w:r>
      <w:r w:rsidR="00420E62" w:rsidRPr="00390615">
        <w:t>and</w:t>
      </w:r>
      <w:r w:rsidRPr="00390615">
        <w:t xml:space="preserve"> Stutts, C. (2013). The pervasive problem with placebos in psychology: Why active control groups are not sufficient to rule out placebo effects. </w:t>
      </w:r>
      <w:r w:rsidRPr="00390615">
        <w:rPr>
          <w:i/>
          <w:iCs/>
        </w:rPr>
        <w:t>Perspectives on Psychological Science</w:t>
      </w:r>
      <w:r w:rsidRPr="00390615">
        <w:t xml:space="preserve">, </w:t>
      </w:r>
      <w:r w:rsidRPr="00390615">
        <w:rPr>
          <w:i/>
          <w:iCs/>
        </w:rPr>
        <w:t>8</w:t>
      </w:r>
      <w:r w:rsidRPr="00390615">
        <w:t>(4), 445–454.</w:t>
      </w:r>
    </w:p>
    <w:p w14:paraId="3C39FB38" w14:textId="4189F0A3" w:rsidR="002B38F7" w:rsidRPr="00390615" w:rsidRDefault="002B38F7" w:rsidP="00F513B0">
      <w:pPr>
        <w:pStyle w:val="Bibliography"/>
        <w:keepLines/>
        <w:tabs>
          <w:tab w:val="right" w:pos="540"/>
        </w:tabs>
        <w:spacing w:afterLines="20" w:after="48" w:line="240" w:lineRule="auto"/>
        <w:ind w:left="547" w:hanging="547"/>
        <w:jc w:val="both"/>
      </w:pPr>
      <w:r w:rsidRPr="00390615">
        <w:fldChar w:fldCharType="end"/>
      </w:r>
      <w:r w:rsidRPr="00390615">
        <w:t xml:space="preserve">Bouarar, A. C., Mouloudj, S., </w:t>
      </w:r>
      <w:r w:rsidR="00420E62" w:rsidRPr="00390615">
        <w:t>and</w:t>
      </w:r>
      <w:r w:rsidRPr="00390615">
        <w:t xml:space="preserve"> Mouloudj, K. (2021). Extending the theory of planned behavior to explain intention to use online food delivery services in the context of COVID-19 pandemic. </w:t>
      </w:r>
      <w:r w:rsidR="00834D95" w:rsidRPr="00390615">
        <w:rPr>
          <w:color w:val="000000"/>
          <w:shd w:val="clear" w:color="auto" w:fill="FFFFFF"/>
        </w:rPr>
        <w:t>In C. Cobanoglu, and V. Della Corte (Eds.), </w:t>
      </w:r>
      <w:r w:rsidR="00834D95" w:rsidRPr="00390615">
        <w:rPr>
          <w:rStyle w:val="Emphasis"/>
          <w:color w:val="000000"/>
          <w:bdr w:val="none" w:sz="0" w:space="0" w:color="auto" w:frame="1"/>
          <w:shd w:val="clear" w:color="auto" w:fill="FFFFFF"/>
        </w:rPr>
        <w:t>Advances in Global Services and Retail Management</w:t>
      </w:r>
      <w:r w:rsidR="00834D95" w:rsidRPr="00390615">
        <w:rPr>
          <w:color w:val="000000"/>
          <w:shd w:val="clear" w:color="auto" w:fill="FFFFFF"/>
        </w:rPr>
        <w:t> (pp. 1–16). USF M3 Publishing.</w:t>
      </w:r>
      <w:r w:rsidR="00DD75BF" w:rsidRPr="00390615">
        <w:rPr>
          <w:color w:val="000000"/>
          <w:shd w:val="clear" w:color="auto" w:fill="FFFFFF"/>
        </w:rPr>
        <w:t xml:space="preserve"> </w:t>
      </w:r>
      <w:r w:rsidR="00834D95" w:rsidRPr="00390615">
        <w:rPr>
          <w:color w:val="000000"/>
          <w:shd w:val="clear" w:color="auto" w:fill="FFFFFF"/>
        </w:rPr>
        <w:t>https://www.doi.org/10.5038/9781955833035</w:t>
      </w:r>
      <w:r w:rsidRPr="00390615">
        <w:t>.</w:t>
      </w:r>
    </w:p>
    <w:p w14:paraId="17676A6A" w14:textId="07EA1558" w:rsidR="002B38F7" w:rsidRPr="00390615" w:rsidRDefault="002B38F7" w:rsidP="00F513B0">
      <w:pPr>
        <w:pStyle w:val="Bibliography"/>
        <w:tabs>
          <w:tab w:val="right" w:pos="540"/>
        </w:tabs>
        <w:spacing w:afterLines="20" w:after="48" w:line="240" w:lineRule="auto"/>
        <w:ind w:left="540" w:hanging="540"/>
        <w:jc w:val="both"/>
      </w:pPr>
      <w:r w:rsidRPr="00390615">
        <w:t xml:space="preserve">Bowen, S., Elliott, S., </w:t>
      </w:r>
      <w:r w:rsidR="00420E62" w:rsidRPr="00390615">
        <w:t>and</w:t>
      </w:r>
      <w:r w:rsidRPr="00390615">
        <w:t xml:space="preserve"> Brenton, J. (2014). The joy of cooking? </w:t>
      </w:r>
      <w:r w:rsidRPr="00390615">
        <w:rPr>
          <w:i/>
          <w:iCs/>
        </w:rPr>
        <w:t>Contexts</w:t>
      </w:r>
      <w:r w:rsidRPr="00390615">
        <w:t xml:space="preserve">, </w:t>
      </w:r>
      <w:r w:rsidRPr="00390615">
        <w:rPr>
          <w:i/>
          <w:iCs/>
        </w:rPr>
        <w:t>13</w:t>
      </w:r>
      <w:r w:rsidRPr="00390615">
        <w:t>(3), 20–25.</w:t>
      </w:r>
    </w:p>
    <w:p w14:paraId="756A1A87" w14:textId="2E0DD447" w:rsidR="002B38F7" w:rsidRPr="00390615" w:rsidRDefault="002B38F7" w:rsidP="00F513B0">
      <w:pPr>
        <w:pStyle w:val="Bibliography"/>
        <w:tabs>
          <w:tab w:val="right" w:pos="540"/>
        </w:tabs>
        <w:spacing w:afterLines="20" w:after="48" w:line="240" w:lineRule="auto"/>
        <w:ind w:left="540" w:hanging="540"/>
        <w:jc w:val="both"/>
      </w:pPr>
      <w:r w:rsidRPr="00390615">
        <w:t xml:space="preserve">Brewster, Z. W., </w:t>
      </w:r>
      <w:r w:rsidR="00420E62" w:rsidRPr="00390615">
        <w:t>and</w:t>
      </w:r>
      <w:r w:rsidRPr="00390615">
        <w:t xml:space="preserve"> Heffner, A. V. (2021). Expressions of </w:t>
      </w:r>
      <w:r w:rsidR="00834D95" w:rsidRPr="00390615">
        <w:t>a</w:t>
      </w:r>
      <w:r w:rsidRPr="00390615">
        <w:t>nti-</w:t>
      </w:r>
      <w:r w:rsidR="00834D95" w:rsidRPr="00390615">
        <w:t>b</w:t>
      </w:r>
      <w:r w:rsidRPr="00390615">
        <w:t xml:space="preserve">lack </w:t>
      </w:r>
      <w:r w:rsidR="00834D95" w:rsidRPr="00390615">
        <w:t>b</w:t>
      </w:r>
      <w:r w:rsidRPr="00390615">
        <w:t xml:space="preserve">iases, </w:t>
      </w:r>
      <w:r w:rsidR="00834D95" w:rsidRPr="00390615">
        <w:t>j</w:t>
      </w:r>
      <w:r w:rsidRPr="00390615">
        <w:t xml:space="preserve">ob </w:t>
      </w:r>
      <w:r w:rsidR="00834D95" w:rsidRPr="00390615">
        <w:t>s</w:t>
      </w:r>
      <w:r w:rsidRPr="00390615">
        <w:t xml:space="preserve">atisfaction, and </w:t>
      </w:r>
      <w:r w:rsidR="00834D95" w:rsidRPr="00390615">
        <w:t>t</w:t>
      </w:r>
      <w:r w:rsidRPr="00390615">
        <w:t xml:space="preserve">urnover </w:t>
      </w:r>
      <w:r w:rsidR="00834D95" w:rsidRPr="00390615">
        <w:t>i</w:t>
      </w:r>
      <w:r w:rsidRPr="00390615">
        <w:t xml:space="preserve">ntentions in the </w:t>
      </w:r>
      <w:r w:rsidR="00834D95" w:rsidRPr="00390615">
        <w:t>f</w:t>
      </w:r>
      <w:r w:rsidRPr="00390615">
        <w:t>ull-</w:t>
      </w:r>
      <w:r w:rsidR="00834D95" w:rsidRPr="00390615">
        <w:t>s</w:t>
      </w:r>
      <w:r w:rsidRPr="00390615">
        <w:t xml:space="preserve">ervice </w:t>
      </w:r>
      <w:r w:rsidR="00834D95" w:rsidRPr="00390615">
        <w:t>r</w:t>
      </w:r>
      <w:r w:rsidRPr="00390615">
        <w:t xml:space="preserve">estaurant </w:t>
      </w:r>
      <w:r w:rsidR="00834D95" w:rsidRPr="00390615">
        <w:t>i</w:t>
      </w:r>
      <w:r w:rsidRPr="00390615">
        <w:t xml:space="preserve">ndustry. </w:t>
      </w:r>
      <w:r w:rsidRPr="00390615">
        <w:rPr>
          <w:i/>
          <w:iCs/>
        </w:rPr>
        <w:t xml:space="preserve">Journal of Hospitality </w:t>
      </w:r>
      <w:r w:rsidR="00420E62" w:rsidRPr="00390615">
        <w:rPr>
          <w:i/>
          <w:iCs/>
        </w:rPr>
        <w:t>and</w:t>
      </w:r>
      <w:r w:rsidRPr="00390615">
        <w:rPr>
          <w:i/>
          <w:iCs/>
        </w:rPr>
        <w:t xml:space="preserve"> Tourism Research</w:t>
      </w:r>
      <w:r w:rsidRPr="00390615">
        <w:t xml:space="preserve">, </w:t>
      </w:r>
      <w:r w:rsidR="00834D95" w:rsidRPr="00390615">
        <w:rPr>
          <w:shd w:val="clear" w:color="auto" w:fill="FFFFFF"/>
        </w:rPr>
        <w:t>doi:10.1177/10963480211020098</w:t>
      </w:r>
      <w:r w:rsidRPr="00390615">
        <w:t>.</w:t>
      </w:r>
      <w:r w:rsidR="00834D95" w:rsidRPr="00390615">
        <w:t xml:space="preserve"> </w:t>
      </w:r>
    </w:p>
    <w:p w14:paraId="4C768F41" w14:textId="3E2A74E8" w:rsidR="006C7F18" w:rsidRPr="00390615" w:rsidRDefault="006C7F18" w:rsidP="00F513B0">
      <w:pPr>
        <w:pStyle w:val="Bibliography"/>
        <w:tabs>
          <w:tab w:val="right" w:pos="540"/>
        </w:tabs>
        <w:spacing w:afterLines="20" w:after="48" w:line="240" w:lineRule="auto"/>
        <w:ind w:left="540" w:hanging="540"/>
        <w:jc w:val="both"/>
      </w:pPr>
      <w:r w:rsidRPr="00390615">
        <w:t xml:space="preserve">Bruns, A., and Pilkauskas, N. (2019). Multiple job holding and mental health among low-income mothers. </w:t>
      </w:r>
      <w:r w:rsidRPr="00390615">
        <w:rPr>
          <w:i/>
          <w:iCs/>
        </w:rPr>
        <w:t>Women’s Health Issues</w:t>
      </w:r>
      <w:r w:rsidRPr="00390615">
        <w:t xml:space="preserve">, </w:t>
      </w:r>
      <w:r w:rsidRPr="00390615">
        <w:rPr>
          <w:i/>
        </w:rPr>
        <w:t>29</w:t>
      </w:r>
      <w:r w:rsidRPr="00390615">
        <w:t>(3), 205–212.</w:t>
      </w:r>
    </w:p>
    <w:p w14:paraId="50347E04" w14:textId="143FD288" w:rsidR="002B38F7" w:rsidRPr="00390615" w:rsidRDefault="002B38F7" w:rsidP="00F513B0">
      <w:pPr>
        <w:pStyle w:val="Bibliography"/>
        <w:tabs>
          <w:tab w:val="right" w:pos="540"/>
        </w:tabs>
        <w:spacing w:afterLines="20" w:after="48" w:line="240" w:lineRule="auto"/>
        <w:ind w:left="540" w:hanging="540"/>
        <w:jc w:val="both"/>
      </w:pPr>
      <w:r w:rsidRPr="00390615">
        <w:t xml:space="preserve">Bureau of Labor Statistics (2020). </w:t>
      </w:r>
      <w:r w:rsidRPr="00390615">
        <w:rPr>
          <w:i/>
          <w:iCs/>
        </w:rPr>
        <w:t xml:space="preserve">Consumer </w:t>
      </w:r>
      <w:r w:rsidR="00834D95" w:rsidRPr="00390615">
        <w:rPr>
          <w:i/>
          <w:iCs/>
        </w:rPr>
        <w:t>E</w:t>
      </w:r>
      <w:r w:rsidRPr="00390615">
        <w:rPr>
          <w:i/>
          <w:iCs/>
        </w:rPr>
        <w:t xml:space="preserve">xpenditures </w:t>
      </w:r>
      <w:r w:rsidR="00834D95" w:rsidRPr="00390615">
        <w:rPr>
          <w:i/>
          <w:iCs/>
        </w:rPr>
        <w:t>R</w:t>
      </w:r>
      <w:r w:rsidRPr="00390615">
        <w:rPr>
          <w:i/>
          <w:iCs/>
        </w:rPr>
        <w:t>eport 2019</w:t>
      </w:r>
      <w:r w:rsidRPr="00390615">
        <w:t>. https://www.bls.gov/opub/reports/consumer-expenditures/2019/home.htm</w:t>
      </w:r>
    </w:p>
    <w:p w14:paraId="08D33A6C" w14:textId="04C5E81F" w:rsidR="002B38F7" w:rsidRPr="00390615" w:rsidRDefault="002B38F7" w:rsidP="00F513B0">
      <w:pPr>
        <w:pStyle w:val="Bibliography"/>
        <w:tabs>
          <w:tab w:val="right" w:pos="540"/>
        </w:tabs>
        <w:spacing w:afterLines="20" w:after="48" w:line="240" w:lineRule="auto"/>
        <w:ind w:left="540" w:hanging="540"/>
        <w:jc w:val="both"/>
      </w:pPr>
      <w:r w:rsidRPr="00390615">
        <w:t xml:space="preserve">Business Research Company (2021). </w:t>
      </w:r>
      <w:r w:rsidRPr="00390615">
        <w:rPr>
          <w:i/>
          <w:iCs/>
        </w:rPr>
        <w:t>Online Food Delivery Services Global Market Report 2021: COVID-19 Growth and Change to 2030</w:t>
      </w:r>
      <w:r w:rsidRPr="00390615">
        <w:t>.</w:t>
      </w:r>
      <w:r w:rsidR="0006112B" w:rsidRPr="00390615">
        <w:t xml:space="preserve"> https://www.researchandmarkets.com/reports/5315009/online-food-delivery-services-global-market </w:t>
      </w:r>
    </w:p>
    <w:p w14:paraId="695F1EE0" w14:textId="10CC3893" w:rsidR="009301C0" w:rsidRPr="00390615" w:rsidRDefault="009301C0" w:rsidP="00F513B0">
      <w:pPr>
        <w:pStyle w:val="Bibliography"/>
        <w:tabs>
          <w:tab w:val="right" w:pos="540"/>
        </w:tabs>
        <w:spacing w:afterLines="20" w:after="48" w:line="240" w:lineRule="auto"/>
        <w:ind w:left="540" w:hanging="540"/>
        <w:jc w:val="both"/>
      </w:pPr>
      <w:r w:rsidRPr="00390615">
        <w:t xml:space="preserve">Cadario, R., </w:t>
      </w:r>
      <w:r w:rsidR="00F540A9" w:rsidRPr="00390615">
        <w:t>and</w:t>
      </w:r>
      <w:r w:rsidRPr="00390615">
        <w:t xml:space="preserve"> Morewedge, C. K. (2022). Why do people eat the same breakfast every day? Goals and circadian rhythms of variety seeking in meals. </w:t>
      </w:r>
      <w:r w:rsidRPr="009D450A">
        <w:rPr>
          <w:i/>
        </w:rPr>
        <w:t>Appetite</w:t>
      </w:r>
      <w:r w:rsidRPr="00390615">
        <w:t xml:space="preserve">, </w:t>
      </w:r>
      <w:r w:rsidRPr="009D450A">
        <w:rPr>
          <w:i/>
        </w:rPr>
        <w:t>168</w:t>
      </w:r>
      <w:r w:rsidRPr="00390615">
        <w:t>, 105716.</w:t>
      </w:r>
    </w:p>
    <w:p w14:paraId="2A74F8FC" w14:textId="677AB42D" w:rsidR="002B38F7" w:rsidRPr="00390615" w:rsidRDefault="002B38F7" w:rsidP="00F513B0">
      <w:pPr>
        <w:pStyle w:val="Bibliography"/>
        <w:tabs>
          <w:tab w:val="right" w:pos="540"/>
        </w:tabs>
        <w:spacing w:afterLines="20" w:after="48" w:line="240" w:lineRule="auto"/>
        <w:ind w:left="540" w:hanging="540"/>
        <w:jc w:val="both"/>
      </w:pPr>
      <w:r w:rsidRPr="00390615">
        <w:lastRenderedPageBreak/>
        <w:t xml:space="preserve">Castro, M., Paleti, R., </w:t>
      </w:r>
      <w:r w:rsidR="00420E62" w:rsidRPr="00390615">
        <w:t>and</w:t>
      </w:r>
      <w:r w:rsidRPr="00390615">
        <w:t xml:space="preserve"> Bhat, C. R. (2012). A latent variable representation of count data models to accommodate spatial and temporal dependence: Application to predicting crash frequency at intersections. </w:t>
      </w:r>
      <w:r w:rsidRPr="00390615">
        <w:rPr>
          <w:i/>
          <w:iCs/>
        </w:rPr>
        <w:t>Transportation Research Part B</w:t>
      </w:r>
      <w:r w:rsidRPr="00390615">
        <w:t xml:space="preserve">, </w:t>
      </w:r>
      <w:r w:rsidRPr="00390615">
        <w:rPr>
          <w:i/>
          <w:iCs/>
        </w:rPr>
        <w:t>46</w:t>
      </w:r>
      <w:r w:rsidRPr="00390615">
        <w:t>(1), 253–272.</w:t>
      </w:r>
    </w:p>
    <w:p w14:paraId="33CAA18B" w14:textId="69C79DF9" w:rsidR="002B38F7" w:rsidRPr="00390615" w:rsidRDefault="002B38F7" w:rsidP="00F513B0">
      <w:pPr>
        <w:pStyle w:val="Bibliography"/>
        <w:tabs>
          <w:tab w:val="right" w:pos="540"/>
        </w:tabs>
        <w:spacing w:afterLines="20" w:after="48" w:line="240" w:lineRule="auto"/>
        <w:ind w:left="540" w:hanging="540"/>
        <w:jc w:val="both"/>
      </w:pPr>
      <w:r w:rsidRPr="00390615">
        <w:t xml:space="preserve">Chapman, J., Fox, E. H., Bachman, W., </w:t>
      </w:r>
      <w:r w:rsidR="00420E62" w:rsidRPr="00390615">
        <w:t>and</w:t>
      </w:r>
      <w:r w:rsidRPr="00390615">
        <w:t xml:space="preserve"> Frank, L. D. (2021). </w:t>
      </w:r>
      <w:r w:rsidRPr="00390615">
        <w:rPr>
          <w:i/>
          <w:iCs/>
        </w:rPr>
        <w:t>Smart Location Database: Version 3.0 Technical Documentation and User Guide</w:t>
      </w:r>
      <w:r w:rsidR="00666036" w:rsidRPr="00390615">
        <w:t>. Prepared for the U.</w:t>
      </w:r>
      <w:r w:rsidRPr="00390615">
        <w:t>S</w:t>
      </w:r>
      <w:r w:rsidR="00666036" w:rsidRPr="00390615">
        <w:t>.</w:t>
      </w:r>
      <w:r w:rsidRPr="00390615">
        <w:t xml:space="preserve"> Environment Protection Agency. https://www.epa.gov/sites/default/files/2021-06/documents/epa_sld_3.0_technicaldocumentationuserguide_may2021.pdf</w:t>
      </w:r>
    </w:p>
    <w:p w14:paraId="7FA40EB5" w14:textId="131BCDF0" w:rsidR="002B38F7" w:rsidRPr="00390615" w:rsidRDefault="002B38F7" w:rsidP="00F513B0">
      <w:pPr>
        <w:pStyle w:val="Bibliography"/>
        <w:tabs>
          <w:tab w:val="right" w:pos="540"/>
        </w:tabs>
        <w:spacing w:afterLines="20" w:after="48" w:line="240" w:lineRule="auto"/>
        <w:ind w:left="540" w:hanging="540"/>
        <w:jc w:val="both"/>
      </w:pPr>
      <w:r w:rsidRPr="00390615">
        <w:t xml:space="preserve">Chiu, C., Wang, E. T., Fang, Y., </w:t>
      </w:r>
      <w:r w:rsidR="00420E62" w:rsidRPr="00390615">
        <w:t>and</w:t>
      </w:r>
      <w:r w:rsidRPr="00390615">
        <w:t xml:space="preserve"> Huang, H. (2014). Understanding customers’ repeat purchase intentions in B2C e‐commerce: The roles of utilitarian value, hedonic value and perceived risk. </w:t>
      </w:r>
      <w:r w:rsidRPr="00390615">
        <w:rPr>
          <w:i/>
          <w:iCs/>
        </w:rPr>
        <w:t>Information Systems Journal</w:t>
      </w:r>
      <w:r w:rsidRPr="00390615">
        <w:t xml:space="preserve">, </w:t>
      </w:r>
      <w:r w:rsidRPr="00390615">
        <w:rPr>
          <w:i/>
          <w:iCs/>
        </w:rPr>
        <w:t>24</w:t>
      </w:r>
      <w:r w:rsidRPr="00390615">
        <w:t>(1), 85–114.</w:t>
      </w:r>
    </w:p>
    <w:p w14:paraId="53D54551" w14:textId="05A31102" w:rsidR="002B38F7" w:rsidRPr="00390615" w:rsidRDefault="002B38F7" w:rsidP="00F513B0">
      <w:pPr>
        <w:pStyle w:val="Bibliography"/>
        <w:tabs>
          <w:tab w:val="right" w:pos="540"/>
        </w:tabs>
        <w:spacing w:afterLines="20" w:after="48" w:line="240" w:lineRule="auto"/>
        <w:ind w:left="540" w:hanging="540"/>
        <w:jc w:val="both"/>
      </w:pPr>
      <w:r w:rsidRPr="00390615">
        <w:t xml:space="preserve">Clifford, C., Foley, L., Penney, T. L., </w:t>
      </w:r>
      <w:r w:rsidR="00420E62" w:rsidRPr="00390615">
        <w:t>and</w:t>
      </w:r>
      <w:r w:rsidRPr="00390615">
        <w:t xml:space="preserve"> Adams, J. (2020). How does time use differ between individuals who do more versus less foodwork? A compositional data analysis of time use in the United Kingdom time use survey 2014–2015. </w:t>
      </w:r>
      <w:r w:rsidRPr="00390615">
        <w:rPr>
          <w:i/>
          <w:iCs/>
        </w:rPr>
        <w:t>Nutrients</w:t>
      </w:r>
      <w:r w:rsidRPr="00390615">
        <w:t xml:space="preserve">, </w:t>
      </w:r>
      <w:r w:rsidRPr="00390615">
        <w:rPr>
          <w:i/>
          <w:iCs/>
        </w:rPr>
        <w:t>12</w:t>
      </w:r>
      <w:r w:rsidRPr="00390615">
        <w:t>(8), 2280.</w:t>
      </w:r>
    </w:p>
    <w:p w14:paraId="0069C1A1" w14:textId="77777777" w:rsidR="00666036" w:rsidRPr="00390615" w:rsidRDefault="002B38F7" w:rsidP="00F513B0">
      <w:pPr>
        <w:pStyle w:val="Bibliography"/>
        <w:tabs>
          <w:tab w:val="right" w:pos="540"/>
        </w:tabs>
        <w:spacing w:afterLines="20" w:after="48" w:line="240" w:lineRule="auto"/>
        <w:ind w:left="540" w:hanging="540"/>
        <w:jc w:val="both"/>
      </w:pPr>
      <w:r w:rsidRPr="00390615">
        <w:t xml:space="preserve">Cho, M., Bonn, M. A., </w:t>
      </w:r>
      <w:r w:rsidR="00420E62" w:rsidRPr="00390615">
        <w:t>and</w:t>
      </w:r>
      <w:r w:rsidRPr="00390615">
        <w:t xml:space="preserve"> Li, J. J. (2019). Differences in perceptions about food delivery apps between single-person and multi-person households. </w:t>
      </w:r>
      <w:r w:rsidRPr="00390615">
        <w:rPr>
          <w:i/>
          <w:iCs/>
        </w:rPr>
        <w:t>International Journal of Hospitality Management</w:t>
      </w:r>
      <w:r w:rsidRPr="00390615">
        <w:t xml:space="preserve">, </w:t>
      </w:r>
      <w:r w:rsidRPr="00390615">
        <w:rPr>
          <w:i/>
          <w:iCs/>
        </w:rPr>
        <w:t>77</w:t>
      </w:r>
      <w:r w:rsidRPr="00390615">
        <w:t>, 108–116.</w:t>
      </w:r>
    </w:p>
    <w:p w14:paraId="6A3F96D2" w14:textId="7CF6ED7C" w:rsidR="002B38F7" w:rsidRPr="00390615" w:rsidRDefault="002B38F7" w:rsidP="00F513B0">
      <w:pPr>
        <w:pStyle w:val="Bibliography"/>
        <w:tabs>
          <w:tab w:val="right" w:pos="540"/>
        </w:tabs>
        <w:spacing w:afterLines="20" w:after="48" w:line="240" w:lineRule="auto"/>
        <w:ind w:left="540" w:hanging="540"/>
        <w:jc w:val="both"/>
      </w:pPr>
      <w:r w:rsidRPr="00390615">
        <w:t xml:space="preserve">Collison, J. (2020). The </w:t>
      </w:r>
      <w:r w:rsidR="00666036" w:rsidRPr="00390615">
        <w:t>i</w:t>
      </w:r>
      <w:r w:rsidRPr="00390615">
        <w:t xml:space="preserve">mpact of </w:t>
      </w:r>
      <w:r w:rsidR="00666036" w:rsidRPr="00390615">
        <w:t>o</w:t>
      </w:r>
      <w:r w:rsidRPr="00390615">
        <w:t xml:space="preserve">nline </w:t>
      </w:r>
      <w:r w:rsidR="00666036" w:rsidRPr="00390615">
        <w:t>f</w:t>
      </w:r>
      <w:r w:rsidRPr="00390615">
        <w:t xml:space="preserve">ood </w:t>
      </w:r>
      <w:r w:rsidR="00666036" w:rsidRPr="00390615">
        <w:t>d</w:t>
      </w:r>
      <w:r w:rsidRPr="00390615">
        <w:t xml:space="preserve">elivery </w:t>
      </w:r>
      <w:r w:rsidR="00666036" w:rsidRPr="00390615">
        <w:t>s</w:t>
      </w:r>
      <w:r w:rsidRPr="00390615">
        <w:t xml:space="preserve">ervices on </w:t>
      </w:r>
      <w:r w:rsidR="00666036" w:rsidRPr="00390615">
        <w:t>r</w:t>
      </w:r>
      <w:r w:rsidRPr="00390615">
        <w:t xml:space="preserve">estaurant </w:t>
      </w:r>
      <w:r w:rsidR="00666036" w:rsidRPr="00390615">
        <w:t>s</w:t>
      </w:r>
      <w:r w:rsidRPr="00390615">
        <w:t>ales.</w:t>
      </w:r>
      <w:r w:rsidR="00666036" w:rsidRPr="00390615">
        <w:t xml:space="preserve"> </w:t>
      </w:r>
      <w:r w:rsidR="00666036" w:rsidRPr="00390615">
        <w:rPr>
          <w:i/>
        </w:rPr>
        <w:t>Honors Thesis</w:t>
      </w:r>
      <w:r w:rsidR="00666036" w:rsidRPr="00390615">
        <w:t>, Department of Economics, Stanford University.</w:t>
      </w:r>
    </w:p>
    <w:p w14:paraId="2489EAF4" w14:textId="6C2804E3" w:rsidR="002B38F7" w:rsidRPr="00390615" w:rsidRDefault="002B38F7" w:rsidP="00F513B0">
      <w:pPr>
        <w:pStyle w:val="Bibliography"/>
        <w:tabs>
          <w:tab w:val="right" w:pos="540"/>
        </w:tabs>
        <w:spacing w:afterLines="20" w:after="48" w:line="240" w:lineRule="auto"/>
        <w:ind w:left="540" w:hanging="540"/>
        <w:jc w:val="both"/>
      </w:pPr>
      <w:r w:rsidRPr="00390615">
        <w:t xml:space="preserve">Dahlstrom, L. (2018). </w:t>
      </w:r>
      <w:r w:rsidRPr="00390615">
        <w:rPr>
          <w:iCs/>
        </w:rPr>
        <w:t>Beyond May 29: Lessons from Starbucks anti-bias training—And what’s next</w:t>
      </w:r>
      <w:r w:rsidRPr="00390615">
        <w:t xml:space="preserve">. </w:t>
      </w:r>
      <w:r w:rsidR="00666036" w:rsidRPr="00390615">
        <w:rPr>
          <w:i/>
        </w:rPr>
        <w:t>Starbucks Stories &amp; News</w:t>
      </w:r>
      <w:r w:rsidR="00666036" w:rsidRPr="00390615">
        <w:t xml:space="preserve">. </w:t>
      </w:r>
      <w:r w:rsidRPr="00390615">
        <w:t>https://stories.starbucks.com/stories/2018/beyond-may-29-lessons-from-starbucks-anti-bias-training-and-whats-next/</w:t>
      </w:r>
    </w:p>
    <w:p w14:paraId="5A07655C" w14:textId="2403DD40" w:rsidR="002B38F7" w:rsidRPr="00390615" w:rsidRDefault="002B38F7" w:rsidP="00F513B0">
      <w:pPr>
        <w:pStyle w:val="Bibliography"/>
        <w:tabs>
          <w:tab w:val="right" w:pos="540"/>
        </w:tabs>
        <w:spacing w:afterLines="20" w:after="48" w:line="240" w:lineRule="auto"/>
        <w:ind w:left="540" w:hanging="540"/>
        <w:jc w:val="both"/>
      </w:pPr>
      <w:r w:rsidRPr="00390615">
        <w:fldChar w:fldCharType="begin"/>
      </w:r>
      <w:r w:rsidRPr="00390615">
        <w:instrText xml:space="preserve"> ADDIN ZOTERO_BIBL {"uncited":[],"omitted":[],"custom":[]} CSL_BIBLIOGRAPHY </w:instrText>
      </w:r>
      <w:r w:rsidRPr="00390615">
        <w:fldChar w:fldCharType="separate"/>
      </w:r>
      <w:r w:rsidRPr="00390615">
        <w:t xml:space="preserve">Deary, I. J., Corley, J., Gow, A. J., Harris, S. E., Houlihan, L. M., Marioni, R. E., Penke, L., Rafnsson, S. B., </w:t>
      </w:r>
      <w:r w:rsidR="00420E62" w:rsidRPr="00390615">
        <w:t>and</w:t>
      </w:r>
      <w:r w:rsidRPr="00390615">
        <w:t xml:space="preserve"> Starr, J. M. (2009). Age-associated cognitive decline. </w:t>
      </w:r>
      <w:r w:rsidRPr="00390615">
        <w:rPr>
          <w:i/>
          <w:iCs/>
        </w:rPr>
        <w:t>British Medical Bulletin</w:t>
      </w:r>
      <w:r w:rsidRPr="00390615">
        <w:t xml:space="preserve">, </w:t>
      </w:r>
      <w:r w:rsidRPr="00390615">
        <w:rPr>
          <w:i/>
          <w:iCs/>
        </w:rPr>
        <w:t>92</w:t>
      </w:r>
      <w:r w:rsidRPr="00390615">
        <w:t>(1), 135–152.</w:t>
      </w:r>
    </w:p>
    <w:p w14:paraId="68C868A4" w14:textId="36E396C0" w:rsidR="002B38F7" w:rsidRPr="00390615" w:rsidRDefault="002B38F7" w:rsidP="00F513B0">
      <w:pPr>
        <w:pStyle w:val="Bibliography"/>
        <w:tabs>
          <w:tab w:val="right" w:pos="540"/>
        </w:tabs>
        <w:spacing w:afterLines="20" w:after="48" w:line="240" w:lineRule="auto"/>
        <w:ind w:left="540" w:hanging="540"/>
        <w:jc w:val="both"/>
      </w:pPr>
      <w:r w:rsidRPr="00390615">
        <w:fldChar w:fldCharType="end"/>
      </w:r>
      <w:r w:rsidRPr="00390615">
        <w:t xml:space="preserve">Devine, C. M., Jastran, M., Jabs, J., Wethington, E., Farell, T. J., </w:t>
      </w:r>
      <w:r w:rsidR="00420E62" w:rsidRPr="00390615">
        <w:t>and</w:t>
      </w:r>
      <w:r w:rsidRPr="00390615">
        <w:t xml:space="preserve"> Bisogni, C. A. (2006). “A lot of sacrifices:” Work–family spillover and the food choice coping strategies of low-wage employed parents. </w:t>
      </w:r>
      <w:r w:rsidRPr="00390615">
        <w:rPr>
          <w:i/>
          <w:iCs/>
        </w:rPr>
        <w:t xml:space="preserve">Social Science </w:t>
      </w:r>
      <w:r w:rsidR="00420E62" w:rsidRPr="00390615">
        <w:rPr>
          <w:i/>
          <w:iCs/>
        </w:rPr>
        <w:t>and</w:t>
      </w:r>
      <w:r w:rsidRPr="00390615">
        <w:rPr>
          <w:i/>
          <w:iCs/>
        </w:rPr>
        <w:t xml:space="preserve"> Medicine</w:t>
      </w:r>
      <w:r w:rsidRPr="00390615">
        <w:t xml:space="preserve">, </w:t>
      </w:r>
      <w:r w:rsidRPr="00390615">
        <w:rPr>
          <w:i/>
          <w:iCs/>
        </w:rPr>
        <w:t>63</w:t>
      </w:r>
      <w:r w:rsidRPr="00390615">
        <w:t>(10), 2591–2603.</w:t>
      </w:r>
    </w:p>
    <w:p w14:paraId="6B633CD5" w14:textId="12AE1B60" w:rsidR="002B38F7" w:rsidRPr="00390615" w:rsidRDefault="002B38F7" w:rsidP="00F513B0">
      <w:pPr>
        <w:pStyle w:val="Bibliography"/>
        <w:keepLines/>
        <w:tabs>
          <w:tab w:val="right" w:pos="540"/>
        </w:tabs>
        <w:spacing w:afterLines="20" w:after="48" w:line="240" w:lineRule="auto"/>
        <w:ind w:left="547" w:hanging="547"/>
        <w:jc w:val="both"/>
      </w:pPr>
      <w:r w:rsidRPr="00390615">
        <w:t xml:space="preserve">Dias, F. F., Lavieri, P. S., Sharda, S., Khoeini, S., Bhat, C. R., Pendyala, R. M., Pinjari, A. R., Ramadurai, G., </w:t>
      </w:r>
      <w:r w:rsidR="00420E62" w:rsidRPr="00390615">
        <w:t>and</w:t>
      </w:r>
      <w:r w:rsidRPr="00390615">
        <w:t xml:space="preserve"> Srinivasan, K. K. (2020). A comparison of online and in-person activity engagement: The case of shopping and eating meals. </w:t>
      </w:r>
      <w:r w:rsidRPr="00390615">
        <w:rPr>
          <w:i/>
          <w:iCs/>
        </w:rPr>
        <w:t>Transportation Research Part C</w:t>
      </w:r>
      <w:r w:rsidRPr="00390615">
        <w:t xml:space="preserve">, </w:t>
      </w:r>
      <w:r w:rsidRPr="00390615">
        <w:rPr>
          <w:i/>
          <w:iCs/>
        </w:rPr>
        <w:t>114</w:t>
      </w:r>
      <w:r w:rsidRPr="00390615">
        <w:t>, 643–656.</w:t>
      </w:r>
    </w:p>
    <w:p w14:paraId="5921AEBD" w14:textId="294C1070" w:rsidR="002B38F7" w:rsidRPr="00390615" w:rsidRDefault="002B38F7" w:rsidP="00F513B0">
      <w:pPr>
        <w:pStyle w:val="Bibliography"/>
        <w:tabs>
          <w:tab w:val="right" w:pos="540"/>
        </w:tabs>
        <w:spacing w:afterLines="20" w:after="48" w:line="240" w:lineRule="auto"/>
        <w:ind w:left="540" w:hanging="540"/>
        <w:jc w:val="both"/>
      </w:pPr>
      <w:r w:rsidRPr="00390615">
        <w:t xml:space="preserve">Djupegot, I. L., Nenseth, C. B., Bere, E., Bjørnarå, H. B. T., Helland, S. H., Øverby, N. C., Torstveit, M. K., </w:t>
      </w:r>
      <w:r w:rsidR="00420E62" w:rsidRPr="00390615">
        <w:t>and</w:t>
      </w:r>
      <w:r w:rsidRPr="00390615">
        <w:t xml:space="preserve"> Stea, T. H. (2017). The association between time scarcity, sociodemographic correlates and consumption of ultra-processed foods among parents in Norway: A cross-sectional study. </w:t>
      </w:r>
      <w:r w:rsidRPr="00390615">
        <w:rPr>
          <w:i/>
          <w:iCs/>
        </w:rPr>
        <w:t>BMC Public Health</w:t>
      </w:r>
      <w:r w:rsidRPr="00390615">
        <w:t xml:space="preserve">, </w:t>
      </w:r>
      <w:r w:rsidRPr="00390615">
        <w:rPr>
          <w:i/>
          <w:iCs/>
        </w:rPr>
        <w:t>17</w:t>
      </w:r>
      <w:r w:rsidRPr="00390615">
        <w:t>(1), 1–8.</w:t>
      </w:r>
    </w:p>
    <w:p w14:paraId="63D17716" w14:textId="36F514D6" w:rsidR="006C7F18" w:rsidRPr="00390615" w:rsidRDefault="006C7F18" w:rsidP="00F513B0">
      <w:pPr>
        <w:pStyle w:val="Bibliography"/>
        <w:tabs>
          <w:tab w:val="right" w:pos="540"/>
        </w:tabs>
        <w:spacing w:afterLines="20" w:after="48" w:line="240" w:lineRule="auto"/>
        <w:ind w:left="540" w:hanging="540"/>
        <w:jc w:val="both"/>
      </w:pPr>
      <w:r w:rsidRPr="00390615">
        <w:t xml:space="preserve">DoorDash (2022). Become a driver &amp; deliver with DoorDash. </w:t>
      </w:r>
      <w:r w:rsidRPr="00390615">
        <w:rPr>
          <w:i/>
          <w:iCs/>
        </w:rPr>
        <w:t>DoorDash</w:t>
      </w:r>
      <w:r w:rsidRPr="00390615">
        <w:t>. https://www.doordash.com/dasher/signup/. Accessed May 21, 2022.</w:t>
      </w:r>
    </w:p>
    <w:p w14:paraId="7C397022" w14:textId="5B0B83F0" w:rsidR="002B38F7" w:rsidRPr="00390615" w:rsidRDefault="002B38F7" w:rsidP="00F513B0">
      <w:pPr>
        <w:pStyle w:val="Bibliography"/>
        <w:tabs>
          <w:tab w:val="right" w:pos="540"/>
        </w:tabs>
        <w:spacing w:afterLines="20" w:after="48" w:line="240" w:lineRule="auto"/>
        <w:ind w:left="540" w:hanging="540"/>
        <w:jc w:val="both"/>
      </w:pPr>
      <w:r w:rsidRPr="00390615">
        <w:t xml:space="preserve">Duque, M., Pink, S., Sumartojo, S., and Vaughan, L. (2019). Homeliness in health care: </w:t>
      </w:r>
      <w:r w:rsidR="004214B6" w:rsidRPr="00390615">
        <w:t>T</w:t>
      </w:r>
      <w:r w:rsidRPr="00390615">
        <w:t xml:space="preserve">he role of everyday designing. </w:t>
      </w:r>
      <w:r w:rsidRPr="00390615">
        <w:rPr>
          <w:i/>
        </w:rPr>
        <w:t>Home Cultures</w:t>
      </w:r>
      <w:r w:rsidRPr="00390615">
        <w:t xml:space="preserve">, </w:t>
      </w:r>
      <w:r w:rsidRPr="00390615">
        <w:rPr>
          <w:i/>
        </w:rPr>
        <w:t>16</w:t>
      </w:r>
      <w:r w:rsidRPr="00390615">
        <w:t>(3), 213</w:t>
      </w:r>
      <w:r w:rsidR="004214B6" w:rsidRPr="00390615">
        <w:t>–</w:t>
      </w:r>
      <w:r w:rsidRPr="00390615">
        <w:t>232</w:t>
      </w:r>
      <w:r w:rsidR="004214B6" w:rsidRPr="00390615">
        <w:t>.</w:t>
      </w:r>
    </w:p>
    <w:p w14:paraId="428FC2A2" w14:textId="43BF9A7B" w:rsidR="002B38F7" w:rsidRPr="00390615" w:rsidRDefault="002B38F7" w:rsidP="00F513B0">
      <w:pPr>
        <w:pStyle w:val="Bibliography"/>
        <w:tabs>
          <w:tab w:val="right" w:pos="540"/>
        </w:tabs>
        <w:spacing w:afterLines="20" w:after="48" w:line="240" w:lineRule="auto"/>
        <w:ind w:left="540" w:hanging="540"/>
        <w:jc w:val="both"/>
      </w:pPr>
      <w:r w:rsidRPr="00390615">
        <w:t xml:space="preserve">Faverio, M. (2022). </w:t>
      </w:r>
      <w:r w:rsidRPr="00390615">
        <w:rPr>
          <w:iCs/>
        </w:rPr>
        <w:t>Share of those 65 and older who are tech users has grown in the past decade</w:t>
      </w:r>
      <w:r w:rsidRPr="00390615">
        <w:t xml:space="preserve">. </w:t>
      </w:r>
      <w:r w:rsidR="00666036" w:rsidRPr="00390615">
        <w:rPr>
          <w:i/>
        </w:rPr>
        <w:t>Pew Research Center</w:t>
      </w:r>
      <w:r w:rsidR="00666036" w:rsidRPr="00390615">
        <w:t xml:space="preserve">. </w:t>
      </w:r>
      <w:r w:rsidRPr="00390615">
        <w:t>https://www.pewresearch.org/fact-tank/2022/01/13/share-of-those-65-and-older-who-are-tech-users-has-grown-in-the-past-decade/</w:t>
      </w:r>
    </w:p>
    <w:p w14:paraId="202AAB7A" w14:textId="5A497276" w:rsidR="002B38F7" w:rsidRPr="00390615" w:rsidRDefault="002B38F7" w:rsidP="009D450A">
      <w:pPr>
        <w:pStyle w:val="Bibliography"/>
        <w:keepLines/>
        <w:tabs>
          <w:tab w:val="right" w:pos="540"/>
        </w:tabs>
        <w:spacing w:afterLines="20" w:after="48" w:line="240" w:lineRule="auto"/>
        <w:ind w:left="547" w:hanging="547"/>
        <w:jc w:val="both"/>
      </w:pPr>
      <w:r w:rsidRPr="00390615">
        <w:lastRenderedPageBreak/>
        <w:t xml:space="preserve">Fulkerson, J. A., Farbakhsh, K., Lytle, L., Hearst, M. O., Dengel, D. R., Pasch, K. E., </w:t>
      </w:r>
      <w:r w:rsidR="00420E62" w:rsidRPr="00390615">
        <w:t>and</w:t>
      </w:r>
      <w:r w:rsidRPr="00390615">
        <w:t xml:space="preserve"> Kubik, M. Y. (2011). Away-from-home family dinner sources and associations with weight status, body composition, and related biomarkers of chronic disease among adolescents and their parents. </w:t>
      </w:r>
      <w:r w:rsidRPr="00390615">
        <w:rPr>
          <w:i/>
          <w:iCs/>
        </w:rPr>
        <w:t>Journal of the American Dietetic Association</w:t>
      </w:r>
      <w:r w:rsidRPr="00390615">
        <w:t xml:space="preserve">, </w:t>
      </w:r>
      <w:r w:rsidRPr="00390615">
        <w:rPr>
          <w:i/>
          <w:iCs/>
        </w:rPr>
        <w:t>111</w:t>
      </w:r>
      <w:r w:rsidRPr="00390615">
        <w:t>(12), 1892–1897.</w:t>
      </w:r>
    </w:p>
    <w:p w14:paraId="20012D02" w14:textId="2007E830" w:rsidR="002B38F7" w:rsidRPr="00390615" w:rsidRDefault="002B38F7" w:rsidP="00F513B0">
      <w:pPr>
        <w:pStyle w:val="Bibliography"/>
        <w:tabs>
          <w:tab w:val="right" w:pos="540"/>
        </w:tabs>
        <w:spacing w:afterLines="20" w:after="48" w:line="240" w:lineRule="auto"/>
        <w:ind w:left="540" w:hanging="540"/>
        <w:jc w:val="both"/>
      </w:pPr>
      <w:r w:rsidRPr="00390615">
        <w:t xml:space="preserve">Giambattista, M. (2020). Survey: The </w:t>
      </w:r>
      <w:r w:rsidR="00B933F3" w:rsidRPr="00390615">
        <w:t>f</w:t>
      </w:r>
      <w:r w:rsidRPr="00390615">
        <w:t xml:space="preserve">irst </w:t>
      </w:r>
      <w:r w:rsidR="00B933F3" w:rsidRPr="00390615">
        <w:t>t</w:t>
      </w:r>
      <w:r w:rsidRPr="00390615">
        <w:t xml:space="preserve">hing </w:t>
      </w:r>
      <w:r w:rsidR="00B933F3" w:rsidRPr="00390615">
        <w:t>p</w:t>
      </w:r>
      <w:r w:rsidRPr="00390615">
        <w:t xml:space="preserve">eople </w:t>
      </w:r>
      <w:r w:rsidR="00B933F3" w:rsidRPr="00390615">
        <w:t>a</w:t>
      </w:r>
      <w:r w:rsidRPr="00390615">
        <w:t xml:space="preserve">re </w:t>
      </w:r>
      <w:r w:rsidR="00B933F3" w:rsidRPr="00390615">
        <w:t>g</w:t>
      </w:r>
      <w:r w:rsidRPr="00390615">
        <w:t xml:space="preserve">oing to </w:t>
      </w:r>
      <w:r w:rsidR="00B933F3" w:rsidRPr="00390615">
        <w:t>d</w:t>
      </w:r>
      <w:r w:rsidRPr="00390615">
        <w:t xml:space="preserve">o </w:t>
      </w:r>
      <w:r w:rsidR="00B933F3" w:rsidRPr="00390615">
        <w:t>a</w:t>
      </w:r>
      <w:r w:rsidRPr="00390615">
        <w:t xml:space="preserve">fter </w:t>
      </w:r>
      <w:r w:rsidR="00B933F3" w:rsidRPr="00390615">
        <w:t>q</w:t>
      </w:r>
      <w:r w:rsidRPr="00390615">
        <w:t xml:space="preserve">uarantine. </w:t>
      </w:r>
      <w:r w:rsidRPr="00390615">
        <w:rPr>
          <w:i/>
          <w:iCs/>
        </w:rPr>
        <w:t>The</w:t>
      </w:r>
      <w:r w:rsidR="00B933F3" w:rsidRPr="00390615">
        <w:rPr>
          <w:i/>
          <w:iCs/>
        </w:rPr>
        <w:t xml:space="preserve"> </w:t>
      </w:r>
      <w:r w:rsidRPr="00390615">
        <w:rPr>
          <w:i/>
          <w:iCs/>
        </w:rPr>
        <w:t>Customer</w:t>
      </w:r>
      <w:r w:rsidRPr="00390615">
        <w:t>. https://thecustomer.net/first-activities-after-quarantine/</w:t>
      </w:r>
    </w:p>
    <w:p w14:paraId="6828565A" w14:textId="2BD0328F" w:rsidR="002B38F7" w:rsidRPr="00390615" w:rsidRDefault="002B38F7" w:rsidP="00F513B0">
      <w:pPr>
        <w:pStyle w:val="Bibliography"/>
        <w:tabs>
          <w:tab w:val="right" w:pos="540"/>
        </w:tabs>
        <w:spacing w:afterLines="20" w:after="48" w:line="240" w:lineRule="auto"/>
        <w:ind w:left="540" w:hanging="540"/>
        <w:jc w:val="both"/>
      </w:pPr>
      <w:r w:rsidRPr="00390615">
        <w:t xml:space="preserve">Giurge, L. M., Whillans, A. V., </w:t>
      </w:r>
      <w:r w:rsidR="00420E62" w:rsidRPr="00390615">
        <w:t>and</w:t>
      </w:r>
      <w:r w:rsidRPr="00390615">
        <w:t xml:space="preserve"> West, C. (2020). Why time poverty matters for individuals, organisations and nations. </w:t>
      </w:r>
      <w:r w:rsidRPr="00390615">
        <w:rPr>
          <w:i/>
          <w:iCs/>
        </w:rPr>
        <w:t>Nature Human Behaviour</w:t>
      </w:r>
      <w:r w:rsidRPr="00390615">
        <w:t xml:space="preserve">, </w:t>
      </w:r>
      <w:r w:rsidRPr="00390615">
        <w:rPr>
          <w:i/>
          <w:iCs/>
        </w:rPr>
        <w:t>4</w:t>
      </w:r>
      <w:r w:rsidRPr="00390615">
        <w:t>(10), 993–1003.</w:t>
      </w:r>
    </w:p>
    <w:p w14:paraId="6E85B679" w14:textId="76C96135" w:rsidR="002B38F7" w:rsidRPr="00390615" w:rsidRDefault="002B38F7" w:rsidP="00F513B0">
      <w:pPr>
        <w:pStyle w:val="Bibliography"/>
        <w:tabs>
          <w:tab w:val="right" w:pos="540"/>
        </w:tabs>
        <w:spacing w:afterLines="20" w:after="48" w:line="240" w:lineRule="auto"/>
        <w:ind w:left="540" w:hanging="540"/>
        <w:jc w:val="both"/>
      </w:pPr>
      <w:r w:rsidRPr="00390615">
        <w:t xml:space="preserve">Goffe, L., Rushton, S., White, M., Adamson, A., </w:t>
      </w:r>
      <w:r w:rsidR="00420E62" w:rsidRPr="00390615">
        <w:t>and</w:t>
      </w:r>
      <w:r w:rsidRPr="00390615">
        <w:t xml:space="preserve"> Adams, J. (2017). Relationship between mean daily energy intake and frequency of consumption of out-of-home meals in the UK National Diet and Nutrition Survey. </w:t>
      </w:r>
      <w:r w:rsidRPr="00390615">
        <w:rPr>
          <w:i/>
          <w:iCs/>
        </w:rPr>
        <w:t>International Journal of Behavioral Nutrition and Physical Activity</w:t>
      </w:r>
      <w:r w:rsidRPr="00390615">
        <w:t xml:space="preserve">, </w:t>
      </w:r>
      <w:r w:rsidRPr="00390615">
        <w:rPr>
          <w:i/>
          <w:iCs/>
        </w:rPr>
        <w:t>14</w:t>
      </w:r>
      <w:r w:rsidRPr="00390615">
        <w:t>(1), 1–11.</w:t>
      </w:r>
    </w:p>
    <w:p w14:paraId="1AB642DC" w14:textId="5FFACA21" w:rsidR="002B38F7" w:rsidRPr="00390615" w:rsidRDefault="002B38F7" w:rsidP="00F513B0">
      <w:pPr>
        <w:pStyle w:val="Bibliography"/>
        <w:tabs>
          <w:tab w:val="right" w:pos="540"/>
        </w:tabs>
        <w:spacing w:afterLines="20" w:after="48" w:line="240" w:lineRule="auto"/>
        <w:ind w:left="540" w:hanging="540"/>
        <w:jc w:val="both"/>
      </w:pPr>
      <w:r w:rsidRPr="00390615">
        <w:t xml:space="preserve">Gunden, N., Morosan, C., </w:t>
      </w:r>
      <w:r w:rsidR="00420E62" w:rsidRPr="00390615">
        <w:t>and</w:t>
      </w:r>
      <w:r w:rsidRPr="00390615">
        <w:t xml:space="preserve"> DeFranco, A. (2020). Consumers’ intentions to use online food delivery systems in the USA. </w:t>
      </w:r>
      <w:r w:rsidRPr="00390615">
        <w:rPr>
          <w:i/>
          <w:iCs/>
        </w:rPr>
        <w:t>International Journal of Contemporary Hospitality Management</w:t>
      </w:r>
      <w:r w:rsidR="00B933F3" w:rsidRPr="00390615">
        <w:t xml:space="preserve">, </w:t>
      </w:r>
      <w:r w:rsidR="00B933F3" w:rsidRPr="00390615">
        <w:rPr>
          <w:i/>
        </w:rPr>
        <w:t>32</w:t>
      </w:r>
      <w:r w:rsidR="00B933F3" w:rsidRPr="00390615">
        <w:t>(3), 1325–1345.</w:t>
      </w:r>
    </w:p>
    <w:p w14:paraId="4CEF649D" w14:textId="16F3B567" w:rsidR="00EE6F3D" w:rsidRPr="00390615" w:rsidRDefault="00EE6F3D" w:rsidP="00F513B0">
      <w:pPr>
        <w:pStyle w:val="Bibliography"/>
        <w:tabs>
          <w:tab w:val="right" w:pos="540"/>
        </w:tabs>
        <w:spacing w:afterLines="20" w:after="48" w:line="240" w:lineRule="auto"/>
        <w:ind w:left="540" w:hanging="540"/>
        <w:jc w:val="both"/>
      </w:pPr>
      <w:r w:rsidRPr="00390615">
        <w:t xml:space="preserve">Heckman, J. J., and Vytlacil, E. J. (2000). The relationship between treatment parameters within a latent variable framework. </w:t>
      </w:r>
      <w:r w:rsidRPr="00390615">
        <w:rPr>
          <w:i/>
        </w:rPr>
        <w:t>Economics Letters</w:t>
      </w:r>
      <w:r w:rsidRPr="00390615">
        <w:t xml:space="preserve">, </w:t>
      </w:r>
      <w:r w:rsidRPr="00390615">
        <w:rPr>
          <w:i/>
        </w:rPr>
        <w:t>66</w:t>
      </w:r>
      <w:r w:rsidRPr="00390615">
        <w:t>(1), 33–39.</w:t>
      </w:r>
    </w:p>
    <w:p w14:paraId="5D2FB1FC" w14:textId="68A2E9C7" w:rsidR="002B38F7" w:rsidRPr="00390615" w:rsidRDefault="002B38F7" w:rsidP="00F513B0">
      <w:pPr>
        <w:pStyle w:val="Bibliography"/>
        <w:tabs>
          <w:tab w:val="right" w:pos="540"/>
        </w:tabs>
        <w:spacing w:afterLines="20" w:after="48" w:line="240" w:lineRule="auto"/>
        <w:ind w:left="540" w:hanging="540"/>
        <w:jc w:val="both"/>
      </w:pPr>
      <w:r w:rsidRPr="00390615">
        <w:t xml:space="preserve">Holm, L. (2013). Sociology of food and consumption. </w:t>
      </w:r>
      <w:r w:rsidR="00B933F3" w:rsidRPr="00390615">
        <w:t>In </w:t>
      </w:r>
      <w:r w:rsidR="00B933F3" w:rsidRPr="00390615">
        <w:rPr>
          <w:i/>
        </w:rPr>
        <w:t>The Handbook of Food Research</w:t>
      </w:r>
      <w:r w:rsidR="00B933F3" w:rsidRPr="00390615">
        <w:t>, translated by W. Mintz Sidney, pp. 324–337, Bloomsbury Academic, London</w:t>
      </w:r>
      <w:r w:rsidRPr="00390615">
        <w:t>.</w:t>
      </w:r>
    </w:p>
    <w:p w14:paraId="09CBF601" w14:textId="4F21CED8" w:rsidR="002B38F7" w:rsidRPr="00390615" w:rsidRDefault="002B38F7" w:rsidP="00F513B0">
      <w:pPr>
        <w:pStyle w:val="Bibliography"/>
        <w:tabs>
          <w:tab w:val="right" w:pos="540"/>
        </w:tabs>
        <w:spacing w:afterLines="20" w:after="48" w:line="240" w:lineRule="auto"/>
        <w:ind w:left="540" w:hanging="540"/>
        <w:jc w:val="both"/>
      </w:pPr>
      <w:r w:rsidRPr="00390615">
        <w:t xml:space="preserve">Hong, C., Choi, H. H., Choi, E.-K. C., </w:t>
      </w:r>
      <w:r w:rsidR="00420E62" w:rsidRPr="00390615">
        <w:t>and</w:t>
      </w:r>
      <w:r w:rsidRPr="00390615">
        <w:t xml:space="preserve"> Joung, H.-W. D. (2021). Factors affecting customer intention to use online food delivery services before and during the COVID-19 pandemic. </w:t>
      </w:r>
      <w:r w:rsidRPr="00390615">
        <w:rPr>
          <w:i/>
          <w:iCs/>
        </w:rPr>
        <w:t>Journal of Hospitality and Tourism Management</w:t>
      </w:r>
      <w:r w:rsidRPr="00390615">
        <w:t xml:space="preserve">, </w:t>
      </w:r>
      <w:r w:rsidRPr="00390615">
        <w:rPr>
          <w:i/>
          <w:iCs/>
        </w:rPr>
        <w:t>48</w:t>
      </w:r>
      <w:r w:rsidRPr="00390615">
        <w:t>, 509–518.</w:t>
      </w:r>
    </w:p>
    <w:p w14:paraId="70A93597" w14:textId="77777777" w:rsidR="002B38F7" w:rsidRPr="00390615" w:rsidRDefault="002B38F7" w:rsidP="00F513B0">
      <w:pPr>
        <w:pStyle w:val="Bibliography"/>
        <w:tabs>
          <w:tab w:val="right" w:pos="540"/>
        </w:tabs>
        <w:spacing w:afterLines="20" w:after="48" w:line="240" w:lineRule="auto"/>
        <w:ind w:left="540" w:hanging="540"/>
        <w:jc w:val="both"/>
      </w:pPr>
      <w:r w:rsidRPr="00390615">
        <w:t xml:space="preserve">Jones, C. (2018). Restaurant food choices by moms: An exploratory study. </w:t>
      </w:r>
      <w:r w:rsidRPr="00390615">
        <w:rPr>
          <w:i/>
          <w:iCs/>
        </w:rPr>
        <w:t>Journal of Foodservice Business Research</w:t>
      </w:r>
      <w:r w:rsidRPr="00390615">
        <w:t xml:space="preserve">, </w:t>
      </w:r>
      <w:r w:rsidRPr="00390615">
        <w:rPr>
          <w:i/>
          <w:iCs/>
        </w:rPr>
        <w:t>21</w:t>
      </w:r>
      <w:r w:rsidRPr="00390615">
        <w:t>(4), 377–393.</w:t>
      </w:r>
    </w:p>
    <w:p w14:paraId="2679C8A9" w14:textId="03FA853C" w:rsidR="002B38F7" w:rsidRPr="00390615" w:rsidRDefault="002B38F7" w:rsidP="00F513B0">
      <w:pPr>
        <w:pStyle w:val="Bibliography"/>
        <w:tabs>
          <w:tab w:val="right" w:pos="540"/>
        </w:tabs>
        <w:spacing w:afterLines="20" w:after="48" w:line="240" w:lineRule="auto"/>
        <w:ind w:left="540" w:hanging="540"/>
        <w:jc w:val="both"/>
      </w:pPr>
      <w:r w:rsidRPr="00390615">
        <w:t xml:space="preserve">Jones, S. (2020). </w:t>
      </w:r>
      <w:r w:rsidRPr="00390615">
        <w:rPr>
          <w:iCs/>
        </w:rPr>
        <w:t xml:space="preserve">How to </w:t>
      </w:r>
      <w:r w:rsidR="00B933F3" w:rsidRPr="00390615">
        <w:rPr>
          <w:iCs/>
        </w:rPr>
        <w:t>m</w:t>
      </w:r>
      <w:r w:rsidRPr="00390615">
        <w:rPr>
          <w:iCs/>
        </w:rPr>
        <w:t xml:space="preserve">ake </w:t>
      </w:r>
      <w:r w:rsidR="00B933F3" w:rsidRPr="00390615">
        <w:rPr>
          <w:iCs/>
        </w:rPr>
        <w:t>s</w:t>
      </w:r>
      <w:r w:rsidRPr="00390615">
        <w:rPr>
          <w:iCs/>
        </w:rPr>
        <w:t xml:space="preserve">ure </w:t>
      </w:r>
      <w:r w:rsidR="00B933F3" w:rsidRPr="00390615">
        <w:rPr>
          <w:iCs/>
        </w:rPr>
        <w:t>y</w:t>
      </w:r>
      <w:r w:rsidRPr="00390615">
        <w:rPr>
          <w:iCs/>
        </w:rPr>
        <w:t xml:space="preserve">our </w:t>
      </w:r>
      <w:r w:rsidR="00B933F3" w:rsidRPr="00390615">
        <w:rPr>
          <w:iCs/>
        </w:rPr>
        <w:t>r</w:t>
      </w:r>
      <w:r w:rsidRPr="00390615">
        <w:rPr>
          <w:iCs/>
        </w:rPr>
        <w:t xml:space="preserve">estaurant </w:t>
      </w:r>
      <w:r w:rsidR="00B933F3" w:rsidRPr="00390615">
        <w:rPr>
          <w:iCs/>
        </w:rPr>
        <w:t>i</w:t>
      </w:r>
      <w:r w:rsidRPr="00390615">
        <w:rPr>
          <w:iCs/>
        </w:rPr>
        <w:t xml:space="preserve">s </w:t>
      </w:r>
      <w:r w:rsidR="00B933F3" w:rsidRPr="00390615">
        <w:rPr>
          <w:iCs/>
        </w:rPr>
        <w:t>w</w:t>
      </w:r>
      <w:r w:rsidRPr="00390615">
        <w:rPr>
          <w:iCs/>
        </w:rPr>
        <w:t xml:space="preserve">elcoming to </w:t>
      </w:r>
      <w:r w:rsidR="00B933F3" w:rsidRPr="00390615">
        <w:rPr>
          <w:iCs/>
        </w:rPr>
        <w:t>e</w:t>
      </w:r>
      <w:r w:rsidRPr="00390615">
        <w:rPr>
          <w:iCs/>
        </w:rPr>
        <w:t>veryone</w:t>
      </w:r>
      <w:r w:rsidRPr="00390615">
        <w:t xml:space="preserve">. </w:t>
      </w:r>
      <w:r w:rsidR="00BB7144" w:rsidRPr="00390615">
        <w:rPr>
          <w:i/>
        </w:rPr>
        <w:t>Food &amp; Wine</w:t>
      </w:r>
      <w:r w:rsidR="00BB7144" w:rsidRPr="00390615">
        <w:t xml:space="preserve">, </w:t>
      </w:r>
      <w:r w:rsidR="00B933F3" w:rsidRPr="00390615">
        <w:t xml:space="preserve">F&amp;W Pro.  </w:t>
      </w:r>
      <w:r w:rsidRPr="00390615">
        <w:t>https://www.foodandwine.com/fwpro/how-to-make-sure-your-restaurant-is-welcoming-to-everyone</w:t>
      </w:r>
    </w:p>
    <w:p w14:paraId="2913B6F7" w14:textId="7B008CA6" w:rsidR="002B38F7" w:rsidRPr="00390615" w:rsidRDefault="002B38F7" w:rsidP="00F513B0">
      <w:pPr>
        <w:pStyle w:val="Bibliography"/>
        <w:tabs>
          <w:tab w:val="right" w:pos="540"/>
        </w:tabs>
        <w:spacing w:afterLines="20" w:after="48" w:line="240" w:lineRule="auto"/>
        <w:ind w:left="540" w:hanging="540"/>
        <w:jc w:val="both"/>
      </w:pPr>
      <w:r w:rsidRPr="00390615">
        <w:t xml:space="preserve">Josiam, B. M., </w:t>
      </w:r>
      <w:r w:rsidR="00420E62" w:rsidRPr="00390615">
        <w:t>and</w:t>
      </w:r>
      <w:r w:rsidRPr="00390615">
        <w:t xml:space="preserve"> Henry, W. (2014). Eatertainment: Utilitarian and hedonic motivations for patronizing fun experience restaurants. </w:t>
      </w:r>
      <w:r w:rsidRPr="00390615">
        <w:rPr>
          <w:i/>
          <w:iCs/>
        </w:rPr>
        <w:t>Procedia-Social and Behavioral Sciences</w:t>
      </w:r>
      <w:r w:rsidRPr="00390615">
        <w:t xml:space="preserve">, </w:t>
      </w:r>
      <w:r w:rsidRPr="00390615">
        <w:rPr>
          <w:i/>
          <w:iCs/>
        </w:rPr>
        <w:t>144</w:t>
      </w:r>
      <w:r w:rsidRPr="00390615">
        <w:t>, 187–202.</w:t>
      </w:r>
    </w:p>
    <w:p w14:paraId="745EE4B7" w14:textId="077C2713" w:rsidR="002B38F7" w:rsidRPr="00390615" w:rsidRDefault="002B38F7" w:rsidP="00F513B0">
      <w:pPr>
        <w:pStyle w:val="Bibliography"/>
        <w:tabs>
          <w:tab w:val="right" w:pos="540"/>
        </w:tabs>
        <w:spacing w:afterLines="20" w:after="48" w:line="240" w:lineRule="auto"/>
        <w:ind w:left="540" w:hanging="540"/>
        <w:jc w:val="both"/>
      </w:pPr>
      <w:r w:rsidRPr="00390615">
        <w:t xml:space="preserve">Jung, J. M., Sydnor, S., Lee, S. K., </w:t>
      </w:r>
      <w:r w:rsidR="00420E62" w:rsidRPr="00390615">
        <w:t>and</w:t>
      </w:r>
      <w:r w:rsidRPr="00390615">
        <w:t xml:space="preserve"> Almanza, B. (2015). A conflict of choice: How consumers choose where to go for dinner. </w:t>
      </w:r>
      <w:r w:rsidRPr="00390615">
        <w:rPr>
          <w:i/>
          <w:iCs/>
        </w:rPr>
        <w:t>International Journal of Hospitality Management</w:t>
      </w:r>
      <w:r w:rsidRPr="00390615">
        <w:t xml:space="preserve">, </w:t>
      </w:r>
      <w:r w:rsidRPr="00390615">
        <w:rPr>
          <w:i/>
          <w:iCs/>
        </w:rPr>
        <w:t>45</w:t>
      </w:r>
      <w:r w:rsidRPr="00390615">
        <w:t>, 88–98.</w:t>
      </w:r>
    </w:p>
    <w:p w14:paraId="77792927" w14:textId="6338DA1A" w:rsidR="002B38F7" w:rsidRPr="00390615" w:rsidRDefault="002B38F7" w:rsidP="00F513B0">
      <w:pPr>
        <w:pStyle w:val="Bibliography"/>
        <w:tabs>
          <w:tab w:val="right" w:pos="540"/>
        </w:tabs>
        <w:spacing w:afterLines="20" w:after="48" w:line="240" w:lineRule="auto"/>
        <w:ind w:left="540" w:hanging="540"/>
        <w:jc w:val="both"/>
      </w:pPr>
      <w:r w:rsidRPr="00390615">
        <w:t xml:space="preserve">Kang, J.-W., </w:t>
      </w:r>
      <w:r w:rsidR="00420E62" w:rsidRPr="00390615">
        <w:t>and</w:t>
      </w:r>
      <w:r w:rsidRPr="00390615">
        <w:t xml:space="preserve"> Namkung, Y. (2019). The information quality and source credibility matter in customers’ evaluation toward food O2O commerce. </w:t>
      </w:r>
      <w:r w:rsidRPr="00390615">
        <w:rPr>
          <w:i/>
          <w:iCs/>
        </w:rPr>
        <w:t>International Journal of Hospitality Management</w:t>
      </w:r>
      <w:r w:rsidRPr="00390615">
        <w:t xml:space="preserve">, </w:t>
      </w:r>
      <w:r w:rsidRPr="00390615">
        <w:rPr>
          <w:i/>
          <w:iCs/>
        </w:rPr>
        <w:t>78</w:t>
      </w:r>
      <w:r w:rsidRPr="00390615">
        <w:t>, 189–198.</w:t>
      </w:r>
    </w:p>
    <w:p w14:paraId="7E2CB3ED" w14:textId="10E970FF" w:rsidR="002B38F7" w:rsidRPr="00390615" w:rsidRDefault="002B38F7" w:rsidP="00F513B0">
      <w:pPr>
        <w:pStyle w:val="Bibliography"/>
        <w:keepLines/>
        <w:tabs>
          <w:tab w:val="right" w:pos="540"/>
        </w:tabs>
        <w:spacing w:afterLines="20" w:after="48" w:line="240" w:lineRule="auto"/>
        <w:ind w:left="547" w:hanging="547"/>
        <w:jc w:val="both"/>
      </w:pPr>
      <w:r w:rsidRPr="00390615">
        <w:t xml:space="preserve">Kelso, A. (2022). </w:t>
      </w:r>
      <w:r w:rsidRPr="00390615">
        <w:rPr>
          <w:iCs/>
        </w:rPr>
        <w:t xml:space="preserve">Restaurant </w:t>
      </w:r>
      <w:r w:rsidR="00B933F3" w:rsidRPr="00390615">
        <w:rPr>
          <w:iCs/>
        </w:rPr>
        <w:t>i</w:t>
      </w:r>
      <w:r w:rsidRPr="00390615">
        <w:rPr>
          <w:iCs/>
        </w:rPr>
        <w:t xml:space="preserve">ndustry </w:t>
      </w:r>
      <w:r w:rsidR="00B933F3" w:rsidRPr="00390615">
        <w:rPr>
          <w:iCs/>
        </w:rPr>
        <w:t>s</w:t>
      </w:r>
      <w:r w:rsidRPr="00390615">
        <w:rPr>
          <w:iCs/>
        </w:rPr>
        <w:t xml:space="preserve">ales </w:t>
      </w:r>
      <w:r w:rsidR="00B933F3" w:rsidRPr="00390615">
        <w:rPr>
          <w:iCs/>
        </w:rPr>
        <w:t>e</w:t>
      </w:r>
      <w:r w:rsidRPr="00390615">
        <w:rPr>
          <w:iCs/>
        </w:rPr>
        <w:t xml:space="preserve">xpected </w:t>
      </w:r>
      <w:r w:rsidR="00B933F3" w:rsidRPr="00390615">
        <w:rPr>
          <w:iCs/>
        </w:rPr>
        <w:t>t</w:t>
      </w:r>
      <w:r w:rsidRPr="00390615">
        <w:rPr>
          <w:iCs/>
        </w:rPr>
        <w:t xml:space="preserve">o </w:t>
      </w:r>
      <w:r w:rsidR="00B933F3" w:rsidRPr="00390615">
        <w:rPr>
          <w:iCs/>
        </w:rPr>
        <w:t>h</w:t>
      </w:r>
      <w:r w:rsidRPr="00390615">
        <w:rPr>
          <w:iCs/>
        </w:rPr>
        <w:t xml:space="preserve">it $898 </w:t>
      </w:r>
      <w:r w:rsidR="00B933F3" w:rsidRPr="00390615">
        <w:rPr>
          <w:iCs/>
        </w:rPr>
        <w:t>b</w:t>
      </w:r>
      <w:r w:rsidRPr="00390615">
        <w:rPr>
          <w:iCs/>
        </w:rPr>
        <w:t xml:space="preserve">illion </w:t>
      </w:r>
      <w:r w:rsidR="00B933F3" w:rsidRPr="00390615">
        <w:rPr>
          <w:iCs/>
        </w:rPr>
        <w:t>t</w:t>
      </w:r>
      <w:r w:rsidRPr="00390615">
        <w:rPr>
          <w:iCs/>
        </w:rPr>
        <w:t xml:space="preserve">his </w:t>
      </w:r>
      <w:r w:rsidR="00B933F3" w:rsidRPr="00390615">
        <w:rPr>
          <w:iCs/>
        </w:rPr>
        <w:t>y</w:t>
      </w:r>
      <w:r w:rsidRPr="00390615">
        <w:rPr>
          <w:iCs/>
        </w:rPr>
        <w:t xml:space="preserve">ear, </w:t>
      </w:r>
      <w:r w:rsidR="00B933F3" w:rsidRPr="00390615">
        <w:rPr>
          <w:iCs/>
        </w:rPr>
        <w:t>u</w:t>
      </w:r>
      <w:r w:rsidRPr="00390615">
        <w:rPr>
          <w:iCs/>
        </w:rPr>
        <w:t xml:space="preserve">p </w:t>
      </w:r>
      <w:r w:rsidR="00B933F3" w:rsidRPr="00390615">
        <w:rPr>
          <w:iCs/>
        </w:rPr>
        <w:t>f</w:t>
      </w:r>
      <w:r w:rsidRPr="00390615">
        <w:rPr>
          <w:iCs/>
        </w:rPr>
        <w:t xml:space="preserve">rom $864 </w:t>
      </w:r>
      <w:r w:rsidR="00B933F3" w:rsidRPr="00390615">
        <w:rPr>
          <w:iCs/>
        </w:rPr>
        <w:t>b</w:t>
      </w:r>
      <w:r w:rsidRPr="00390615">
        <w:rPr>
          <w:iCs/>
        </w:rPr>
        <w:t xml:space="preserve">illion </w:t>
      </w:r>
      <w:r w:rsidR="00B933F3" w:rsidRPr="00390615">
        <w:rPr>
          <w:iCs/>
        </w:rPr>
        <w:t>i</w:t>
      </w:r>
      <w:r w:rsidRPr="00390615">
        <w:rPr>
          <w:iCs/>
        </w:rPr>
        <w:t>n 2019</w:t>
      </w:r>
      <w:r w:rsidRPr="00390615">
        <w:t xml:space="preserve">. </w:t>
      </w:r>
      <w:r w:rsidRPr="00390615">
        <w:rPr>
          <w:i/>
        </w:rPr>
        <w:t>Forbes</w:t>
      </w:r>
      <w:r w:rsidR="00B933F3" w:rsidRPr="00390615">
        <w:t>, Food &amp; Drink.</w:t>
      </w:r>
      <w:r w:rsidR="00F54088" w:rsidRPr="00390615">
        <w:t xml:space="preserve"> </w:t>
      </w:r>
      <w:r w:rsidRPr="00390615">
        <w:t>https://www.forbes.com/sites/aliciakelso/2022/02/01/restaurant-industry-sales-expected-to-hit-898-billion-this-yearup-from-864-billion-in-2019/</w:t>
      </w:r>
    </w:p>
    <w:p w14:paraId="13FF878E" w14:textId="406C5558" w:rsidR="002B38F7" w:rsidRPr="00390615" w:rsidRDefault="002B38F7" w:rsidP="00F513B0">
      <w:pPr>
        <w:pStyle w:val="Bibliography"/>
        <w:tabs>
          <w:tab w:val="right" w:pos="540"/>
        </w:tabs>
        <w:spacing w:afterLines="20" w:after="48" w:line="240" w:lineRule="auto"/>
        <w:ind w:left="540" w:hanging="540"/>
        <w:jc w:val="both"/>
      </w:pPr>
      <w:r w:rsidRPr="00390615">
        <w:t xml:space="preserve">Kertasunjaya, T. K., Mediasari, T. D., </w:t>
      </w:r>
      <w:r w:rsidR="00420E62" w:rsidRPr="00390615">
        <w:t>and</w:t>
      </w:r>
      <w:r w:rsidRPr="00390615">
        <w:t xml:space="preserve"> Manaf, P. A. (2020). The </w:t>
      </w:r>
      <w:r w:rsidR="000544FB" w:rsidRPr="00390615">
        <w:t>r</w:t>
      </w:r>
      <w:r w:rsidRPr="00390615">
        <w:t xml:space="preserve">elation between </w:t>
      </w:r>
      <w:r w:rsidR="000544FB" w:rsidRPr="00390615">
        <w:t>h</w:t>
      </w:r>
      <w:r w:rsidRPr="00390615">
        <w:t xml:space="preserve">edonic and </w:t>
      </w:r>
      <w:r w:rsidR="000544FB" w:rsidRPr="00390615">
        <w:t>u</w:t>
      </w:r>
      <w:r w:rsidRPr="00390615">
        <w:t xml:space="preserve">tilitarian </w:t>
      </w:r>
      <w:r w:rsidR="000544FB" w:rsidRPr="00390615">
        <w:t>v</w:t>
      </w:r>
      <w:r w:rsidRPr="00390615">
        <w:t xml:space="preserve">alues on </w:t>
      </w:r>
      <w:r w:rsidR="000544FB" w:rsidRPr="00390615">
        <w:t>s</w:t>
      </w:r>
      <w:r w:rsidRPr="00390615">
        <w:t xml:space="preserve">atisfaction and </w:t>
      </w:r>
      <w:r w:rsidR="000544FB" w:rsidRPr="00390615">
        <w:t>b</w:t>
      </w:r>
      <w:r w:rsidRPr="00390615">
        <w:t xml:space="preserve">ehavior </w:t>
      </w:r>
      <w:r w:rsidR="000544FB" w:rsidRPr="00390615">
        <w:t>i</w:t>
      </w:r>
      <w:r w:rsidRPr="00390615">
        <w:t xml:space="preserve">ntention among </w:t>
      </w:r>
      <w:r w:rsidR="000544FB" w:rsidRPr="00390615">
        <w:t>c</w:t>
      </w:r>
      <w:r w:rsidRPr="00390615">
        <w:t>asual-</w:t>
      </w:r>
      <w:r w:rsidR="000544FB" w:rsidRPr="00390615">
        <w:t>d</w:t>
      </w:r>
      <w:r w:rsidRPr="00390615">
        <w:t xml:space="preserve">ining </w:t>
      </w:r>
      <w:r w:rsidR="000544FB" w:rsidRPr="00390615">
        <w:t>r</w:t>
      </w:r>
      <w:r w:rsidRPr="00390615">
        <w:t xml:space="preserve">estaurants </w:t>
      </w:r>
      <w:r w:rsidR="000544FB" w:rsidRPr="00390615">
        <w:t>c</w:t>
      </w:r>
      <w:r w:rsidRPr="00390615">
        <w:t xml:space="preserve">ustomers. </w:t>
      </w:r>
      <w:r w:rsidRPr="00390615">
        <w:rPr>
          <w:i/>
          <w:iCs/>
        </w:rPr>
        <w:t>Open Journal of Business and Management</w:t>
      </w:r>
      <w:r w:rsidRPr="00390615">
        <w:t xml:space="preserve">, </w:t>
      </w:r>
      <w:r w:rsidRPr="00390615">
        <w:rPr>
          <w:i/>
          <w:iCs/>
        </w:rPr>
        <w:t>8</w:t>
      </w:r>
      <w:r w:rsidRPr="00390615">
        <w:t>(6), 2480</w:t>
      </w:r>
      <w:r w:rsidR="000544FB" w:rsidRPr="00390615">
        <w:t>–2492</w:t>
      </w:r>
      <w:r w:rsidRPr="00390615">
        <w:t>.</w:t>
      </w:r>
    </w:p>
    <w:p w14:paraId="4D00212F" w14:textId="48FDF8F2" w:rsidR="002B38F7" w:rsidRPr="00390615" w:rsidRDefault="002B38F7" w:rsidP="00F513B0">
      <w:pPr>
        <w:pStyle w:val="Bibliography"/>
        <w:tabs>
          <w:tab w:val="right" w:pos="540"/>
        </w:tabs>
        <w:spacing w:afterLines="20" w:after="48" w:line="240" w:lineRule="auto"/>
        <w:ind w:left="540" w:hanging="540"/>
        <w:jc w:val="both"/>
      </w:pPr>
      <w:r w:rsidRPr="00390615">
        <w:lastRenderedPageBreak/>
        <w:t xml:space="preserve">Kim, K. J., </w:t>
      </w:r>
      <w:r w:rsidR="00420E62" w:rsidRPr="00390615">
        <w:t>and</w:t>
      </w:r>
      <w:r w:rsidRPr="00390615">
        <w:t xml:space="preserve"> Kim, D.-Y. (2021). I </w:t>
      </w:r>
      <w:r w:rsidR="000544FB" w:rsidRPr="00390615">
        <w:t>w</w:t>
      </w:r>
      <w:r w:rsidRPr="00390615">
        <w:t xml:space="preserve">ant to eat out, but something holding me back: Mom’s cooking stress and family dining out constraints. </w:t>
      </w:r>
      <w:r w:rsidRPr="00390615">
        <w:rPr>
          <w:i/>
          <w:iCs/>
        </w:rPr>
        <w:t>International Journal of Hospitality Management</w:t>
      </w:r>
      <w:r w:rsidRPr="00390615">
        <w:t xml:space="preserve">, </w:t>
      </w:r>
      <w:r w:rsidRPr="00390615">
        <w:rPr>
          <w:i/>
          <w:iCs/>
        </w:rPr>
        <w:t>99</w:t>
      </w:r>
      <w:r w:rsidRPr="00390615">
        <w:t>, 103069.</w:t>
      </w:r>
    </w:p>
    <w:p w14:paraId="1905F6AC" w14:textId="77E2B200" w:rsidR="002B38F7" w:rsidRPr="00390615" w:rsidRDefault="002B38F7" w:rsidP="00F513B0">
      <w:pPr>
        <w:pStyle w:val="Bibliography"/>
        <w:tabs>
          <w:tab w:val="right" w:pos="540"/>
        </w:tabs>
        <w:spacing w:afterLines="20" w:after="48" w:line="240" w:lineRule="auto"/>
        <w:ind w:left="540" w:hanging="540"/>
        <w:jc w:val="both"/>
      </w:pPr>
      <w:r w:rsidRPr="00390615">
        <w:t xml:space="preserve">Kim, W., </w:t>
      </w:r>
      <w:r w:rsidR="00420E62" w:rsidRPr="00390615">
        <w:t>and</w:t>
      </w:r>
      <w:r w:rsidRPr="00390615">
        <w:t xml:space="preserve"> Wang, X. C. (2021). To be online or in-store: Analysis of retail, grocery, and food shopping in New York city. </w:t>
      </w:r>
      <w:r w:rsidRPr="00390615">
        <w:rPr>
          <w:i/>
          <w:iCs/>
        </w:rPr>
        <w:t>Transportation Research Part C</w:t>
      </w:r>
      <w:r w:rsidRPr="00390615">
        <w:t xml:space="preserve">, </w:t>
      </w:r>
      <w:r w:rsidRPr="00390615">
        <w:rPr>
          <w:i/>
          <w:iCs/>
        </w:rPr>
        <w:t>126</w:t>
      </w:r>
      <w:r w:rsidRPr="00390615">
        <w:t>, 103052.</w:t>
      </w:r>
    </w:p>
    <w:p w14:paraId="14D4DBDC" w14:textId="4B17EFEF" w:rsidR="002B38F7" w:rsidRPr="00390615" w:rsidRDefault="002B38F7" w:rsidP="00F513B0">
      <w:pPr>
        <w:pStyle w:val="Bibliography"/>
        <w:tabs>
          <w:tab w:val="right" w:pos="540"/>
        </w:tabs>
        <w:spacing w:afterLines="20" w:after="48" w:line="240" w:lineRule="auto"/>
        <w:ind w:left="540" w:hanging="540"/>
        <w:jc w:val="both"/>
      </w:pPr>
      <w:r w:rsidRPr="00390615">
        <w:t xml:space="preserve">Krause, C. G., Beer-Borst, S., Sommerhalder, K., Hayoz, S., </w:t>
      </w:r>
      <w:r w:rsidR="00420E62" w:rsidRPr="00390615">
        <w:t>and</w:t>
      </w:r>
      <w:r w:rsidRPr="00390615">
        <w:t xml:space="preserve"> Abel, T. (2018). A short food literacy questionnaire (SFLQ) for adults: Findings from a Swiss validation study. </w:t>
      </w:r>
      <w:r w:rsidRPr="00390615">
        <w:rPr>
          <w:i/>
          <w:iCs/>
        </w:rPr>
        <w:t>Appetite</w:t>
      </w:r>
      <w:r w:rsidRPr="00390615">
        <w:t xml:space="preserve">, </w:t>
      </w:r>
      <w:r w:rsidRPr="00390615">
        <w:rPr>
          <w:i/>
          <w:iCs/>
        </w:rPr>
        <w:t>120</w:t>
      </w:r>
      <w:r w:rsidRPr="00390615">
        <w:t>, 275–280.</w:t>
      </w:r>
    </w:p>
    <w:p w14:paraId="293A3D57" w14:textId="4010F63A" w:rsidR="002B38F7" w:rsidRPr="00390615" w:rsidRDefault="002B38F7" w:rsidP="00F513B0">
      <w:pPr>
        <w:pStyle w:val="Bibliography"/>
        <w:tabs>
          <w:tab w:val="right" w:pos="540"/>
        </w:tabs>
        <w:spacing w:afterLines="20" w:after="48" w:line="240" w:lineRule="auto"/>
        <w:ind w:left="540" w:hanging="540"/>
        <w:jc w:val="both"/>
      </w:pPr>
      <w:r w:rsidRPr="00390615">
        <w:t xml:space="preserve">Lavelle, F., McGowan, L., Spence, M., Caraher, M., Raats, M. M., Hollywood, L., McDowell, D., McCloat, A., Mooney, E., </w:t>
      </w:r>
      <w:r w:rsidR="00420E62" w:rsidRPr="00390615">
        <w:t>and</w:t>
      </w:r>
      <w:r w:rsidRPr="00390615">
        <w:t xml:space="preserve"> Dean, M. (2016). Barriers and facilitators to cooking from ‘scratch’using basic or raw ingredients: A qualitative interview study. </w:t>
      </w:r>
      <w:r w:rsidRPr="00390615">
        <w:rPr>
          <w:i/>
          <w:iCs/>
        </w:rPr>
        <w:t>Appetite</w:t>
      </w:r>
      <w:r w:rsidRPr="00390615">
        <w:t xml:space="preserve">, </w:t>
      </w:r>
      <w:r w:rsidRPr="00390615">
        <w:rPr>
          <w:i/>
          <w:iCs/>
        </w:rPr>
        <w:t>107</w:t>
      </w:r>
      <w:r w:rsidRPr="00390615">
        <w:t>, 383–391.</w:t>
      </w:r>
    </w:p>
    <w:p w14:paraId="3A4FEDF3" w14:textId="28C5439C" w:rsidR="002B38F7" w:rsidRPr="00390615" w:rsidRDefault="002B38F7" w:rsidP="00F513B0">
      <w:pPr>
        <w:pStyle w:val="Bibliography"/>
        <w:tabs>
          <w:tab w:val="right" w:pos="540"/>
        </w:tabs>
        <w:spacing w:afterLines="20" w:after="48" w:line="240" w:lineRule="auto"/>
        <w:ind w:left="540" w:hanging="540"/>
        <w:jc w:val="both"/>
      </w:pPr>
      <w:r w:rsidRPr="00390615">
        <w:t xml:space="preserve">Lavieri, P. S., Dai, Q., </w:t>
      </w:r>
      <w:r w:rsidR="00420E62" w:rsidRPr="00390615">
        <w:t>and</w:t>
      </w:r>
      <w:r w:rsidRPr="00390615">
        <w:t xml:space="preserve"> Bhat, C. R. (2018). Using virtual accessibility and physical accessibility as joint predictors of activity-travel behavior. </w:t>
      </w:r>
      <w:r w:rsidRPr="00390615">
        <w:rPr>
          <w:i/>
          <w:iCs/>
        </w:rPr>
        <w:t>Transportation Research Part A</w:t>
      </w:r>
      <w:r w:rsidRPr="00390615">
        <w:t xml:space="preserve">, </w:t>
      </w:r>
      <w:r w:rsidRPr="00390615">
        <w:rPr>
          <w:i/>
          <w:iCs/>
        </w:rPr>
        <w:t>118</w:t>
      </w:r>
      <w:r w:rsidRPr="00390615">
        <w:t>, 527–544.</w:t>
      </w:r>
    </w:p>
    <w:p w14:paraId="276857B9" w14:textId="4C6DC6D1" w:rsidR="002B38F7" w:rsidRPr="00390615" w:rsidRDefault="002B38F7" w:rsidP="00F513B0">
      <w:pPr>
        <w:pStyle w:val="Bibliography"/>
        <w:tabs>
          <w:tab w:val="right" w:pos="540"/>
        </w:tabs>
        <w:spacing w:afterLines="20" w:after="48" w:line="240" w:lineRule="auto"/>
        <w:ind w:left="540" w:hanging="540"/>
        <w:jc w:val="both"/>
      </w:pPr>
      <w:r w:rsidRPr="00390615">
        <w:t xml:space="preserve">Lee, J., He, S. Y., </w:t>
      </w:r>
      <w:r w:rsidR="00420E62" w:rsidRPr="00390615">
        <w:t>and</w:t>
      </w:r>
      <w:r w:rsidRPr="00390615">
        <w:t xml:space="preserve"> Sohn, D. W. (2017). Potential of converting short car trips to active trips: The role of the built environment in tour-based travel. </w:t>
      </w:r>
      <w:r w:rsidRPr="00390615">
        <w:rPr>
          <w:i/>
          <w:iCs/>
        </w:rPr>
        <w:t xml:space="preserve">Journal of Transport </w:t>
      </w:r>
      <w:r w:rsidR="00420E62" w:rsidRPr="00390615">
        <w:rPr>
          <w:i/>
          <w:iCs/>
        </w:rPr>
        <w:t>and</w:t>
      </w:r>
      <w:r w:rsidRPr="00390615">
        <w:rPr>
          <w:i/>
          <w:iCs/>
        </w:rPr>
        <w:t xml:space="preserve"> Health</w:t>
      </w:r>
      <w:r w:rsidRPr="00390615">
        <w:t xml:space="preserve">, </w:t>
      </w:r>
      <w:r w:rsidRPr="00390615">
        <w:rPr>
          <w:i/>
          <w:iCs/>
        </w:rPr>
        <w:t>7</w:t>
      </w:r>
      <w:r w:rsidRPr="00390615">
        <w:t>, 134–148.</w:t>
      </w:r>
    </w:p>
    <w:p w14:paraId="68FA22E1" w14:textId="1E1B27BB" w:rsidR="002B38F7" w:rsidRPr="00390615" w:rsidRDefault="002B38F7" w:rsidP="00F513B0">
      <w:pPr>
        <w:pStyle w:val="Bibliography"/>
        <w:tabs>
          <w:tab w:val="right" w:pos="540"/>
        </w:tabs>
        <w:spacing w:afterLines="20" w:after="48" w:line="240" w:lineRule="auto"/>
        <w:ind w:left="540" w:hanging="540"/>
        <w:jc w:val="both"/>
      </w:pPr>
      <w:r w:rsidRPr="00390615">
        <w:t xml:space="preserve">Li, W., Youssef, G., Procter-Gray, E., Olendzki, B., Cornish, T., Hayes, R., Churchill, L., Kane, K., Brown, K., </w:t>
      </w:r>
      <w:r w:rsidR="00420E62" w:rsidRPr="00390615">
        <w:t>and</w:t>
      </w:r>
      <w:r w:rsidRPr="00390615">
        <w:t xml:space="preserve"> Magee, M. F. (2017). Racial differences in eating patterns and food purchasing behaviors among urban older women. </w:t>
      </w:r>
      <w:r w:rsidRPr="00390615">
        <w:rPr>
          <w:i/>
          <w:iCs/>
        </w:rPr>
        <w:t xml:space="preserve">The Journal of Nutrition, Health </w:t>
      </w:r>
      <w:r w:rsidR="00420E62" w:rsidRPr="00390615">
        <w:rPr>
          <w:i/>
          <w:iCs/>
        </w:rPr>
        <w:t>and</w:t>
      </w:r>
      <w:r w:rsidRPr="00390615">
        <w:rPr>
          <w:i/>
          <w:iCs/>
        </w:rPr>
        <w:t xml:space="preserve"> Aging</w:t>
      </w:r>
      <w:r w:rsidRPr="00390615">
        <w:t xml:space="preserve">, </w:t>
      </w:r>
      <w:r w:rsidRPr="00390615">
        <w:rPr>
          <w:i/>
          <w:iCs/>
        </w:rPr>
        <w:t>21</w:t>
      </w:r>
      <w:r w:rsidRPr="00390615">
        <w:t>(10), 1190–1199.</w:t>
      </w:r>
    </w:p>
    <w:p w14:paraId="5F19074D" w14:textId="0E260B3A" w:rsidR="002B38F7" w:rsidRPr="00390615" w:rsidRDefault="002B38F7" w:rsidP="00F513B0">
      <w:pPr>
        <w:pStyle w:val="Bibliography"/>
        <w:tabs>
          <w:tab w:val="right" w:pos="540"/>
        </w:tabs>
        <w:spacing w:afterLines="20" w:after="48" w:line="240" w:lineRule="auto"/>
        <w:ind w:left="540" w:hanging="540"/>
        <w:jc w:val="both"/>
      </w:pPr>
      <w:r w:rsidRPr="00390615">
        <w:t xml:space="preserve">Luong, G., </w:t>
      </w:r>
      <w:r w:rsidR="00420E62" w:rsidRPr="00390615">
        <w:t>and</w:t>
      </w:r>
      <w:r w:rsidRPr="00390615">
        <w:t xml:space="preserve"> Charles, S. T. (2014). Age differences in affective and cardiovascular responses to a negative social interaction: The role of goals, appraisals, and emotion regulation. </w:t>
      </w:r>
      <w:r w:rsidRPr="00390615">
        <w:rPr>
          <w:i/>
          <w:iCs/>
        </w:rPr>
        <w:t>Developmental Psychology</w:t>
      </w:r>
      <w:r w:rsidRPr="00390615">
        <w:t xml:space="preserve">, </w:t>
      </w:r>
      <w:r w:rsidRPr="00390615">
        <w:rPr>
          <w:i/>
          <w:iCs/>
        </w:rPr>
        <w:t>50</w:t>
      </w:r>
      <w:r w:rsidRPr="00390615">
        <w:t>(7), 1919</w:t>
      </w:r>
      <w:r w:rsidR="000544FB" w:rsidRPr="00390615">
        <w:t>–1930</w:t>
      </w:r>
      <w:r w:rsidRPr="00390615">
        <w:t>.</w:t>
      </w:r>
    </w:p>
    <w:p w14:paraId="041A7E4B" w14:textId="77777777" w:rsidR="000544FB" w:rsidRPr="00390615" w:rsidRDefault="002B38F7" w:rsidP="00F513B0">
      <w:pPr>
        <w:pStyle w:val="Bibliography"/>
        <w:tabs>
          <w:tab w:val="right" w:pos="540"/>
        </w:tabs>
        <w:spacing w:afterLines="20" w:after="48" w:line="240" w:lineRule="auto"/>
        <w:ind w:left="540" w:hanging="540"/>
        <w:jc w:val="both"/>
      </w:pPr>
      <w:r w:rsidRPr="00390615">
        <w:t xml:space="preserve">Ma, J., Webb, T., </w:t>
      </w:r>
      <w:r w:rsidR="00420E62" w:rsidRPr="00390615">
        <w:t>and</w:t>
      </w:r>
      <w:r w:rsidRPr="00390615">
        <w:t xml:space="preserve"> Schwartz, Z. (2021). A blended model of restaurant deliveries, dine-in demand and capacity constraints. </w:t>
      </w:r>
      <w:r w:rsidRPr="00390615">
        <w:rPr>
          <w:i/>
          <w:iCs/>
        </w:rPr>
        <w:t>International Journal of Hospitality Management</w:t>
      </w:r>
      <w:r w:rsidRPr="00390615">
        <w:t xml:space="preserve">, </w:t>
      </w:r>
      <w:r w:rsidRPr="00390615">
        <w:rPr>
          <w:i/>
          <w:iCs/>
        </w:rPr>
        <w:t>96</w:t>
      </w:r>
      <w:r w:rsidRPr="00390615">
        <w:t>, 102981.</w:t>
      </w:r>
    </w:p>
    <w:p w14:paraId="6F82D39F" w14:textId="6706D707" w:rsidR="002B38F7" w:rsidRPr="00390615" w:rsidRDefault="002B38F7" w:rsidP="00F513B0">
      <w:pPr>
        <w:pStyle w:val="Bibliography"/>
        <w:tabs>
          <w:tab w:val="right" w:pos="540"/>
        </w:tabs>
        <w:spacing w:afterLines="20" w:after="48" w:line="240" w:lineRule="auto"/>
        <w:ind w:left="540" w:hanging="540"/>
        <w:jc w:val="both"/>
      </w:pPr>
      <w:r w:rsidRPr="00390615">
        <w:t xml:space="preserve">Maddala, G. S. (1986). </w:t>
      </w:r>
      <w:r w:rsidR="000544FB" w:rsidRPr="00390615">
        <w:rPr>
          <w:i/>
        </w:rPr>
        <w:t>Limited-Dependent and Qualitative Variables in Econometrics</w:t>
      </w:r>
      <w:r w:rsidR="000544FB" w:rsidRPr="00390615">
        <w:t>. Econometric Society Monographs No. 3, Cambridge University Press, Cambridge</w:t>
      </w:r>
      <w:r w:rsidRPr="00390615">
        <w:t>.</w:t>
      </w:r>
    </w:p>
    <w:p w14:paraId="08FD6085" w14:textId="46A8B77B" w:rsidR="002B38F7" w:rsidRPr="00390615" w:rsidRDefault="002B38F7" w:rsidP="00F513B0">
      <w:pPr>
        <w:pStyle w:val="Bibliography"/>
        <w:tabs>
          <w:tab w:val="right" w:pos="540"/>
        </w:tabs>
        <w:spacing w:afterLines="20" w:after="48" w:line="240" w:lineRule="auto"/>
        <w:ind w:left="540" w:hanging="540"/>
        <w:jc w:val="both"/>
      </w:pPr>
      <w:r w:rsidRPr="00390615">
        <w:t xml:space="preserve">Malon, A., Deschamps, V., Salanave, B., Vernay, M., Szego, E., Estaquio, C., Kesse-Guyot, E., Hercberg, S., </w:t>
      </w:r>
      <w:r w:rsidR="00420E62" w:rsidRPr="00390615">
        <w:t>and</w:t>
      </w:r>
      <w:r w:rsidRPr="00390615">
        <w:t xml:space="preserve"> Castetbon, K. (2010). Compliance with French nutrition and health program recommendations is strongly associated with socioeconomic characteristics in the general adult population. </w:t>
      </w:r>
      <w:r w:rsidRPr="00390615">
        <w:rPr>
          <w:i/>
          <w:iCs/>
        </w:rPr>
        <w:t>Journal of the American Dietetic Association</w:t>
      </w:r>
      <w:r w:rsidRPr="00390615">
        <w:t xml:space="preserve">, </w:t>
      </w:r>
      <w:r w:rsidRPr="00390615">
        <w:rPr>
          <w:i/>
          <w:iCs/>
        </w:rPr>
        <w:t>110</w:t>
      </w:r>
      <w:r w:rsidRPr="00390615">
        <w:t>(6), 848–856.</w:t>
      </w:r>
    </w:p>
    <w:p w14:paraId="5A7D0090" w14:textId="77777777" w:rsidR="0055221D" w:rsidRPr="00390615" w:rsidRDefault="002B38F7" w:rsidP="00F513B0">
      <w:pPr>
        <w:pStyle w:val="Bibliography"/>
        <w:tabs>
          <w:tab w:val="right" w:pos="540"/>
        </w:tabs>
        <w:spacing w:afterLines="20" w:after="48" w:line="240" w:lineRule="auto"/>
        <w:ind w:left="540" w:hanging="540"/>
        <w:jc w:val="both"/>
      </w:pPr>
      <w:r w:rsidRPr="00390615">
        <w:t xml:space="preserve">Mehrolia, S., Alagarsamy, S., </w:t>
      </w:r>
      <w:r w:rsidR="00420E62" w:rsidRPr="00390615">
        <w:t>and</w:t>
      </w:r>
      <w:r w:rsidRPr="00390615">
        <w:t xml:space="preserve"> Solaikutty, V. M. (2021). Customers response to online food delivery services during COVID‐19 outbreak using binary logistic regression. </w:t>
      </w:r>
      <w:r w:rsidRPr="00390615">
        <w:rPr>
          <w:i/>
          <w:iCs/>
        </w:rPr>
        <w:t>International Journal of Consumer Studies</w:t>
      </w:r>
      <w:r w:rsidRPr="00390615">
        <w:t xml:space="preserve">, </w:t>
      </w:r>
      <w:r w:rsidRPr="00390615">
        <w:rPr>
          <w:i/>
          <w:iCs/>
        </w:rPr>
        <w:t>45</w:t>
      </w:r>
      <w:r w:rsidRPr="00390615">
        <w:t>(3), 396–408.</w:t>
      </w:r>
    </w:p>
    <w:p w14:paraId="0AD93026" w14:textId="22F2DFB6" w:rsidR="002B38F7" w:rsidRPr="00390615" w:rsidRDefault="002B38F7" w:rsidP="00F513B0">
      <w:pPr>
        <w:pStyle w:val="Bibliography"/>
        <w:tabs>
          <w:tab w:val="right" w:pos="540"/>
        </w:tabs>
        <w:spacing w:afterLines="20" w:after="48" w:line="240" w:lineRule="auto"/>
        <w:ind w:left="540" w:hanging="540"/>
        <w:jc w:val="both"/>
      </w:pPr>
      <w:r w:rsidRPr="00390615">
        <w:t xml:space="preserve">Miller, H. J. (2006). Social exclusion in space and time. </w:t>
      </w:r>
      <w:r w:rsidR="0055221D" w:rsidRPr="00390615">
        <w:t>In </w:t>
      </w:r>
      <w:r w:rsidR="0055221D" w:rsidRPr="00390615">
        <w:rPr>
          <w:i/>
        </w:rPr>
        <w:t>Moving through Nets: The Social and Physical Aspects of Travel</w:t>
      </w:r>
      <w:r w:rsidR="0055221D" w:rsidRPr="00390615">
        <w:t xml:space="preserve"> (Axhausen, K.W., Ed.) Elsevier, Amsterdam, The Netherlands, pp. </w:t>
      </w:r>
      <w:r w:rsidRPr="00390615">
        <w:t>353–380.</w:t>
      </w:r>
    </w:p>
    <w:p w14:paraId="4918D6C7" w14:textId="24CE5310" w:rsidR="002B38F7" w:rsidRPr="00390615" w:rsidRDefault="002B38F7" w:rsidP="00F513B0">
      <w:pPr>
        <w:pStyle w:val="Bibliography"/>
        <w:tabs>
          <w:tab w:val="right" w:pos="540"/>
        </w:tabs>
        <w:spacing w:afterLines="20" w:after="48" w:line="240" w:lineRule="auto"/>
        <w:ind w:left="540" w:hanging="540"/>
        <w:jc w:val="both"/>
      </w:pPr>
      <w:r w:rsidRPr="00390615">
        <w:t xml:space="preserve">Mills, S., Adams, J., Wrieden, W., White, M., </w:t>
      </w:r>
      <w:r w:rsidR="00420E62" w:rsidRPr="00390615">
        <w:t>and</w:t>
      </w:r>
      <w:r w:rsidRPr="00390615">
        <w:t xml:space="preserve"> Brown, H. (2018). Sociodemographic characteristics and frequency of consuming home-cooked meals and meals from out-of-home sources: Cross-sectional analysis of a population-based cohort study. </w:t>
      </w:r>
      <w:r w:rsidRPr="00390615">
        <w:rPr>
          <w:i/>
          <w:iCs/>
        </w:rPr>
        <w:t>Public Health Nutrition</w:t>
      </w:r>
      <w:r w:rsidRPr="00390615">
        <w:t xml:space="preserve">, </w:t>
      </w:r>
      <w:r w:rsidRPr="00390615">
        <w:rPr>
          <w:i/>
          <w:iCs/>
        </w:rPr>
        <w:t>21</w:t>
      </w:r>
      <w:r w:rsidRPr="00390615">
        <w:t>(12), 2255–2266.</w:t>
      </w:r>
    </w:p>
    <w:p w14:paraId="58F47A3E" w14:textId="564AA921" w:rsidR="002B38F7" w:rsidRPr="00390615" w:rsidRDefault="002B38F7" w:rsidP="00F513B0">
      <w:pPr>
        <w:pStyle w:val="Bibliography"/>
        <w:tabs>
          <w:tab w:val="right" w:pos="540"/>
        </w:tabs>
        <w:spacing w:afterLines="20" w:after="48" w:line="240" w:lineRule="auto"/>
        <w:ind w:left="540" w:hanging="540"/>
        <w:jc w:val="both"/>
      </w:pPr>
      <w:r w:rsidRPr="00390615">
        <w:lastRenderedPageBreak/>
        <w:t xml:space="preserve">Namin, A., Ratchford, B. T., Saint Clair, J. K., Bui, M. M., </w:t>
      </w:r>
      <w:r w:rsidR="00420E62" w:rsidRPr="00390615">
        <w:t>and</w:t>
      </w:r>
      <w:r w:rsidRPr="00390615">
        <w:t xml:space="preserve"> Hamilton, M. L. (2020). Dine-in or take-out: Modeling millennials’ cooking motivation and choice. </w:t>
      </w:r>
      <w:r w:rsidRPr="00390615">
        <w:rPr>
          <w:i/>
          <w:iCs/>
        </w:rPr>
        <w:t>Journal of Retailing and Consumer Services</w:t>
      </w:r>
      <w:r w:rsidRPr="00390615">
        <w:t xml:space="preserve">, </w:t>
      </w:r>
      <w:r w:rsidRPr="00390615">
        <w:rPr>
          <w:i/>
          <w:iCs/>
        </w:rPr>
        <w:t>53</w:t>
      </w:r>
      <w:r w:rsidRPr="00390615">
        <w:t>, 101981.</w:t>
      </w:r>
    </w:p>
    <w:p w14:paraId="36027038" w14:textId="0A7F6E52" w:rsidR="002B38F7" w:rsidRPr="00390615" w:rsidRDefault="002B38F7" w:rsidP="00F513B0">
      <w:pPr>
        <w:pStyle w:val="Bibliography"/>
        <w:tabs>
          <w:tab w:val="right" w:pos="540"/>
        </w:tabs>
        <w:spacing w:afterLines="20" w:after="48" w:line="240" w:lineRule="auto"/>
        <w:ind w:left="540" w:hanging="540"/>
        <w:jc w:val="both"/>
      </w:pPr>
      <w:r w:rsidRPr="00390615">
        <w:t xml:space="preserve">Neubauer, A. B., Smyth, J. M., </w:t>
      </w:r>
      <w:r w:rsidR="00420E62" w:rsidRPr="00390615">
        <w:t>and</w:t>
      </w:r>
      <w:r w:rsidRPr="00390615">
        <w:t xml:space="preserve"> Sliwinski, M. J. (2019). Age differences in proactive coping with minor hassles in daily life. </w:t>
      </w:r>
      <w:r w:rsidRPr="00390615">
        <w:rPr>
          <w:i/>
          <w:iCs/>
        </w:rPr>
        <w:t>The Journals of Gerontology: Series B</w:t>
      </w:r>
      <w:r w:rsidRPr="00390615">
        <w:t xml:space="preserve">, </w:t>
      </w:r>
      <w:r w:rsidRPr="00390615">
        <w:rPr>
          <w:i/>
          <w:iCs/>
        </w:rPr>
        <w:t>74</w:t>
      </w:r>
      <w:r w:rsidRPr="00390615">
        <w:t>(1), 7–16.</w:t>
      </w:r>
    </w:p>
    <w:p w14:paraId="5CFB39DC" w14:textId="75A3A14C" w:rsidR="002B38F7" w:rsidRPr="00390615" w:rsidRDefault="002B38F7" w:rsidP="00F513B0">
      <w:pPr>
        <w:pStyle w:val="Bibliography"/>
        <w:tabs>
          <w:tab w:val="right" w:pos="540"/>
        </w:tabs>
        <w:spacing w:afterLines="20" w:after="48" w:line="240" w:lineRule="auto"/>
        <w:ind w:left="540" w:hanging="540"/>
        <w:jc w:val="both"/>
      </w:pPr>
      <w:r w:rsidRPr="00390615">
        <w:t xml:space="preserve">Nogueira, L. M., Thai, C. L., Nelson, W., </w:t>
      </w:r>
      <w:r w:rsidR="00420E62" w:rsidRPr="00390615">
        <w:t>and</w:t>
      </w:r>
      <w:r w:rsidRPr="00390615">
        <w:t xml:space="preserve"> Oh, A. (2016). Nutrition label numeracy: Disparities and association with health behaviors. </w:t>
      </w:r>
      <w:r w:rsidRPr="00390615">
        <w:rPr>
          <w:i/>
          <w:iCs/>
        </w:rPr>
        <w:t>American Journal of Health Behavior</w:t>
      </w:r>
      <w:r w:rsidRPr="00390615">
        <w:t xml:space="preserve">, </w:t>
      </w:r>
      <w:r w:rsidRPr="00390615">
        <w:rPr>
          <w:i/>
          <w:iCs/>
        </w:rPr>
        <w:t>40</w:t>
      </w:r>
      <w:r w:rsidRPr="00390615">
        <w:t>(4), 427–436.</w:t>
      </w:r>
    </w:p>
    <w:p w14:paraId="2CE782CB" w14:textId="00AD7E06" w:rsidR="002B38F7" w:rsidRPr="00390615" w:rsidRDefault="00B61C5F" w:rsidP="00F513B0">
      <w:pPr>
        <w:pStyle w:val="Bibliography"/>
        <w:tabs>
          <w:tab w:val="right" w:pos="540"/>
        </w:tabs>
        <w:spacing w:afterLines="20" w:after="48" w:line="240" w:lineRule="auto"/>
        <w:ind w:left="540" w:hanging="540"/>
        <w:jc w:val="both"/>
      </w:pPr>
      <w:r w:rsidRPr="00390615">
        <w:t>Oblander</w:t>
      </w:r>
      <w:r w:rsidR="002B38F7" w:rsidRPr="00390615">
        <w:t xml:space="preserve">, E. S., </w:t>
      </w:r>
      <w:r w:rsidR="00420E62" w:rsidRPr="00390615">
        <w:t>and</w:t>
      </w:r>
      <w:r w:rsidR="002B38F7" w:rsidRPr="00390615">
        <w:t xml:space="preserve"> McCarthy, D. M. (2022). Persistence of consumer lifestyle choices: evidence from restaurant delivery during COVID-19. </w:t>
      </w:r>
      <w:r w:rsidR="002B38F7" w:rsidRPr="00390615">
        <w:rPr>
          <w:i/>
          <w:iCs/>
        </w:rPr>
        <w:t>Columbia Business School Research Paper Forthcoming</w:t>
      </w:r>
      <w:r w:rsidR="002B38F7" w:rsidRPr="00390615">
        <w:t>. https://dx.doi.org/10.2139/ssrn.3836262</w:t>
      </w:r>
    </w:p>
    <w:p w14:paraId="0C0466C7" w14:textId="1AC854B8" w:rsidR="002B38F7" w:rsidRPr="00390615" w:rsidRDefault="002B38F7" w:rsidP="00F513B0">
      <w:pPr>
        <w:tabs>
          <w:tab w:val="right" w:pos="540"/>
        </w:tabs>
        <w:spacing w:afterLines="20" w:after="48" w:line="240" w:lineRule="auto"/>
        <w:ind w:left="540" w:hanging="540"/>
        <w:jc w:val="both"/>
      </w:pPr>
      <w:r w:rsidRPr="00390615">
        <w:t xml:space="preserve">Okumus, B. (2021). A qualitative investigation of Millennials’ healthy eating behavior, food choices, and restaurant selection. </w:t>
      </w:r>
      <w:r w:rsidRPr="00390615">
        <w:rPr>
          <w:i/>
          <w:iCs/>
        </w:rPr>
        <w:t xml:space="preserve">Food, Culture </w:t>
      </w:r>
      <w:r w:rsidR="00420E62" w:rsidRPr="00390615">
        <w:rPr>
          <w:i/>
          <w:iCs/>
        </w:rPr>
        <w:t>and</w:t>
      </w:r>
      <w:r w:rsidRPr="00390615">
        <w:rPr>
          <w:i/>
          <w:iCs/>
        </w:rPr>
        <w:t xml:space="preserve"> Society</w:t>
      </w:r>
      <w:r w:rsidRPr="00390615">
        <w:t xml:space="preserve">, </w:t>
      </w:r>
      <w:r w:rsidRPr="00390615">
        <w:rPr>
          <w:i/>
          <w:iCs/>
        </w:rPr>
        <w:t>24</w:t>
      </w:r>
      <w:r w:rsidRPr="00390615">
        <w:t>(4), 509–524.</w:t>
      </w:r>
    </w:p>
    <w:p w14:paraId="1FE79AAA" w14:textId="30AEE046" w:rsidR="002B38F7" w:rsidRPr="00390615" w:rsidRDefault="002B38F7" w:rsidP="00F513B0">
      <w:pPr>
        <w:pStyle w:val="Bibliography"/>
        <w:tabs>
          <w:tab w:val="right" w:pos="540"/>
        </w:tabs>
        <w:spacing w:afterLines="20" w:after="48" w:line="240" w:lineRule="auto"/>
        <w:ind w:left="540" w:hanging="540"/>
        <w:jc w:val="both"/>
      </w:pPr>
      <w:r w:rsidRPr="00390615">
        <w:t xml:space="preserve">Oostenbach, L. H., Lamb, K. E., Crawford, D., </w:t>
      </w:r>
      <w:r w:rsidR="00420E62" w:rsidRPr="00390615">
        <w:t>and</w:t>
      </w:r>
      <w:r w:rsidRPr="00390615">
        <w:t xml:space="preserve"> Thornton, L. (2022). Influence of work hours and commute time on food practices: A longitudinal analysis of the Household, Income and Labour Dynamics in Australia Survey. </w:t>
      </w:r>
      <w:r w:rsidRPr="00390615">
        <w:rPr>
          <w:i/>
          <w:iCs/>
        </w:rPr>
        <w:t>BMJ Open</w:t>
      </w:r>
      <w:r w:rsidRPr="00390615">
        <w:t xml:space="preserve">, </w:t>
      </w:r>
      <w:r w:rsidRPr="00390615">
        <w:rPr>
          <w:i/>
          <w:iCs/>
        </w:rPr>
        <w:t>12</w:t>
      </w:r>
      <w:r w:rsidRPr="00390615">
        <w:t>(5), e056212.</w:t>
      </w:r>
    </w:p>
    <w:p w14:paraId="13253258" w14:textId="522BE698" w:rsidR="002B38F7" w:rsidRPr="00390615" w:rsidRDefault="002B38F7" w:rsidP="00F513B0">
      <w:pPr>
        <w:pStyle w:val="Bibliography"/>
        <w:tabs>
          <w:tab w:val="right" w:pos="540"/>
        </w:tabs>
        <w:spacing w:afterLines="20" w:after="48" w:line="240" w:lineRule="auto"/>
        <w:ind w:left="540" w:hanging="540"/>
        <w:jc w:val="both"/>
      </w:pPr>
      <w:r w:rsidRPr="00390615">
        <w:t xml:space="preserve">Paenchan, T., </w:t>
      </w:r>
      <w:r w:rsidR="00420E62" w:rsidRPr="00390615">
        <w:t>and</w:t>
      </w:r>
      <w:r w:rsidRPr="00390615">
        <w:t xml:space="preserve"> Kookkaew, P. (2022). Technology </w:t>
      </w:r>
      <w:r w:rsidR="0055221D" w:rsidRPr="00390615">
        <w:t>a</w:t>
      </w:r>
      <w:r w:rsidRPr="00390615">
        <w:t xml:space="preserve">cceptance </w:t>
      </w:r>
      <w:r w:rsidR="0055221D" w:rsidRPr="00390615">
        <w:t>a</w:t>
      </w:r>
      <w:r w:rsidRPr="00390615">
        <w:t xml:space="preserve">ffecting </w:t>
      </w:r>
      <w:r w:rsidR="0055221D" w:rsidRPr="00390615">
        <w:t>p</w:t>
      </w:r>
      <w:r w:rsidRPr="00390615">
        <w:t xml:space="preserve">urchase </w:t>
      </w:r>
      <w:r w:rsidR="0055221D" w:rsidRPr="00390615">
        <w:t>d</w:t>
      </w:r>
      <w:r w:rsidRPr="00390615">
        <w:t xml:space="preserve">ecisions for </w:t>
      </w:r>
      <w:r w:rsidR="0055221D" w:rsidRPr="00390615">
        <w:t>f</w:t>
      </w:r>
      <w:r w:rsidRPr="00390615">
        <w:t xml:space="preserve">ood </w:t>
      </w:r>
      <w:r w:rsidR="0055221D" w:rsidRPr="00390615">
        <w:t>d</w:t>
      </w:r>
      <w:r w:rsidRPr="00390615">
        <w:t xml:space="preserve">elivery by </w:t>
      </w:r>
      <w:r w:rsidR="0055221D" w:rsidRPr="00390615">
        <w:t>m</w:t>
      </w:r>
      <w:r w:rsidRPr="00390615">
        <w:t xml:space="preserve">obile </w:t>
      </w:r>
      <w:r w:rsidR="009C5202" w:rsidRPr="00390615">
        <w:t>p</w:t>
      </w:r>
      <w:r w:rsidRPr="00390615">
        <w:t xml:space="preserve">hone </w:t>
      </w:r>
      <w:r w:rsidR="009C5202" w:rsidRPr="00390615">
        <w:t>a</w:t>
      </w:r>
      <w:r w:rsidRPr="00390615">
        <w:t xml:space="preserve">pplication of </w:t>
      </w:r>
      <w:r w:rsidR="009C5202" w:rsidRPr="00390615">
        <w:t>c</w:t>
      </w:r>
      <w:r w:rsidRPr="00390615">
        <w:t xml:space="preserve">onsumers in Phra Nakhon Si Ayutthaya, Thailand. </w:t>
      </w:r>
      <w:r w:rsidRPr="00390615">
        <w:rPr>
          <w:i/>
          <w:iCs/>
        </w:rPr>
        <w:t>PSAKU International Journal of Interdisciplinary Research</w:t>
      </w:r>
      <w:r w:rsidRPr="00390615">
        <w:t xml:space="preserve">, </w:t>
      </w:r>
      <w:r w:rsidRPr="00390615">
        <w:rPr>
          <w:i/>
          <w:iCs/>
        </w:rPr>
        <w:t>11</w:t>
      </w:r>
      <w:r w:rsidRPr="00390615">
        <w:t>(1)</w:t>
      </w:r>
      <w:r w:rsidR="009C5202" w:rsidRPr="00390615">
        <w:t>, 16–24</w:t>
      </w:r>
      <w:r w:rsidRPr="00390615">
        <w:t>.</w:t>
      </w:r>
    </w:p>
    <w:p w14:paraId="1509117E" w14:textId="3BB7EE32" w:rsidR="002B38F7" w:rsidRPr="00390615" w:rsidRDefault="002B38F7" w:rsidP="00F513B0">
      <w:pPr>
        <w:pStyle w:val="Bibliography"/>
        <w:tabs>
          <w:tab w:val="right" w:pos="540"/>
        </w:tabs>
        <w:spacing w:afterLines="20" w:after="48" w:line="240" w:lineRule="auto"/>
        <w:ind w:left="540" w:hanging="540"/>
        <w:jc w:val="both"/>
      </w:pPr>
      <w:r w:rsidRPr="00390615">
        <w:t xml:space="preserve">Petersen, S., Zoffmann, V., Kjærgaard, J., Graff Steensballe, L., </w:t>
      </w:r>
      <w:r w:rsidR="00420E62" w:rsidRPr="00390615">
        <w:t>and</w:t>
      </w:r>
      <w:r w:rsidRPr="00390615">
        <w:t xml:space="preserve"> Greisen, G. (2014). Disappointment and adherence among parents of newborns allocated to the control group: A qualitative study of a randomized clinical trial. </w:t>
      </w:r>
      <w:r w:rsidRPr="00390615">
        <w:rPr>
          <w:i/>
          <w:iCs/>
        </w:rPr>
        <w:t>Trials</w:t>
      </w:r>
      <w:r w:rsidRPr="00390615">
        <w:t xml:space="preserve">, </w:t>
      </w:r>
      <w:r w:rsidRPr="00390615">
        <w:rPr>
          <w:i/>
          <w:iCs/>
        </w:rPr>
        <w:t>15</w:t>
      </w:r>
      <w:r w:rsidRPr="00390615">
        <w:t>(1), 1–11.</w:t>
      </w:r>
    </w:p>
    <w:p w14:paraId="3B582AC5" w14:textId="77777777" w:rsidR="009C5202" w:rsidRPr="00390615" w:rsidRDefault="002B38F7" w:rsidP="00F513B0">
      <w:pPr>
        <w:pStyle w:val="Bibliography"/>
        <w:tabs>
          <w:tab w:val="right" w:pos="540"/>
        </w:tabs>
        <w:spacing w:afterLines="20" w:after="48" w:line="240" w:lineRule="auto"/>
        <w:ind w:left="540" w:hanging="540"/>
        <w:jc w:val="both"/>
      </w:pPr>
      <w:r w:rsidRPr="00390615">
        <w:t xml:space="preserve">Pop, L.-M., Iorga, M., Șipoș, L.-R., </w:t>
      </w:r>
      <w:r w:rsidR="00420E62" w:rsidRPr="00390615">
        <w:t>and</w:t>
      </w:r>
      <w:r w:rsidRPr="00390615">
        <w:t xml:space="preserve"> Iurcov, R. (2021). Gender differences in healthy lifestyle, body consciousness, and the use of social networks among medical students. </w:t>
      </w:r>
      <w:r w:rsidRPr="00390615">
        <w:rPr>
          <w:i/>
          <w:iCs/>
        </w:rPr>
        <w:t>Medicina</w:t>
      </w:r>
      <w:r w:rsidRPr="00390615">
        <w:t xml:space="preserve">, </w:t>
      </w:r>
      <w:r w:rsidRPr="00390615">
        <w:rPr>
          <w:i/>
          <w:iCs/>
        </w:rPr>
        <w:t>57</w:t>
      </w:r>
      <w:r w:rsidRPr="00390615">
        <w:t>(7), 648.</w:t>
      </w:r>
    </w:p>
    <w:p w14:paraId="0DC59B7B" w14:textId="7E5A5EB5" w:rsidR="002B38F7" w:rsidRPr="00390615" w:rsidRDefault="002B38F7" w:rsidP="00F513B0">
      <w:pPr>
        <w:pStyle w:val="Bibliography"/>
        <w:tabs>
          <w:tab w:val="right" w:pos="540"/>
        </w:tabs>
        <w:spacing w:afterLines="20" w:after="48" w:line="240" w:lineRule="auto"/>
        <w:ind w:left="540" w:hanging="540"/>
        <w:jc w:val="both"/>
      </w:pPr>
      <w:r w:rsidRPr="00390615">
        <w:t xml:space="preserve">Ramsey, K., </w:t>
      </w:r>
      <w:r w:rsidR="00420E62" w:rsidRPr="00390615">
        <w:t>and</w:t>
      </w:r>
      <w:r w:rsidRPr="00390615">
        <w:t xml:space="preserve"> Bell, A. (2014). </w:t>
      </w:r>
      <w:r w:rsidR="009C5202" w:rsidRPr="00390615">
        <w:rPr>
          <w:i/>
        </w:rPr>
        <w:t>Smart Location Database</w:t>
      </w:r>
      <w:r w:rsidR="009C5202" w:rsidRPr="00390615">
        <w:t>. Version 2.0 User Guide. Available at: https://www.epa.gov/sites/production/files/2014-03/documents/sld_userguide.pdf.</w:t>
      </w:r>
    </w:p>
    <w:p w14:paraId="6E4E94B1" w14:textId="18F5514E" w:rsidR="002B38F7" w:rsidRPr="00390615" w:rsidRDefault="002B38F7" w:rsidP="00F513B0">
      <w:pPr>
        <w:pStyle w:val="Bibliography"/>
        <w:tabs>
          <w:tab w:val="right" w:pos="540"/>
        </w:tabs>
        <w:spacing w:afterLines="20" w:after="48" w:line="240" w:lineRule="auto"/>
        <w:ind w:left="540" w:hanging="540"/>
        <w:jc w:val="both"/>
      </w:pPr>
      <w:r w:rsidRPr="00390615">
        <w:t xml:space="preserve">Ray, A., </w:t>
      </w:r>
      <w:r w:rsidR="00420E62" w:rsidRPr="00390615">
        <w:t>and</w:t>
      </w:r>
      <w:r w:rsidRPr="00390615">
        <w:t xml:space="preserve"> Bala, P. K. (2021). User generated content for exploring factors affecting intention to use travel and food delivery services. </w:t>
      </w:r>
      <w:r w:rsidRPr="00390615">
        <w:rPr>
          <w:i/>
          <w:iCs/>
        </w:rPr>
        <w:t>International Journal of Hospitality Management</w:t>
      </w:r>
      <w:r w:rsidRPr="00390615">
        <w:t xml:space="preserve">, </w:t>
      </w:r>
      <w:r w:rsidRPr="00390615">
        <w:rPr>
          <w:i/>
          <w:iCs/>
        </w:rPr>
        <w:t>92</w:t>
      </w:r>
      <w:r w:rsidRPr="00390615">
        <w:t>, 102730.</w:t>
      </w:r>
    </w:p>
    <w:p w14:paraId="6D10DC0B" w14:textId="533AF124" w:rsidR="00B63169" w:rsidRPr="00390615" w:rsidRDefault="00B63169" w:rsidP="00F513B0">
      <w:pPr>
        <w:tabs>
          <w:tab w:val="right" w:pos="540"/>
        </w:tabs>
        <w:spacing w:afterLines="20" w:after="48" w:line="240" w:lineRule="auto"/>
        <w:ind w:left="540" w:hanging="540"/>
        <w:jc w:val="both"/>
      </w:pPr>
      <w:r w:rsidRPr="00390615">
        <w:t xml:space="preserve">Renner, B., Cook, J., and Rogers, S. (2021). </w:t>
      </w:r>
      <w:r w:rsidRPr="00390615">
        <w:rPr>
          <w:iCs/>
        </w:rPr>
        <w:t>Surprise ingredients in the post-pandemic food story: Consumers cooking up concern for restaurants’ return</w:t>
      </w:r>
      <w:r w:rsidRPr="00390615">
        <w:t xml:space="preserve">. </w:t>
      </w:r>
      <w:r w:rsidRPr="00390615">
        <w:rPr>
          <w:i/>
        </w:rPr>
        <w:t>Deloitte</w:t>
      </w:r>
      <w:r w:rsidRPr="00390615">
        <w:t>. https://www2.deloitte.com/us/en/pages/consumer-business/articles/food-service-restaurant-business-trends-post-covid.html</w:t>
      </w:r>
    </w:p>
    <w:p w14:paraId="57AB3C91" w14:textId="0DB82930" w:rsidR="002B38F7" w:rsidRPr="00390615" w:rsidRDefault="002B38F7" w:rsidP="00F513B0">
      <w:pPr>
        <w:pStyle w:val="Bibliography"/>
        <w:tabs>
          <w:tab w:val="right" w:pos="540"/>
        </w:tabs>
        <w:spacing w:afterLines="20" w:after="48" w:line="240" w:lineRule="auto"/>
        <w:ind w:left="540" w:hanging="540"/>
        <w:jc w:val="both"/>
      </w:pPr>
      <w:r w:rsidRPr="00390615">
        <w:t xml:space="preserve">Robson, S. M., Crosby, L. E., </w:t>
      </w:r>
      <w:r w:rsidR="00420E62" w:rsidRPr="00390615">
        <w:t>and</w:t>
      </w:r>
      <w:r w:rsidRPr="00390615">
        <w:t xml:space="preserve"> Stark, L. J. (2016). Eating dinner away from home: Perspectives of middle-to high-income parents. </w:t>
      </w:r>
      <w:r w:rsidRPr="00390615">
        <w:rPr>
          <w:i/>
          <w:iCs/>
        </w:rPr>
        <w:t>Appetite</w:t>
      </w:r>
      <w:r w:rsidRPr="00390615">
        <w:t xml:space="preserve">, </w:t>
      </w:r>
      <w:r w:rsidRPr="00390615">
        <w:rPr>
          <w:i/>
          <w:iCs/>
        </w:rPr>
        <w:t>96</w:t>
      </w:r>
      <w:r w:rsidRPr="00390615">
        <w:t>, 147–153.</w:t>
      </w:r>
    </w:p>
    <w:p w14:paraId="5F3F60AA" w14:textId="70901F8F" w:rsidR="002B38F7" w:rsidRPr="00390615" w:rsidRDefault="002B38F7" w:rsidP="00F513B0">
      <w:pPr>
        <w:pStyle w:val="Bibliography"/>
        <w:tabs>
          <w:tab w:val="right" w:pos="540"/>
        </w:tabs>
        <w:spacing w:afterLines="20" w:after="48" w:line="240" w:lineRule="auto"/>
        <w:ind w:left="540" w:hanging="540"/>
        <w:jc w:val="both"/>
      </w:pPr>
      <w:r w:rsidRPr="00390615">
        <w:t xml:space="preserve">Roh, M., </w:t>
      </w:r>
      <w:r w:rsidR="00420E62" w:rsidRPr="00390615">
        <w:t>and</w:t>
      </w:r>
      <w:r w:rsidRPr="00390615">
        <w:t xml:space="preserve"> Park, K. (2019). Adoption of O2O food delivery services in South Korea: The moderating role of moral obligation in meal preparation. </w:t>
      </w:r>
      <w:r w:rsidRPr="00390615">
        <w:rPr>
          <w:i/>
          <w:iCs/>
        </w:rPr>
        <w:t>International Journal of Information Management</w:t>
      </w:r>
      <w:r w:rsidRPr="00390615">
        <w:t xml:space="preserve">, </w:t>
      </w:r>
      <w:r w:rsidRPr="00390615">
        <w:rPr>
          <w:i/>
          <w:iCs/>
        </w:rPr>
        <w:t>47</w:t>
      </w:r>
      <w:r w:rsidRPr="00390615">
        <w:t>, 262–273.</w:t>
      </w:r>
    </w:p>
    <w:p w14:paraId="1D6C395E" w14:textId="7B923B4F" w:rsidR="002B38F7" w:rsidRPr="00390615" w:rsidRDefault="002B38F7" w:rsidP="00F513B0">
      <w:pPr>
        <w:pStyle w:val="Bibliography"/>
        <w:tabs>
          <w:tab w:val="right" w:pos="540"/>
        </w:tabs>
        <w:spacing w:afterLines="20" w:after="48" w:line="240" w:lineRule="auto"/>
        <w:ind w:left="540" w:hanging="540"/>
        <w:jc w:val="both"/>
      </w:pPr>
      <w:r w:rsidRPr="00390615">
        <w:t xml:space="preserve">Rosenfeld, D. L., </w:t>
      </w:r>
      <w:r w:rsidR="00420E62" w:rsidRPr="00390615">
        <w:t>and</w:t>
      </w:r>
      <w:r w:rsidRPr="00390615">
        <w:t xml:space="preserve"> Tomiyama, A. J. (2020). Taste and health concerns trump anticipated stigma as barriers to vegetarianism. </w:t>
      </w:r>
      <w:r w:rsidRPr="00390615">
        <w:rPr>
          <w:i/>
          <w:iCs/>
        </w:rPr>
        <w:t>Appetite</w:t>
      </w:r>
      <w:r w:rsidRPr="00390615">
        <w:t xml:space="preserve">, </w:t>
      </w:r>
      <w:r w:rsidRPr="00390615">
        <w:rPr>
          <w:i/>
          <w:iCs/>
        </w:rPr>
        <w:t>144</w:t>
      </w:r>
      <w:r w:rsidRPr="00390615">
        <w:t>, 104469.</w:t>
      </w:r>
    </w:p>
    <w:p w14:paraId="3617BCC4" w14:textId="77777777" w:rsidR="009C5202" w:rsidRPr="00390615" w:rsidRDefault="002B38F7" w:rsidP="00F513B0">
      <w:pPr>
        <w:pStyle w:val="Bibliography"/>
        <w:tabs>
          <w:tab w:val="right" w:pos="540"/>
        </w:tabs>
        <w:spacing w:afterLines="20" w:after="48" w:line="240" w:lineRule="auto"/>
        <w:ind w:left="540" w:hanging="540"/>
        <w:jc w:val="both"/>
      </w:pPr>
      <w:r w:rsidRPr="00390615">
        <w:t xml:space="preserve">Sarda, B., Delamaire, C., Serry, A.-J., </w:t>
      </w:r>
      <w:r w:rsidR="00420E62" w:rsidRPr="00390615">
        <w:t>and</w:t>
      </w:r>
      <w:r w:rsidRPr="00390615">
        <w:t xml:space="preserve"> Ducrot, P. (2022). Changes in home cooking and culinary practices among the French population during the COVID-19 lockdown. </w:t>
      </w:r>
      <w:r w:rsidRPr="00390615">
        <w:rPr>
          <w:i/>
          <w:iCs/>
        </w:rPr>
        <w:t>Appetite</w:t>
      </w:r>
      <w:r w:rsidRPr="00390615">
        <w:t xml:space="preserve">, </w:t>
      </w:r>
      <w:r w:rsidRPr="00390615">
        <w:rPr>
          <w:i/>
          <w:iCs/>
        </w:rPr>
        <w:t>168</w:t>
      </w:r>
      <w:r w:rsidRPr="00390615">
        <w:t>, 105743.</w:t>
      </w:r>
    </w:p>
    <w:p w14:paraId="7935DE95" w14:textId="7FCEA834" w:rsidR="002B38F7" w:rsidRPr="00390615" w:rsidRDefault="002B38F7" w:rsidP="00F513B0">
      <w:pPr>
        <w:pStyle w:val="Bibliography"/>
        <w:tabs>
          <w:tab w:val="right" w:pos="540"/>
        </w:tabs>
        <w:spacing w:afterLines="20" w:after="48" w:line="240" w:lineRule="auto"/>
        <w:ind w:left="540" w:hanging="540"/>
        <w:jc w:val="both"/>
      </w:pPr>
      <w:r w:rsidRPr="00390615">
        <w:lastRenderedPageBreak/>
        <w:t xml:space="preserve">Shi, L., </w:t>
      </w:r>
      <w:r w:rsidR="00420E62" w:rsidRPr="00390615">
        <w:t>and</w:t>
      </w:r>
      <w:r w:rsidRPr="00390615">
        <w:t xml:space="preserve"> Xu, Z. (2021). Dine in or </w:t>
      </w:r>
      <w:r w:rsidR="009C5202" w:rsidRPr="00390615">
        <w:t>t</w:t>
      </w:r>
      <w:r w:rsidRPr="00390615">
        <w:t xml:space="preserve">ake out? Trends on </w:t>
      </w:r>
      <w:r w:rsidR="009C5202" w:rsidRPr="00390615">
        <w:t>r</w:t>
      </w:r>
      <w:r w:rsidRPr="00390615">
        <w:t xml:space="preserve">estaurant </w:t>
      </w:r>
      <w:r w:rsidR="009C5202" w:rsidRPr="00390615">
        <w:t>s</w:t>
      </w:r>
      <w:r w:rsidRPr="00390615">
        <w:t xml:space="preserve">ervice </w:t>
      </w:r>
      <w:r w:rsidR="009C5202" w:rsidRPr="00390615">
        <w:t>d</w:t>
      </w:r>
      <w:r w:rsidRPr="00390615">
        <w:t xml:space="preserve">emand amid the COVID-19 </w:t>
      </w:r>
      <w:r w:rsidR="009C5202" w:rsidRPr="00390615">
        <w:t>p</w:t>
      </w:r>
      <w:r w:rsidRPr="00390615">
        <w:t xml:space="preserve">andemic. </w:t>
      </w:r>
      <w:r w:rsidR="009C5202" w:rsidRPr="00390615">
        <w:t>Available at SSRN: </w:t>
      </w:r>
      <w:hyperlink r:id="rId159" w:tgtFrame="_blank" w:history="1">
        <w:r w:rsidR="009C5202" w:rsidRPr="00390615">
          <w:rPr>
            <w:rStyle w:val="Hyperlink"/>
          </w:rPr>
          <w:t>https://ssrn.com/abstract=3934589</w:t>
        </w:r>
      </w:hyperlink>
      <w:r w:rsidRPr="00390615">
        <w:t>.</w:t>
      </w:r>
    </w:p>
    <w:p w14:paraId="3FA95D4D" w14:textId="78493128" w:rsidR="00B63169" w:rsidRPr="00390615" w:rsidRDefault="00B63169" w:rsidP="00F513B0">
      <w:pPr>
        <w:pStyle w:val="Bibliography"/>
        <w:tabs>
          <w:tab w:val="right" w:pos="540"/>
        </w:tabs>
        <w:spacing w:afterLines="20" w:after="48" w:line="240" w:lineRule="auto"/>
        <w:ind w:left="540" w:hanging="540"/>
        <w:jc w:val="both"/>
      </w:pPr>
      <w:r w:rsidRPr="00390615">
        <w:t xml:space="preserve">Smith, S. S. (2010). Race and trust. </w:t>
      </w:r>
      <w:r w:rsidRPr="00390615">
        <w:rPr>
          <w:i/>
          <w:iCs/>
        </w:rPr>
        <w:t>Annual Review of Sociology</w:t>
      </w:r>
      <w:r w:rsidRPr="00390615">
        <w:t xml:space="preserve">, </w:t>
      </w:r>
      <w:r w:rsidRPr="00390615">
        <w:rPr>
          <w:i/>
          <w:iCs/>
        </w:rPr>
        <w:t>36</w:t>
      </w:r>
      <w:r w:rsidRPr="00390615">
        <w:t>(1), 453–475. https://doi.org/10.1146/annurev.soc.012809.102526</w:t>
      </w:r>
    </w:p>
    <w:p w14:paraId="22A8E534" w14:textId="038926FD" w:rsidR="002B38F7" w:rsidRPr="00390615" w:rsidRDefault="002B38F7" w:rsidP="00F513B0">
      <w:pPr>
        <w:pStyle w:val="Bibliography"/>
        <w:tabs>
          <w:tab w:val="right" w:pos="540"/>
        </w:tabs>
        <w:spacing w:afterLines="20" w:after="48" w:line="240" w:lineRule="auto"/>
        <w:ind w:left="540" w:hanging="540"/>
        <w:jc w:val="both"/>
      </w:pPr>
      <w:r w:rsidRPr="00390615">
        <w:t xml:space="preserve">Smith, L. P., Ng, S. W., </w:t>
      </w:r>
      <w:r w:rsidR="00420E62" w:rsidRPr="00390615">
        <w:t>and</w:t>
      </w:r>
      <w:r w:rsidRPr="00390615">
        <w:t xml:space="preserve"> Popkin, B. M. (2013). Trends in US home food preparation and consumption: Analysis of national nutrition surveys and time use studies from 1965–1966 to 2007–2008. </w:t>
      </w:r>
      <w:r w:rsidRPr="00390615">
        <w:rPr>
          <w:i/>
          <w:iCs/>
        </w:rPr>
        <w:t>Nutrition Journal</w:t>
      </w:r>
      <w:r w:rsidRPr="00390615">
        <w:t xml:space="preserve">, </w:t>
      </w:r>
      <w:r w:rsidRPr="00390615">
        <w:rPr>
          <w:i/>
          <w:iCs/>
        </w:rPr>
        <w:t>12</w:t>
      </w:r>
      <w:r w:rsidRPr="00390615">
        <w:t>(1), 1–10.</w:t>
      </w:r>
    </w:p>
    <w:p w14:paraId="422F1551" w14:textId="1922EB0F" w:rsidR="002B38F7" w:rsidRPr="00390615" w:rsidRDefault="002B38F7" w:rsidP="00F513B0">
      <w:pPr>
        <w:pStyle w:val="Bibliography"/>
        <w:tabs>
          <w:tab w:val="right" w:pos="540"/>
        </w:tabs>
        <w:spacing w:afterLines="20" w:after="48" w:line="240" w:lineRule="auto"/>
        <w:ind w:left="540" w:hanging="540"/>
        <w:jc w:val="both"/>
      </w:pPr>
      <w:r w:rsidRPr="00390615">
        <w:t xml:space="preserve">Soh, J. (2019). US </w:t>
      </w:r>
      <w:r w:rsidR="009C5202" w:rsidRPr="00390615">
        <w:t>t</w:t>
      </w:r>
      <w:r w:rsidRPr="00390615">
        <w:t xml:space="preserve">rends in </w:t>
      </w:r>
      <w:r w:rsidR="009C5202" w:rsidRPr="00390615">
        <w:t>f</w:t>
      </w:r>
      <w:r w:rsidRPr="00390615">
        <w:t xml:space="preserve">ood </w:t>
      </w:r>
      <w:r w:rsidR="009C5202" w:rsidRPr="00390615">
        <w:t>a</w:t>
      </w:r>
      <w:r w:rsidRPr="00390615">
        <w:t xml:space="preserve">way from </w:t>
      </w:r>
      <w:r w:rsidR="009C5202" w:rsidRPr="00390615">
        <w:t>h</w:t>
      </w:r>
      <w:r w:rsidRPr="00390615">
        <w:t xml:space="preserve">ome. In </w:t>
      </w:r>
      <w:r w:rsidRPr="00390615">
        <w:rPr>
          <w:i/>
          <w:iCs/>
        </w:rPr>
        <w:t>Financial Decision-Making in The Foodservice Industry</w:t>
      </w:r>
      <w:r w:rsidRPr="00390615">
        <w:t xml:space="preserve"> </w:t>
      </w:r>
      <w:r w:rsidR="009C5202" w:rsidRPr="00390615">
        <w:t xml:space="preserve">(Sharma, A., Ed.), </w:t>
      </w:r>
      <w:r w:rsidRPr="00390615">
        <w:t>Apple Academic Press</w:t>
      </w:r>
      <w:r w:rsidR="009C5202" w:rsidRPr="00390615">
        <w:t>, New York, pp. 41–62</w:t>
      </w:r>
      <w:r w:rsidRPr="00390615">
        <w:t>.</w:t>
      </w:r>
    </w:p>
    <w:p w14:paraId="3926F600" w14:textId="7AF2BDE7" w:rsidR="0089594F" w:rsidRPr="00390615" w:rsidRDefault="0089594F" w:rsidP="00F513B0">
      <w:pPr>
        <w:spacing w:afterLines="20" w:after="48" w:line="240" w:lineRule="auto"/>
        <w:ind w:left="720" w:hanging="720"/>
        <w:jc w:val="both"/>
      </w:pPr>
      <w:r w:rsidRPr="00390615">
        <w:t xml:space="preserve">Solon, G., Haider, S. J., </w:t>
      </w:r>
      <w:r w:rsidR="00F513B0" w:rsidRPr="00390615">
        <w:t>and</w:t>
      </w:r>
      <w:r w:rsidRPr="00390615">
        <w:t xml:space="preserve"> Wooldridge, J. M. (2015). What are we weighting for? </w:t>
      </w:r>
      <w:r w:rsidRPr="00390615">
        <w:rPr>
          <w:i/>
        </w:rPr>
        <w:t>Journal of Human Resources</w:t>
      </w:r>
      <w:r w:rsidRPr="00390615">
        <w:t xml:space="preserve">, </w:t>
      </w:r>
      <w:r w:rsidRPr="00390615">
        <w:rPr>
          <w:i/>
        </w:rPr>
        <w:t>50</w:t>
      </w:r>
      <w:r w:rsidRPr="00390615">
        <w:t>(2), 301–316.</w:t>
      </w:r>
    </w:p>
    <w:p w14:paraId="235197F9" w14:textId="4AEE75B8" w:rsidR="002B38F7" w:rsidRPr="00390615" w:rsidRDefault="002B38F7" w:rsidP="00F513B0">
      <w:pPr>
        <w:spacing w:afterLines="20" w:after="48" w:line="240" w:lineRule="auto"/>
        <w:ind w:left="720" w:hanging="720"/>
        <w:jc w:val="both"/>
      </w:pPr>
      <w:r w:rsidRPr="00390615">
        <w:t xml:space="preserve">Sonneveld, A. (2019). </w:t>
      </w:r>
      <w:r w:rsidRPr="00390615">
        <w:rPr>
          <w:iCs/>
        </w:rPr>
        <w:t xml:space="preserve">Determinants of </w:t>
      </w:r>
      <w:r w:rsidR="00973ADE" w:rsidRPr="00390615">
        <w:rPr>
          <w:iCs/>
        </w:rPr>
        <w:t>p</w:t>
      </w:r>
      <w:r w:rsidRPr="00390615">
        <w:rPr>
          <w:iCs/>
        </w:rPr>
        <w:t xml:space="preserve">eople’s </w:t>
      </w:r>
      <w:r w:rsidR="00973ADE" w:rsidRPr="00390615">
        <w:rPr>
          <w:iCs/>
        </w:rPr>
        <w:t>p</w:t>
      </w:r>
      <w:r w:rsidRPr="00390615">
        <w:rPr>
          <w:iCs/>
        </w:rPr>
        <w:t xml:space="preserve">reference to </w:t>
      </w:r>
      <w:r w:rsidR="00973ADE" w:rsidRPr="00390615">
        <w:rPr>
          <w:iCs/>
        </w:rPr>
        <w:t>c</w:t>
      </w:r>
      <w:r w:rsidRPr="00390615">
        <w:rPr>
          <w:iCs/>
        </w:rPr>
        <w:t xml:space="preserve">onsume </w:t>
      </w:r>
      <w:r w:rsidR="00973ADE" w:rsidRPr="00390615">
        <w:rPr>
          <w:iCs/>
        </w:rPr>
        <w:t>f</w:t>
      </w:r>
      <w:r w:rsidRPr="00390615">
        <w:rPr>
          <w:iCs/>
        </w:rPr>
        <w:t xml:space="preserve">ood </w:t>
      </w:r>
      <w:r w:rsidR="00973ADE" w:rsidRPr="00390615">
        <w:rPr>
          <w:iCs/>
        </w:rPr>
        <w:t>o</w:t>
      </w:r>
      <w:r w:rsidRPr="00390615">
        <w:rPr>
          <w:iCs/>
        </w:rPr>
        <w:t xml:space="preserve">ut of </w:t>
      </w:r>
      <w:r w:rsidR="00973ADE" w:rsidRPr="00390615">
        <w:rPr>
          <w:iCs/>
        </w:rPr>
        <w:t>h</w:t>
      </w:r>
      <w:r w:rsidRPr="00390615">
        <w:rPr>
          <w:iCs/>
        </w:rPr>
        <w:t>ome</w:t>
      </w:r>
      <w:r w:rsidRPr="00390615">
        <w:t>.</w:t>
      </w:r>
      <w:r w:rsidR="00973ADE" w:rsidRPr="00390615">
        <w:t xml:space="preserve"> </w:t>
      </w:r>
      <w:r w:rsidR="00973ADE" w:rsidRPr="00390615">
        <w:rPr>
          <w:i/>
        </w:rPr>
        <w:t>MSc Thesis</w:t>
      </w:r>
      <w:r w:rsidR="00973ADE" w:rsidRPr="00390615">
        <w:t>, Department of Social Sciences, Wageningen University.</w:t>
      </w:r>
    </w:p>
    <w:p w14:paraId="41E5F9FF" w14:textId="5E716AFE" w:rsidR="00B63169" w:rsidRPr="00390615" w:rsidRDefault="00B63169" w:rsidP="00F513B0">
      <w:pPr>
        <w:pStyle w:val="Bibliography"/>
        <w:tabs>
          <w:tab w:val="right" w:pos="540"/>
        </w:tabs>
        <w:spacing w:afterLines="20" w:after="48" w:line="240" w:lineRule="auto"/>
        <w:ind w:left="540" w:hanging="540"/>
        <w:jc w:val="both"/>
      </w:pPr>
      <w:r w:rsidRPr="00390615">
        <w:t xml:space="preserve">Spurlock, C. A., Todd-Blick, A., Wong-Parodi, G., and Walker, V. (2020). Children, income, and the impact of home delivery on household shopping trips. </w:t>
      </w:r>
      <w:r w:rsidRPr="00390615">
        <w:rPr>
          <w:i/>
          <w:iCs/>
        </w:rPr>
        <w:t>Transportation Research Record: Journal of the Transportation Research Board</w:t>
      </w:r>
      <w:r w:rsidRPr="00390615">
        <w:t xml:space="preserve">, </w:t>
      </w:r>
      <w:r w:rsidRPr="00390615">
        <w:rPr>
          <w:i/>
          <w:iCs/>
        </w:rPr>
        <w:t>2674</w:t>
      </w:r>
      <w:r w:rsidRPr="00390615">
        <w:t>(10), 335–350.</w:t>
      </w:r>
    </w:p>
    <w:p w14:paraId="0C3FF33E" w14:textId="5291E408" w:rsidR="002B38F7" w:rsidRPr="00390615" w:rsidRDefault="002B38F7" w:rsidP="00F513B0">
      <w:pPr>
        <w:pStyle w:val="Bibliography"/>
        <w:tabs>
          <w:tab w:val="right" w:pos="540"/>
        </w:tabs>
        <w:spacing w:afterLines="20" w:after="48" w:line="240" w:lineRule="auto"/>
        <w:ind w:left="540" w:hanging="540"/>
        <w:jc w:val="both"/>
      </w:pPr>
      <w:r w:rsidRPr="00390615">
        <w:t xml:space="preserve">Statista. (2020). </w:t>
      </w:r>
      <w:r w:rsidRPr="00390615">
        <w:rPr>
          <w:i/>
          <w:iCs/>
        </w:rPr>
        <w:t>Average annual food away from home expenditures of United States households from 2010 to 2020 (in U.S. dollars)</w:t>
      </w:r>
      <w:r w:rsidRPr="00390615">
        <w:t>. https://www.statista.com/statistics/237215/average-away-from-home-food-expenditures-of-united-states-households/</w:t>
      </w:r>
    </w:p>
    <w:p w14:paraId="0C634574" w14:textId="1CF7BA5B" w:rsidR="002B38F7" w:rsidRPr="00390615" w:rsidRDefault="002B38F7" w:rsidP="00F513B0">
      <w:pPr>
        <w:pStyle w:val="Bibliography"/>
        <w:tabs>
          <w:tab w:val="right" w:pos="540"/>
        </w:tabs>
        <w:spacing w:afterLines="20" w:after="48" w:line="240" w:lineRule="auto"/>
        <w:ind w:left="540" w:hanging="540"/>
        <w:jc w:val="both"/>
      </w:pPr>
      <w:r w:rsidRPr="00390615">
        <w:t xml:space="preserve">Stewart, H., </w:t>
      </w:r>
      <w:r w:rsidR="00420E62" w:rsidRPr="00390615">
        <w:t>and</w:t>
      </w:r>
      <w:r w:rsidRPr="00390615">
        <w:t xml:space="preserve"> Yen, S. T. (2004). Changing household characteristics and the away-from-home food market: A censored equation system approach. </w:t>
      </w:r>
      <w:r w:rsidRPr="00390615">
        <w:rPr>
          <w:i/>
          <w:iCs/>
        </w:rPr>
        <w:t>Food Policy</w:t>
      </w:r>
      <w:r w:rsidRPr="00390615">
        <w:t xml:space="preserve">, </w:t>
      </w:r>
      <w:r w:rsidRPr="00390615">
        <w:rPr>
          <w:i/>
          <w:iCs/>
        </w:rPr>
        <w:t>29</w:t>
      </w:r>
      <w:r w:rsidRPr="00390615">
        <w:t>(6), 643–658.</w:t>
      </w:r>
    </w:p>
    <w:p w14:paraId="6A5D3537" w14:textId="58EA4C7F" w:rsidR="002B38F7" w:rsidRPr="00390615" w:rsidRDefault="002B38F7" w:rsidP="00F513B0">
      <w:pPr>
        <w:pStyle w:val="Bibliography"/>
        <w:tabs>
          <w:tab w:val="right" w:pos="540"/>
        </w:tabs>
        <w:spacing w:afterLines="20" w:after="48" w:line="240" w:lineRule="auto"/>
        <w:ind w:left="540" w:hanging="540"/>
        <w:jc w:val="both"/>
      </w:pPr>
      <w:r w:rsidRPr="00390615">
        <w:fldChar w:fldCharType="begin"/>
      </w:r>
      <w:r w:rsidRPr="00390615">
        <w:instrText xml:space="preserve"> ADDIN ZOTERO_BIBL {"uncited":[],"omitted":[],"custom":[]} CSL_BIBLIOGRAPHY </w:instrText>
      </w:r>
      <w:r w:rsidRPr="00390615">
        <w:fldChar w:fldCharType="separate"/>
      </w:r>
      <w:r w:rsidRPr="00390615">
        <w:t xml:space="preserve">Suel, E., </w:t>
      </w:r>
      <w:r w:rsidR="00420E62" w:rsidRPr="00390615">
        <w:t>and</w:t>
      </w:r>
      <w:r w:rsidRPr="00390615">
        <w:t xml:space="preserve"> Polak, J. W. (2017). Development of joint models for channel, store, and travel mode choice: Grocery shopping in London. </w:t>
      </w:r>
      <w:r w:rsidRPr="00390615">
        <w:rPr>
          <w:i/>
          <w:iCs/>
        </w:rPr>
        <w:t>Transportation Research Part A</w:t>
      </w:r>
      <w:r w:rsidRPr="00390615">
        <w:t xml:space="preserve">, </w:t>
      </w:r>
      <w:r w:rsidRPr="00390615">
        <w:rPr>
          <w:i/>
          <w:iCs/>
        </w:rPr>
        <w:t>99</w:t>
      </w:r>
      <w:r w:rsidRPr="00390615">
        <w:t>, 147–162.</w:t>
      </w:r>
    </w:p>
    <w:p w14:paraId="14CF75D2" w14:textId="040F9185" w:rsidR="002B38F7" w:rsidRPr="00390615" w:rsidRDefault="002B38F7" w:rsidP="00F513B0">
      <w:pPr>
        <w:pStyle w:val="Bibliography"/>
        <w:tabs>
          <w:tab w:val="right" w:pos="540"/>
        </w:tabs>
        <w:spacing w:afterLines="20" w:after="48" w:line="240" w:lineRule="auto"/>
        <w:ind w:left="540" w:hanging="540"/>
        <w:jc w:val="both"/>
      </w:pPr>
      <w:r w:rsidRPr="00390615">
        <w:fldChar w:fldCharType="end"/>
      </w:r>
      <w:r w:rsidRPr="00390615">
        <w:t xml:space="preserve">Sulek, J. M., </w:t>
      </w:r>
      <w:r w:rsidR="00420E62" w:rsidRPr="00390615">
        <w:t>and</w:t>
      </w:r>
      <w:r w:rsidRPr="00390615">
        <w:t xml:space="preserve"> Hensley, R. L. (2004). The relative importance of food, atmosphere, and fairness of wait: The case of a full-service restaurant. </w:t>
      </w:r>
      <w:r w:rsidRPr="00390615">
        <w:rPr>
          <w:i/>
          <w:iCs/>
        </w:rPr>
        <w:t>Cornell Hotel and Restaurant Administration Quarterly</w:t>
      </w:r>
      <w:r w:rsidRPr="00390615">
        <w:t xml:space="preserve">, </w:t>
      </w:r>
      <w:r w:rsidRPr="00390615">
        <w:rPr>
          <w:i/>
          <w:iCs/>
        </w:rPr>
        <w:t>45</w:t>
      </w:r>
      <w:r w:rsidRPr="00390615">
        <w:t>(3), 235–247.</w:t>
      </w:r>
    </w:p>
    <w:p w14:paraId="75E7AFE9" w14:textId="77777777" w:rsidR="002B38F7" w:rsidRPr="00390615" w:rsidRDefault="002B38F7" w:rsidP="00F513B0">
      <w:pPr>
        <w:pStyle w:val="Bibliography"/>
        <w:tabs>
          <w:tab w:val="right" w:pos="540"/>
        </w:tabs>
        <w:spacing w:afterLines="20" w:after="48" w:line="240" w:lineRule="auto"/>
        <w:ind w:left="540" w:hanging="540"/>
        <w:jc w:val="both"/>
      </w:pPr>
      <w:r w:rsidRPr="00390615">
        <w:t xml:space="preserve">Terenzio, O. (2020). Eating out after COVID-19: OpenTable diners weigh in. </w:t>
      </w:r>
      <w:r w:rsidRPr="00390615">
        <w:rPr>
          <w:i/>
          <w:iCs/>
        </w:rPr>
        <w:t>OpenTable Blog</w:t>
      </w:r>
      <w:r w:rsidRPr="00390615">
        <w:t>. https://blog.opentable.com/diner-survey-covid-19/</w:t>
      </w:r>
    </w:p>
    <w:p w14:paraId="4511462C" w14:textId="110F27C4" w:rsidR="002B38F7" w:rsidRPr="00390615" w:rsidRDefault="002B38F7" w:rsidP="00F513B0">
      <w:pPr>
        <w:pStyle w:val="Bibliography"/>
        <w:tabs>
          <w:tab w:val="right" w:pos="540"/>
        </w:tabs>
        <w:spacing w:afterLines="20" w:after="48" w:line="240" w:lineRule="auto"/>
        <w:ind w:left="540" w:hanging="540"/>
        <w:jc w:val="both"/>
      </w:pPr>
      <w:r w:rsidRPr="00390615">
        <w:t>Texas Demographic Center (2022). 2020 Census. Available at: https://demographics.texas.gov/. Accessed March 12, 2022.</w:t>
      </w:r>
    </w:p>
    <w:p w14:paraId="42BDE3F2" w14:textId="2AF81602" w:rsidR="002B38F7" w:rsidRPr="00390615" w:rsidRDefault="002B38F7" w:rsidP="00F513B0">
      <w:pPr>
        <w:pStyle w:val="Bibliography"/>
        <w:tabs>
          <w:tab w:val="right" w:pos="540"/>
        </w:tabs>
        <w:spacing w:afterLines="20" w:after="48" w:line="240" w:lineRule="auto"/>
        <w:ind w:left="540" w:hanging="540"/>
        <w:jc w:val="both"/>
      </w:pPr>
      <w:r w:rsidRPr="00390615">
        <w:t xml:space="preserve">Tumin, R., </w:t>
      </w:r>
      <w:r w:rsidR="00420E62" w:rsidRPr="00390615">
        <w:t>and</w:t>
      </w:r>
      <w:r w:rsidRPr="00390615">
        <w:t xml:space="preserve"> Anderson, S. E. (2017). Television, home-cooked meals, and family meal frequency: Associations with adult obesity. </w:t>
      </w:r>
      <w:r w:rsidRPr="00390615">
        <w:rPr>
          <w:i/>
          <w:iCs/>
        </w:rPr>
        <w:t>Journal of the Academy of Nutrition and Dietetics</w:t>
      </w:r>
      <w:r w:rsidRPr="00390615">
        <w:t xml:space="preserve">, </w:t>
      </w:r>
      <w:r w:rsidRPr="00390615">
        <w:rPr>
          <w:i/>
          <w:iCs/>
        </w:rPr>
        <w:t>117</w:t>
      </w:r>
      <w:r w:rsidRPr="00390615">
        <w:t>(6), 937–945.</w:t>
      </w:r>
    </w:p>
    <w:p w14:paraId="09DE8C37" w14:textId="35F8B49E" w:rsidR="002B38F7" w:rsidRPr="00390615" w:rsidRDefault="002B38F7" w:rsidP="00F513B0">
      <w:pPr>
        <w:pStyle w:val="Bibliography"/>
        <w:tabs>
          <w:tab w:val="right" w:pos="540"/>
        </w:tabs>
        <w:spacing w:afterLines="20" w:after="48" w:line="240" w:lineRule="auto"/>
        <w:ind w:left="540" w:hanging="540"/>
        <w:jc w:val="both"/>
      </w:pPr>
      <w:r w:rsidRPr="00390615">
        <w:t xml:space="preserve">Ubeja, S. K., Hyde, A. M., </w:t>
      </w:r>
      <w:r w:rsidR="00420E62" w:rsidRPr="00390615">
        <w:t>and</w:t>
      </w:r>
      <w:r w:rsidRPr="00390615">
        <w:t xml:space="preserve"> Mittal, R. (2021). Factors </w:t>
      </w:r>
      <w:r w:rsidR="00973ADE" w:rsidRPr="00390615">
        <w:t>i</w:t>
      </w:r>
      <w:r w:rsidRPr="00390615">
        <w:t xml:space="preserve">nfluencing </w:t>
      </w:r>
      <w:r w:rsidR="00973ADE" w:rsidRPr="00390615">
        <w:t>s</w:t>
      </w:r>
      <w:r w:rsidRPr="00390615">
        <w:t xml:space="preserve">election of </w:t>
      </w:r>
      <w:r w:rsidR="00973ADE" w:rsidRPr="00390615">
        <w:t>r</w:t>
      </w:r>
      <w:r w:rsidRPr="00390615">
        <w:t xml:space="preserve">estaurants: An </w:t>
      </w:r>
      <w:r w:rsidR="00973ADE" w:rsidRPr="00390615">
        <w:t>e</w:t>
      </w:r>
      <w:r w:rsidRPr="00390615">
        <w:t xml:space="preserve">mpirical </w:t>
      </w:r>
      <w:r w:rsidR="00973ADE" w:rsidRPr="00390615">
        <w:t>s</w:t>
      </w:r>
      <w:r w:rsidRPr="00390615">
        <w:t xml:space="preserve">tudy. In </w:t>
      </w:r>
      <w:r w:rsidRPr="00390615">
        <w:rPr>
          <w:i/>
          <w:iCs/>
        </w:rPr>
        <w:t>Interdisciplinary Research in Technology and Management</w:t>
      </w:r>
      <w:r w:rsidRPr="00390615">
        <w:t xml:space="preserve"> (pp. 134–140). CRC Press.</w:t>
      </w:r>
    </w:p>
    <w:p w14:paraId="32145A4E" w14:textId="30E8B845" w:rsidR="006C7F18" w:rsidRPr="00390615" w:rsidRDefault="006C7F18" w:rsidP="00F513B0">
      <w:pPr>
        <w:pStyle w:val="Bibliography"/>
        <w:spacing w:afterLines="20" w:after="48" w:line="240" w:lineRule="auto"/>
        <w:ind w:left="360" w:hanging="360"/>
        <w:jc w:val="both"/>
      </w:pPr>
      <w:r w:rsidRPr="00390615">
        <w:t xml:space="preserve">Uber (2022). Become a delivery driver using Uber Eats. </w:t>
      </w:r>
      <w:r w:rsidRPr="00390615">
        <w:rPr>
          <w:i/>
          <w:iCs/>
        </w:rPr>
        <w:t>Uber</w:t>
      </w:r>
      <w:r w:rsidRPr="00390615">
        <w:t>. https://www.uber.com/us/en/deliver/. Accessed May 21, 2022.</w:t>
      </w:r>
    </w:p>
    <w:p w14:paraId="39B5D087" w14:textId="4DC8F964" w:rsidR="002B38F7" w:rsidRPr="00390615" w:rsidRDefault="002B38F7" w:rsidP="00F513B0">
      <w:pPr>
        <w:pStyle w:val="Bibliography"/>
        <w:tabs>
          <w:tab w:val="right" w:pos="540"/>
        </w:tabs>
        <w:spacing w:afterLines="20" w:after="48" w:line="240" w:lineRule="auto"/>
        <w:ind w:left="540" w:hanging="540"/>
        <w:jc w:val="both"/>
      </w:pPr>
      <w:r w:rsidRPr="00390615">
        <w:t xml:space="preserve">Umberson, D. (1992). Gender, marital status and the social control of health behavior. </w:t>
      </w:r>
      <w:r w:rsidRPr="00390615">
        <w:rPr>
          <w:i/>
          <w:iCs/>
        </w:rPr>
        <w:t xml:space="preserve">Social Science </w:t>
      </w:r>
      <w:r w:rsidR="00420E62" w:rsidRPr="00390615">
        <w:rPr>
          <w:i/>
          <w:iCs/>
        </w:rPr>
        <w:t>and</w:t>
      </w:r>
      <w:r w:rsidRPr="00390615">
        <w:rPr>
          <w:i/>
          <w:iCs/>
        </w:rPr>
        <w:t xml:space="preserve"> Medicine</w:t>
      </w:r>
      <w:r w:rsidRPr="00390615">
        <w:t xml:space="preserve">, </w:t>
      </w:r>
      <w:r w:rsidRPr="00390615">
        <w:rPr>
          <w:i/>
          <w:iCs/>
        </w:rPr>
        <w:t>34</w:t>
      </w:r>
      <w:r w:rsidRPr="00390615">
        <w:t>(8), 907–917.</w:t>
      </w:r>
    </w:p>
    <w:p w14:paraId="0F0DADE0" w14:textId="49F3C699" w:rsidR="002B38F7" w:rsidRPr="00390615" w:rsidRDefault="002B38F7" w:rsidP="00F513B0">
      <w:pPr>
        <w:pStyle w:val="Bibliography"/>
        <w:tabs>
          <w:tab w:val="right" w:pos="540"/>
        </w:tabs>
        <w:spacing w:afterLines="20" w:after="48" w:line="240" w:lineRule="auto"/>
        <w:ind w:left="540" w:hanging="540"/>
        <w:jc w:val="both"/>
      </w:pPr>
      <w:r w:rsidRPr="00390615">
        <w:t xml:space="preserve">Unnikrishnan, A., </w:t>
      </w:r>
      <w:r w:rsidR="00420E62" w:rsidRPr="00390615">
        <w:t>and</w:t>
      </w:r>
      <w:r w:rsidRPr="00390615">
        <w:t xml:space="preserve"> Figliozzi, M. (2021). Exploratory analysis of factors affecting levels of home deliveries before, during, and post-COVID-19. </w:t>
      </w:r>
      <w:r w:rsidRPr="00390615">
        <w:rPr>
          <w:i/>
          <w:iCs/>
        </w:rPr>
        <w:t>Transportation Research Interdisciplinary Perspectives</w:t>
      </w:r>
      <w:r w:rsidRPr="00390615">
        <w:t xml:space="preserve">, </w:t>
      </w:r>
      <w:r w:rsidRPr="00390615">
        <w:rPr>
          <w:i/>
          <w:iCs/>
        </w:rPr>
        <w:t>10</w:t>
      </w:r>
      <w:r w:rsidRPr="00390615">
        <w:t>, 100402.</w:t>
      </w:r>
    </w:p>
    <w:p w14:paraId="1AD43442" w14:textId="589938D2" w:rsidR="002B38F7" w:rsidRPr="00390615" w:rsidRDefault="002B38F7" w:rsidP="00F513B0">
      <w:pPr>
        <w:pStyle w:val="Bibliography"/>
        <w:tabs>
          <w:tab w:val="right" w:pos="540"/>
        </w:tabs>
        <w:spacing w:afterLines="20" w:after="48" w:line="240" w:lineRule="auto"/>
        <w:ind w:left="540" w:hanging="540"/>
        <w:jc w:val="both"/>
      </w:pPr>
      <w:r w:rsidRPr="00390615">
        <w:lastRenderedPageBreak/>
        <w:t>U.S.</w:t>
      </w:r>
      <w:r w:rsidR="00B61C5F" w:rsidRPr="00390615">
        <w:t xml:space="preserve"> </w:t>
      </w:r>
      <w:r w:rsidRPr="00390615">
        <w:t xml:space="preserve">Department of Agriculture (2021). </w:t>
      </w:r>
      <w:r w:rsidRPr="00390615">
        <w:rPr>
          <w:i/>
          <w:iCs/>
        </w:rPr>
        <w:t>Budget share for total food dropped by 10 percent in 2020, a new historical low</w:t>
      </w:r>
      <w:r w:rsidRPr="00390615">
        <w:t xml:space="preserve">. </w:t>
      </w:r>
      <w:r w:rsidR="00973ADE" w:rsidRPr="00390615">
        <w:t xml:space="preserve">Economic Research Service, USDA. </w:t>
      </w:r>
      <w:r w:rsidRPr="00390615">
        <w:t>http://www.ers.usda.gov/data-products/chart-gallery/gallery/chart-detail/?chartId=76967</w:t>
      </w:r>
    </w:p>
    <w:p w14:paraId="59E57F33" w14:textId="0925A8B5" w:rsidR="002B38F7" w:rsidRPr="00390615" w:rsidRDefault="002B38F7" w:rsidP="00F513B0">
      <w:pPr>
        <w:pStyle w:val="Bibliography"/>
        <w:tabs>
          <w:tab w:val="right" w:pos="540"/>
        </w:tabs>
        <w:spacing w:afterLines="20" w:after="48" w:line="240" w:lineRule="auto"/>
        <w:ind w:left="540" w:hanging="540"/>
        <w:jc w:val="both"/>
      </w:pPr>
      <w:r w:rsidRPr="00390615">
        <w:t>U.S.</w:t>
      </w:r>
      <w:r w:rsidR="00B61C5F" w:rsidRPr="00390615">
        <w:t xml:space="preserve"> </w:t>
      </w:r>
      <w:r w:rsidRPr="00390615">
        <w:t xml:space="preserve">Department of Agriculture (2022). </w:t>
      </w:r>
      <w:r w:rsidRPr="00390615">
        <w:rPr>
          <w:i/>
          <w:iCs/>
        </w:rPr>
        <w:t>Food Expenditure Series</w:t>
      </w:r>
      <w:r w:rsidRPr="00390615">
        <w:t xml:space="preserve">. </w:t>
      </w:r>
      <w:r w:rsidR="00973ADE" w:rsidRPr="00390615">
        <w:t xml:space="preserve">Economic Research Service, USDA. </w:t>
      </w:r>
      <w:r w:rsidRPr="00390615">
        <w:t>https://www.ers.usda.gov/data-products/food-expenditure-series/food-expenditure-series/#Current%20Food%20Expenditure%20Series</w:t>
      </w:r>
    </w:p>
    <w:p w14:paraId="544D9C58" w14:textId="07F05C4B" w:rsidR="002B38F7" w:rsidRPr="00390615" w:rsidRDefault="002B38F7" w:rsidP="00F513B0">
      <w:pPr>
        <w:pStyle w:val="Bibliography"/>
        <w:tabs>
          <w:tab w:val="right" w:pos="540"/>
        </w:tabs>
        <w:spacing w:afterLines="20" w:after="48" w:line="240" w:lineRule="auto"/>
        <w:ind w:left="540" w:hanging="540"/>
        <w:jc w:val="both"/>
      </w:pPr>
      <w:r w:rsidRPr="00390615">
        <w:t xml:space="preserve">Venn, D., Banwell, C., </w:t>
      </w:r>
      <w:r w:rsidR="00420E62" w:rsidRPr="00390615">
        <w:t>and</w:t>
      </w:r>
      <w:r w:rsidRPr="00390615">
        <w:t xml:space="preserve"> Dixon, J. (2017). Australia’s evolving food practices: A risky mix of continuity and change. </w:t>
      </w:r>
      <w:r w:rsidRPr="00390615">
        <w:rPr>
          <w:i/>
          <w:iCs/>
        </w:rPr>
        <w:t>Public Health Nutrition</w:t>
      </w:r>
      <w:r w:rsidRPr="00390615">
        <w:t xml:space="preserve">, </w:t>
      </w:r>
      <w:r w:rsidRPr="00390615">
        <w:rPr>
          <w:i/>
          <w:iCs/>
        </w:rPr>
        <w:t>20</w:t>
      </w:r>
      <w:r w:rsidRPr="00390615">
        <w:t>(14), 2549–2558.</w:t>
      </w:r>
    </w:p>
    <w:p w14:paraId="2EA73606" w14:textId="16CD32AE" w:rsidR="005D3220" w:rsidRPr="00390615" w:rsidRDefault="005D3220" w:rsidP="00F513B0">
      <w:pPr>
        <w:pStyle w:val="Bibliography"/>
        <w:tabs>
          <w:tab w:val="right" w:pos="540"/>
        </w:tabs>
        <w:spacing w:afterLines="20" w:after="48" w:line="240" w:lineRule="auto"/>
        <w:ind w:left="540" w:hanging="540"/>
        <w:jc w:val="both"/>
      </w:pPr>
      <w:r w:rsidRPr="00390615">
        <w:t xml:space="preserve">Wan, L., Tang, J., Wang, L., </w:t>
      </w:r>
      <w:r w:rsidR="009D450A">
        <w:t>and</w:t>
      </w:r>
      <w:r w:rsidRPr="00390615">
        <w:t xml:space="preserve"> Schooling, J. (2021). Understanding non-commuting travel demand of car commuters–Insights from ANPR trip chain data in Cambridge. </w:t>
      </w:r>
      <w:r w:rsidRPr="009D450A">
        <w:rPr>
          <w:i/>
        </w:rPr>
        <w:t>Transport Policy</w:t>
      </w:r>
      <w:r w:rsidRPr="00390615">
        <w:t xml:space="preserve">, </w:t>
      </w:r>
      <w:r w:rsidRPr="009D450A">
        <w:rPr>
          <w:i/>
        </w:rPr>
        <w:t>106</w:t>
      </w:r>
      <w:r w:rsidRPr="00390615">
        <w:t>, 76</w:t>
      </w:r>
      <w:r w:rsidR="009D450A" w:rsidRPr="00390615">
        <w:t>–</w:t>
      </w:r>
      <w:r w:rsidRPr="00390615">
        <w:t>87.</w:t>
      </w:r>
    </w:p>
    <w:p w14:paraId="2348E0EF" w14:textId="6F08C631" w:rsidR="005D3220" w:rsidRPr="00390615" w:rsidRDefault="005D3220" w:rsidP="00F513B0">
      <w:pPr>
        <w:pStyle w:val="Bibliography"/>
        <w:tabs>
          <w:tab w:val="right" w:pos="540"/>
        </w:tabs>
        <w:spacing w:afterLines="20" w:after="48" w:line="240" w:lineRule="auto"/>
        <w:ind w:left="540" w:hanging="540"/>
        <w:jc w:val="both"/>
      </w:pPr>
      <w:r w:rsidRPr="00390615">
        <w:t>Wang, R. (2015). The stops made by commuters: evidence from the 2009 US National Household Travel Survey. </w:t>
      </w:r>
      <w:r w:rsidRPr="009D450A">
        <w:rPr>
          <w:i/>
        </w:rPr>
        <w:t>Journal of Transport Geography</w:t>
      </w:r>
      <w:r w:rsidRPr="00390615">
        <w:t>, </w:t>
      </w:r>
      <w:r w:rsidRPr="009D450A">
        <w:rPr>
          <w:i/>
        </w:rPr>
        <w:t>47</w:t>
      </w:r>
      <w:r w:rsidRPr="00390615">
        <w:t>, 109</w:t>
      </w:r>
      <w:r w:rsidR="009D450A" w:rsidRPr="00390615">
        <w:t>–</w:t>
      </w:r>
      <w:r w:rsidRPr="00390615">
        <w:t>118.</w:t>
      </w:r>
    </w:p>
    <w:p w14:paraId="359EEF01" w14:textId="391CDCA1" w:rsidR="002B38F7" w:rsidRPr="00390615" w:rsidRDefault="002B38F7" w:rsidP="00F513B0">
      <w:pPr>
        <w:pStyle w:val="Bibliography"/>
        <w:tabs>
          <w:tab w:val="right" w:pos="540"/>
        </w:tabs>
        <w:spacing w:afterLines="20" w:after="48" w:line="240" w:lineRule="auto"/>
        <w:ind w:left="540" w:hanging="540"/>
        <w:jc w:val="both"/>
      </w:pPr>
      <w:r w:rsidRPr="00390615">
        <w:t xml:space="preserve">Wang, Z., </w:t>
      </w:r>
      <w:r w:rsidR="00420E62" w:rsidRPr="00390615">
        <w:t>and</w:t>
      </w:r>
      <w:r w:rsidRPr="00390615">
        <w:t xml:space="preserve"> He, S. Y. (2021). Impacts of food accessibility and built environment on on-demand food delivery usage. </w:t>
      </w:r>
      <w:r w:rsidRPr="00390615">
        <w:rPr>
          <w:i/>
          <w:iCs/>
        </w:rPr>
        <w:t>Transportation Research Part D</w:t>
      </w:r>
      <w:r w:rsidRPr="00390615">
        <w:t xml:space="preserve">, </w:t>
      </w:r>
      <w:r w:rsidRPr="00390615">
        <w:rPr>
          <w:i/>
          <w:iCs/>
        </w:rPr>
        <w:t>100</w:t>
      </w:r>
      <w:r w:rsidRPr="00390615">
        <w:t>, 103017.</w:t>
      </w:r>
    </w:p>
    <w:p w14:paraId="2D43D4DA" w14:textId="574B96F3" w:rsidR="002B38F7" w:rsidRPr="00390615" w:rsidRDefault="002B38F7" w:rsidP="00F513B0">
      <w:pPr>
        <w:pStyle w:val="Bibliography"/>
        <w:tabs>
          <w:tab w:val="right" w:pos="540"/>
        </w:tabs>
        <w:spacing w:afterLines="20" w:after="48" w:line="240" w:lineRule="auto"/>
        <w:ind w:left="540" w:hanging="540"/>
        <w:jc w:val="both"/>
      </w:pPr>
      <w:r w:rsidRPr="00390615">
        <w:t xml:space="preserve">Warde, A., Cheng, S.-L., Olsen, W., </w:t>
      </w:r>
      <w:r w:rsidR="00420E62" w:rsidRPr="00390615">
        <w:t>and</w:t>
      </w:r>
      <w:r w:rsidRPr="00390615">
        <w:t xml:space="preserve"> Southerton, D. (2007). Changes in the practice of eating: A comparative analysis of time-use. </w:t>
      </w:r>
      <w:r w:rsidRPr="00390615">
        <w:rPr>
          <w:i/>
          <w:iCs/>
        </w:rPr>
        <w:t>Acta Sociologica</w:t>
      </w:r>
      <w:r w:rsidRPr="00390615">
        <w:t xml:space="preserve">, </w:t>
      </w:r>
      <w:r w:rsidRPr="00390615">
        <w:rPr>
          <w:i/>
          <w:iCs/>
        </w:rPr>
        <w:t>50</w:t>
      </w:r>
      <w:r w:rsidRPr="00390615">
        <w:t>(4), 363–385.</w:t>
      </w:r>
    </w:p>
    <w:p w14:paraId="1E4980B8" w14:textId="757C757F" w:rsidR="002B38F7" w:rsidRPr="00390615" w:rsidRDefault="002B38F7" w:rsidP="00F513B0">
      <w:pPr>
        <w:pStyle w:val="Bibliography"/>
        <w:tabs>
          <w:tab w:val="right" w:pos="540"/>
        </w:tabs>
        <w:spacing w:afterLines="20" w:after="48" w:line="240" w:lineRule="auto"/>
        <w:ind w:left="540" w:hanging="540"/>
        <w:jc w:val="both"/>
      </w:pPr>
      <w:r w:rsidRPr="00390615">
        <w:t xml:space="preserve">Warde, A., Paddock, J., </w:t>
      </w:r>
      <w:r w:rsidR="00420E62" w:rsidRPr="00390615">
        <w:t>and</w:t>
      </w:r>
      <w:r w:rsidRPr="00390615">
        <w:t xml:space="preserve"> Whillans, J. (2020). </w:t>
      </w:r>
      <w:r w:rsidRPr="00390615">
        <w:rPr>
          <w:i/>
          <w:iCs/>
        </w:rPr>
        <w:t xml:space="preserve">The </w:t>
      </w:r>
      <w:r w:rsidR="00BB7144" w:rsidRPr="00390615">
        <w:rPr>
          <w:i/>
          <w:iCs/>
        </w:rPr>
        <w:t>S</w:t>
      </w:r>
      <w:r w:rsidRPr="00390615">
        <w:rPr>
          <w:i/>
          <w:iCs/>
        </w:rPr>
        <w:t xml:space="preserve">ocial </w:t>
      </w:r>
      <w:r w:rsidR="00BB7144" w:rsidRPr="00390615">
        <w:rPr>
          <w:i/>
          <w:iCs/>
        </w:rPr>
        <w:t>S</w:t>
      </w:r>
      <w:r w:rsidRPr="00390615">
        <w:rPr>
          <w:i/>
          <w:iCs/>
        </w:rPr>
        <w:t xml:space="preserve">ignificance of </w:t>
      </w:r>
      <w:r w:rsidR="00BB7144" w:rsidRPr="00390615">
        <w:rPr>
          <w:i/>
          <w:iCs/>
        </w:rPr>
        <w:t>D</w:t>
      </w:r>
      <w:r w:rsidRPr="00390615">
        <w:rPr>
          <w:i/>
          <w:iCs/>
        </w:rPr>
        <w:t xml:space="preserve">ining </w:t>
      </w:r>
      <w:r w:rsidR="00BB7144" w:rsidRPr="00390615">
        <w:rPr>
          <w:i/>
          <w:iCs/>
        </w:rPr>
        <w:t>O</w:t>
      </w:r>
      <w:r w:rsidRPr="00390615">
        <w:rPr>
          <w:i/>
          <w:iCs/>
        </w:rPr>
        <w:t xml:space="preserve">ut: A </w:t>
      </w:r>
      <w:r w:rsidR="00BB7144" w:rsidRPr="00390615">
        <w:rPr>
          <w:i/>
          <w:iCs/>
        </w:rPr>
        <w:t>S</w:t>
      </w:r>
      <w:r w:rsidRPr="00390615">
        <w:rPr>
          <w:i/>
          <w:iCs/>
        </w:rPr>
        <w:t xml:space="preserve">tudy of </w:t>
      </w:r>
      <w:r w:rsidR="00BB7144" w:rsidRPr="00390615">
        <w:rPr>
          <w:i/>
          <w:iCs/>
        </w:rPr>
        <w:t>C</w:t>
      </w:r>
      <w:r w:rsidRPr="00390615">
        <w:rPr>
          <w:i/>
          <w:iCs/>
        </w:rPr>
        <w:t xml:space="preserve">ontinuity and </w:t>
      </w:r>
      <w:r w:rsidR="00BB7144" w:rsidRPr="00390615">
        <w:rPr>
          <w:i/>
          <w:iCs/>
        </w:rPr>
        <w:t>C</w:t>
      </w:r>
      <w:r w:rsidRPr="00390615">
        <w:rPr>
          <w:i/>
          <w:iCs/>
        </w:rPr>
        <w:t>hange</w:t>
      </w:r>
      <w:r w:rsidRPr="00390615">
        <w:t>. Manchester University Press.</w:t>
      </w:r>
    </w:p>
    <w:p w14:paraId="04DBDE4D" w14:textId="3B6B833D" w:rsidR="002B38F7" w:rsidRPr="00390615" w:rsidRDefault="002B38F7" w:rsidP="00F513B0">
      <w:pPr>
        <w:pStyle w:val="Bibliography"/>
        <w:tabs>
          <w:tab w:val="right" w:pos="540"/>
        </w:tabs>
        <w:spacing w:afterLines="20" w:after="48" w:line="240" w:lineRule="auto"/>
        <w:ind w:left="540" w:hanging="540"/>
        <w:jc w:val="both"/>
      </w:pPr>
      <w:r w:rsidRPr="00390615">
        <w:t xml:space="preserve">Wellard-Cole, L., Davies, A., </w:t>
      </w:r>
      <w:r w:rsidR="00420E62" w:rsidRPr="00390615">
        <w:t>and</w:t>
      </w:r>
      <w:r w:rsidRPr="00390615">
        <w:t xml:space="preserve"> Allman-Farinelli, M. (2022). Contribution of foods prepared away from home to intakes of energy and nutrients of public health concern in adults: A systematic review. </w:t>
      </w:r>
      <w:r w:rsidRPr="00390615">
        <w:rPr>
          <w:i/>
          <w:iCs/>
        </w:rPr>
        <w:t>Critical Reviews in Food Science and Nutrition</w:t>
      </w:r>
      <w:r w:rsidRPr="00390615">
        <w:t xml:space="preserve">, </w:t>
      </w:r>
      <w:r w:rsidRPr="00390615">
        <w:rPr>
          <w:i/>
          <w:iCs/>
        </w:rPr>
        <w:t>62</w:t>
      </w:r>
      <w:r w:rsidRPr="00390615">
        <w:t>(20), 5511–5522.</w:t>
      </w:r>
    </w:p>
    <w:p w14:paraId="01EBE015" w14:textId="786F0339" w:rsidR="002B38F7" w:rsidRPr="00390615" w:rsidRDefault="002B38F7" w:rsidP="00F513B0">
      <w:pPr>
        <w:pStyle w:val="Bibliography"/>
        <w:tabs>
          <w:tab w:val="right" w:pos="540"/>
        </w:tabs>
        <w:spacing w:afterLines="20" w:after="48" w:line="240" w:lineRule="auto"/>
        <w:ind w:left="540" w:hanging="540"/>
        <w:jc w:val="both"/>
      </w:pPr>
      <w:r w:rsidRPr="00390615">
        <w:t xml:space="preserve">Weltevreden, J. W., </w:t>
      </w:r>
      <w:r w:rsidR="00420E62" w:rsidRPr="00390615">
        <w:t>and</w:t>
      </w:r>
      <w:r w:rsidRPr="00390615">
        <w:t xml:space="preserve"> van Rietbergen, T. (2009). The implications of e-shopping for in-store shopping at various shopping locations in the Netherlands. </w:t>
      </w:r>
      <w:r w:rsidRPr="00390615">
        <w:rPr>
          <w:i/>
          <w:iCs/>
        </w:rPr>
        <w:t>Environment and Planning B: Planning and Design</w:t>
      </w:r>
      <w:r w:rsidRPr="00390615">
        <w:t xml:space="preserve">, </w:t>
      </w:r>
      <w:r w:rsidRPr="00390615">
        <w:rPr>
          <w:i/>
          <w:iCs/>
        </w:rPr>
        <w:t>36</w:t>
      </w:r>
      <w:r w:rsidRPr="00390615">
        <w:t>(2), 279–299.</w:t>
      </w:r>
    </w:p>
    <w:p w14:paraId="51002A45" w14:textId="648393A6" w:rsidR="002B38F7" w:rsidRPr="00390615" w:rsidRDefault="002B38F7" w:rsidP="00F513B0">
      <w:pPr>
        <w:pStyle w:val="Bibliography"/>
        <w:tabs>
          <w:tab w:val="right" w:pos="540"/>
        </w:tabs>
        <w:spacing w:afterLines="20" w:after="48" w:line="240" w:lineRule="auto"/>
        <w:ind w:left="540" w:hanging="540"/>
        <w:jc w:val="both"/>
      </w:pPr>
      <w:r w:rsidRPr="00390615">
        <w:t xml:space="preserve">Wilkes, R., </w:t>
      </w:r>
      <w:r w:rsidR="00420E62" w:rsidRPr="00390615">
        <w:t>and</w:t>
      </w:r>
      <w:r w:rsidRPr="00390615">
        <w:t xml:space="preserve"> Wu, C. (2018). Trust and minority groups. </w:t>
      </w:r>
      <w:r w:rsidRPr="00390615">
        <w:rPr>
          <w:i/>
          <w:iCs/>
        </w:rPr>
        <w:t>The Oxford Handbook of Social and Political Trust</w:t>
      </w:r>
      <w:r w:rsidRPr="00390615">
        <w:t>, 231.</w:t>
      </w:r>
    </w:p>
    <w:p w14:paraId="26C43A2C" w14:textId="4A36ECF2" w:rsidR="0089594F" w:rsidRPr="00390615" w:rsidRDefault="0089594F" w:rsidP="00F513B0">
      <w:pPr>
        <w:spacing w:afterLines="20" w:after="48" w:line="240" w:lineRule="auto"/>
        <w:ind w:left="540" w:hanging="540"/>
        <w:jc w:val="both"/>
      </w:pPr>
      <w:r w:rsidRPr="00390615">
        <w:t xml:space="preserve">Wooldridge, J. M., 1995. Selection corrections for panel data models under conditional mean independence assumptions. </w:t>
      </w:r>
      <w:r w:rsidRPr="00390615">
        <w:rPr>
          <w:i/>
        </w:rPr>
        <w:t>Journal of Econometrics</w:t>
      </w:r>
      <w:r w:rsidRPr="00390615">
        <w:t xml:space="preserve">, </w:t>
      </w:r>
      <w:r w:rsidRPr="00390615">
        <w:rPr>
          <w:i/>
        </w:rPr>
        <w:t>68</w:t>
      </w:r>
      <w:r w:rsidRPr="00390615">
        <w:t>, 115</w:t>
      </w:r>
      <w:r w:rsidR="00F513B0" w:rsidRPr="00390615">
        <w:t>–</w:t>
      </w:r>
      <w:r w:rsidRPr="00390615">
        <w:t xml:space="preserve">132.   </w:t>
      </w:r>
    </w:p>
    <w:p w14:paraId="1EACD391" w14:textId="77777777" w:rsidR="00BB7144" w:rsidRPr="00390615" w:rsidRDefault="002B38F7" w:rsidP="00F513B0">
      <w:pPr>
        <w:pStyle w:val="Bibliography"/>
        <w:tabs>
          <w:tab w:val="right" w:pos="540"/>
        </w:tabs>
        <w:spacing w:afterLines="20" w:after="48" w:line="240" w:lineRule="auto"/>
        <w:ind w:left="540" w:hanging="540"/>
        <w:jc w:val="both"/>
      </w:pPr>
      <w:r w:rsidRPr="00390615">
        <w:t xml:space="preserve">Xiao, Y., Becerik-Gerber, B., Lucas, G., </w:t>
      </w:r>
      <w:r w:rsidR="00420E62" w:rsidRPr="00390615">
        <w:t>and</w:t>
      </w:r>
      <w:r w:rsidRPr="00390615">
        <w:t xml:space="preserve"> Roll, S. C. (2021). Impacts of working from home during COVID-19 pandemic on physical and mental well-being of office workstation users. </w:t>
      </w:r>
      <w:r w:rsidRPr="00390615">
        <w:rPr>
          <w:i/>
          <w:iCs/>
        </w:rPr>
        <w:t>Journal of Occupational and Environmental Medicine</w:t>
      </w:r>
      <w:r w:rsidRPr="00390615">
        <w:t xml:space="preserve">, </w:t>
      </w:r>
      <w:r w:rsidRPr="00390615">
        <w:rPr>
          <w:i/>
          <w:iCs/>
        </w:rPr>
        <w:t>63</w:t>
      </w:r>
      <w:r w:rsidRPr="00390615">
        <w:t>(3), 181</w:t>
      </w:r>
      <w:r w:rsidR="00BB7144" w:rsidRPr="00390615">
        <w:t>–190</w:t>
      </w:r>
      <w:r w:rsidRPr="00390615">
        <w:t>.</w:t>
      </w:r>
    </w:p>
    <w:p w14:paraId="70D982B9" w14:textId="3FC90AB7" w:rsidR="002B38F7" w:rsidRPr="00390615" w:rsidRDefault="002B38F7" w:rsidP="00F513B0">
      <w:pPr>
        <w:pStyle w:val="Bibliography"/>
        <w:tabs>
          <w:tab w:val="right" w:pos="540"/>
        </w:tabs>
        <w:spacing w:afterLines="20" w:after="48" w:line="240" w:lineRule="auto"/>
        <w:ind w:left="540" w:hanging="540"/>
        <w:jc w:val="both"/>
      </w:pPr>
      <w:r w:rsidRPr="00390615">
        <w:t xml:space="preserve">Yang, Y., Liu, H., </w:t>
      </w:r>
      <w:r w:rsidR="00420E62" w:rsidRPr="00390615">
        <w:t>and</w:t>
      </w:r>
      <w:r w:rsidRPr="00390615">
        <w:t xml:space="preserve"> Chen, X. (2020). COVID-19 and restaurant demand: Early effects of the pandemic and stay-at-home orders. </w:t>
      </w:r>
      <w:r w:rsidRPr="00390615">
        <w:rPr>
          <w:i/>
        </w:rPr>
        <w:t>International Journal of Contemporary Hospitality Management</w:t>
      </w:r>
      <w:r w:rsidR="00BB7144" w:rsidRPr="00390615">
        <w:t xml:space="preserve">, </w:t>
      </w:r>
      <w:r w:rsidR="00BB7144" w:rsidRPr="00390615">
        <w:rPr>
          <w:i/>
        </w:rPr>
        <w:t>32</w:t>
      </w:r>
      <w:r w:rsidR="00BB7144" w:rsidRPr="00390615">
        <w:t>(12), 3809–3834.</w:t>
      </w:r>
    </w:p>
    <w:p w14:paraId="6378E146" w14:textId="224B98FB" w:rsidR="002B38F7" w:rsidRPr="00390615" w:rsidRDefault="002B38F7" w:rsidP="00F513B0">
      <w:pPr>
        <w:pStyle w:val="Bibliography"/>
        <w:tabs>
          <w:tab w:val="right" w:pos="540"/>
        </w:tabs>
        <w:spacing w:afterLines="20" w:after="48" w:line="240" w:lineRule="auto"/>
        <w:ind w:left="540" w:hanging="540"/>
        <w:jc w:val="both"/>
      </w:pPr>
      <w:r w:rsidRPr="00390615">
        <w:t xml:space="preserve">Yeo, V. C. S., Goh, S.-K., </w:t>
      </w:r>
      <w:r w:rsidR="00420E62" w:rsidRPr="00390615">
        <w:t>and</w:t>
      </w:r>
      <w:r w:rsidRPr="00390615">
        <w:t xml:space="preserve"> Rezaei, S. (2017). Consumer experiences, attitude and behavioral intention toward online food delivery (OFD) services. </w:t>
      </w:r>
      <w:r w:rsidRPr="00390615">
        <w:rPr>
          <w:i/>
          <w:iCs/>
        </w:rPr>
        <w:t>Journal of Retailing and Consumer Services</w:t>
      </w:r>
      <w:r w:rsidRPr="00390615">
        <w:t xml:space="preserve">, </w:t>
      </w:r>
      <w:r w:rsidRPr="00390615">
        <w:rPr>
          <w:i/>
          <w:iCs/>
        </w:rPr>
        <w:t>35</w:t>
      </w:r>
      <w:r w:rsidRPr="00390615">
        <w:t>, 150–162.</w:t>
      </w:r>
    </w:p>
    <w:p w14:paraId="2F673431" w14:textId="09C983A8" w:rsidR="002B38F7" w:rsidRPr="00D44677" w:rsidRDefault="002B38F7" w:rsidP="00F513B0">
      <w:pPr>
        <w:pStyle w:val="Bibliography"/>
        <w:tabs>
          <w:tab w:val="right" w:pos="540"/>
        </w:tabs>
        <w:spacing w:afterLines="20" w:after="48" w:line="240" w:lineRule="auto"/>
        <w:ind w:left="540" w:hanging="540"/>
        <w:jc w:val="both"/>
      </w:pPr>
      <w:r w:rsidRPr="00390615">
        <w:t>Zang, J., Luo, B., Wang, Y., Zhu, Z., Wang, Z., He, X., Wang, W., Guo, Y., Chen, X.,</w:t>
      </w:r>
      <w:r w:rsidR="00681ACC" w:rsidRPr="00390615">
        <w:t xml:space="preserve"> </w:t>
      </w:r>
      <w:r w:rsidRPr="00390615">
        <w:t>Wang, C.</w:t>
      </w:r>
      <w:r w:rsidR="00681ACC" w:rsidRPr="00390615">
        <w:t xml:space="preserve">, </w:t>
      </w:r>
      <w:r w:rsidR="00681ACC" w:rsidRPr="00390615">
        <w:rPr>
          <w:shd w:val="clear" w:color="auto" w:fill="FFFFFF"/>
        </w:rPr>
        <w:t>Guo, C., Zou, S., Jia, X., and Wu, F.</w:t>
      </w:r>
      <w:r w:rsidRPr="00390615">
        <w:t xml:space="preserve"> (2018). Eating out-of-home in adult residents in Shanghai and the nutritional differences among dining places. </w:t>
      </w:r>
      <w:r w:rsidRPr="00390615">
        <w:rPr>
          <w:i/>
          <w:iCs/>
        </w:rPr>
        <w:t>Nutrients</w:t>
      </w:r>
      <w:r w:rsidRPr="00390615">
        <w:t xml:space="preserve">, </w:t>
      </w:r>
      <w:r w:rsidRPr="00390615">
        <w:rPr>
          <w:i/>
          <w:iCs/>
        </w:rPr>
        <w:t>10</w:t>
      </w:r>
      <w:r w:rsidRPr="00390615">
        <w:t>(7), 951</w:t>
      </w:r>
      <w:r w:rsidRPr="00D44677">
        <w:t>.</w:t>
      </w:r>
    </w:p>
    <w:p w14:paraId="0E983DD7" w14:textId="6AF2041C" w:rsidR="00D00A05" w:rsidRDefault="002B38F7" w:rsidP="0021102F">
      <w:pPr>
        <w:tabs>
          <w:tab w:val="right" w:pos="630"/>
        </w:tabs>
        <w:spacing w:line="276" w:lineRule="auto"/>
        <w:jc w:val="both"/>
      </w:pPr>
      <w:r w:rsidRPr="00D44677">
        <w:fldChar w:fldCharType="end"/>
      </w:r>
      <w:bookmarkEnd w:id="64"/>
      <w:r w:rsidR="00D00A05">
        <w:br w:type="page"/>
      </w:r>
    </w:p>
    <w:p w14:paraId="79857AC6" w14:textId="6914AF6F" w:rsidR="00472474" w:rsidRDefault="00472474" w:rsidP="00472474">
      <w:pPr>
        <w:pStyle w:val="Caption"/>
        <w:spacing w:after="0"/>
        <w:rPr>
          <w:b w:val="0"/>
          <w:sz w:val="24"/>
          <w:szCs w:val="24"/>
        </w:rPr>
      </w:pPr>
    </w:p>
    <w:p w14:paraId="599B2DE2" w14:textId="1D5EFE9B" w:rsidR="00472474" w:rsidRDefault="00472474" w:rsidP="00472474"/>
    <w:p w14:paraId="605A428B" w14:textId="01B7BE38" w:rsidR="00472474" w:rsidRDefault="00472474" w:rsidP="00472474"/>
    <w:p w14:paraId="01091728" w14:textId="77777777" w:rsidR="00472474" w:rsidRDefault="00472474" w:rsidP="00472474"/>
    <w:p w14:paraId="69E10E05" w14:textId="77777777" w:rsidR="00472474" w:rsidRPr="00472474" w:rsidRDefault="00472474" w:rsidP="00472474"/>
    <w:tbl>
      <w:tblPr>
        <w:tblStyle w:val="TableGrid"/>
        <w:tblW w:w="4393"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92"/>
        <w:gridCol w:w="3417"/>
        <w:gridCol w:w="690"/>
        <w:gridCol w:w="3416"/>
      </w:tblGrid>
      <w:tr w:rsidR="00472474" w14:paraId="0C47A475" w14:textId="77777777" w:rsidTr="00AC636C">
        <w:trPr>
          <w:tblHeader/>
          <w:jc w:val="center"/>
        </w:trPr>
        <w:tc>
          <w:tcPr>
            <w:tcW w:w="421" w:type="pct"/>
            <w:tcBorders>
              <w:bottom w:val="single" w:sz="4" w:space="0" w:color="000000" w:themeColor="text1"/>
            </w:tcBorders>
            <w:vAlign w:val="center"/>
          </w:tcPr>
          <w:p w14:paraId="10C3F212" w14:textId="77777777" w:rsidR="00472474" w:rsidRPr="00D37CA3" w:rsidRDefault="00472474" w:rsidP="00AC636C">
            <w:pPr>
              <w:jc w:val="center"/>
              <w:rPr>
                <w:b/>
              </w:rPr>
            </w:pPr>
            <w:r w:rsidRPr="00D37CA3">
              <w:rPr>
                <w:b/>
              </w:rPr>
              <w:t>No.</w:t>
            </w:r>
          </w:p>
        </w:tc>
        <w:tc>
          <w:tcPr>
            <w:tcW w:w="2080" w:type="pct"/>
            <w:tcBorders>
              <w:bottom w:val="single" w:sz="4" w:space="0" w:color="000000" w:themeColor="text1"/>
            </w:tcBorders>
            <w:vAlign w:val="center"/>
          </w:tcPr>
          <w:p w14:paraId="482A64FF" w14:textId="77777777" w:rsidR="00472474" w:rsidRPr="00D37CA3" w:rsidRDefault="00472474" w:rsidP="00AC636C">
            <w:pPr>
              <w:jc w:val="center"/>
              <w:rPr>
                <w:b/>
              </w:rPr>
            </w:pPr>
            <w:r w:rsidRPr="00D37CA3">
              <w:rPr>
                <w:b/>
              </w:rPr>
              <w:t>Structure relationships</w:t>
            </w:r>
          </w:p>
        </w:tc>
        <w:tc>
          <w:tcPr>
            <w:tcW w:w="420" w:type="pct"/>
            <w:tcBorders>
              <w:bottom w:val="single" w:sz="4" w:space="0" w:color="000000" w:themeColor="text1"/>
            </w:tcBorders>
            <w:vAlign w:val="center"/>
          </w:tcPr>
          <w:p w14:paraId="1D7156EB" w14:textId="77777777" w:rsidR="00472474" w:rsidRPr="00D37CA3" w:rsidRDefault="00472474" w:rsidP="00AC636C">
            <w:pPr>
              <w:jc w:val="center"/>
              <w:rPr>
                <w:b/>
              </w:rPr>
            </w:pPr>
            <w:r w:rsidRPr="00D37CA3">
              <w:rPr>
                <w:b/>
              </w:rPr>
              <w:t>No.</w:t>
            </w:r>
          </w:p>
        </w:tc>
        <w:tc>
          <w:tcPr>
            <w:tcW w:w="2079" w:type="pct"/>
            <w:tcBorders>
              <w:bottom w:val="single" w:sz="4" w:space="0" w:color="000000" w:themeColor="text1"/>
            </w:tcBorders>
            <w:vAlign w:val="center"/>
          </w:tcPr>
          <w:p w14:paraId="20202567" w14:textId="77777777" w:rsidR="00472474" w:rsidRPr="00D37CA3" w:rsidRDefault="00472474" w:rsidP="00AC636C">
            <w:pPr>
              <w:jc w:val="center"/>
              <w:rPr>
                <w:b/>
              </w:rPr>
            </w:pPr>
            <w:r w:rsidRPr="00D37CA3">
              <w:rPr>
                <w:b/>
              </w:rPr>
              <w:t>Structure relationships</w:t>
            </w:r>
          </w:p>
        </w:tc>
      </w:tr>
      <w:tr w:rsidR="00472474" w14:paraId="7729CE54" w14:textId="77777777" w:rsidTr="00AC636C">
        <w:trPr>
          <w:trHeight w:val="1584"/>
          <w:jc w:val="center"/>
        </w:trPr>
        <w:tc>
          <w:tcPr>
            <w:tcW w:w="421" w:type="pct"/>
            <w:tcBorders>
              <w:top w:val="single" w:sz="4" w:space="0" w:color="000000" w:themeColor="text1"/>
              <w:left w:val="single" w:sz="4" w:space="0" w:color="000000" w:themeColor="text1"/>
              <w:bottom w:val="nil"/>
              <w:right w:val="single" w:sz="4" w:space="0" w:color="000000" w:themeColor="text1"/>
            </w:tcBorders>
            <w:vAlign w:val="center"/>
          </w:tcPr>
          <w:p w14:paraId="337CCD49" w14:textId="77777777" w:rsidR="00472474" w:rsidRPr="00D37CA3" w:rsidRDefault="00472474" w:rsidP="00AC636C">
            <w:pPr>
              <w:jc w:val="center"/>
              <w:rPr>
                <w:b/>
              </w:rPr>
            </w:pPr>
            <w:r w:rsidRPr="00D37CA3">
              <w:rPr>
                <w:b/>
              </w:rPr>
              <w:t>1</w:t>
            </w:r>
          </w:p>
        </w:tc>
        <w:tc>
          <w:tcPr>
            <w:tcW w:w="2080" w:type="pct"/>
            <w:tcBorders>
              <w:top w:val="single" w:sz="4" w:space="0" w:color="000000" w:themeColor="text1"/>
              <w:left w:val="single" w:sz="4" w:space="0" w:color="000000" w:themeColor="text1"/>
              <w:bottom w:val="nil"/>
              <w:right w:val="single" w:sz="4" w:space="0" w:color="000000" w:themeColor="text1"/>
            </w:tcBorders>
            <w:vAlign w:val="center"/>
          </w:tcPr>
          <w:p w14:paraId="55DC2683" w14:textId="77777777" w:rsidR="00472474" w:rsidRDefault="00472474" w:rsidP="00AC636C">
            <w:pPr>
              <w:jc w:val="center"/>
            </w:pPr>
            <w:r>
              <w:rPr>
                <w:noProof/>
              </w:rPr>
              <w:drawing>
                <wp:inline distT="0" distB="0" distL="0" distR="0" wp14:anchorId="53DAE2B4" wp14:editId="0F37EAFC">
                  <wp:extent cx="1828800" cy="8612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828800" cy="861237"/>
                          </a:xfrm>
                          <a:prstGeom prst="rect">
                            <a:avLst/>
                          </a:prstGeom>
                          <a:noFill/>
                        </pic:spPr>
                      </pic:pic>
                    </a:graphicData>
                  </a:graphic>
                </wp:inline>
              </w:drawing>
            </w:r>
          </w:p>
        </w:tc>
        <w:tc>
          <w:tcPr>
            <w:tcW w:w="420" w:type="pct"/>
            <w:tcBorders>
              <w:top w:val="single" w:sz="4" w:space="0" w:color="000000" w:themeColor="text1"/>
              <w:left w:val="single" w:sz="4" w:space="0" w:color="000000" w:themeColor="text1"/>
              <w:bottom w:val="nil"/>
              <w:right w:val="single" w:sz="4" w:space="0" w:color="000000" w:themeColor="text1"/>
            </w:tcBorders>
            <w:vAlign w:val="center"/>
          </w:tcPr>
          <w:p w14:paraId="79BE43E2" w14:textId="77777777" w:rsidR="00472474" w:rsidRPr="00D37CA3" w:rsidRDefault="00472474" w:rsidP="00AC636C">
            <w:pPr>
              <w:jc w:val="center"/>
              <w:rPr>
                <w:b/>
              </w:rPr>
            </w:pPr>
            <w:r w:rsidRPr="00D37CA3">
              <w:rPr>
                <w:b/>
              </w:rPr>
              <w:t>2</w:t>
            </w:r>
          </w:p>
        </w:tc>
        <w:tc>
          <w:tcPr>
            <w:tcW w:w="2079" w:type="pct"/>
            <w:tcBorders>
              <w:top w:val="single" w:sz="4" w:space="0" w:color="000000" w:themeColor="text1"/>
              <w:left w:val="single" w:sz="4" w:space="0" w:color="000000" w:themeColor="text1"/>
              <w:bottom w:val="nil"/>
              <w:right w:val="single" w:sz="4" w:space="0" w:color="000000" w:themeColor="text1"/>
            </w:tcBorders>
            <w:vAlign w:val="center"/>
          </w:tcPr>
          <w:p w14:paraId="133F1C35" w14:textId="77777777" w:rsidR="00472474" w:rsidRDefault="00472474" w:rsidP="00AC636C">
            <w:pPr>
              <w:jc w:val="center"/>
            </w:pPr>
            <w:r>
              <w:rPr>
                <w:noProof/>
              </w:rPr>
              <w:drawing>
                <wp:inline distT="0" distB="0" distL="0" distR="0" wp14:anchorId="6F3E85FC" wp14:editId="4CA6F67A">
                  <wp:extent cx="1828800" cy="863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828800" cy="863420"/>
                          </a:xfrm>
                          <a:prstGeom prst="rect">
                            <a:avLst/>
                          </a:prstGeom>
                          <a:noFill/>
                        </pic:spPr>
                      </pic:pic>
                    </a:graphicData>
                  </a:graphic>
                </wp:inline>
              </w:drawing>
            </w:r>
          </w:p>
        </w:tc>
      </w:tr>
      <w:tr w:rsidR="00472474" w14:paraId="3845C987" w14:textId="77777777" w:rsidTr="00AC636C">
        <w:trPr>
          <w:trHeight w:val="1584"/>
          <w:jc w:val="center"/>
        </w:trPr>
        <w:tc>
          <w:tcPr>
            <w:tcW w:w="421" w:type="pct"/>
            <w:tcBorders>
              <w:top w:val="nil"/>
              <w:left w:val="single" w:sz="4" w:space="0" w:color="000000" w:themeColor="text1"/>
              <w:bottom w:val="nil"/>
              <w:right w:val="single" w:sz="4" w:space="0" w:color="000000" w:themeColor="text1"/>
            </w:tcBorders>
            <w:vAlign w:val="center"/>
          </w:tcPr>
          <w:p w14:paraId="19DD6BBF" w14:textId="77777777" w:rsidR="00472474" w:rsidRPr="00D37CA3" w:rsidRDefault="00472474" w:rsidP="00AC636C">
            <w:pPr>
              <w:jc w:val="center"/>
              <w:rPr>
                <w:b/>
              </w:rPr>
            </w:pPr>
            <w:r w:rsidRPr="00D37CA3">
              <w:rPr>
                <w:b/>
              </w:rPr>
              <w:t>3</w:t>
            </w:r>
          </w:p>
        </w:tc>
        <w:tc>
          <w:tcPr>
            <w:tcW w:w="2080" w:type="pct"/>
            <w:tcBorders>
              <w:top w:val="nil"/>
              <w:left w:val="single" w:sz="4" w:space="0" w:color="000000" w:themeColor="text1"/>
              <w:bottom w:val="nil"/>
              <w:right w:val="single" w:sz="4" w:space="0" w:color="000000" w:themeColor="text1"/>
            </w:tcBorders>
            <w:vAlign w:val="center"/>
          </w:tcPr>
          <w:p w14:paraId="5E7B4258" w14:textId="77777777" w:rsidR="00472474" w:rsidRDefault="00472474" w:rsidP="00AC636C">
            <w:pPr>
              <w:jc w:val="center"/>
            </w:pPr>
            <w:r>
              <w:rPr>
                <w:noProof/>
              </w:rPr>
              <w:drawing>
                <wp:inline distT="0" distB="0" distL="0" distR="0" wp14:anchorId="3C4A8FBF" wp14:editId="13795BAB">
                  <wp:extent cx="1828626" cy="85661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2">
                            <a:extLst>
                              <a:ext uri="{28A0092B-C50C-407E-A947-70E740481C1C}">
                                <a14:useLocalDpi xmlns:a14="http://schemas.microsoft.com/office/drawing/2010/main" val="0"/>
                              </a:ext>
                            </a:extLst>
                          </a:blip>
                          <a:stretch>
                            <a:fillRect/>
                          </a:stretch>
                        </pic:blipFill>
                        <pic:spPr bwMode="auto">
                          <a:xfrm>
                            <a:off x="0" y="0"/>
                            <a:ext cx="1828626" cy="856614"/>
                          </a:xfrm>
                          <a:prstGeom prst="rect">
                            <a:avLst/>
                          </a:prstGeom>
                          <a:noFill/>
                        </pic:spPr>
                      </pic:pic>
                    </a:graphicData>
                  </a:graphic>
                </wp:inline>
              </w:drawing>
            </w:r>
          </w:p>
        </w:tc>
        <w:tc>
          <w:tcPr>
            <w:tcW w:w="420" w:type="pct"/>
            <w:tcBorders>
              <w:top w:val="nil"/>
              <w:left w:val="single" w:sz="4" w:space="0" w:color="000000" w:themeColor="text1"/>
              <w:bottom w:val="nil"/>
              <w:right w:val="single" w:sz="4" w:space="0" w:color="000000" w:themeColor="text1"/>
            </w:tcBorders>
            <w:vAlign w:val="center"/>
          </w:tcPr>
          <w:p w14:paraId="39AD2082" w14:textId="77777777" w:rsidR="00472474" w:rsidRPr="00D37CA3" w:rsidRDefault="00472474" w:rsidP="00AC636C">
            <w:pPr>
              <w:jc w:val="center"/>
              <w:rPr>
                <w:b/>
              </w:rPr>
            </w:pPr>
            <w:r w:rsidRPr="00D37CA3">
              <w:rPr>
                <w:b/>
              </w:rPr>
              <w:t>4</w:t>
            </w:r>
          </w:p>
        </w:tc>
        <w:tc>
          <w:tcPr>
            <w:tcW w:w="2079" w:type="pct"/>
            <w:tcBorders>
              <w:top w:val="nil"/>
              <w:left w:val="single" w:sz="4" w:space="0" w:color="000000" w:themeColor="text1"/>
              <w:bottom w:val="nil"/>
              <w:right w:val="single" w:sz="4" w:space="0" w:color="000000" w:themeColor="text1"/>
            </w:tcBorders>
            <w:vAlign w:val="center"/>
          </w:tcPr>
          <w:p w14:paraId="41C4DC57" w14:textId="77777777" w:rsidR="00472474" w:rsidRDefault="00472474" w:rsidP="00AC636C">
            <w:pPr>
              <w:jc w:val="center"/>
            </w:pPr>
            <w:r>
              <w:rPr>
                <w:noProof/>
              </w:rPr>
              <w:drawing>
                <wp:inline distT="0" distB="0" distL="0" distR="0" wp14:anchorId="31BE7B53" wp14:editId="738DEE93">
                  <wp:extent cx="1828800" cy="8587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828800" cy="858785"/>
                          </a:xfrm>
                          <a:prstGeom prst="rect">
                            <a:avLst/>
                          </a:prstGeom>
                          <a:noFill/>
                        </pic:spPr>
                      </pic:pic>
                    </a:graphicData>
                  </a:graphic>
                </wp:inline>
              </w:drawing>
            </w:r>
          </w:p>
        </w:tc>
      </w:tr>
      <w:tr w:rsidR="00472474" w14:paraId="544213EF" w14:textId="77777777" w:rsidTr="00AC636C">
        <w:trPr>
          <w:trHeight w:val="1584"/>
          <w:jc w:val="center"/>
        </w:trPr>
        <w:tc>
          <w:tcPr>
            <w:tcW w:w="421" w:type="pct"/>
            <w:tcBorders>
              <w:top w:val="nil"/>
              <w:left w:val="single" w:sz="4" w:space="0" w:color="000000" w:themeColor="text1"/>
              <w:bottom w:val="single" w:sz="4" w:space="0" w:color="auto"/>
              <w:right w:val="single" w:sz="4" w:space="0" w:color="000000" w:themeColor="text1"/>
            </w:tcBorders>
            <w:vAlign w:val="center"/>
          </w:tcPr>
          <w:p w14:paraId="6851044D" w14:textId="77777777" w:rsidR="00472474" w:rsidRPr="00D37CA3" w:rsidRDefault="00472474" w:rsidP="00AC636C">
            <w:pPr>
              <w:jc w:val="center"/>
              <w:rPr>
                <w:b/>
              </w:rPr>
            </w:pPr>
            <w:r w:rsidRPr="00D37CA3">
              <w:rPr>
                <w:b/>
              </w:rPr>
              <w:t>5</w:t>
            </w:r>
          </w:p>
        </w:tc>
        <w:tc>
          <w:tcPr>
            <w:tcW w:w="2080" w:type="pct"/>
            <w:tcBorders>
              <w:top w:val="nil"/>
              <w:left w:val="single" w:sz="4" w:space="0" w:color="000000" w:themeColor="text1"/>
              <w:bottom w:val="single" w:sz="4" w:space="0" w:color="auto"/>
              <w:right w:val="single" w:sz="4" w:space="0" w:color="000000" w:themeColor="text1"/>
            </w:tcBorders>
            <w:vAlign w:val="center"/>
          </w:tcPr>
          <w:p w14:paraId="071EEA06" w14:textId="77777777" w:rsidR="00472474" w:rsidRDefault="00472474" w:rsidP="00AC636C">
            <w:pPr>
              <w:jc w:val="center"/>
            </w:pPr>
            <w:r>
              <w:rPr>
                <w:noProof/>
              </w:rPr>
              <w:drawing>
                <wp:inline distT="0" distB="0" distL="0" distR="0" wp14:anchorId="27066BEC" wp14:editId="3C671394">
                  <wp:extent cx="1828800" cy="8612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828800" cy="861237"/>
                          </a:xfrm>
                          <a:prstGeom prst="rect">
                            <a:avLst/>
                          </a:prstGeom>
                          <a:noFill/>
                        </pic:spPr>
                      </pic:pic>
                    </a:graphicData>
                  </a:graphic>
                </wp:inline>
              </w:drawing>
            </w:r>
          </w:p>
        </w:tc>
        <w:tc>
          <w:tcPr>
            <w:tcW w:w="420" w:type="pct"/>
            <w:tcBorders>
              <w:top w:val="nil"/>
              <w:left w:val="single" w:sz="4" w:space="0" w:color="000000" w:themeColor="text1"/>
              <w:bottom w:val="single" w:sz="4" w:space="0" w:color="auto"/>
              <w:right w:val="single" w:sz="4" w:space="0" w:color="000000" w:themeColor="text1"/>
            </w:tcBorders>
            <w:vAlign w:val="center"/>
          </w:tcPr>
          <w:p w14:paraId="480498CF" w14:textId="77777777" w:rsidR="00472474" w:rsidRPr="00D37CA3" w:rsidRDefault="00472474" w:rsidP="00AC636C">
            <w:pPr>
              <w:jc w:val="center"/>
              <w:rPr>
                <w:b/>
              </w:rPr>
            </w:pPr>
            <w:r w:rsidRPr="00D37CA3">
              <w:rPr>
                <w:b/>
              </w:rPr>
              <w:t>6</w:t>
            </w:r>
          </w:p>
        </w:tc>
        <w:tc>
          <w:tcPr>
            <w:tcW w:w="2079" w:type="pct"/>
            <w:tcBorders>
              <w:top w:val="nil"/>
              <w:left w:val="single" w:sz="4" w:space="0" w:color="000000" w:themeColor="text1"/>
              <w:bottom w:val="single" w:sz="4" w:space="0" w:color="auto"/>
              <w:right w:val="single" w:sz="4" w:space="0" w:color="000000" w:themeColor="text1"/>
            </w:tcBorders>
            <w:vAlign w:val="center"/>
          </w:tcPr>
          <w:p w14:paraId="7367129D" w14:textId="77777777" w:rsidR="00472474" w:rsidRDefault="00472474" w:rsidP="00AC636C">
            <w:pPr>
              <w:jc w:val="center"/>
            </w:pPr>
            <w:r>
              <w:rPr>
                <w:noProof/>
              </w:rPr>
              <w:drawing>
                <wp:inline distT="0" distB="0" distL="0" distR="0" wp14:anchorId="5966DC3F" wp14:editId="5A1C41AA">
                  <wp:extent cx="1828800" cy="863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828800" cy="863420"/>
                          </a:xfrm>
                          <a:prstGeom prst="rect">
                            <a:avLst/>
                          </a:prstGeom>
                          <a:noFill/>
                        </pic:spPr>
                      </pic:pic>
                    </a:graphicData>
                  </a:graphic>
                </wp:inline>
              </w:drawing>
            </w:r>
          </w:p>
        </w:tc>
      </w:tr>
    </w:tbl>
    <w:p w14:paraId="06039E41" w14:textId="77777777" w:rsidR="00472474" w:rsidRDefault="00472474" w:rsidP="00472474">
      <w:pPr>
        <w:pStyle w:val="ctrbodytext"/>
        <w:spacing w:before="240" w:after="0"/>
        <w:jc w:val="center"/>
        <w:rPr>
          <w:b/>
        </w:rPr>
      </w:pPr>
      <w:r w:rsidRPr="002C5F6C">
        <w:rPr>
          <w:b/>
        </w:rPr>
        <w:t>Figure 1. Possible causal structures for endogenous variable effects</w:t>
      </w:r>
    </w:p>
    <w:p w14:paraId="48F1D196" w14:textId="77777777" w:rsidR="00472474" w:rsidRDefault="00472474" w:rsidP="00CB743D">
      <w:pPr>
        <w:pStyle w:val="Caption"/>
        <w:spacing w:after="120"/>
        <w:rPr>
          <w:sz w:val="24"/>
          <w:szCs w:val="24"/>
        </w:rPr>
      </w:pPr>
    </w:p>
    <w:p w14:paraId="70E1D370" w14:textId="77777777" w:rsidR="00472474" w:rsidRDefault="00472474" w:rsidP="00CB743D">
      <w:pPr>
        <w:pStyle w:val="Caption"/>
        <w:spacing w:after="120"/>
        <w:rPr>
          <w:sz w:val="24"/>
          <w:szCs w:val="24"/>
        </w:rPr>
      </w:pPr>
    </w:p>
    <w:p w14:paraId="2522DBD5" w14:textId="77777777" w:rsidR="00472474" w:rsidRDefault="00472474" w:rsidP="00CB743D">
      <w:pPr>
        <w:pStyle w:val="Caption"/>
        <w:spacing w:after="120"/>
        <w:rPr>
          <w:sz w:val="24"/>
          <w:szCs w:val="24"/>
        </w:rPr>
      </w:pPr>
    </w:p>
    <w:p w14:paraId="62FDDB11" w14:textId="77777777" w:rsidR="00472474" w:rsidRDefault="00472474" w:rsidP="00CB743D">
      <w:pPr>
        <w:pStyle w:val="Caption"/>
        <w:spacing w:after="120"/>
        <w:rPr>
          <w:sz w:val="24"/>
          <w:szCs w:val="24"/>
        </w:rPr>
      </w:pPr>
    </w:p>
    <w:p w14:paraId="32DE8347" w14:textId="77777777" w:rsidR="00472474" w:rsidRDefault="00472474">
      <w:pPr>
        <w:rPr>
          <w:b/>
          <w:iCs/>
          <w:color w:val="000000" w:themeColor="text1"/>
        </w:rPr>
      </w:pPr>
      <w:r>
        <w:br w:type="page"/>
      </w:r>
    </w:p>
    <w:p w14:paraId="5148205A" w14:textId="59099971" w:rsidR="00D00A05" w:rsidRPr="00D76210" w:rsidRDefault="00D00A05" w:rsidP="00CB743D">
      <w:pPr>
        <w:pStyle w:val="Caption"/>
        <w:spacing w:after="120"/>
      </w:pPr>
      <w:r w:rsidRPr="002C5F6C">
        <w:rPr>
          <w:sz w:val="24"/>
          <w:szCs w:val="24"/>
        </w:rPr>
        <w:lastRenderedPageBreak/>
        <w:t xml:space="preserve">Table </w:t>
      </w:r>
      <w:r w:rsidRPr="002C5F6C">
        <w:rPr>
          <w:b w:val="0"/>
          <w:iCs w:val="0"/>
        </w:rPr>
        <w:fldChar w:fldCharType="begin"/>
      </w:r>
      <w:r w:rsidRPr="002C5F6C">
        <w:rPr>
          <w:sz w:val="24"/>
          <w:szCs w:val="24"/>
        </w:rPr>
        <w:instrText xml:space="preserve"> SEQ Table \* ARABIC </w:instrText>
      </w:r>
      <w:r w:rsidRPr="002C5F6C">
        <w:rPr>
          <w:b w:val="0"/>
          <w:iCs w:val="0"/>
        </w:rPr>
        <w:fldChar w:fldCharType="separate"/>
      </w:r>
      <w:r w:rsidR="00C6188A">
        <w:rPr>
          <w:noProof/>
          <w:sz w:val="24"/>
          <w:szCs w:val="24"/>
        </w:rPr>
        <w:t>1</w:t>
      </w:r>
      <w:r w:rsidRPr="002C5F6C">
        <w:rPr>
          <w:b w:val="0"/>
          <w:iCs w:val="0"/>
          <w:noProof/>
        </w:rPr>
        <w:fldChar w:fldCharType="end"/>
      </w:r>
      <w:r w:rsidRPr="002C5F6C">
        <w:rPr>
          <w:sz w:val="24"/>
          <w:szCs w:val="24"/>
        </w:rPr>
        <w:t>. Descriptive statistics for individual/household-level and employment status/job variables</w:t>
      </w:r>
      <w:r>
        <w:t xml:space="preserve"> </w:t>
      </w:r>
    </w:p>
    <w:tbl>
      <w:tblPr>
        <w:tblW w:w="496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82"/>
        <w:gridCol w:w="15"/>
        <w:gridCol w:w="709"/>
        <w:gridCol w:w="20"/>
        <w:gridCol w:w="611"/>
        <w:gridCol w:w="19"/>
        <w:gridCol w:w="7"/>
        <w:gridCol w:w="772"/>
        <w:gridCol w:w="3149"/>
        <w:gridCol w:w="724"/>
        <w:gridCol w:w="629"/>
        <w:gridCol w:w="718"/>
      </w:tblGrid>
      <w:tr w:rsidR="00CD499A" w:rsidRPr="00647984" w14:paraId="16688705" w14:textId="77777777" w:rsidTr="00CB743D">
        <w:trPr>
          <w:trHeight w:val="331"/>
          <w:tblHeader/>
        </w:trPr>
        <w:tc>
          <w:tcPr>
            <w:tcW w:w="1025" w:type="pct"/>
            <w:gridSpan w:val="2"/>
            <w:vMerge w:val="restart"/>
            <w:tcBorders>
              <w:top w:val="double" w:sz="4" w:space="0" w:color="auto"/>
              <w:left w:val="double" w:sz="4" w:space="0" w:color="auto"/>
              <w:bottom w:val="double" w:sz="4" w:space="0" w:color="auto"/>
              <w:right w:val="single" w:sz="4" w:space="0" w:color="auto"/>
            </w:tcBorders>
            <w:shd w:val="clear" w:color="auto" w:fill="auto"/>
            <w:tcMar>
              <w:left w:w="43" w:type="dxa"/>
              <w:right w:w="43" w:type="dxa"/>
            </w:tcMar>
            <w:vAlign w:val="center"/>
            <w:hideMark/>
          </w:tcPr>
          <w:p w14:paraId="570DFC4D" w14:textId="77777777" w:rsidR="00366191" w:rsidRPr="00647984" w:rsidRDefault="00366191" w:rsidP="00D00A05">
            <w:pPr>
              <w:spacing w:after="0" w:line="240" w:lineRule="auto"/>
              <w:rPr>
                <w:rFonts w:eastAsia="Times New Roman"/>
                <w:b/>
                <w:bCs/>
                <w:color w:val="000000"/>
                <w:sz w:val="21"/>
                <w:szCs w:val="21"/>
              </w:rPr>
            </w:pPr>
            <w:r w:rsidRPr="00647984">
              <w:rPr>
                <w:rFonts w:eastAsia="Times New Roman"/>
                <w:b/>
                <w:bCs/>
                <w:color w:val="000000"/>
                <w:sz w:val="21"/>
                <w:szCs w:val="21"/>
              </w:rPr>
              <w:t>Variable</w:t>
            </w:r>
          </w:p>
        </w:tc>
        <w:tc>
          <w:tcPr>
            <w:tcW w:w="738" w:type="pct"/>
            <w:gridSpan w:val="5"/>
            <w:tcBorders>
              <w:top w:val="doub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4E950D7C"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Sample</w:t>
            </w:r>
          </w:p>
        </w:tc>
        <w:tc>
          <w:tcPr>
            <w:tcW w:w="417" w:type="pct"/>
            <w:vMerge w:val="restart"/>
            <w:tcBorders>
              <w:top w:val="double" w:sz="4" w:space="0" w:color="auto"/>
              <w:left w:val="single" w:sz="4" w:space="0" w:color="auto"/>
              <w:right w:val="double" w:sz="4" w:space="0" w:color="auto"/>
            </w:tcBorders>
            <w:shd w:val="clear" w:color="auto" w:fill="auto"/>
            <w:tcMar>
              <w:left w:w="43" w:type="dxa"/>
              <w:right w:w="43" w:type="dxa"/>
            </w:tcMar>
            <w:vAlign w:val="center"/>
            <w:hideMark/>
          </w:tcPr>
          <w:p w14:paraId="47331D05"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Texas</w:t>
            </w:r>
          </w:p>
          <w:p w14:paraId="0EED33E4"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w:t>
            </w:r>
          </w:p>
        </w:tc>
        <w:tc>
          <w:tcPr>
            <w:tcW w:w="1701" w:type="pct"/>
            <w:vMerge w:val="restart"/>
            <w:tcBorders>
              <w:top w:val="double" w:sz="4" w:space="0" w:color="auto"/>
              <w:left w:val="double" w:sz="4" w:space="0" w:color="auto"/>
              <w:right w:val="single" w:sz="4" w:space="0" w:color="auto"/>
            </w:tcBorders>
            <w:shd w:val="clear" w:color="auto" w:fill="auto"/>
            <w:tcMar>
              <w:left w:w="43" w:type="dxa"/>
              <w:right w:w="43" w:type="dxa"/>
            </w:tcMar>
            <w:vAlign w:val="center"/>
            <w:hideMark/>
          </w:tcPr>
          <w:p w14:paraId="3CEC7AF5" w14:textId="77777777" w:rsidR="00366191" w:rsidRPr="00647984" w:rsidRDefault="00366191" w:rsidP="00D00A05">
            <w:pPr>
              <w:spacing w:after="0" w:line="240" w:lineRule="auto"/>
              <w:rPr>
                <w:rFonts w:eastAsia="Times New Roman"/>
                <w:b/>
                <w:bCs/>
                <w:color w:val="000000"/>
                <w:sz w:val="21"/>
                <w:szCs w:val="21"/>
              </w:rPr>
            </w:pPr>
            <w:r w:rsidRPr="00647984">
              <w:rPr>
                <w:rFonts w:eastAsia="Times New Roman"/>
                <w:b/>
                <w:bCs/>
                <w:color w:val="000000"/>
                <w:sz w:val="21"/>
                <w:szCs w:val="21"/>
              </w:rPr>
              <w:t>Variable</w:t>
            </w:r>
          </w:p>
        </w:tc>
        <w:tc>
          <w:tcPr>
            <w:tcW w:w="731" w:type="pct"/>
            <w:gridSpan w:val="2"/>
            <w:tcBorders>
              <w:top w:val="doub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14:paraId="5735EDA2"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Sample</w:t>
            </w:r>
          </w:p>
        </w:tc>
        <w:tc>
          <w:tcPr>
            <w:tcW w:w="388" w:type="pct"/>
            <w:vMerge w:val="restart"/>
            <w:tcBorders>
              <w:top w:val="double" w:sz="4" w:space="0" w:color="auto"/>
              <w:left w:val="single" w:sz="4" w:space="0" w:color="auto"/>
              <w:right w:val="double" w:sz="4" w:space="0" w:color="auto"/>
            </w:tcBorders>
            <w:shd w:val="clear" w:color="auto" w:fill="auto"/>
            <w:tcMar>
              <w:left w:w="43" w:type="dxa"/>
              <w:right w:w="43" w:type="dxa"/>
            </w:tcMar>
            <w:vAlign w:val="center"/>
            <w:hideMark/>
          </w:tcPr>
          <w:p w14:paraId="4AEA3784"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Texas</w:t>
            </w:r>
          </w:p>
          <w:p w14:paraId="1660B0BA"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w:t>
            </w:r>
          </w:p>
        </w:tc>
      </w:tr>
      <w:tr w:rsidR="00CB743D" w:rsidRPr="00647984" w14:paraId="66A773AD" w14:textId="77777777" w:rsidTr="00CB743D">
        <w:trPr>
          <w:trHeight w:val="331"/>
          <w:tblHeader/>
        </w:trPr>
        <w:tc>
          <w:tcPr>
            <w:tcW w:w="1025" w:type="pct"/>
            <w:gridSpan w:val="2"/>
            <w:vMerge/>
            <w:tcBorders>
              <w:top w:val="single" w:sz="4" w:space="0" w:color="auto"/>
              <w:left w:val="double" w:sz="4" w:space="0" w:color="auto"/>
              <w:bottom w:val="double" w:sz="4" w:space="0" w:color="auto"/>
              <w:right w:val="single" w:sz="4" w:space="0" w:color="auto"/>
            </w:tcBorders>
            <w:shd w:val="clear" w:color="auto" w:fill="auto"/>
            <w:tcMar>
              <w:left w:w="43" w:type="dxa"/>
              <w:right w:w="43" w:type="dxa"/>
            </w:tcMar>
            <w:vAlign w:val="center"/>
            <w:hideMark/>
          </w:tcPr>
          <w:p w14:paraId="43108E2D" w14:textId="77777777" w:rsidR="00366191" w:rsidRPr="00647984" w:rsidRDefault="00366191" w:rsidP="00D00A05">
            <w:pPr>
              <w:spacing w:after="0" w:line="240" w:lineRule="auto"/>
              <w:rPr>
                <w:rFonts w:eastAsia="Times New Roman"/>
                <w:b/>
                <w:bCs/>
                <w:color w:val="000000"/>
                <w:sz w:val="21"/>
                <w:szCs w:val="21"/>
              </w:rPr>
            </w:pPr>
          </w:p>
        </w:tc>
        <w:tc>
          <w:tcPr>
            <w:tcW w:w="394" w:type="pct"/>
            <w:gridSpan w:val="2"/>
            <w:tcBorders>
              <w:top w:val="single" w:sz="4" w:space="0" w:color="auto"/>
              <w:left w:val="single" w:sz="4" w:space="0" w:color="auto"/>
              <w:bottom w:val="double" w:sz="4" w:space="0" w:color="auto"/>
              <w:right w:val="single" w:sz="4" w:space="0" w:color="auto"/>
            </w:tcBorders>
            <w:shd w:val="clear" w:color="auto" w:fill="auto"/>
            <w:tcMar>
              <w:left w:w="43" w:type="dxa"/>
              <w:right w:w="43" w:type="dxa"/>
            </w:tcMar>
            <w:vAlign w:val="center"/>
            <w:hideMark/>
          </w:tcPr>
          <w:p w14:paraId="6D2B3980"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 xml:space="preserve">Count </w:t>
            </w:r>
          </w:p>
        </w:tc>
        <w:tc>
          <w:tcPr>
            <w:tcW w:w="344" w:type="pct"/>
            <w:gridSpan w:val="3"/>
            <w:tcBorders>
              <w:top w:val="single" w:sz="4" w:space="0" w:color="auto"/>
              <w:left w:val="single" w:sz="4" w:space="0" w:color="auto"/>
              <w:bottom w:val="double" w:sz="4" w:space="0" w:color="auto"/>
              <w:right w:val="single" w:sz="4" w:space="0" w:color="auto"/>
            </w:tcBorders>
            <w:shd w:val="clear" w:color="auto" w:fill="auto"/>
            <w:tcMar>
              <w:left w:w="43" w:type="dxa"/>
              <w:right w:w="43" w:type="dxa"/>
            </w:tcMar>
            <w:vAlign w:val="center"/>
            <w:hideMark/>
          </w:tcPr>
          <w:p w14:paraId="2E49C595"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w:t>
            </w:r>
          </w:p>
        </w:tc>
        <w:tc>
          <w:tcPr>
            <w:tcW w:w="417" w:type="pct"/>
            <w:vMerge/>
            <w:tcBorders>
              <w:left w:val="single" w:sz="4" w:space="0" w:color="auto"/>
              <w:bottom w:val="double" w:sz="4" w:space="0" w:color="auto"/>
              <w:right w:val="double" w:sz="4" w:space="0" w:color="auto"/>
            </w:tcBorders>
            <w:shd w:val="clear" w:color="auto" w:fill="auto"/>
            <w:tcMar>
              <w:left w:w="43" w:type="dxa"/>
              <w:right w:w="43" w:type="dxa"/>
            </w:tcMar>
            <w:vAlign w:val="center"/>
            <w:hideMark/>
          </w:tcPr>
          <w:p w14:paraId="5F2DB620" w14:textId="77777777" w:rsidR="00366191" w:rsidRPr="00647984" w:rsidRDefault="00366191" w:rsidP="00D00A05">
            <w:pPr>
              <w:spacing w:after="0" w:line="240" w:lineRule="auto"/>
              <w:jc w:val="center"/>
              <w:rPr>
                <w:rFonts w:eastAsia="Times New Roman"/>
                <w:b/>
                <w:bCs/>
                <w:color w:val="000000"/>
                <w:sz w:val="21"/>
                <w:szCs w:val="21"/>
              </w:rPr>
            </w:pPr>
          </w:p>
        </w:tc>
        <w:tc>
          <w:tcPr>
            <w:tcW w:w="1701" w:type="pct"/>
            <w:vMerge/>
            <w:tcBorders>
              <w:left w:val="double" w:sz="4" w:space="0" w:color="auto"/>
              <w:bottom w:val="double" w:sz="4" w:space="0" w:color="auto"/>
              <w:right w:val="single" w:sz="4" w:space="0" w:color="auto"/>
            </w:tcBorders>
            <w:shd w:val="clear" w:color="auto" w:fill="auto"/>
            <w:tcMar>
              <w:left w:w="43" w:type="dxa"/>
              <w:right w:w="43" w:type="dxa"/>
            </w:tcMar>
            <w:vAlign w:val="center"/>
            <w:hideMark/>
          </w:tcPr>
          <w:p w14:paraId="77B0D106" w14:textId="77777777" w:rsidR="00366191" w:rsidRPr="00647984" w:rsidRDefault="00366191" w:rsidP="00D00A05">
            <w:pPr>
              <w:spacing w:after="0" w:line="240" w:lineRule="auto"/>
              <w:rPr>
                <w:rFonts w:eastAsia="Times New Roman"/>
                <w:b/>
                <w:bCs/>
                <w:color w:val="000000"/>
                <w:sz w:val="21"/>
                <w:szCs w:val="21"/>
              </w:rPr>
            </w:pPr>
          </w:p>
        </w:tc>
        <w:tc>
          <w:tcPr>
            <w:tcW w:w="391" w:type="pct"/>
            <w:tcBorders>
              <w:top w:val="single" w:sz="4" w:space="0" w:color="auto"/>
              <w:left w:val="single" w:sz="4" w:space="0" w:color="auto"/>
              <w:bottom w:val="double" w:sz="4" w:space="0" w:color="auto"/>
              <w:right w:val="single" w:sz="4" w:space="0" w:color="auto"/>
            </w:tcBorders>
            <w:shd w:val="clear" w:color="auto" w:fill="auto"/>
            <w:tcMar>
              <w:left w:w="43" w:type="dxa"/>
              <w:right w:w="43" w:type="dxa"/>
            </w:tcMar>
            <w:vAlign w:val="center"/>
            <w:hideMark/>
          </w:tcPr>
          <w:p w14:paraId="554FC67E"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Count</w:t>
            </w:r>
          </w:p>
        </w:tc>
        <w:tc>
          <w:tcPr>
            <w:tcW w:w="340" w:type="pct"/>
            <w:tcBorders>
              <w:top w:val="single" w:sz="4" w:space="0" w:color="auto"/>
              <w:left w:val="single" w:sz="4" w:space="0" w:color="auto"/>
              <w:bottom w:val="double" w:sz="4" w:space="0" w:color="auto"/>
              <w:right w:val="single" w:sz="4" w:space="0" w:color="auto"/>
            </w:tcBorders>
            <w:shd w:val="clear" w:color="auto" w:fill="auto"/>
            <w:tcMar>
              <w:left w:w="43" w:type="dxa"/>
              <w:right w:w="43" w:type="dxa"/>
            </w:tcMar>
            <w:vAlign w:val="center"/>
            <w:hideMark/>
          </w:tcPr>
          <w:p w14:paraId="707EBE97" w14:textId="77777777" w:rsidR="00366191" w:rsidRPr="00647984" w:rsidRDefault="00366191" w:rsidP="00D00A05">
            <w:pPr>
              <w:spacing w:after="0" w:line="240" w:lineRule="auto"/>
              <w:jc w:val="center"/>
              <w:rPr>
                <w:rFonts w:eastAsia="Times New Roman"/>
                <w:b/>
                <w:bCs/>
                <w:color w:val="000000"/>
                <w:sz w:val="21"/>
                <w:szCs w:val="21"/>
              </w:rPr>
            </w:pPr>
            <w:r w:rsidRPr="00647984">
              <w:rPr>
                <w:rFonts w:eastAsia="Times New Roman"/>
                <w:b/>
                <w:bCs/>
                <w:color w:val="000000"/>
                <w:sz w:val="21"/>
                <w:szCs w:val="21"/>
              </w:rPr>
              <w:t>%</w:t>
            </w:r>
          </w:p>
        </w:tc>
        <w:tc>
          <w:tcPr>
            <w:tcW w:w="388" w:type="pct"/>
            <w:vMerge/>
            <w:tcBorders>
              <w:left w:val="single" w:sz="4" w:space="0" w:color="auto"/>
              <w:bottom w:val="double" w:sz="4" w:space="0" w:color="auto"/>
              <w:right w:val="double" w:sz="4" w:space="0" w:color="auto"/>
            </w:tcBorders>
            <w:shd w:val="clear" w:color="auto" w:fill="auto"/>
            <w:tcMar>
              <w:left w:w="43" w:type="dxa"/>
              <w:right w:w="43" w:type="dxa"/>
            </w:tcMar>
            <w:vAlign w:val="center"/>
            <w:hideMark/>
          </w:tcPr>
          <w:p w14:paraId="4962997F" w14:textId="77777777" w:rsidR="00366191" w:rsidRPr="00647984" w:rsidRDefault="00366191" w:rsidP="00D00A05">
            <w:pPr>
              <w:spacing w:after="0" w:line="240" w:lineRule="auto"/>
              <w:jc w:val="center"/>
              <w:rPr>
                <w:rFonts w:eastAsia="Times New Roman"/>
                <w:b/>
                <w:bCs/>
                <w:color w:val="000000"/>
                <w:sz w:val="21"/>
                <w:szCs w:val="21"/>
              </w:rPr>
            </w:pPr>
          </w:p>
        </w:tc>
      </w:tr>
      <w:tr w:rsidR="00CD499A" w:rsidRPr="00647984" w14:paraId="6BC20F8D" w14:textId="77777777" w:rsidTr="00CB743D">
        <w:trPr>
          <w:trHeight w:val="331"/>
        </w:trPr>
        <w:tc>
          <w:tcPr>
            <w:tcW w:w="2180" w:type="pct"/>
            <w:gridSpan w:val="8"/>
            <w:tcBorders>
              <w:top w:val="double" w:sz="4" w:space="0" w:color="auto"/>
              <w:left w:val="double" w:sz="4" w:space="0" w:color="auto"/>
              <w:bottom w:val="single" w:sz="4" w:space="0" w:color="auto"/>
              <w:right w:val="double" w:sz="4" w:space="0" w:color="auto"/>
            </w:tcBorders>
            <w:shd w:val="clear" w:color="auto" w:fill="auto"/>
            <w:tcMar>
              <w:left w:w="43" w:type="dxa"/>
              <w:right w:w="43" w:type="dxa"/>
            </w:tcMar>
            <w:vAlign w:val="center"/>
          </w:tcPr>
          <w:p w14:paraId="3467554D" w14:textId="3AF2362C" w:rsidR="00A679D1" w:rsidRPr="00647984" w:rsidRDefault="00A679D1" w:rsidP="00D00A05">
            <w:pPr>
              <w:spacing w:after="0" w:line="240" w:lineRule="auto"/>
              <w:rPr>
                <w:rFonts w:eastAsia="Times New Roman"/>
                <w:b/>
                <w:bCs/>
                <w:color w:val="000000"/>
                <w:sz w:val="21"/>
                <w:szCs w:val="21"/>
              </w:rPr>
            </w:pPr>
            <w:r w:rsidRPr="00647984">
              <w:rPr>
                <w:rFonts w:eastAsia="Times New Roman"/>
                <w:b/>
                <w:bCs/>
                <w:color w:val="000000"/>
                <w:sz w:val="21"/>
                <w:szCs w:val="21"/>
              </w:rPr>
              <w:t>Individual-</w:t>
            </w:r>
            <w:r>
              <w:rPr>
                <w:rFonts w:eastAsia="Times New Roman"/>
                <w:b/>
                <w:bCs/>
                <w:color w:val="000000"/>
                <w:sz w:val="21"/>
                <w:szCs w:val="21"/>
              </w:rPr>
              <w:t>L</w:t>
            </w:r>
            <w:r w:rsidRPr="00647984">
              <w:rPr>
                <w:rFonts w:eastAsia="Times New Roman"/>
                <w:b/>
                <w:bCs/>
                <w:color w:val="000000"/>
                <w:sz w:val="21"/>
                <w:szCs w:val="21"/>
              </w:rPr>
              <w:t>evel Demographics</w:t>
            </w:r>
          </w:p>
        </w:tc>
        <w:tc>
          <w:tcPr>
            <w:tcW w:w="2820" w:type="pct"/>
            <w:gridSpan w:val="4"/>
            <w:tcBorders>
              <w:left w:val="double" w:sz="4" w:space="0" w:color="auto"/>
              <w:right w:val="double" w:sz="4" w:space="0" w:color="auto"/>
            </w:tcBorders>
            <w:shd w:val="clear" w:color="auto" w:fill="auto"/>
            <w:tcMar>
              <w:left w:w="43" w:type="dxa"/>
              <w:right w:w="43" w:type="dxa"/>
            </w:tcMar>
            <w:vAlign w:val="center"/>
          </w:tcPr>
          <w:p w14:paraId="7B4045C8" w14:textId="1684063F" w:rsidR="00A679D1" w:rsidRPr="00647984" w:rsidRDefault="00A679D1" w:rsidP="00CB743D">
            <w:pPr>
              <w:spacing w:after="0" w:line="240" w:lineRule="auto"/>
              <w:rPr>
                <w:rFonts w:eastAsia="Times New Roman"/>
                <w:b/>
                <w:bCs/>
                <w:i/>
                <w:iCs/>
                <w:color w:val="000000"/>
                <w:sz w:val="21"/>
                <w:szCs w:val="21"/>
              </w:rPr>
            </w:pPr>
            <w:r w:rsidRPr="00647984">
              <w:rPr>
                <w:rFonts w:eastAsia="Times New Roman"/>
                <w:b/>
                <w:bCs/>
                <w:i/>
                <w:iCs/>
                <w:color w:val="000000"/>
                <w:sz w:val="21"/>
                <w:szCs w:val="21"/>
              </w:rPr>
              <w:t>Motorized vehicle ownership level</w:t>
            </w:r>
          </w:p>
        </w:tc>
      </w:tr>
      <w:tr w:rsidR="00CD499A" w:rsidRPr="00647984" w14:paraId="6F10F3B3" w14:textId="77777777" w:rsidTr="00CB743D">
        <w:trPr>
          <w:trHeight w:val="331"/>
        </w:trPr>
        <w:tc>
          <w:tcPr>
            <w:tcW w:w="1025" w:type="pct"/>
            <w:gridSpan w:val="2"/>
            <w:tcBorders>
              <w:top w:val="single" w:sz="4" w:space="0" w:color="auto"/>
              <w:left w:val="double" w:sz="4" w:space="0" w:color="auto"/>
              <w:bottom w:val="nil"/>
              <w:right w:val="nil"/>
            </w:tcBorders>
            <w:shd w:val="clear" w:color="auto" w:fill="auto"/>
            <w:tcMar>
              <w:left w:w="43" w:type="dxa"/>
              <w:right w:w="43" w:type="dxa"/>
            </w:tcMar>
            <w:vAlign w:val="center"/>
          </w:tcPr>
          <w:p w14:paraId="1BA9623F" w14:textId="54E68C11" w:rsidR="00A679D1" w:rsidRPr="00647984" w:rsidRDefault="00A679D1" w:rsidP="00CB743D">
            <w:pPr>
              <w:spacing w:after="0" w:line="240" w:lineRule="auto"/>
              <w:rPr>
                <w:rFonts w:eastAsia="Times New Roman"/>
                <w:b/>
                <w:bCs/>
                <w:color w:val="000000"/>
                <w:sz w:val="21"/>
                <w:szCs w:val="21"/>
              </w:rPr>
            </w:pPr>
            <w:r w:rsidRPr="00647984">
              <w:rPr>
                <w:rFonts w:eastAsia="Times New Roman"/>
                <w:b/>
                <w:bCs/>
                <w:i/>
                <w:iCs/>
                <w:color w:val="000000"/>
                <w:sz w:val="21"/>
                <w:szCs w:val="21"/>
              </w:rPr>
              <w:t>Gender</w:t>
            </w:r>
          </w:p>
        </w:tc>
        <w:tc>
          <w:tcPr>
            <w:tcW w:w="394" w:type="pct"/>
            <w:gridSpan w:val="2"/>
            <w:tcBorders>
              <w:top w:val="single" w:sz="4" w:space="0" w:color="auto"/>
              <w:left w:val="nil"/>
              <w:bottom w:val="nil"/>
              <w:right w:val="nil"/>
            </w:tcBorders>
            <w:shd w:val="clear" w:color="auto" w:fill="auto"/>
            <w:tcMar>
              <w:left w:w="43" w:type="dxa"/>
              <w:right w:w="43" w:type="dxa"/>
            </w:tcMar>
          </w:tcPr>
          <w:p w14:paraId="4C2ACCE6" w14:textId="77777777" w:rsidR="00A679D1" w:rsidRPr="00647984" w:rsidRDefault="00A679D1" w:rsidP="00A679D1">
            <w:pPr>
              <w:spacing w:after="0" w:line="240" w:lineRule="auto"/>
              <w:jc w:val="right"/>
              <w:rPr>
                <w:rFonts w:eastAsia="Times New Roman"/>
                <w:b/>
                <w:bCs/>
                <w:color w:val="000000"/>
                <w:sz w:val="21"/>
                <w:szCs w:val="21"/>
              </w:rPr>
            </w:pPr>
          </w:p>
        </w:tc>
        <w:tc>
          <w:tcPr>
            <w:tcW w:w="340" w:type="pct"/>
            <w:gridSpan w:val="2"/>
            <w:tcBorders>
              <w:top w:val="single" w:sz="4" w:space="0" w:color="auto"/>
              <w:left w:val="nil"/>
              <w:bottom w:val="nil"/>
              <w:right w:val="nil"/>
            </w:tcBorders>
            <w:shd w:val="clear" w:color="auto" w:fill="auto"/>
            <w:tcMar>
              <w:left w:w="43" w:type="dxa"/>
              <w:right w:w="43" w:type="dxa"/>
            </w:tcMar>
          </w:tcPr>
          <w:p w14:paraId="21036E5F" w14:textId="77777777" w:rsidR="00A679D1" w:rsidRPr="00647984" w:rsidRDefault="00A679D1" w:rsidP="00A679D1">
            <w:pPr>
              <w:spacing w:after="0" w:line="240" w:lineRule="auto"/>
              <w:jc w:val="right"/>
              <w:rPr>
                <w:rFonts w:eastAsia="Times New Roman"/>
                <w:b/>
                <w:bCs/>
                <w:color w:val="000000"/>
                <w:sz w:val="21"/>
                <w:szCs w:val="21"/>
              </w:rPr>
            </w:pPr>
          </w:p>
        </w:tc>
        <w:tc>
          <w:tcPr>
            <w:tcW w:w="421" w:type="pct"/>
            <w:gridSpan w:val="2"/>
            <w:tcBorders>
              <w:top w:val="single" w:sz="4" w:space="0" w:color="auto"/>
              <w:left w:val="nil"/>
              <w:bottom w:val="nil"/>
              <w:right w:val="double" w:sz="4" w:space="0" w:color="auto"/>
            </w:tcBorders>
            <w:shd w:val="clear" w:color="auto" w:fill="auto"/>
            <w:tcMar>
              <w:left w:w="43" w:type="dxa"/>
              <w:right w:w="43" w:type="dxa"/>
            </w:tcMar>
          </w:tcPr>
          <w:p w14:paraId="18430ECD" w14:textId="7A90AF7E" w:rsidR="00A679D1" w:rsidRPr="00647984" w:rsidRDefault="00A679D1" w:rsidP="00A679D1">
            <w:pPr>
              <w:spacing w:after="0" w:line="240" w:lineRule="auto"/>
              <w:jc w:val="right"/>
              <w:rPr>
                <w:rFonts w:eastAsia="Times New Roman"/>
                <w:b/>
                <w:bCs/>
                <w:color w:val="000000"/>
                <w:sz w:val="21"/>
                <w:szCs w:val="21"/>
              </w:rPr>
            </w:pPr>
          </w:p>
        </w:tc>
        <w:tc>
          <w:tcPr>
            <w:tcW w:w="1701" w:type="pct"/>
            <w:tcBorders>
              <w:left w:val="double" w:sz="4" w:space="0" w:color="auto"/>
              <w:right w:val="nil"/>
            </w:tcBorders>
            <w:shd w:val="clear" w:color="auto" w:fill="auto"/>
            <w:tcMar>
              <w:left w:w="43" w:type="dxa"/>
              <w:right w:w="43" w:type="dxa"/>
            </w:tcMar>
            <w:vAlign w:val="center"/>
          </w:tcPr>
          <w:p w14:paraId="3CF2E8B2" w14:textId="1DFB32C3" w:rsidR="00A679D1" w:rsidRPr="00647984" w:rsidRDefault="00A679D1" w:rsidP="00CB743D">
            <w:pPr>
              <w:spacing w:after="0" w:line="240" w:lineRule="auto"/>
              <w:ind w:left="133"/>
              <w:rPr>
                <w:rFonts w:eastAsia="Times New Roman"/>
                <w:b/>
                <w:bCs/>
                <w:i/>
                <w:iCs/>
                <w:color w:val="000000"/>
                <w:sz w:val="21"/>
                <w:szCs w:val="21"/>
              </w:rPr>
            </w:pPr>
            <w:r w:rsidRPr="00647984">
              <w:rPr>
                <w:rFonts w:eastAsia="Times New Roman"/>
                <w:color w:val="000000"/>
                <w:sz w:val="21"/>
                <w:szCs w:val="21"/>
              </w:rPr>
              <w:t>0</w:t>
            </w:r>
          </w:p>
        </w:tc>
        <w:tc>
          <w:tcPr>
            <w:tcW w:w="391" w:type="pct"/>
            <w:tcBorders>
              <w:top w:val="nil"/>
              <w:left w:val="nil"/>
              <w:bottom w:val="nil"/>
              <w:right w:val="nil"/>
            </w:tcBorders>
            <w:shd w:val="clear" w:color="auto" w:fill="auto"/>
            <w:tcMar>
              <w:left w:w="43" w:type="dxa"/>
              <w:right w:w="43" w:type="dxa"/>
            </w:tcMar>
            <w:vAlign w:val="center"/>
          </w:tcPr>
          <w:p w14:paraId="4DD5CFC7" w14:textId="48D733B0"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18</w:t>
            </w:r>
          </w:p>
        </w:tc>
        <w:tc>
          <w:tcPr>
            <w:tcW w:w="340" w:type="pct"/>
            <w:tcBorders>
              <w:top w:val="nil"/>
              <w:left w:val="nil"/>
              <w:bottom w:val="nil"/>
              <w:right w:val="nil"/>
            </w:tcBorders>
            <w:shd w:val="clear" w:color="auto" w:fill="auto"/>
            <w:tcMar>
              <w:left w:w="43" w:type="dxa"/>
              <w:right w:w="43" w:type="dxa"/>
            </w:tcMar>
            <w:vAlign w:val="center"/>
          </w:tcPr>
          <w:p w14:paraId="1E90DA57" w14:textId="02E6C068"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1.6</w:t>
            </w:r>
          </w:p>
        </w:tc>
        <w:tc>
          <w:tcPr>
            <w:tcW w:w="388" w:type="pct"/>
            <w:tcBorders>
              <w:top w:val="nil"/>
              <w:left w:val="nil"/>
              <w:bottom w:val="nil"/>
              <w:right w:val="double" w:sz="4" w:space="0" w:color="auto"/>
            </w:tcBorders>
            <w:shd w:val="clear" w:color="auto" w:fill="auto"/>
            <w:tcMar>
              <w:left w:w="43" w:type="dxa"/>
              <w:right w:w="43" w:type="dxa"/>
            </w:tcMar>
            <w:vAlign w:val="center"/>
          </w:tcPr>
          <w:p w14:paraId="5F9B9787" w14:textId="6970049C"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5.2</w:t>
            </w:r>
          </w:p>
        </w:tc>
      </w:tr>
      <w:tr w:rsidR="00CD499A" w:rsidRPr="00647984" w14:paraId="1A21C917" w14:textId="77777777" w:rsidTr="00CB743D">
        <w:trPr>
          <w:trHeight w:val="331"/>
        </w:trPr>
        <w:tc>
          <w:tcPr>
            <w:tcW w:w="1025" w:type="pct"/>
            <w:gridSpan w:val="2"/>
            <w:tcBorders>
              <w:top w:val="nil"/>
              <w:left w:val="double" w:sz="4" w:space="0" w:color="auto"/>
              <w:bottom w:val="nil"/>
              <w:right w:val="nil"/>
            </w:tcBorders>
            <w:shd w:val="clear" w:color="auto" w:fill="auto"/>
            <w:tcMar>
              <w:left w:w="43" w:type="dxa"/>
              <w:right w:w="43" w:type="dxa"/>
            </w:tcMar>
            <w:vAlign w:val="center"/>
          </w:tcPr>
          <w:p w14:paraId="568C3CF5" w14:textId="09E74032" w:rsidR="00A679D1" w:rsidRPr="00647984" w:rsidRDefault="00A679D1" w:rsidP="00CB743D">
            <w:pPr>
              <w:spacing w:after="0" w:line="240" w:lineRule="auto"/>
              <w:ind w:left="120"/>
              <w:rPr>
                <w:rFonts w:eastAsia="Times New Roman"/>
                <w:b/>
                <w:bCs/>
                <w:color w:val="000000"/>
                <w:sz w:val="21"/>
                <w:szCs w:val="21"/>
              </w:rPr>
            </w:pPr>
            <w:r w:rsidRPr="00647984">
              <w:rPr>
                <w:rFonts w:eastAsia="Times New Roman"/>
                <w:color w:val="000000"/>
                <w:sz w:val="21"/>
                <w:szCs w:val="21"/>
              </w:rPr>
              <w:t>Male</w:t>
            </w:r>
          </w:p>
        </w:tc>
        <w:tc>
          <w:tcPr>
            <w:tcW w:w="394" w:type="pct"/>
            <w:gridSpan w:val="2"/>
            <w:tcBorders>
              <w:top w:val="nil"/>
              <w:left w:val="nil"/>
              <w:bottom w:val="nil"/>
              <w:right w:val="nil"/>
            </w:tcBorders>
            <w:shd w:val="clear" w:color="auto" w:fill="auto"/>
            <w:tcMar>
              <w:left w:w="43" w:type="dxa"/>
              <w:right w:w="43" w:type="dxa"/>
            </w:tcMar>
            <w:vAlign w:val="center"/>
          </w:tcPr>
          <w:p w14:paraId="5D0B7246" w14:textId="079677DD" w:rsidR="00A679D1" w:rsidRPr="00647984" w:rsidRDefault="00A679D1" w:rsidP="00CB743D">
            <w:pPr>
              <w:spacing w:after="0" w:line="240" w:lineRule="auto"/>
              <w:jc w:val="right"/>
              <w:rPr>
                <w:rFonts w:eastAsia="Times New Roman"/>
                <w:b/>
                <w:bCs/>
                <w:color w:val="000000"/>
                <w:sz w:val="21"/>
                <w:szCs w:val="21"/>
              </w:rPr>
            </w:pPr>
            <w:r w:rsidRPr="00647984">
              <w:rPr>
                <w:rFonts w:eastAsia="Times New Roman"/>
                <w:color w:val="000000"/>
                <w:sz w:val="21"/>
                <w:szCs w:val="21"/>
              </w:rPr>
              <w:t>466</w:t>
            </w:r>
          </w:p>
        </w:tc>
        <w:tc>
          <w:tcPr>
            <w:tcW w:w="340" w:type="pct"/>
            <w:gridSpan w:val="2"/>
            <w:tcBorders>
              <w:top w:val="nil"/>
              <w:left w:val="nil"/>
              <w:bottom w:val="nil"/>
              <w:right w:val="nil"/>
            </w:tcBorders>
            <w:shd w:val="clear" w:color="auto" w:fill="auto"/>
            <w:tcMar>
              <w:left w:w="43" w:type="dxa"/>
              <w:right w:w="43" w:type="dxa"/>
            </w:tcMar>
            <w:vAlign w:val="center"/>
          </w:tcPr>
          <w:p w14:paraId="1B2BCE29" w14:textId="32810784" w:rsidR="00A679D1" w:rsidRPr="00647984" w:rsidRDefault="00A679D1" w:rsidP="00CB743D">
            <w:pPr>
              <w:spacing w:after="0" w:line="240" w:lineRule="auto"/>
              <w:jc w:val="right"/>
              <w:rPr>
                <w:rFonts w:eastAsia="Times New Roman"/>
                <w:b/>
                <w:bCs/>
                <w:color w:val="000000"/>
                <w:sz w:val="21"/>
                <w:szCs w:val="21"/>
              </w:rPr>
            </w:pPr>
            <w:r w:rsidRPr="00647984">
              <w:rPr>
                <w:rFonts w:eastAsia="Times New Roman"/>
                <w:color w:val="000000"/>
                <w:sz w:val="21"/>
                <w:szCs w:val="21"/>
              </w:rPr>
              <w:t>42.7</w:t>
            </w:r>
          </w:p>
        </w:tc>
        <w:tc>
          <w:tcPr>
            <w:tcW w:w="421" w:type="pct"/>
            <w:gridSpan w:val="2"/>
            <w:tcBorders>
              <w:top w:val="nil"/>
              <w:left w:val="nil"/>
              <w:bottom w:val="nil"/>
              <w:right w:val="double" w:sz="4" w:space="0" w:color="auto"/>
            </w:tcBorders>
            <w:shd w:val="clear" w:color="auto" w:fill="auto"/>
            <w:tcMar>
              <w:left w:w="43" w:type="dxa"/>
              <w:right w:w="43" w:type="dxa"/>
            </w:tcMar>
            <w:vAlign w:val="center"/>
          </w:tcPr>
          <w:p w14:paraId="28FC305B" w14:textId="1B0A2F91" w:rsidR="00A679D1" w:rsidRPr="00647984" w:rsidRDefault="00A679D1" w:rsidP="00CB743D">
            <w:pPr>
              <w:spacing w:after="0" w:line="240" w:lineRule="auto"/>
              <w:jc w:val="right"/>
              <w:rPr>
                <w:rFonts w:eastAsia="Times New Roman"/>
                <w:b/>
                <w:bCs/>
                <w:color w:val="000000"/>
                <w:sz w:val="21"/>
                <w:szCs w:val="21"/>
              </w:rPr>
            </w:pPr>
            <w:r w:rsidRPr="00647984">
              <w:rPr>
                <w:rFonts w:eastAsia="Times New Roman"/>
                <w:color w:val="000000"/>
                <w:sz w:val="21"/>
                <w:szCs w:val="21"/>
              </w:rPr>
              <w:t>49.7</w:t>
            </w:r>
          </w:p>
        </w:tc>
        <w:tc>
          <w:tcPr>
            <w:tcW w:w="1701" w:type="pct"/>
            <w:tcBorders>
              <w:left w:val="double" w:sz="4" w:space="0" w:color="auto"/>
              <w:right w:val="nil"/>
            </w:tcBorders>
            <w:shd w:val="clear" w:color="auto" w:fill="auto"/>
            <w:tcMar>
              <w:left w:w="43" w:type="dxa"/>
              <w:right w:w="43" w:type="dxa"/>
            </w:tcMar>
            <w:vAlign w:val="center"/>
          </w:tcPr>
          <w:p w14:paraId="6DD7CF60" w14:textId="096DC2AC" w:rsidR="00A679D1" w:rsidRPr="00647984" w:rsidRDefault="00A679D1" w:rsidP="00CB743D">
            <w:pPr>
              <w:spacing w:after="0" w:line="240" w:lineRule="auto"/>
              <w:ind w:left="133"/>
              <w:rPr>
                <w:rFonts w:eastAsia="Times New Roman"/>
                <w:b/>
                <w:bCs/>
                <w:i/>
                <w:iCs/>
                <w:color w:val="000000"/>
                <w:sz w:val="21"/>
                <w:szCs w:val="21"/>
              </w:rPr>
            </w:pPr>
            <w:r w:rsidRPr="00647984">
              <w:rPr>
                <w:rFonts w:eastAsia="Times New Roman"/>
                <w:color w:val="000000"/>
                <w:sz w:val="21"/>
                <w:szCs w:val="21"/>
              </w:rPr>
              <w:t>1</w:t>
            </w:r>
          </w:p>
        </w:tc>
        <w:tc>
          <w:tcPr>
            <w:tcW w:w="391" w:type="pct"/>
            <w:tcBorders>
              <w:top w:val="nil"/>
              <w:left w:val="nil"/>
              <w:bottom w:val="nil"/>
              <w:right w:val="nil"/>
            </w:tcBorders>
            <w:shd w:val="clear" w:color="auto" w:fill="auto"/>
            <w:tcMar>
              <w:left w:w="43" w:type="dxa"/>
              <w:right w:w="43" w:type="dxa"/>
            </w:tcMar>
            <w:vAlign w:val="center"/>
          </w:tcPr>
          <w:p w14:paraId="0B3B782F" w14:textId="52D1FD7A"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244</w:t>
            </w:r>
          </w:p>
        </w:tc>
        <w:tc>
          <w:tcPr>
            <w:tcW w:w="340" w:type="pct"/>
            <w:tcBorders>
              <w:top w:val="nil"/>
              <w:left w:val="nil"/>
              <w:bottom w:val="nil"/>
              <w:right w:val="nil"/>
            </w:tcBorders>
            <w:shd w:val="clear" w:color="auto" w:fill="auto"/>
            <w:tcMar>
              <w:left w:w="43" w:type="dxa"/>
              <w:right w:w="43" w:type="dxa"/>
            </w:tcMar>
            <w:vAlign w:val="center"/>
          </w:tcPr>
          <w:p w14:paraId="037E628B" w14:textId="5CF6059D"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22.4</w:t>
            </w:r>
          </w:p>
        </w:tc>
        <w:tc>
          <w:tcPr>
            <w:tcW w:w="388" w:type="pct"/>
            <w:tcBorders>
              <w:top w:val="nil"/>
              <w:left w:val="nil"/>
              <w:bottom w:val="nil"/>
              <w:right w:val="double" w:sz="4" w:space="0" w:color="auto"/>
            </w:tcBorders>
            <w:shd w:val="clear" w:color="auto" w:fill="auto"/>
            <w:tcMar>
              <w:left w:w="43" w:type="dxa"/>
              <w:right w:w="43" w:type="dxa"/>
            </w:tcMar>
            <w:vAlign w:val="center"/>
          </w:tcPr>
          <w:p w14:paraId="22971C34" w14:textId="65423F22"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32.3</w:t>
            </w:r>
          </w:p>
        </w:tc>
      </w:tr>
      <w:tr w:rsidR="00CD499A" w:rsidRPr="00647984" w14:paraId="4F8E4904" w14:textId="77777777" w:rsidTr="00CB743D">
        <w:trPr>
          <w:trHeight w:val="331"/>
        </w:trPr>
        <w:tc>
          <w:tcPr>
            <w:tcW w:w="1025" w:type="pct"/>
            <w:gridSpan w:val="2"/>
            <w:tcBorders>
              <w:top w:val="nil"/>
              <w:left w:val="double" w:sz="4" w:space="0" w:color="auto"/>
              <w:bottom w:val="single" w:sz="4" w:space="0" w:color="auto"/>
              <w:right w:val="nil"/>
            </w:tcBorders>
            <w:shd w:val="clear" w:color="auto" w:fill="auto"/>
            <w:tcMar>
              <w:left w:w="43" w:type="dxa"/>
              <w:right w:w="43" w:type="dxa"/>
            </w:tcMar>
            <w:vAlign w:val="center"/>
          </w:tcPr>
          <w:p w14:paraId="404C09D2" w14:textId="70CF94A1" w:rsidR="00A679D1" w:rsidRPr="00647984" w:rsidRDefault="00A679D1" w:rsidP="00CB743D">
            <w:pPr>
              <w:spacing w:after="0" w:line="240" w:lineRule="auto"/>
              <w:ind w:left="120"/>
              <w:rPr>
                <w:rFonts w:eastAsia="Times New Roman"/>
                <w:b/>
                <w:bCs/>
                <w:color w:val="000000"/>
                <w:sz w:val="21"/>
                <w:szCs w:val="21"/>
              </w:rPr>
            </w:pPr>
            <w:r w:rsidRPr="00647984">
              <w:rPr>
                <w:rFonts w:eastAsia="Times New Roman"/>
                <w:color w:val="000000"/>
                <w:sz w:val="21"/>
                <w:szCs w:val="21"/>
              </w:rPr>
              <w:t>Female</w:t>
            </w:r>
          </w:p>
        </w:tc>
        <w:tc>
          <w:tcPr>
            <w:tcW w:w="394" w:type="pct"/>
            <w:gridSpan w:val="2"/>
            <w:tcBorders>
              <w:top w:val="nil"/>
              <w:left w:val="nil"/>
              <w:bottom w:val="single" w:sz="4" w:space="0" w:color="auto"/>
              <w:right w:val="nil"/>
            </w:tcBorders>
            <w:shd w:val="clear" w:color="auto" w:fill="auto"/>
            <w:tcMar>
              <w:left w:w="43" w:type="dxa"/>
              <w:right w:w="43" w:type="dxa"/>
            </w:tcMar>
            <w:vAlign w:val="center"/>
          </w:tcPr>
          <w:p w14:paraId="4021A511" w14:textId="6685E537" w:rsidR="00A679D1" w:rsidRPr="00647984" w:rsidRDefault="00A679D1" w:rsidP="00CB743D">
            <w:pPr>
              <w:spacing w:after="0" w:line="240" w:lineRule="auto"/>
              <w:jc w:val="right"/>
              <w:rPr>
                <w:rFonts w:eastAsia="Times New Roman"/>
                <w:b/>
                <w:bCs/>
                <w:color w:val="000000"/>
                <w:sz w:val="21"/>
                <w:szCs w:val="21"/>
              </w:rPr>
            </w:pPr>
            <w:r w:rsidRPr="00647984">
              <w:rPr>
                <w:rFonts w:eastAsia="Times New Roman"/>
                <w:color w:val="000000"/>
                <w:sz w:val="21"/>
                <w:szCs w:val="21"/>
              </w:rPr>
              <w:t>626</w:t>
            </w:r>
          </w:p>
        </w:tc>
        <w:tc>
          <w:tcPr>
            <w:tcW w:w="340" w:type="pct"/>
            <w:gridSpan w:val="2"/>
            <w:tcBorders>
              <w:top w:val="nil"/>
              <w:left w:val="nil"/>
              <w:bottom w:val="single" w:sz="4" w:space="0" w:color="auto"/>
              <w:right w:val="nil"/>
            </w:tcBorders>
            <w:shd w:val="clear" w:color="auto" w:fill="auto"/>
            <w:tcMar>
              <w:left w:w="43" w:type="dxa"/>
              <w:right w:w="43" w:type="dxa"/>
            </w:tcMar>
            <w:vAlign w:val="center"/>
          </w:tcPr>
          <w:p w14:paraId="65C6469B" w14:textId="39B74B38" w:rsidR="00A679D1" w:rsidRPr="00647984" w:rsidRDefault="00A679D1" w:rsidP="00CB743D">
            <w:pPr>
              <w:spacing w:after="0" w:line="240" w:lineRule="auto"/>
              <w:jc w:val="right"/>
              <w:rPr>
                <w:rFonts w:eastAsia="Times New Roman"/>
                <w:b/>
                <w:bCs/>
                <w:color w:val="000000"/>
                <w:sz w:val="21"/>
                <w:szCs w:val="21"/>
              </w:rPr>
            </w:pPr>
            <w:r w:rsidRPr="00647984">
              <w:rPr>
                <w:rFonts w:eastAsia="Times New Roman"/>
                <w:color w:val="000000"/>
                <w:sz w:val="21"/>
                <w:szCs w:val="21"/>
              </w:rPr>
              <w:t>57.3</w:t>
            </w:r>
          </w:p>
        </w:tc>
        <w:tc>
          <w:tcPr>
            <w:tcW w:w="421" w:type="pct"/>
            <w:gridSpan w:val="2"/>
            <w:tcBorders>
              <w:top w:val="nil"/>
              <w:left w:val="nil"/>
              <w:bottom w:val="single" w:sz="4" w:space="0" w:color="auto"/>
              <w:right w:val="double" w:sz="4" w:space="0" w:color="auto"/>
            </w:tcBorders>
            <w:shd w:val="clear" w:color="auto" w:fill="auto"/>
            <w:tcMar>
              <w:left w:w="43" w:type="dxa"/>
              <w:right w:w="43" w:type="dxa"/>
            </w:tcMar>
            <w:vAlign w:val="center"/>
          </w:tcPr>
          <w:p w14:paraId="1D9ACAC1" w14:textId="47CD6DD3" w:rsidR="00A679D1" w:rsidRPr="00647984" w:rsidRDefault="00A679D1" w:rsidP="00CB743D">
            <w:pPr>
              <w:spacing w:after="0" w:line="240" w:lineRule="auto"/>
              <w:jc w:val="right"/>
              <w:rPr>
                <w:rFonts w:eastAsia="Times New Roman"/>
                <w:b/>
                <w:bCs/>
                <w:color w:val="000000"/>
                <w:sz w:val="21"/>
                <w:szCs w:val="21"/>
              </w:rPr>
            </w:pPr>
            <w:r w:rsidRPr="00647984">
              <w:rPr>
                <w:rFonts w:eastAsia="Times New Roman"/>
                <w:color w:val="000000"/>
                <w:sz w:val="21"/>
                <w:szCs w:val="21"/>
              </w:rPr>
              <w:t>50.3</w:t>
            </w:r>
          </w:p>
        </w:tc>
        <w:tc>
          <w:tcPr>
            <w:tcW w:w="1701" w:type="pct"/>
            <w:tcBorders>
              <w:left w:val="double" w:sz="4" w:space="0" w:color="auto"/>
              <w:bottom w:val="nil"/>
              <w:right w:val="nil"/>
            </w:tcBorders>
            <w:shd w:val="clear" w:color="auto" w:fill="auto"/>
            <w:tcMar>
              <w:left w:w="43" w:type="dxa"/>
              <w:right w:w="43" w:type="dxa"/>
            </w:tcMar>
            <w:vAlign w:val="center"/>
          </w:tcPr>
          <w:p w14:paraId="56611B97" w14:textId="397CF928" w:rsidR="00A679D1" w:rsidRPr="00647984" w:rsidRDefault="00A679D1" w:rsidP="00CB743D">
            <w:pPr>
              <w:spacing w:after="0" w:line="240" w:lineRule="auto"/>
              <w:ind w:left="133"/>
              <w:rPr>
                <w:rFonts w:eastAsia="Times New Roman"/>
                <w:b/>
                <w:bCs/>
                <w:i/>
                <w:iCs/>
                <w:color w:val="000000"/>
                <w:sz w:val="21"/>
                <w:szCs w:val="21"/>
              </w:rPr>
            </w:pPr>
            <w:r w:rsidRPr="00647984">
              <w:rPr>
                <w:rFonts w:eastAsia="Times New Roman"/>
                <w:color w:val="000000"/>
                <w:sz w:val="21"/>
                <w:szCs w:val="21"/>
              </w:rPr>
              <w:t>2</w:t>
            </w:r>
          </w:p>
        </w:tc>
        <w:tc>
          <w:tcPr>
            <w:tcW w:w="391" w:type="pct"/>
            <w:tcBorders>
              <w:top w:val="nil"/>
              <w:left w:val="nil"/>
              <w:bottom w:val="nil"/>
              <w:right w:val="nil"/>
            </w:tcBorders>
            <w:shd w:val="clear" w:color="auto" w:fill="auto"/>
            <w:tcMar>
              <w:left w:w="43" w:type="dxa"/>
              <w:right w:w="43" w:type="dxa"/>
            </w:tcMar>
            <w:vAlign w:val="center"/>
          </w:tcPr>
          <w:p w14:paraId="666C42A6" w14:textId="0A6F4C66"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501</w:t>
            </w:r>
          </w:p>
        </w:tc>
        <w:tc>
          <w:tcPr>
            <w:tcW w:w="340" w:type="pct"/>
            <w:tcBorders>
              <w:top w:val="nil"/>
              <w:left w:val="nil"/>
              <w:bottom w:val="nil"/>
              <w:right w:val="nil"/>
            </w:tcBorders>
            <w:shd w:val="clear" w:color="auto" w:fill="auto"/>
            <w:tcMar>
              <w:left w:w="43" w:type="dxa"/>
              <w:right w:w="43" w:type="dxa"/>
            </w:tcMar>
            <w:vAlign w:val="center"/>
          </w:tcPr>
          <w:p w14:paraId="6245CF7E" w14:textId="6AD2A8DD"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45.9</w:t>
            </w:r>
          </w:p>
        </w:tc>
        <w:tc>
          <w:tcPr>
            <w:tcW w:w="388" w:type="pct"/>
            <w:tcBorders>
              <w:top w:val="nil"/>
              <w:left w:val="nil"/>
              <w:bottom w:val="nil"/>
              <w:right w:val="double" w:sz="4" w:space="0" w:color="auto"/>
            </w:tcBorders>
            <w:shd w:val="clear" w:color="auto" w:fill="auto"/>
            <w:tcMar>
              <w:left w:w="43" w:type="dxa"/>
              <w:right w:w="43" w:type="dxa"/>
            </w:tcMar>
            <w:vAlign w:val="center"/>
          </w:tcPr>
          <w:p w14:paraId="2B35F1E9" w14:textId="2EA50EE3"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40.1</w:t>
            </w:r>
          </w:p>
        </w:tc>
      </w:tr>
      <w:tr w:rsidR="00CD499A" w:rsidRPr="00647984" w14:paraId="0B7303B3" w14:textId="77777777" w:rsidTr="00CB743D">
        <w:trPr>
          <w:trHeight w:val="331"/>
        </w:trPr>
        <w:tc>
          <w:tcPr>
            <w:tcW w:w="1025" w:type="pct"/>
            <w:gridSpan w:val="2"/>
            <w:tcBorders>
              <w:top w:val="single" w:sz="4" w:space="0" w:color="auto"/>
              <w:left w:val="double" w:sz="4" w:space="0" w:color="auto"/>
              <w:bottom w:val="nil"/>
              <w:right w:val="nil"/>
            </w:tcBorders>
            <w:shd w:val="clear" w:color="auto" w:fill="auto"/>
            <w:tcMar>
              <w:left w:w="43" w:type="dxa"/>
              <w:right w:w="43" w:type="dxa"/>
            </w:tcMar>
            <w:vAlign w:val="center"/>
          </w:tcPr>
          <w:p w14:paraId="5D6A062F" w14:textId="049E2BF4" w:rsidR="00A679D1" w:rsidRPr="00647984" w:rsidRDefault="00A679D1" w:rsidP="00CB743D">
            <w:pPr>
              <w:spacing w:after="0" w:line="240" w:lineRule="auto"/>
              <w:rPr>
                <w:rFonts w:eastAsia="Times New Roman"/>
                <w:b/>
                <w:bCs/>
                <w:color w:val="000000"/>
                <w:sz w:val="21"/>
                <w:szCs w:val="21"/>
              </w:rPr>
            </w:pPr>
            <w:r w:rsidRPr="00647984">
              <w:rPr>
                <w:rFonts w:eastAsia="Times New Roman"/>
                <w:b/>
                <w:bCs/>
                <w:i/>
                <w:iCs/>
                <w:color w:val="000000"/>
                <w:sz w:val="21"/>
                <w:szCs w:val="21"/>
              </w:rPr>
              <w:t>Age</w:t>
            </w:r>
          </w:p>
        </w:tc>
        <w:tc>
          <w:tcPr>
            <w:tcW w:w="394" w:type="pct"/>
            <w:gridSpan w:val="2"/>
            <w:tcBorders>
              <w:top w:val="single" w:sz="4" w:space="0" w:color="auto"/>
              <w:left w:val="nil"/>
              <w:bottom w:val="nil"/>
              <w:right w:val="nil"/>
            </w:tcBorders>
            <w:shd w:val="clear" w:color="auto" w:fill="auto"/>
            <w:tcMar>
              <w:left w:w="43" w:type="dxa"/>
              <w:right w:w="43" w:type="dxa"/>
            </w:tcMar>
            <w:vAlign w:val="center"/>
          </w:tcPr>
          <w:p w14:paraId="477C2485" w14:textId="77777777" w:rsidR="00A679D1" w:rsidRPr="00647984" w:rsidRDefault="00A679D1" w:rsidP="00CB743D">
            <w:pPr>
              <w:spacing w:after="0" w:line="240" w:lineRule="auto"/>
              <w:jc w:val="right"/>
              <w:rPr>
                <w:rFonts w:eastAsia="Times New Roman"/>
                <w:b/>
                <w:bCs/>
                <w:color w:val="000000"/>
                <w:sz w:val="21"/>
                <w:szCs w:val="21"/>
              </w:rPr>
            </w:pPr>
          </w:p>
        </w:tc>
        <w:tc>
          <w:tcPr>
            <w:tcW w:w="340" w:type="pct"/>
            <w:gridSpan w:val="2"/>
            <w:tcBorders>
              <w:top w:val="single" w:sz="4" w:space="0" w:color="auto"/>
              <w:left w:val="nil"/>
              <w:bottom w:val="nil"/>
              <w:right w:val="nil"/>
            </w:tcBorders>
            <w:shd w:val="clear" w:color="auto" w:fill="auto"/>
            <w:tcMar>
              <w:left w:w="43" w:type="dxa"/>
              <w:right w:w="43" w:type="dxa"/>
            </w:tcMar>
            <w:vAlign w:val="center"/>
          </w:tcPr>
          <w:p w14:paraId="0091EE4B" w14:textId="77777777" w:rsidR="00A679D1" w:rsidRPr="00647984" w:rsidRDefault="00A679D1" w:rsidP="00CB743D">
            <w:pPr>
              <w:spacing w:after="0" w:line="240" w:lineRule="auto"/>
              <w:jc w:val="right"/>
              <w:rPr>
                <w:rFonts w:eastAsia="Times New Roman"/>
                <w:b/>
                <w:bCs/>
                <w:color w:val="000000"/>
                <w:sz w:val="21"/>
                <w:szCs w:val="21"/>
              </w:rPr>
            </w:pPr>
          </w:p>
        </w:tc>
        <w:tc>
          <w:tcPr>
            <w:tcW w:w="421" w:type="pct"/>
            <w:gridSpan w:val="2"/>
            <w:tcBorders>
              <w:top w:val="single" w:sz="4" w:space="0" w:color="auto"/>
              <w:left w:val="nil"/>
              <w:bottom w:val="nil"/>
              <w:right w:val="double" w:sz="4" w:space="0" w:color="auto"/>
            </w:tcBorders>
            <w:shd w:val="clear" w:color="auto" w:fill="auto"/>
            <w:tcMar>
              <w:left w:w="43" w:type="dxa"/>
              <w:right w:w="43" w:type="dxa"/>
            </w:tcMar>
            <w:vAlign w:val="center"/>
          </w:tcPr>
          <w:p w14:paraId="6430EBF9" w14:textId="34272959" w:rsidR="00A679D1" w:rsidRPr="00647984" w:rsidRDefault="00A679D1" w:rsidP="00CB743D">
            <w:pPr>
              <w:spacing w:after="0" w:line="240" w:lineRule="auto"/>
              <w:jc w:val="right"/>
              <w:rPr>
                <w:rFonts w:eastAsia="Times New Roman"/>
                <w:b/>
                <w:bCs/>
                <w:color w:val="000000"/>
                <w:sz w:val="21"/>
                <w:szCs w:val="21"/>
              </w:rPr>
            </w:pPr>
          </w:p>
        </w:tc>
        <w:tc>
          <w:tcPr>
            <w:tcW w:w="1701" w:type="pct"/>
            <w:tcBorders>
              <w:top w:val="nil"/>
              <w:left w:val="double" w:sz="4" w:space="0" w:color="auto"/>
              <w:bottom w:val="single" w:sz="4" w:space="0" w:color="auto"/>
              <w:right w:val="nil"/>
            </w:tcBorders>
            <w:shd w:val="clear" w:color="auto" w:fill="auto"/>
            <w:tcMar>
              <w:left w:w="43" w:type="dxa"/>
              <w:right w:w="43" w:type="dxa"/>
            </w:tcMar>
            <w:vAlign w:val="center"/>
          </w:tcPr>
          <w:p w14:paraId="43D9AC36" w14:textId="0D38E3D3" w:rsidR="00A679D1" w:rsidRPr="00647984" w:rsidRDefault="00A679D1" w:rsidP="00CB743D">
            <w:pPr>
              <w:spacing w:after="0" w:line="240" w:lineRule="auto"/>
              <w:ind w:left="133"/>
              <w:rPr>
                <w:rFonts w:eastAsia="Times New Roman"/>
                <w:b/>
                <w:bCs/>
                <w:i/>
                <w:iCs/>
                <w:color w:val="000000"/>
                <w:sz w:val="21"/>
                <w:szCs w:val="21"/>
              </w:rPr>
            </w:pPr>
            <w:r w:rsidRPr="00647984">
              <w:rPr>
                <w:rFonts w:eastAsia="Times New Roman"/>
                <w:color w:val="000000"/>
                <w:sz w:val="21"/>
                <w:szCs w:val="21"/>
              </w:rPr>
              <w:t>3 or more</w:t>
            </w:r>
          </w:p>
        </w:tc>
        <w:tc>
          <w:tcPr>
            <w:tcW w:w="391" w:type="pct"/>
            <w:tcBorders>
              <w:top w:val="nil"/>
              <w:left w:val="nil"/>
              <w:bottom w:val="single" w:sz="4" w:space="0" w:color="auto"/>
              <w:right w:val="nil"/>
            </w:tcBorders>
            <w:shd w:val="clear" w:color="auto" w:fill="auto"/>
            <w:tcMar>
              <w:left w:w="43" w:type="dxa"/>
              <w:right w:w="43" w:type="dxa"/>
            </w:tcMar>
            <w:vAlign w:val="center"/>
          </w:tcPr>
          <w:p w14:paraId="10B07E05" w14:textId="5A88C275"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329</w:t>
            </w:r>
          </w:p>
        </w:tc>
        <w:tc>
          <w:tcPr>
            <w:tcW w:w="340" w:type="pct"/>
            <w:tcBorders>
              <w:top w:val="nil"/>
              <w:left w:val="nil"/>
              <w:bottom w:val="single" w:sz="4" w:space="0" w:color="auto"/>
              <w:right w:val="nil"/>
            </w:tcBorders>
            <w:shd w:val="clear" w:color="auto" w:fill="auto"/>
            <w:tcMar>
              <w:left w:w="43" w:type="dxa"/>
              <w:right w:w="43" w:type="dxa"/>
            </w:tcMar>
            <w:vAlign w:val="center"/>
          </w:tcPr>
          <w:p w14:paraId="5DDF3698" w14:textId="4B98F42B"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30.1</w:t>
            </w:r>
          </w:p>
        </w:tc>
        <w:tc>
          <w:tcPr>
            <w:tcW w:w="388" w:type="pct"/>
            <w:tcBorders>
              <w:top w:val="nil"/>
              <w:left w:val="nil"/>
              <w:bottom w:val="single" w:sz="4" w:space="0" w:color="auto"/>
              <w:right w:val="double" w:sz="4" w:space="0" w:color="auto"/>
            </w:tcBorders>
            <w:shd w:val="clear" w:color="auto" w:fill="auto"/>
            <w:tcMar>
              <w:left w:w="43" w:type="dxa"/>
              <w:right w:w="43" w:type="dxa"/>
            </w:tcMar>
            <w:vAlign w:val="center"/>
          </w:tcPr>
          <w:p w14:paraId="573E4893" w14:textId="45DC0484"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22.4</w:t>
            </w:r>
          </w:p>
        </w:tc>
      </w:tr>
      <w:tr w:rsidR="00CD499A" w:rsidRPr="00647984" w14:paraId="6356158F" w14:textId="77777777" w:rsidTr="00CB743D">
        <w:trPr>
          <w:trHeight w:val="331"/>
        </w:trPr>
        <w:tc>
          <w:tcPr>
            <w:tcW w:w="1025" w:type="pct"/>
            <w:gridSpan w:val="2"/>
            <w:tcBorders>
              <w:top w:val="nil"/>
              <w:left w:val="double" w:sz="4" w:space="0" w:color="auto"/>
              <w:bottom w:val="nil"/>
              <w:right w:val="nil"/>
            </w:tcBorders>
            <w:shd w:val="clear" w:color="auto" w:fill="auto"/>
            <w:tcMar>
              <w:left w:w="43" w:type="dxa"/>
              <w:right w:w="43" w:type="dxa"/>
            </w:tcMar>
            <w:vAlign w:val="center"/>
            <w:hideMark/>
          </w:tcPr>
          <w:p w14:paraId="357F1356" w14:textId="381C6F03" w:rsidR="00A679D1" w:rsidRPr="00647984" w:rsidRDefault="00A679D1" w:rsidP="00CB743D">
            <w:pPr>
              <w:spacing w:after="0" w:line="240" w:lineRule="auto"/>
              <w:ind w:left="120"/>
              <w:rPr>
                <w:rFonts w:eastAsia="Times New Roman"/>
                <w:b/>
                <w:bCs/>
                <w:color w:val="000000"/>
                <w:sz w:val="21"/>
                <w:szCs w:val="21"/>
              </w:rPr>
            </w:pPr>
            <w:r w:rsidRPr="00647984">
              <w:rPr>
                <w:rFonts w:eastAsia="Times New Roman"/>
                <w:color w:val="000000"/>
                <w:sz w:val="21"/>
                <w:szCs w:val="21"/>
              </w:rPr>
              <w:t>18 to 29</w:t>
            </w:r>
          </w:p>
        </w:tc>
        <w:tc>
          <w:tcPr>
            <w:tcW w:w="394" w:type="pct"/>
            <w:gridSpan w:val="2"/>
            <w:tcBorders>
              <w:top w:val="nil"/>
              <w:left w:val="nil"/>
              <w:bottom w:val="nil"/>
              <w:right w:val="nil"/>
            </w:tcBorders>
            <w:shd w:val="clear" w:color="auto" w:fill="auto"/>
            <w:tcMar>
              <w:left w:w="43" w:type="dxa"/>
              <w:right w:w="43" w:type="dxa"/>
            </w:tcMar>
            <w:vAlign w:val="center"/>
          </w:tcPr>
          <w:p w14:paraId="6715A368" w14:textId="35DBA639" w:rsidR="00A679D1" w:rsidRPr="00647984" w:rsidRDefault="00A679D1" w:rsidP="00CB743D">
            <w:pPr>
              <w:spacing w:after="0" w:line="240" w:lineRule="auto"/>
              <w:jc w:val="right"/>
              <w:rPr>
                <w:rFonts w:eastAsia="Times New Roman"/>
                <w:b/>
                <w:bCs/>
                <w:color w:val="000000"/>
                <w:sz w:val="21"/>
                <w:szCs w:val="21"/>
              </w:rPr>
            </w:pPr>
            <w:r w:rsidRPr="00647984">
              <w:rPr>
                <w:rFonts w:eastAsia="Times New Roman"/>
                <w:color w:val="000000"/>
                <w:sz w:val="21"/>
                <w:szCs w:val="21"/>
              </w:rPr>
              <w:t>64</w:t>
            </w:r>
          </w:p>
        </w:tc>
        <w:tc>
          <w:tcPr>
            <w:tcW w:w="340" w:type="pct"/>
            <w:gridSpan w:val="2"/>
            <w:tcBorders>
              <w:top w:val="nil"/>
              <w:left w:val="nil"/>
              <w:bottom w:val="nil"/>
              <w:right w:val="nil"/>
            </w:tcBorders>
            <w:shd w:val="clear" w:color="auto" w:fill="auto"/>
            <w:tcMar>
              <w:left w:w="43" w:type="dxa"/>
              <w:right w:w="43" w:type="dxa"/>
            </w:tcMar>
            <w:vAlign w:val="center"/>
          </w:tcPr>
          <w:p w14:paraId="442AAC77" w14:textId="4684B445" w:rsidR="00A679D1" w:rsidRPr="00647984" w:rsidRDefault="00A679D1" w:rsidP="00CB743D">
            <w:pPr>
              <w:spacing w:after="0" w:line="240" w:lineRule="auto"/>
              <w:jc w:val="right"/>
              <w:rPr>
                <w:rFonts w:eastAsia="Times New Roman"/>
                <w:b/>
                <w:bCs/>
                <w:color w:val="000000"/>
                <w:sz w:val="21"/>
                <w:szCs w:val="21"/>
              </w:rPr>
            </w:pPr>
            <w:r w:rsidRPr="00647984">
              <w:rPr>
                <w:rFonts w:eastAsia="Times New Roman"/>
                <w:color w:val="000000"/>
                <w:sz w:val="21"/>
                <w:szCs w:val="21"/>
              </w:rPr>
              <w:t>5.9</w:t>
            </w:r>
          </w:p>
        </w:tc>
        <w:tc>
          <w:tcPr>
            <w:tcW w:w="421" w:type="pct"/>
            <w:gridSpan w:val="2"/>
            <w:tcBorders>
              <w:top w:val="nil"/>
              <w:left w:val="nil"/>
              <w:bottom w:val="nil"/>
              <w:right w:val="double" w:sz="4" w:space="0" w:color="auto"/>
            </w:tcBorders>
            <w:shd w:val="clear" w:color="auto" w:fill="auto"/>
            <w:tcMar>
              <w:left w:w="43" w:type="dxa"/>
              <w:right w:w="43" w:type="dxa"/>
            </w:tcMar>
            <w:vAlign w:val="center"/>
          </w:tcPr>
          <w:p w14:paraId="410DAC2F" w14:textId="6C04938E" w:rsidR="00A679D1" w:rsidRPr="00647984" w:rsidRDefault="00A679D1" w:rsidP="00CB743D">
            <w:pPr>
              <w:spacing w:after="0" w:line="240" w:lineRule="auto"/>
              <w:jc w:val="right"/>
              <w:rPr>
                <w:rFonts w:eastAsia="Times New Roman"/>
                <w:b/>
                <w:bCs/>
                <w:color w:val="000000"/>
                <w:sz w:val="21"/>
                <w:szCs w:val="21"/>
              </w:rPr>
            </w:pPr>
            <w:r w:rsidRPr="00647984">
              <w:rPr>
                <w:rFonts w:eastAsia="Times New Roman"/>
                <w:color w:val="000000"/>
                <w:sz w:val="21"/>
                <w:szCs w:val="21"/>
              </w:rPr>
              <w:t>29.9</w:t>
            </w:r>
          </w:p>
        </w:tc>
        <w:tc>
          <w:tcPr>
            <w:tcW w:w="2820" w:type="pct"/>
            <w:gridSpan w:val="4"/>
            <w:tcBorders>
              <w:top w:val="single" w:sz="4" w:space="0" w:color="auto"/>
              <w:left w:val="double" w:sz="4" w:space="0" w:color="auto"/>
              <w:right w:val="double" w:sz="4" w:space="0" w:color="auto"/>
            </w:tcBorders>
            <w:shd w:val="clear" w:color="auto" w:fill="auto"/>
            <w:tcMar>
              <w:left w:w="43" w:type="dxa"/>
              <w:right w:w="43" w:type="dxa"/>
            </w:tcMar>
            <w:hideMark/>
          </w:tcPr>
          <w:p w14:paraId="449355F9" w14:textId="77777777" w:rsidR="00A679D1" w:rsidRPr="00647984" w:rsidRDefault="00A679D1" w:rsidP="00CB743D">
            <w:pPr>
              <w:spacing w:after="0" w:line="240" w:lineRule="auto"/>
              <w:rPr>
                <w:rFonts w:eastAsia="Times New Roman"/>
                <w:b/>
                <w:bCs/>
                <w:i/>
                <w:iCs/>
                <w:color w:val="000000"/>
                <w:sz w:val="21"/>
                <w:szCs w:val="21"/>
              </w:rPr>
            </w:pPr>
            <w:r w:rsidRPr="00647984">
              <w:rPr>
                <w:rFonts w:eastAsia="Times New Roman"/>
                <w:b/>
                <w:bCs/>
                <w:i/>
                <w:iCs/>
                <w:color w:val="000000"/>
                <w:sz w:val="21"/>
                <w:szCs w:val="21"/>
              </w:rPr>
              <w:t>Household structure</w:t>
            </w:r>
          </w:p>
        </w:tc>
      </w:tr>
      <w:tr w:rsidR="00CD499A" w:rsidRPr="00647984" w14:paraId="1B97583C" w14:textId="77777777" w:rsidTr="00CB743D">
        <w:trPr>
          <w:trHeight w:val="331"/>
        </w:trPr>
        <w:tc>
          <w:tcPr>
            <w:tcW w:w="1025" w:type="pct"/>
            <w:gridSpan w:val="2"/>
            <w:tcBorders>
              <w:top w:val="nil"/>
              <w:left w:val="double" w:sz="4" w:space="0" w:color="auto"/>
              <w:bottom w:val="nil"/>
              <w:right w:val="nil"/>
            </w:tcBorders>
            <w:shd w:val="clear" w:color="auto" w:fill="auto"/>
            <w:tcMar>
              <w:left w:w="43" w:type="dxa"/>
              <w:right w:w="43" w:type="dxa"/>
            </w:tcMar>
            <w:vAlign w:val="center"/>
            <w:hideMark/>
          </w:tcPr>
          <w:p w14:paraId="0C70ED94" w14:textId="069D9C49" w:rsidR="00A679D1" w:rsidRPr="00647984" w:rsidRDefault="00A679D1" w:rsidP="00CB743D">
            <w:pPr>
              <w:spacing w:after="0" w:line="240" w:lineRule="auto"/>
              <w:ind w:left="120"/>
              <w:rPr>
                <w:rFonts w:eastAsia="Times New Roman"/>
                <w:b/>
                <w:bCs/>
                <w:i/>
                <w:iCs/>
                <w:color w:val="000000"/>
                <w:sz w:val="21"/>
                <w:szCs w:val="21"/>
              </w:rPr>
            </w:pPr>
            <w:r w:rsidRPr="00647984">
              <w:rPr>
                <w:rFonts w:eastAsia="Times New Roman"/>
                <w:color w:val="000000"/>
                <w:sz w:val="21"/>
                <w:szCs w:val="21"/>
              </w:rPr>
              <w:t>30 to 49</w:t>
            </w:r>
          </w:p>
        </w:tc>
        <w:tc>
          <w:tcPr>
            <w:tcW w:w="394" w:type="pct"/>
            <w:gridSpan w:val="2"/>
            <w:tcBorders>
              <w:top w:val="nil"/>
              <w:left w:val="nil"/>
              <w:bottom w:val="nil"/>
              <w:right w:val="nil"/>
            </w:tcBorders>
            <w:shd w:val="clear" w:color="auto" w:fill="auto"/>
            <w:tcMar>
              <w:left w:w="43" w:type="dxa"/>
              <w:right w:w="43" w:type="dxa"/>
            </w:tcMar>
            <w:vAlign w:val="center"/>
          </w:tcPr>
          <w:p w14:paraId="6356F628" w14:textId="67814CFF"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353</w:t>
            </w:r>
          </w:p>
        </w:tc>
        <w:tc>
          <w:tcPr>
            <w:tcW w:w="340" w:type="pct"/>
            <w:gridSpan w:val="2"/>
            <w:tcBorders>
              <w:top w:val="nil"/>
              <w:left w:val="nil"/>
              <w:bottom w:val="nil"/>
              <w:right w:val="nil"/>
            </w:tcBorders>
            <w:shd w:val="clear" w:color="auto" w:fill="auto"/>
            <w:tcMar>
              <w:left w:w="43" w:type="dxa"/>
              <w:right w:w="43" w:type="dxa"/>
            </w:tcMar>
            <w:vAlign w:val="center"/>
          </w:tcPr>
          <w:p w14:paraId="1A2E453F" w14:textId="6673C07B"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32.3</w:t>
            </w:r>
          </w:p>
        </w:tc>
        <w:tc>
          <w:tcPr>
            <w:tcW w:w="421" w:type="pct"/>
            <w:gridSpan w:val="2"/>
            <w:tcBorders>
              <w:top w:val="nil"/>
              <w:left w:val="nil"/>
              <w:bottom w:val="nil"/>
              <w:right w:val="double" w:sz="4" w:space="0" w:color="auto"/>
            </w:tcBorders>
            <w:shd w:val="clear" w:color="auto" w:fill="auto"/>
            <w:tcMar>
              <w:left w:w="43" w:type="dxa"/>
              <w:right w:w="43" w:type="dxa"/>
            </w:tcMar>
            <w:vAlign w:val="center"/>
          </w:tcPr>
          <w:p w14:paraId="7886028F" w14:textId="01AC1377"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36.3</w:t>
            </w:r>
          </w:p>
        </w:tc>
        <w:tc>
          <w:tcPr>
            <w:tcW w:w="1701" w:type="pct"/>
            <w:tcBorders>
              <w:top w:val="nil"/>
              <w:left w:val="double" w:sz="4" w:space="0" w:color="auto"/>
              <w:bottom w:val="nil"/>
            </w:tcBorders>
            <w:shd w:val="clear" w:color="auto" w:fill="auto"/>
            <w:tcMar>
              <w:left w:w="43" w:type="dxa"/>
              <w:right w:w="43" w:type="dxa"/>
            </w:tcMar>
            <w:vAlign w:val="center"/>
            <w:hideMark/>
          </w:tcPr>
          <w:p w14:paraId="481D3291" w14:textId="4EE4C373" w:rsidR="00A679D1" w:rsidRPr="00647984" w:rsidRDefault="00A679D1" w:rsidP="00CB743D">
            <w:pPr>
              <w:spacing w:after="0" w:line="240" w:lineRule="auto"/>
              <w:ind w:left="223" w:hanging="90"/>
              <w:rPr>
                <w:rFonts w:eastAsia="Times New Roman"/>
                <w:color w:val="000000"/>
                <w:sz w:val="21"/>
                <w:szCs w:val="21"/>
              </w:rPr>
            </w:pPr>
            <w:r w:rsidRPr="00647984">
              <w:rPr>
                <w:rFonts w:eastAsia="Times New Roman"/>
                <w:color w:val="000000"/>
                <w:sz w:val="21"/>
                <w:szCs w:val="21"/>
              </w:rPr>
              <w:t>Living alone</w:t>
            </w:r>
          </w:p>
        </w:tc>
        <w:tc>
          <w:tcPr>
            <w:tcW w:w="391" w:type="pct"/>
            <w:tcBorders>
              <w:bottom w:val="nil"/>
            </w:tcBorders>
            <w:shd w:val="clear" w:color="auto" w:fill="auto"/>
            <w:tcMar>
              <w:left w:w="43" w:type="dxa"/>
              <w:right w:w="43" w:type="dxa"/>
            </w:tcMar>
            <w:vAlign w:val="center"/>
            <w:hideMark/>
          </w:tcPr>
          <w:p w14:paraId="2329C004" w14:textId="77777777"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175</w:t>
            </w:r>
          </w:p>
        </w:tc>
        <w:tc>
          <w:tcPr>
            <w:tcW w:w="340" w:type="pct"/>
            <w:tcBorders>
              <w:bottom w:val="nil"/>
            </w:tcBorders>
            <w:shd w:val="clear" w:color="auto" w:fill="auto"/>
            <w:tcMar>
              <w:left w:w="43" w:type="dxa"/>
              <w:right w:w="43" w:type="dxa"/>
            </w:tcMar>
            <w:vAlign w:val="center"/>
            <w:hideMark/>
          </w:tcPr>
          <w:p w14:paraId="13B81D0B" w14:textId="77777777"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16.0</w:t>
            </w:r>
          </w:p>
        </w:tc>
        <w:tc>
          <w:tcPr>
            <w:tcW w:w="388" w:type="pct"/>
            <w:tcBorders>
              <w:bottom w:val="nil"/>
              <w:right w:val="double" w:sz="4" w:space="0" w:color="auto"/>
            </w:tcBorders>
            <w:shd w:val="clear" w:color="auto" w:fill="auto"/>
            <w:tcMar>
              <w:left w:w="43" w:type="dxa"/>
              <w:right w:w="43" w:type="dxa"/>
            </w:tcMar>
            <w:vAlign w:val="center"/>
            <w:hideMark/>
          </w:tcPr>
          <w:p w14:paraId="193EDC55" w14:textId="77777777" w:rsidR="00A679D1" w:rsidRPr="00647984" w:rsidRDefault="00A679D1" w:rsidP="00CB743D">
            <w:pPr>
              <w:spacing w:after="0" w:line="240" w:lineRule="auto"/>
              <w:jc w:val="right"/>
              <w:rPr>
                <w:rFonts w:eastAsia="Times New Roman"/>
                <w:bCs/>
                <w:color w:val="000000"/>
                <w:sz w:val="21"/>
                <w:szCs w:val="21"/>
              </w:rPr>
            </w:pPr>
            <w:r w:rsidRPr="00647984">
              <w:rPr>
                <w:rFonts w:eastAsia="Times New Roman"/>
                <w:bCs/>
                <w:color w:val="000000"/>
                <w:sz w:val="21"/>
                <w:szCs w:val="21"/>
              </w:rPr>
              <w:t>25.1</w:t>
            </w:r>
          </w:p>
        </w:tc>
      </w:tr>
      <w:tr w:rsidR="00CD499A" w:rsidRPr="00647984" w14:paraId="50CC86F6" w14:textId="77777777" w:rsidTr="00CB743D">
        <w:trPr>
          <w:trHeight w:val="331"/>
        </w:trPr>
        <w:tc>
          <w:tcPr>
            <w:tcW w:w="1025" w:type="pct"/>
            <w:gridSpan w:val="2"/>
            <w:tcBorders>
              <w:top w:val="nil"/>
              <w:left w:val="double" w:sz="4" w:space="0" w:color="auto"/>
              <w:bottom w:val="nil"/>
            </w:tcBorders>
            <w:shd w:val="clear" w:color="auto" w:fill="auto"/>
            <w:tcMar>
              <w:left w:w="43" w:type="dxa"/>
              <w:right w:w="43" w:type="dxa"/>
            </w:tcMar>
            <w:vAlign w:val="center"/>
          </w:tcPr>
          <w:p w14:paraId="1820C7D9" w14:textId="41737B78" w:rsidR="00A679D1" w:rsidRPr="00647984" w:rsidRDefault="00A679D1" w:rsidP="00CB743D">
            <w:pPr>
              <w:spacing w:after="0" w:line="240" w:lineRule="auto"/>
              <w:ind w:left="120"/>
              <w:rPr>
                <w:rFonts w:eastAsia="Times New Roman"/>
                <w:color w:val="000000"/>
                <w:sz w:val="21"/>
                <w:szCs w:val="21"/>
              </w:rPr>
            </w:pPr>
            <w:r w:rsidRPr="00647984">
              <w:rPr>
                <w:rFonts w:eastAsia="Times New Roman"/>
                <w:color w:val="000000"/>
                <w:sz w:val="21"/>
                <w:szCs w:val="21"/>
              </w:rPr>
              <w:t>50 to 64</w:t>
            </w:r>
          </w:p>
        </w:tc>
        <w:tc>
          <w:tcPr>
            <w:tcW w:w="394" w:type="pct"/>
            <w:gridSpan w:val="2"/>
            <w:tcBorders>
              <w:top w:val="nil"/>
              <w:bottom w:val="nil"/>
            </w:tcBorders>
            <w:shd w:val="clear" w:color="auto" w:fill="auto"/>
            <w:tcMar>
              <w:left w:w="43" w:type="dxa"/>
              <w:right w:w="43" w:type="dxa"/>
            </w:tcMar>
            <w:vAlign w:val="center"/>
          </w:tcPr>
          <w:p w14:paraId="3C9F7F56" w14:textId="06549021"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408</w:t>
            </w:r>
          </w:p>
        </w:tc>
        <w:tc>
          <w:tcPr>
            <w:tcW w:w="344" w:type="pct"/>
            <w:gridSpan w:val="3"/>
            <w:tcBorders>
              <w:top w:val="nil"/>
              <w:bottom w:val="nil"/>
            </w:tcBorders>
            <w:shd w:val="clear" w:color="auto" w:fill="auto"/>
            <w:tcMar>
              <w:left w:w="43" w:type="dxa"/>
              <w:right w:w="43" w:type="dxa"/>
            </w:tcMar>
            <w:vAlign w:val="center"/>
          </w:tcPr>
          <w:p w14:paraId="4DE4E63A" w14:textId="7529EAD2"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37.4</w:t>
            </w:r>
          </w:p>
        </w:tc>
        <w:tc>
          <w:tcPr>
            <w:tcW w:w="417" w:type="pct"/>
            <w:tcBorders>
              <w:top w:val="nil"/>
              <w:bottom w:val="nil"/>
              <w:right w:val="double" w:sz="4" w:space="0" w:color="auto"/>
            </w:tcBorders>
            <w:shd w:val="clear" w:color="auto" w:fill="auto"/>
            <w:tcMar>
              <w:left w:w="43" w:type="dxa"/>
              <w:right w:w="43" w:type="dxa"/>
            </w:tcMar>
            <w:vAlign w:val="center"/>
          </w:tcPr>
          <w:p w14:paraId="61610CB2" w14:textId="64227A44"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15.8</w:t>
            </w:r>
          </w:p>
        </w:tc>
        <w:tc>
          <w:tcPr>
            <w:tcW w:w="1701" w:type="pct"/>
            <w:vMerge w:val="restart"/>
            <w:tcBorders>
              <w:top w:val="nil"/>
              <w:left w:val="double" w:sz="4" w:space="0" w:color="auto"/>
              <w:bottom w:val="nil"/>
              <w:right w:val="nil"/>
            </w:tcBorders>
            <w:shd w:val="clear" w:color="auto" w:fill="auto"/>
            <w:tcMar>
              <w:left w:w="43" w:type="dxa"/>
              <w:right w:w="43" w:type="dxa"/>
            </w:tcMar>
            <w:vAlign w:val="center"/>
            <w:hideMark/>
          </w:tcPr>
          <w:p w14:paraId="535C6D94" w14:textId="77777777" w:rsidR="00A679D1" w:rsidRPr="00647984" w:rsidRDefault="00A679D1" w:rsidP="00CB743D">
            <w:pPr>
              <w:spacing w:after="0" w:line="240" w:lineRule="auto"/>
              <w:ind w:left="313" w:hanging="180"/>
              <w:rPr>
                <w:rFonts w:eastAsia="Times New Roman"/>
                <w:color w:val="000000"/>
                <w:sz w:val="21"/>
                <w:szCs w:val="21"/>
              </w:rPr>
            </w:pPr>
            <w:r w:rsidRPr="00647984">
              <w:rPr>
                <w:rFonts w:eastAsia="Times New Roman"/>
                <w:color w:val="000000"/>
                <w:sz w:val="21"/>
                <w:szCs w:val="21"/>
              </w:rPr>
              <w:t>Joint family (three adults or more</w:t>
            </w:r>
          </w:p>
          <w:p w14:paraId="6330E965" w14:textId="1BE49AD6" w:rsidR="00A679D1" w:rsidRPr="00647984" w:rsidRDefault="00A679D1" w:rsidP="00CB743D">
            <w:pPr>
              <w:spacing w:after="0" w:line="240" w:lineRule="auto"/>
              <w:ind w:left="223"/>
              <w:rPr>
                <w:rFonts w:eastAsia="Times New Roman"/>
                <w:color w:val="000000"/>
                <w:sz w:val="21"/>
                <w:szCs w:val="21"/>
              </w:rPr>
            </w:pPr>
            <w:r w:rsidRPr="00647984">
              <w:rPr>
                <w:rFonts w:eastAsia="Times New Roman"/>
                <w:color w:val="000000"/>
                <w:sz w:val="21"/>
                <w:szCs w:val="21"/>
              </w:rPr>
              <w:t>with or without children)</w:t>
            </w:r>
          </w:p>
        </w:tc>
        <w:tc>
          <w:tcPr>
            <w:tcW w:w="391" w:type="pct"/>
            <w:vMerge w:val="restart"/>
            <w:tcBorders>
              <w:top w:val="nil"/>
              <w:left w:val="nil"/>
              <w:bottom w:val="nil"/>
              <w:right w:val="nil"/>
            </w:tcBorders>
            <w:shd w:val="clear" w:color="auto" w:fill="auto"/>
            <w:tcMar>
              <w:left w:w="43" w:type="dxa"/>
              <w:right w:w="43" w:type="dxa"/>
            </w:tcMar>
            <w:vAlign w:val="center"/>
          </w:tcPr>
          <w:p w14:paraId="6676B4A3" w14:textId="7C3D1661"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80</w:t>
            </w:r>
          </w:p>
        </w:tc>
        <w:tc>
          <w:tcPr>
            <w:tcW w:w="340" w:type="pct"/>
            <w:vMerge w:val="restart"/>
            <w:tcBorders>
              <w:top w:val="nil"/>
              <w:left w:val="nil"/>
              <w:bottom w:val="nil"/>
              <w:right w:val="nil"/>
            </w:tcBorders>
            <w:shd w:val="clear" w:color="auto" w:fill="auto"/>
            <w:tcMar>
              <w:left w:w="43" w:type="dxa"/>
              <w:right w:w="43" w:type="dxa"/>
            </w:tcMar>
            <w:vAlign w:val="center"/>
          </w:tcPr>
          <w:p w14:paraId="72FCAF19" w14:textId="4E9073E2"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7.3</w:t>
            </w:r>
          </w:p>
        </w:tc>
        <w:tc>
          <w:tcPr>
            <w:tcW w:w="388" w:type="pct"/>
            <w:vMerge w:val="restart"/>
            <w:tcBorders>
              <w:top w:val="nil"/>
              <w:left w:val="nil"/>
              <w:bottom w:val="nil"/>
              <w:right w:val="double" w:sz="4" w:space="0" w:color="auto"/>
            </w:tcBorders>
            <w:shd w:val="clear" w:color="auto" w:fill="auto"/>
            <w:tcMar>
              <w:left w:w="43" w:type="dxa"/>
              <w:right w:w="43" w:type="dxa"/>
            </w:tcMar>
            <w:vAlign w:val="center"/>
          </w:tcPr>
          <w:p w14:paraId="62D642C6" w14:textId="16BA8DA1" w:rsidR="00A679D1" w:rsidRPr="00647984" w:rsidRDefault="00A679D1" w:rsidP="00CB743D">
            <w:pPr>
              <w:spacing w:after="0" w:line="240" w:lineRule="auto"/>
              <w:jc w:val="right"/>
              <w:rPr>
                <w:rFonts w:eastAsia="Times New Roman"/>
                <w:b/>
                <w:color w:val="000000"/>
                <w:sz w:val="21"/>
                <w:szCs w:val="21"/>
              </w:rPr>
            </w:pPr>
            <w:r w:rsidRPr="00647984">
              <w:rPr>
                <w:rFonts w:eastAsia="Times New Roman"/>
                <w:b/>
                <w:color w:val="000000"/>
                <w:sz w:val="21"/>
                <w:szCs w:val="21"/>
              </w:rPr>
              <w:t xml:space="preserve"> --</w:t>
            </w:r>
          </w:p>
        </w:tc>
      </w:tr>
      <w:tr w:rsidR="00CD499A" w:rsidRPr="00647984" w14:paraId="351A34E0" w14:textId="77777777" w:rsidTr="00CB743D">
        <w:trPr>
          <w:trHeight w:val="331"/>
        </w:trPr>
        <w:tc>
          <w:tcPr>
            <w:tcW w:w="1025" w:type="pct"/>
            <w:gridSpan w:val="2"/>
            <w:tcBorders>
              <w:top w:val="nil"/>
              <w:left w:val="double" w:sz="4" w:space="0" w:color="auto"/>
              <w:bottom w:val="single" w:sz="4" w:space="0" w:color="auto"/>
            </w:tcBorders>
            <w:shd w:val="clear" w:color="auto" w:fill="auto"/>
            <w:tcMar>
              <w:left w:w="43" w:type="dxa"/>
              <w:right w:w="43" w:type="dxa"/>
            </w:tcMar>
            <w:vAlign w:val="center"/>
          </w:tcPr>
          <w:p w14:paraId="51626DD2" w14:textId="19B965D6" w:rsidR="00A679D1" w:rsidRPr="00647984" w:rsidRDefault="00A679D1" w:rsidP="00CB743D">
            <w:pPr>
              <w:spacing w:after="0" w:line="240" w:lineRule="auto"/>
              <w:ind w:left="120"/>
              <w:rPr>
                <w:rFonts w:eastAsia="Times New Roman"/>
                <w:color w:val="000000"/>
                <w:sz w:val="21"/>
                <w:szCs w:val="21"/>
              </w:rPr>
            </w:pPr>
            <w:r w:rsidRPr="00647984">
              <w:rPr>
                <w:rFonts w:eastAsia="Times New Roman"/>
                <w:color w:val="000000"/>
                <w:sz w:val="21"/>
                <w:szCs w:val="21"/>
              </w:rPr>
              <w:t>65 or more</w:t>
            </w:r>
          </w:p>
        </w:tc>
        <w:tc>
          <w:tcPr>
            <w:tcW w:w="394" w:type="pct"/>
            <w:gridSpan w:val="2"/>
            <w:tcBorders>
              <w:top w:val="nil"/>
              <w:bottom w:val="single" w:sz="4" w:space="0" w:color="auto"/>
            </w:tcBorders>
            <w:shd w:val="clear" w:color="auto" w:fill="auto"/>
            <w:tcMar>
              <w:left w:w="43" w:type="dxa"/>
              <w:right w:w="43" w:type="dxa"/>
            </w:tcMar>
            <w:vAlign w:val="center"/>
          </w:tcPr>
          <w:p w14:paraId="481C050E" w14:textId="78848221"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267</w:t>
            </w:r>
          </w:p>
        </w:tc>
        <w:tc>
          <w:tcPr>
            <w:tcW w:w="344" w:type="pct"/>
            <w:gridSpan w:val="3"/>
            <w:tcBorders>
              <w:top w:val="nil"/>
              <w:bottom w:val="single" w:sz="4" w:space="0" w:color="auto"/>
            </w:tcBorders>
            <w:shd w:val="clear" w:color="auto" w:fill="auto"/>
            <w:tcMar>
              <w:left w:w="43" w:type="dxa"/>
              <w:right w:w="43" w:type="dxa"/>
            </w:tcMar>
            <w:vAlign w:val="center"/>
          </w:tcPr>
          <w:p w14:paraId="75FAB5E9" w14:textId="0E811F75"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24.4</w:t>
            </w:r>
          </w:p>
        </w:tc>
        <w:tc>
          <w:tcPr>
            <w:tcW w:w="417" w:type="pct"/>
            <w:tcBorders>
              <w:top w:val="nil"/>
              <w:bottom w:val="single" w:sz="4" w:space="0" w:color="auto"/>
              <w:right w:val="double" w:sz="4" w:space="0" w:color="auto"/>
            </w:tcBorders>
            <w:shd w:val="clear" w:color="auto" w:fill="auto"/>
            <w:tcMar>
              <w:left w:w="43" w:type="dxa"/>
              <w:right w:w="43" w:type="dxa"/>
            </w:tcMar>
            <w:vAlign w:val="center"/>
          </w:tcPr>
          <w:p w14:paraId="2E21A4F4" w14:textId="0AA07B89"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18</w:t>
            </w:r>
            <w:r>
              <w:rPr>
                <w:rFonts w:eastAsia="Times New Roman"/>
                <w:color w:val="000000"/>
                <w:sz w:val="21"/>
                <w:szCs w:val="21"/>
              </w:rPr>
              <w:t>.0</w:t>
            </w:r>
          </w:p>
        </w:tc>
        <w:tc>
          <w:tcPr>
            <w:tcW w:w="1701" w:type="pct"/>
            <w:vMerge/>
            <w:tcBorders>
              <w:top w:val="nil"/>
              <w:left w:val="double" w:sz="4" w:space="0" w:color="auto"/>
              <w:bottom w:val="nil"/>
              <w:right w:val="nil"/>
            </w:tcBorders>
            <w:shd w:val="clear" w:color="auto" w:fill="auto"/>
            <w:noWrap/>
            <w:tcMar>
              <w:left w:w="43" w:type="dxa"/>
              <w:right w:w="43" w:type="dxa"/>
            </w:tcMar>
            <w:vAlign w:val="center"/>
            <w:hideMark/>
          </w:tcPr>
          <w:p w14:paraId="5BC2017A" w14:textId="14781573" w:rsidR="00A679D1" w:rsidRPr="00647984" w:rsidRDefault="00A679D1" w:rsidP="00CB743D">
            <w:pPr>
              <w:spacing w:after="0" w:line="240" w:lineRule="auto"/>
              <w:ind w:left="223" w:hanging="180"/>
              <w:rPr>
                <w:rFonts w:eastAsia="Times New Roman"/>
                <w:color w:val="000000"/>
                <w:sz w:val="21"/>
                <w:szCs w:val="21"/>
              </w:rPr>
            </w:pPr>
          </w:p>
        </w:tc>
        <w:tc>
          <w:tcPr>
            <w:tcW w:w="391" w:type="pct"/>
            <w:vMerge/>
            <w:tcBorders>
              <w:top w:val="nil"/>
              <w:left w:val="nil"/>
              <w:bottom w:val="nil"/>
              <w:right w:val="nil"/>
            </w:tcBorders>
            <w:shd w:val="clear" w:color="auto" w:fill="auto"/>
            <w:noWrap/>
            <w:tcMar>
              <w:left w:w="43" w:type="dxa"/>
              <w:right w:w="43" w:type="dxa"/>
            </w:tcMar>
            <w:vAlign w:val="center"/>
          </w:tcPr>
          <w:p w14:paraId="3CBF812F" w14:textId="77777777" w:rsidR="00A679D1" w:rsidRPr="00647984" w:rsidRDefault="00A679D1" w:rsidP="00CB743D">
            <w:pPr>
              <w:spacing w:after="0" w:line="240" w:lineRule="auto"/>
              <w:jc w:val="right"/>
              <w:rPr>
                <w:rFonts w:eastAsia="Times New Roman"/>
                <w:color w:val="000000"/>
                <w:sz w:val="21"/>
                <w:szCs w:val="21"/>
              </w:rPr>
            </w:pPr>
          </w:p>
        </w:tc>
        <w:tc>
          <w:tcPr>
            <w:tcW w:w="340" w:type="pct"/>
            <w:vMerge/>
            <w:tcBorders>
              <w:top w:val="nil"/>
              <w:left w:val="nil"/>
              <w:bottom w:val="nil"/>
              <w:right w:val="nil"/>
            </w:tcBorders>
            <w:shd w:val="clear" w:color="auto" w:fill="auto"/>
            <w:noWrap/>
            <w:tcMar>
              <w:left w:w="43" w:type="dxa"/>
              <w:right w:w="43" w:type="dxa"/>
            </w:tcMar>
            <w:vAlign w:val="center"/>
          </w:tcPr>
          <w:p w14:paraId="19CBB614" w14:textId="77777777" w:rsidR="00A679D1" w:rsidRPr="00647984" w:rsidRDefault="00A679D1" w:rsidP="00CB743D">
            <w:pPr>
              <w:spacing w:after="0" w:line="240" w:lineRule="auto"/>
              <w:jc w:val="right"/>
              <w:rPr>
                <w:rFonts w:eastAsia="Times New Roman"/>
                <w:color w:val="000000"/>
                <w:sz w:val="21"/>
                <w:szCs w:val="21"/>
              </w:rPr>
            </w:pPr>
          </w:p>
        </w:tc>
        <w:tc>
          <w:tcPr>
            <w:tcW w:w="388" w:type="pct"/>
            <w:vMerge/>
            <w:tcBorders>
              <w:top w:val="nil"/>
              <w:left w:val="nil"/>
              <w:bottom w:val="nil"/>
              <w:right w:val="double" w:sz="4" w:space="0" w:color="auto"/>
            </w:tcBorders>
            <w:shd w:val="clear" w:color="auto" w:fill="auto"/>
            <w:noWrap/>
            <w:tcMar>
              <w:left w:w="43" w:type="dxa"/>
              <w:right w:w="43" w:type="dxa"/>
            </w:tcMar>
            <w:vAlign w:val="center"/>
          </w:tcPr>
          <w:p w14:paraId="3714D41D" w14:textId="77777777" w:rsidR="00A679D1" w:rsidRPr="00647984" w:rsidRDefault="00A679D1" w:rsidP="00CB743D">
            <w:pPr>
              <w:spacing w:after="0" w:line="240" w:lineRule="auto"/>
              <w:jc w:val="right"/>
              <w:rPr>
                <w:rFonts w:eastAsia="Times New Roman"/>
                <w:color w:val="000000"/>
                <w:sz w:val="21"/>
                <w:szCs w:val="21"/>
              </w:rPr>
            </w:pPr>
          </w:p>
        </w:tc>
      </w:tr>
      <w:tr w:rsidR="00CD499A" w:rsidRPr="00647984" w14:paraId="49D154AE" w14:textId="77777777" w:rsidTr="00CB743D">
        <w:trPr>
          <w:trHeight w:val="331"/>
        </w:trPr>
        <w:tc>
          <w:tcPr>
            <w:tcW w:w="1017" w:type="pct"/>
            <w:tcBorders>
              <w:top w:val="single" w:sz="4" w:space="0" w:color="auto"/>
              <w:left w:val="double" w:sz="4" w:space="0" w:color="auto"/>
              <w:bottom w:val="nil"/>
              <w:right w:val="nil"/>
            </w:tcBorders>
            <w:shd w:val="clear" w:color="auto" w:fill="auto"/>
            <w:tcMar>
              <w:left w:w="43" w:type="dxa"/>
              <w:right w:w="43" w:type="dxa"/>
            </w:tcMar>
            <w:vAlign w:val="center"/>
            <w:hideMark/>
          </w:tcPr>
          <w:p w14:paraId="719803F9" w14:textId="77777777" w:rsidR="00CD499A" w:rsidRPr="00647984" w:rsidRDefault="00CD499A" w:rsidP="00CB743D">
            <w:pPr>
              <w:spacing w:after="0" w:line="240" w:lineRule="auto"/>
              <w:rPr>
                <w:rFonts w:eastAsia="Times New Roman"/>
                <w:b/>
                <w:bCs/>
                <w:i/>
                <w:iCs/>
                <w:color w:val="000000"/>
                <w:sz w:val="21"/>
                <w:szCs w:val="21"/>
              </w:rPr>
            </w:pPr>
            <w:r w:rsidRPr="00647984">
              <w:rPr>
                <w:rFonts w:eastAsia="Times New Roman"/>
                <w:b/>
                <w:bCs/>
                <w:i/>
                <w:iCs/>
                <w:color w:val="000000"/>
                <w:sz w:val="21"/>
                <w:szCs w:val="21"/>
              </w:rPr>
              <w:t>Race</w:t>
            </w:r>
          </w:p>
        </w:tc>
        <w:tc>
          <w:tcPr>
            <w:tcW w:w="391" w:type="pct"/>
            <w:gridSpan w:val="2"/>
            <w:tcBorders>
              <w:top w:val="single" w:sz="4" w:space="0" w:color="auto"/>
              <w:left w:val="nil"/>
              <w:bottom w:val="nil"/>
              <w:right w:val="nil"/>
            </w:tcBorders>
            <w:shd w:val="clear" w:color="auto" w:fill="auto"/>
            <w:tcMar>
              <w:left w:w="43" w:type="dxa"/>
              <w:right w:w="43" w:type="dxa"/>
            </w:tcMar>
            <w:vAlign w:val="center"/>
          </w:tcPr>
          <w:p w14:paraId="6FDD5D3E" w14:textId="77777777" w:rsidR="00CD499A" w:rsidRPr="00647984" w:rsidRDefault="00CD499A" w:rsidP="00CB743D">
            <w:pPr>
              <w:spacing w:after="0" w:line="240" w:lineRule="auto"/>
              <w:jc w:val="right"/>
              <w:rPr>
                <w:rFonts w:eastAsia="Times New Roman"/>
                <w:b/>
                <w:bCs/>
                <w:i/>
                <w:iCs/>
                <w:color w:val="000000"/>
                <w:sz w:val="21"/>
                <w:szCs w:val="21"/>
              </w:rPr>
            </w:pPr>
          </w:p>
        </w:tc>
        <w:tc>
          <w:tcPr>
            <w:tcW w:w="341" w:type="pct"/>
            <w:gridSpan w:val="2"/>
            <w:tcBorders>
              <w:top w:val="single" w:sz="4" w:space="0" w:color="auto"/>
              <w:left w:val="nil"/>
              <w:bottom w:val="nil"/>
              <w:right w:val="nil"/>
            </w:tcBorders>
            <w:shd w:val="clear" w:color="auto" w:fill="auto"/>
            <w:tcMar>
              <w:left w:w="43" w:type="dxa"/>
              <w:right w:w="43" w:type="dxa"/>
            </w:tcMar>
            <w:vAlign w:val="center"/>
          </w:tcPr>
          <w:p w14:paraId="1A4F020C" w14:textId="77777777" w:rsidR="00CD499A" w:rsidRPr="00647984" w:rsidRDefault="00CD499A" w:rsidP="00CB743D">
            <w:pPr>
              <w:spacing w:after="0" w:line="240" w:lineRule="auto"/>
              <w:jc w:val="right"/>
              <w:rPr>
                <w:rFonts w:eastAsia="Times New Roman"/>
                <w:b/>
                <w:bCs/>
                <w:i/>
                <w:iCs/>
                <w:color w:val="000000"/>
                <w:sz w:val="21"/>
                <w:szCs w:val="21"/>
              </w:rPr>
            </w:pPr>
          </w:p>
        </w:tc>
        <w:tc>
          <w:tcPr>
            <w:tcW w:w="431" w:type="pct"/>
            <w:gridSpan w:val="3"/>
            <w:tcBorders>
              <w:top w:val="single" w:sz="4" w:space="0" w:color="auto"/>
              <w:left w:val="nil"/>
              <w:bottom w:val="nil"/>
              <w:right w:val="double" w:sz="4" w:space="0" w:color="auto"/>
            </w:tcBorders>
            <w:shd w:val="clear" w:color="auto" w:fill="auto"/>
            <w:tcMar>
              <w:left w:w="43" w:type="dxa"/>
              <w:right w:w="43" w:type="dxa"/>
            </w:tcMar>
            <w:vAlign w:val="center"/>
          </w:tcPr>
          <w:p w14:paraId="496B5522" w14:textId="39684E7E" w:rsidR="00CD499A" w:rsidRPr="00647984" w:rsidRDefault="00CD499A" w:rsidP="00CB743D">
            <w:pPr>
              <w:spacing w:after="0" w:line="240" w:lineRule="auto"/>
              <w:jc w:val="right"/>
              <w:rPr>
                <w:rFonts w:eastAsia="Times New Roman"/>
                <w:b/>
                <w:bCs/>
                <w:i/>
                <w:iCs/>
                <w:color w:val="000000"/>
                <w:sz w:val="21"/>
                <w:szCs w:val="21"/>
              </w:rPr>
            </w:pPr>
          </w:p>
        </w:tc>
        <w:tc>
          <w:tcPr>
            <w:tcW w:w="1701" w:type="pct"/>
            <w:tcBorders>
              <w:top w:val="nil"/>
              <w:left w:val="double" w:sz="4" w:space="0" w:color="auto"/>
              <w:bottom w:val="single" w:sz="4" w:space="0" w:color="auto"/>
              <w:right w:val="nil"/>
            </w:tcBorders>
            <w:shd w:val="clear" w:color="auto" w:fill="auto"/>
            <w:noWrap/>
            <w:tcMar>
              <w:left w:w="43" w:type="dxa"/>
              <w:right w:w="43" w:type="dxa"/>
            </w:tcMar>
            <w:vAlign w:val="center"/>
            <w:hideMark/>
          </w:tcPr>
          <w:p w14:paraId="35ADD870" w14:textId="6E0E660C" w:rsidR="00CD499A" w:rsidRPr="00647984" w:rsidRDefault="00CD499A" w:rsidP="00CB743D">
            <w:pPr>
              <w:spacing w:after="0" w:line="240" w:lineRule="auto"/>
              <w:ind w:left="133"/>
              <w:rPr>
                <w:rFonts w:eastAsia="Times New Roman"/>
                <w:color w:val="000000"/>
                <w:sz w:val="21"/>
                <w:szCs w:val="21"/>
              </w:rPr>
            </w:pPr>
            <w:r w:rsidRPr="00647984">
              <w:rPr>
                <w:rFonts w:eastAsia="Times New Roman"/>
                <w:color w:val="000000"/>
                <w:sz w:val="21"/>
                <w:szCs w:val="21"/>
              </w:rPr>
              <w:t>Presence of children</w:t>
            </w:r>
          </w:p>
        </w:tc>
        <w:tc>
          <w:tcPr>
            <w:tcW w:w="391" w:type="pct"/>
            <w:tcBorders>
              <w:top w:val="nil"/>
              <w:left w:val="nil"/>
              <w:bottom w:val="single" w:sz="4" w:space="0" w:color="auto"/>
              <w:right w:val="nil"/>
            </w:tcBorders>
            <w:shd w:val="clear" w:color="auto" w:fill="auto"/>
            <w:noWrap/>
            <w:tcMar>
              <w:left w:w="43" w:type="dxa"/>
              <w:right w:w="43" w:type="dxa"/>
            </w:tcMar>
            <w:vAlign w:val="center"/>
          </w:tcPr>
          <w:p w14:paraId="6955076B" w14:textId="724F9ED3"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413</w:t>
            </w:r>
          </w:p>
        </w:tc>
        <w:tc>
          <w:tcPr>
            <w:tcW w:w="340" w:type="pct"/>
            <w:tcBorders>
              <w:top w:val="nil"/>
              <w:left w:val="nil"/>
              <w:bottom w:val="single" w:sz="4" w:space="0" w:color="auto"/>
              <w:right w:val="nil"/>
            </w:tcBorders>
            <w:shd w:val="clear" w:color="auto" w:fill="auto"/>
            <w:noWrap/>
            <w:tcMar>
              <w:left w:w="43" w:type="dxa"/>
              <w:right w:w="43" w:type="dxa"/>
            </w:tcMar>
            <w:vAlign w:val="center"/>
          </w:tcPr>
          <w:p w14:paraId="7E0A7FB0" w14:textId="738CEDC6"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37.8</w:t>
            </w:r>
          </w:p>
        </w:tc>
        <w:tc>
          <w:tcPr>
            <w:tcW w:w="388" w:type="pct"/>
            <w:tcBorders>
              <w:top w:val="nil"/>
              <w:left w:val="nil"/>
              <w:bottom w:val="single" w:sz="4" w:space="0" w:color="auto"/>
              <w:right w:val="double" w:sz="4" w:space="0" w:color="auto"/>
            </w:tcBorders>
            <w:shd w:val="clear" w:color="auto" w:fill="auto"/>
            <w:noWrap/>
            <w:tcMar>
              <w:left w:w="43" w:type="dxa"/>
              <w:right w:w="43" w:type="dxa"/>
            </w:tcMar>
            <w:vAlign w:val="center"/>
          </w:tcPr>
          <w:p w14:paraId="73D191BF" w14:textId="008ABF24"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32.7</w:t>
            </w:r>
          </w:p>
        </w:tc>
      </w:tr>
      <w:tr w:rsidR="00CD499A" w:rsidRPr="00647984" w14:paraId="1C06BD42" w14:textId="77777777" w:rsidTr="00CB743D">
        <w:trPr>
          <w:trHeight w:val="331"/>
        </w:trPr>
        <w:tc>
          <w:tcPr>
            <w:tcW w:w="1025" w:type="pct"/>
            <w:gridSpan w:val="2"/>
            <w:tcBorders>
              <w:top w:val="nil"/>
              <w:left w:val="double" w:sz="4" w:space="0" w:color="auto"/>
              <w:bottom w:val="nil"/>
              <w:right w:val="nil"/>
            </w:tcBorders>
            <w:shd w:val="clear" w:color="auto" w:fill="auto"/>
            <w:tcMar>
              <w:left w:w="43" w:type="dxa"/>
              <w:right w:w="43" w:type="dxa"/>
            </w:tcMar>
            <w:vAlign w:val="center"/>
          </w:tcPr>
          <w:p w14:paraId="0ABE5051" w14:textId="7F4BA8DF" w:rsidR="00A679D1" w:rsidRPr="00647984" w:rsidRDefault="00A679D1" w:rsidP="00CB743D">
            <w:pPr>
              <w:spacing w:after="0" w:line="240" w:lineRule="auto"/>
              <w:ind w:left="120"/>
              <w:rPr>
                <w:rFonts w:eastAsia="Times New Roman"/>
                <w:color w:val="000000"/>
                <w:sz w:val="21"/>
                <w:szCs w:val="21"/>
              </w:rPr>
            </w:pPr>
            <w:r w:rsidRPr="00647984">
              <w:rPr>
                <w:rFonts w:eastAsia="Times New Roman"/>
                <w:color w:val="000000"/>
                <w:sz w:val="21"/>
                <w:szCs w:val="21"/>
              </w:rPr>
              <w:t>White</w:t>
            </w:r>
          </w:p>
        </w:tc>
        <w:tc>
          <w:tcPr>
            <w:tcW w:w="394" w:type="pct"/>
            <w:gridSpan w:val="2"/>
            <w:tcBorders>
              <w:top w:val="nil"/>
              <w:left w:val="nil"/>
              <w:bottom w:val="nil"/>
              <w:right w:val="nil"/>
            </w:tcBorders>
            <w:shd w:val="clear" w:color="auto" w:fill="auto"/>
            <w:tcMar>
              <w:left w:w="43" w:type="dxa"/>
              <w:right w:w="43" w:type="dxa"/>
            </w:tcMar>
            <w:vAlign w:val="center"/>
          </w:tcPr>
          <w:p w14:paraId="421BF464" w14:textId="149A7A1C"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944</w:t>
            </w:r>
          </w:p>
        </w:tc>
        <w:tc>
          <w:tcPr>
            <w:tcW w:w="344" w:type="pct"/>
            <w:gridSpan w:val="3"/>
            <w:tcBorders>
              <w:top w:val="nil"/>
              <w:left w:val="nil"/>
              <w:bottom w:val="nil"/>
              <w:right w:val="nil"/>
            </w:tcBorders>
            <w:shd w:val="clear" w:color="auto" w:fill="auto"/>
            <w:tcMar>
              <w:left w:w="43" w:type="dxa"/>
              <w:right w:w="43" w:type="dxa"/>
            </w:tcMar>
            <w:vAlign w:val="center"/>
          </w:tcPr>
          <w:p w14:paraId="457B6650" w14:textId="054B4AD5"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86.4</w:t>
            </w:r>
          </w:p>
        </w:tc>
        <w:tc>
          <w:tcPr>
            <w:tcW w:w="417" w:type="pct"/>
            <w:tcBorders>
              <w:top w:val="nil"/>
              <w:left w:val="nil"/>
              <w:bottom w:val="nil"/>
              <w:right w:val="double" w:sz="4" w:space="0" w:color="auto"/>
            </w:tcBorders>
            <w:shd w:val="clear" w:color="auto" w:fill="auto"/>
            <w:tcMar>
              <w:left w:w="43" w:type="dxa"/>
              <w:right w:w="43" w:type="dxa"/>
            </w:tcMar>
            <w:vAlign w:val="center"/>
          </w:tcPr>
          <w:p w14:paraId="2A10D791" w14:textId="34828BDF"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68.6</w:t>
            </w:r>
          </w:p>
        </w:tc>
        <w:tc>
          <w:tcPr>
            <w:tcW w:w="2820" w:type="pct"/>
            <w:gridSpan w:val="4"/>
            <w:tcBorders>
              <w:top w:val="single" w:sz="4" w:space="0" w:color="auto"/>
              <w:left w:val="double" w:sz="4" w:space="0" w:color="auto"/>
              <w:bottom w:val="single" w:sz="4" w:space="0" w:color="auto"/>
              <w:right w:val="single" w:sz="4" w:space="0" w:color="auto"/>
            </w:tcBorders>
            <w:shd w:val="clear" w:color="auto" w:fill="auto"/>
            <w:tcMar>
              <w:left w:w="43" w:type="dxa"/>
              <w:right w:w="43" w:type="dxa"/>
            </w:tcMar>
            <w:vAlign w:val="center"/>
          </w:tcPr>
          <w:p w14:paraId="60C260C1" w14:textId="3762A885" w:rsidR="00A679D1" w:rsidRPr="00647984" w:rsidRDefault="00A679D1" w:rsidP="00A679D1">
            <w:pPr>
              <w:spacing w:after="0" w:line="240" w:lineRule="auto"/>
              <w:rPr>
                <w:rFonts w:eastAsia="Times New Roman"/>
                <w:color w:val="000000"/>
                <w:sz w:val="21"/>
                <w:szCs w:val="21"/>
              </w:rPr>
            </w:pPr>
            <w:r w:rsidRPr="00647984">
              <w:rPr>
                <w:rFonts w:eastAsia="Times New Roman"/>
                <w:b/>
                <w:bCs/>
                <w:color w:val="000000"/>
                <w:sz w:val="21"/>
                <w:szCs w:val="21"/>
              </w:rPr>
              <w:t xml:space="preserve">Employment </w:t>
            </w:r>
            <w:r>
              <w:rPr>
                <w:rFonts w:eastAsia="Times New Roman"/>
                <w:b/>
                <w:bCs/>
                <w:color w:val="000000"/>
                <w:sz w:val="21"/>
                <w:szCs w:val="21"/>
              </w:rPr>
              <w:t>S</w:t>
            </w:r>
            <w:r w:rsidRPr="00647984">
              <w:rPr>
                <w:rFonts w:eastAsia="Times New Roman"/>
                <w:b/>
                <w:bCs/>
                <w:color w:val="000000"/>
                <w:sz w:val="21"/>
                <w:szCs w:val="21"/>
              </w:rPr>
              <w:t>tatus/</w:t>
            </w:r>
            <w:r>
              <w:rPr>
                <w:rFonts w:eastAsia="Times New Roman"/>
                <w:b/>
                <w:bCs/>
                <w:color w:val="000000"/>
                <w:sz w:val="21"/>
                <w:szCs w:val="21"/>
              </w:rPr>
              <w:t>J</w:t>
            </w:r>
            <w:r w:rsidRPr="00647984">
              <w:rPr>
                <w:rFonts w:eastAsia="Times New Roman"/>
                <w:b/>
                <w:bCs/>
                <w:color w:val="000000"/>
                <w:sz w:val="21"/>
                <w:szCs w:val="21"/>
              </w:rPr>
              <w:t xml:space="preserve">ob </w:t>
            </w:r>
            <w:r>
              <w:rPr>
                <w:rFonts w:eastAsia="Times New Roman"/>
                <w:b/>
                <w:bCs/>
                <w:color w:val="000000"/>
                <w:sz w:val="21"/>
                <w:szCs w:val="21"/>
              </w:rPr>
              <w:t>C</w:t>
            </w:r>
            <w:r w:rsidRPr="00647984">
              <w:rPr>
                <w:rFonts w:eastAsia="Times New Roman"/>
                <w:b/>
                <w:bCs/>
                <w:color w:val="000000"/>
                <w:sz w:val="21"/>
                <w:szCs w:val="21"/>
              </w:rPr>
              <w:t>haracteristics</w:t>
            </w:r>
          </w:p>
        </w:tc>
      </w:tr>
      <w:tr w:rsidR="00CD499A" w:rsidRPr="00647984" w14:paraId="69345288" w14:textId="77777777" w:rsidTr="00CB743D">
        <w:trPr>
          <w:trHeight w:val="331"/>
        </w:trPr>
        <w:tc>
          <w:tcPr>
            <w:tcW w:w="1025" w:type="pct"/>
            <w:gridSpan w:val="2"/>
            <w:tcBorders>
              <w:top w:val="nil"/>
              <w:left w:val="double" w:sz="4" w:space="0" w:color="auto"/>
              <w:bottom w:val="single" w:sz="4" w:space="0" w:color="auto"/>
              <w:right w:val="nil"/>
            </w:tcBorders>
            <w:shd w:val="clear" w:color="auto" w:fill="auto"/>
            <w:tcMar>
              <w:left w:w="43" w:type="dxa"/>
              <w:right w:w="43" w:type="dxa"/>
            </w:tcMar>
            <w:vAlign w:val="center"/>
          </w:tcPr>
          <w:p w14:paraId="76074524" w14:textId="0F3CB039" w:rsidR="00A679D1" w:rsidRPr="00647984" w:rsidRDefault="00A679D1" w:rsidP="00CB743D">
            <w:pPr>
              <w:spacing w:after="0" w:line="240" w:lineRule="auto"/>
              <w:ind w:left="120"/>
              <w:rPr>
                <w:rFonts w:eastAsia="Times New Roman"/>
                <w:color w:val="000000"/>
                <w:sz w:val="21"/>
                <w:szCs w:val="21"/>
              </w:rPr>
            </w:pPr>
            <w:r w:rsidRPr="00647984">
              <w:rPr>
                <w:rFonts w:eastAsia="Times New Roman"/>
                <w:color w:val="000000"/>
                <w:sz w:val="21"/>
                <w:szCs w:val="21"/>
              </w:rPr>
              <w:t>Not White</w:t>
            </w:r>
          </w:p>
        </w:tc>
        <w:tc>
          <w:tcPr>
            <w:tcW w:w="394" w:type="pct"/>
            <w:gridSpan w:val="2"/>
            <w:tcBorders>
              <w:top w:val="nil"/>
              <w:left w:val="nil"/>
              <w:bottom w:val="single" w:sz="4" w:space="0" w:color="auto"/>
              <w:right w:val="nil"/>
            </w:tcBorders>
            <w:shd w:val="clear" w:color="auto" w:fill="auto"/>
            <w:tcMar>
              <w:left w:w="43" w:type="dxa"/>
              <w:right w:w="43" w:type="dxa"/>
            </w:tcMar>
            <w:vAlign w:val="center"/>
          </w:tcPr>
          <w:p w14:paraId="0FF45EAE" w14:textId="264135C1"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148</w:t>
            </w:r>
          </w:p>
        </w:tc>
        <w:tc>
          <w:tcPr>
            <w:tcW w:w="344" w:type="pct"/>
            <w:gridSpan w:val="3"/>
            <w:tcBorders>
              <w:top w:val="nil"/>
              <w:left w:val="nil"/>
              <w:bottom w:val="single" w:sz="4" w:space="0" w:color="auto"/>
              <w:right w:val="nil"/>
            </w:tcBorders>
            <w:shd w:val="clear" w:color="auto" w:fill="auto"/>
            <w:tcMar>
              <w:left w:w="43" w:type="dxa"/>
              <w:right w:w="43" w:type="dxa"/>
            </w:tcMar>
            <w:vAlign w:val="center"/>
          </w:tcPr>
          <w:p w14:paraId="2CE10291" w14:textId="2EB7E5AF"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13.6</w:t>
            </w:r>
          </w:p>
        </w:tc>
        <w:tc>
          <w:tcPr>
            <w:tcW w:w="417" w:type="pct"/>
            <w:tcBorders>
              <w:top w:val="nil"/>
              <w:left w:val="nil"/>
              <w:bottom w:val="single" w:sz="4" w:space="0" w:color="auto"/>
              <w:right w:val="double" w:sz="4" w:space="0" w:color="auto"/>
            </w:tcBorders>
            <w:shd w:val="clear" w:color="auto" w:fill="auto"/>
            <w:tcMar>
              <w:left w:w="43" w:type="dxa"/>
              <w:right w:w="43" w:type="dxa"/>
            </w:tcMar>
            <w:vAlign w:val="center"/>
          </w:tcPr>
          <w:p w14:paraId="4F2C47D8" w14:textId="5FF349BB"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31.4</w:t>
            </w:r>
          </w:p>
        </w:tc>
        <w:tc>
          <w:tcPr>
            <w:tcW w:w="1701" w:type="pct"/>
            <w:tcBorders>
              <w:top w:val="single" w:sz="4" w:space="0" w:color="auto"/>
              <w:left w:val="double" w:sz="4" w:space="0" w:color="auto"/>
              <w:bottom w:val="nil"/>
              <w:right w:val="nil"/>
            </w:tcBorders>
            <w:shd w:val="clear" w:color="auto" w:fill="auto"/>
            <w:tcMar>
              <w:left w:w="43" w:type="dxa"/>
              <w:right w:w="43" w:type="dxa"/>
            </w:tcMar>
            <w:vAlign w:val="center"/>
          </w:tcPr>
          <w:p w14:paraId="70CD1B22" w14:textId="01FDC402" w:rsidR="00A679D1" w:rsidRPr="00647984" w:rsidRDefault="00A679D1" w:rsidP="00CB743D">
            <w:pPr>
              <w:spacing w:after="0" w:line="240" w:lineRule="auto"/>
              <w:rPr>
                <w:rFonts w:eastAsia="Times New Roman"/>
                <w:color w:val="000000"/>
                <w:sz w:val="21"/>
                <w:szCs w:val="21"/>
              </w:rPr>
            </w:pPr>
            <w:r w:rsidRPr="00647984">
              <w:rPr>
                <w:rFonts w:eastAsia="Times New Roman"/>
                <w:b/>
                <w:bCs/>
                <w:i/>
                <w:iCs/>
                <w:color w:val="000000"/>
                <w:sz w:val="21"/>
                <w:szCs w:val="21"/>
              </w:rPr>
              <w:t>Employment status</w:t>
            </w:r>
          </w:p>
        </w:tc>
        <w:tc>
          <w:tcPr>
            <w:tcW w:w="391" w:type="pct"/>
            <w:tcBorders>
              <w:top w:val="single" w:sz="4" w:space="0" w:color="auto"/>
              <w:left w:val="nil"/>
              <w:bottom w:val="nil"/>
              <w:right w:val="nil"/>
            </w:tcBorders>
            <w:shd w:val="clear" w:color="auto" w:fill="auto"/>
            <w:tcMar>
              <w:left w:w="43" w:type="dxa"/>
              <w:right w:w="43" w:type="dxa"/>
            </w:tcMar>
            <w:vAlign w:val="center"/>
          </w:tcPr>
          <w:p w14:paraId="0796D640" w14:textId="77777777" w:rsidR="00A679D1" w:rsidRPr="00647984" w:rsidRDefault="00A679D1" w:rsidP="00CB743D">
            <w:pPr>
              <w:spacing w:after="0" w:line="240" w:lineRule="auto"/>
              <w:jc w:val="right"/>
              <w:rPr>
                <w:rFonts w:eastAsia="Times New Roman"/>
                <w:color w:val="000000"/>
                <w:sz w:val="21"/>
                <w:szCs w:val="21"/>
              </w:rPr>
            </w:pPr>
          </w:p>
        </w:tc>
        <w:tc>
          <w:tcPr>
            <w:tcW w:w="340" w:type="pct"/>
            <w:tcBorders>
              <w:top w:val="single" w:sz="4" w:space="0" w:color="auto"/>
              <w:left w:val="nil"/>
              <w:bottom w:val="nil"/>
              <w:right w:val="nil"/>
            </w:tcBorders>
            <w:shd w:val="clear" w:color="auto" w:fill="auto"/>
            <w:tcMar>
              <w:left w:w="43" w:type="dxa"/>
              <w:right w:w="43" w:type="dxa"/>
            </w:tcMar>
            <w:vAlign w:val="center"/>
          </w:tcPr>
          <w:p w14:paraId="40A60222" w14:textId="77777777" w:rsidR="00A679D1" w:rsidRPr="00647984" w:rsidRDefault="00A679D1" w:rsidP="00CB743D">
            <w:pPr>
              <w:spacing w:after="0" w:line="240" w:lineRule="auto"/>
              <w:jc w:val="right"/>
              <w:rPr>
                <w:rFonts w:eastAsia="Times New Roman"/>
                <w:color w:val="000000"/>
                <w:sz w:val="21"/>
                <w:szCs w:val="21"/>
              </w:rPr>
            </w:pPr>
          </w:p>
        </w:tc>
        <w:tc>
          <w:tcPr>
            <w:tcW w:w="388" w:type="pct"/>
            <w:tcBorders>
              <w:top w:val="single" w:sz="4" w:space="0" w:color="auto"/>
              <w:left w:val="nil"/>
              <w:bottom w:val="nil"/>
              <w:right w:val="double" w:sz="4" w:space="0" w:color="auto"/>
            </w:tcBorders>
            <w:shd w:val="clear" w:color="auto" w:fill="auto"/>
            <w:tcMar>
              <w:left w:w="43" w:type="dxa"/>
              <w:right w:w="43" w:type="dxa"/>
            </w:tcMar>
            <w:vAlign w:val="center"/>
          </w:tcPr>
          <w:p w14:paraId="3BACA4A0" w14:textId="77777777" w:rsidR="00A679D1" w:rsidRPr="00647984" w:rsidRDefault="00A679D1" w:rsidP="00CB743D">
            <w:pPr>
              <w:spacing w:after="0" w:line="240" w:lineRule="auto"/>
              <w:jc w:val="right"/>
              <w:rPr>
                <w:rFonts w:eastAsia="Times New Roman"/>
                <w:color w:val="000000"/>
                <w:sz w:val="21"/>
                <w:szCs w:val="21"/>
              </w:rPr>
            </w:pPr>
          </w:p>
        </w:tc>
      </w:tr>
      <w:tr w:rsidR="00CD499A" w:rsidRPr="00647984" w14:paraId="1B638D16" w14:textId="77777777" w:rsidTr="00CB743D">
        <w:trPr>
          <w:trHeight w:val="331"/>
        </w:trPr>
        <w:tc>
          <w:tcPr>
            <w:tcW w:w="1025" w:type="pct"/>
            <w:gridSpan w:val="2"/>
            <w:tcBorders>
              <w:top w:val="single" w:sz="4" w:space="0" w:color="auto"/>
              <w:left w:val="double" w:sz="4" w:space="0" w:color="auto"/>
              <w:bottom w:val="nil"/>
              <w:right w:val="nil"/>
            </w:tcBorders>
            <w:shd w:val="clear" w:color="auto" w:fill="auto"/>
            <w:tcMar>
              <w:left w:w="43" w:type="dxa"/>
              <w:right w:w="43" w:type="dxa"/>
            </w:tcMar>
            <w:vAlign w:val="center"/>
          </w:tcPr>
          <w:p w14:paraId="52B3B653" w14:textId="08E8A012" w:rsidR="00A679D1" w:rsidRPr="00647984" w:rsidRDefault="00A679D1" w:rsidP="00CB743D">
            <w:pPr>
              <w:spacing w:after="0" w:line="240" w:lineRule="auto"/>
              <w:rPr>
                <w:rFonts w:eastAsia="Times New Roman"/>
                <w:color w:val="000000"/>
                <w:sz w:val="21"/>
                <w:szCs w:val="21"/>
              </w:rPr>
            </w:pPr>
            <w:r w:rsidRPr="00647984">
              <w:rPr>
                <w:rFonts w:eastAsia="Times New Roman"/>
                <w:b/>
                <w:bCs/>
                <w:i/>
                <w:iCs/>
                <w:color w:val="000000"/>
                <w:sz w:val="21"/>
                <w:szCs w:val="21"/>
              </w:rPr>
              <w:t>Education level</w:t>
            </w:r>
          </w:p>
        </w:tc>
        <w:tc>
          <w:tcPr>
            <w:tcW w:w="394" w:type="pct"/>
            <w:gridSpan w:val="2"/>
            <w:tcBorders>
              <w:top w:val="single" w:sz="4" w:space="0" w:color="auto"/>
              <w:left w:val="nil"/>
              <w:bottom w:val="nil"/>
              <w:right w:val="nil"/>
            </w:tcBorders>
            <w:shd w:val="clear" w:color="auto" w:fill="auto"/>
            <w:tcMar>
              <w:left w:w="43" w:type="dxa"/>
              <w:right w:w="43" w:type="dxa"/>
            </w:tcMar>
            <w:vAlign w:val="center"/>
          </w:tcPr>
          <w:p w14:paraId="53667614" w14:textId="177DC7F2" w:rsidR="00A679D1" w:rsidRPr="00647984" w:rsidRDefault="00A679D1" w:rsidP="00CB743D">
            <w:pPr>
              <w:spacing w:after="0" w:line="240" w:lineRule="auto"/>
              <w:jc w:val="right"/>
              <w:rPr>
                <w:rFonts w:eastAsia="Times New Roman"/>
                <w:color w:val="000000"/>
                <w:sz w:val="21"/>
                <w:szCs w:val="21"/>
              </w:rPr>
            </w:pPr>
          </w:p>
        </w:tc>
        <w:tc>
          <w:tcPr>
            <w:tcW w:w="344" w:type="pct"/>
            <w:gridSpan w:val="3"/>
            <w:tcBorders>
              <w:top w:val="single" w:sz="4" w:space="0" w:color="auto"/>
              <w:left w:val="nil"/>
              <w:bottom w:val="nil"/>
              <w:right w:val="nil"/>
            </w:tcBorders>
            <w:shd w:val="clear" w:color="auto" w:fill="auto"/>
            <w:tcMar>
              <w:left w:w="43" w:type="dxa"/>
              <w:right w:w="43" w:type="dxa"/>
            </w:tcMar>
            <w:vAlign w:val="center"/>
          </w:tcPr>
          <w:p w14:paraId="1CCCB4A2" w14:textId="46932EF8" w:rsidR="00A679D1" w:rsidRPr="00647984" w:rsidRDefault="00A679D1" w:rsidP="00CB743D">
            <w:pPr>
              <w:spacing w:after="0" w:line="240" w:lineRule="auto"/>
              <w:jc w:val="right"/>
              <w:rPr>
                <w:rFonts w:eastAsia="Times New Roman"/>
                <w:color w:val="000000"/>
                <w:sz w:val="21"/>
                <w:szCs w:val="21"/>
              </w:rPr>
            </w:pPr>
          </w:p>
        </w:tc>
        <w:tc>
          <w:tcPr>
            <w:tcW w:w="417" w:type="pct"/>
            <w:tcBorders>
              <w:top w:val="single" w:sz="4" w:space="0" w:color="auto"/>
              <w:left w:val="nil"/>
              <w:bottom w:val="nil"/>
              <w:right w:val="double" w:sz="4" w:space="0" w:color="auto"/>
            </w:tcBorders>
            <w:shd w:val="clear" w:color="auto" w:fill="auto"/>
            <w:tcMar>
              <w:left w:w="43" w:type="dxa"/>
              <w:right w:w="43" w:type="dxa"/>
            </w:tcMar>
            <w:vAlign w:val="center"/>
          </w:tcPr>
          <w:p w14:paraId="743A7CBF" w14:textId="4C8C89E7" w:rsidR="00A679D1" w:rsidRPr="00647984" w:rsidRDefault="00A679D1" w:rsidP="00CB743D">
            <w:pPr>
              <w:spacing w:after="0" w:line="240" w:lineRule="auto"/>
              <w:jc w:val="right"/>
              <w:rPr>
                <w:rFonts w:eastAsia="Times New Roman"/>
                <w:color w:val="000000"/>
                <w:sz w:val="21"/>
                <w:szCs w:val="21"/>
              </w:rPr>
            </w:pPr>
          </w:p>
        </w:tc>
        <w:tc>
          <w:tcPr>
            <w:tcW w:w="1701" w:type="pct"/>
            <w:tcBorders>
              <w:top w:val="nil"/>
              <w:left w:val="double" w:sz="4" w:space="0" w:color="auto"/>
              <w:bottom w:val="nil"/>
              <w:right w:val="nil"/>
            </w:tcBorders>
            <w:shd w:val="clear" w:color="auto" w:fill="auto"/>
            <w:tcMar>
              <w:left w:w="43" w:type="dxa"/>
              <w:right w:w="43" w:type="dxa"/>
            </w:tcMar>
            <w:vAlign w:val="center"/>
          </w:tcPr>
          <w:p w14:paraId="02D099AF" w14:textId="335F7ABA" w:rsidR="00A679D1" w:rsidRPr="00647984" w:rsidRDefault="00A679D1" w:rsidP="00CB743D">
            <w:pPr>
              <w:spacing w:after="0" w:line="240" w:lineRule="auto"/>
              <w:ind w:left="133"/>
              <w:rPr>
                <w:rFonts w:eastAsia="Times New Roman"/>
                <w:color w:val="000000"/>
                <w:sz w:val="21"/>
                <w:szCs w:val="21"/>
              </w:rPr>
            </w:pPr>
            <w:r w:rsidRPr="00647984">
              <w:rPr>
                <w:rFonts w:eastAsia="Times New Roman"/>
                <w:color w:val="000000"/>
                <w:sz w:val="21"/>
                <w:szCs w:val="21"/>
              </w:rPr>
              <w:t xml:space="preserve">Not </w:t>
            </w:r>
            <w:r>
              <w:rPr>
                <w:rFonts w:eastAsia="Times New Roman"/>
                <w:color w:val="000000"/>
                <w:sz w:val="21"/>
                <w:szCs w:val="21"/>
              </w:rPr>
              <w:t>e</w:t>
            </w:r>
            <w:r w:rsidRPr="00647984">
              <w:rPr>
                <w:rFonts w:eastAsia="Times New Roman"/>
                <w:color w:val="000000"/>
                <w:sz w:val="21"/>
                <w:szCs w:val="21"/>
              </w:rPr>
              <w:t>mployed</w:t>
            </w:r>
          </w:p>
        </w:tc>
        <w:tc>
          <w:tcPr>
            <w:tcW w:w="391" w:type="pct"/>
            <w:tcBorders>
              <w:top w:val="nil"/>
              <w:left w:val="nil"/>
              <w:bottom w:val="nil"/>
              <w:right w:val="nil"/>
            </w:tcBorders>
            <w:shd w:val="clear" w:color="auto" w:fill="auto"/>
            <w:tcMar>
              <w:left w:w="43" w:type="dxa"/>
              <w:right w:w="43" w:type="dxa"/>
            </w:tcMar>
            <w:vAlign w:val="center"/>
          </w:tcPr>
          <w:p w14:paraId="17A49070" w14:textId="6A0E60A4"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229</w:t>
            </w:r>
          </w:p>
        </w:tc>
        <w:tc>
          <w:tcPr>
            <w:tcW w:w="340" w:type="pct"/>
            <w:tcBorders>
              <w:top w:val="nil"/>
              <w:left w:val="nil"/>
              <w:bottom w:val="nil"/>
              <w:right w:val="nil"/>
            </w:tcBorders>
            <w:shd w:val="clear" w:color="auto" w:fill="auto"/>
            <w:tcMar>
              <w:left w:w="43" w:type="dxa"/>
              <w:right w:w="43" w:type="dxa"/>
            </w:tcMar>
            <w:vAlign w:val="center"/>
          </w:tcPr>
          <w:p w14:paraId="1F45E592" w14:textId="449E6A31"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21.0</w:t>
            </w:r>
          </w:p>
        </w:tc>
        <w:tc>
          <w:tcPr>
            <w:tcW w:w="388" w:type="pct"/>
            <w:tcBorders>
              <w:top w:val="nil"/>
              <w:left w:val="nil"/>
              <w:bottom w:val="nil"/>
              <w:right w:val="double" w:sz="4" w:space="0" w:color="auto"/>
            </w:tcBorders>
            <w:shd w:val="clear" w:color="auto" w:fill="auto"/>
            <w:tcMar>
              <w:left w:w="43" w:type="dxa"/>
              <w:right w:w="43" w:type="dxa"/>
            </w:tcMar>
            <w:vAlign w:val="center"/>
          </w:tcPr>
          <w:p w14:paraId="5784C417" w14:textId="0C5CA1E3"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24.0</w:t>
            </w:r>
          </w:p>
        </w:tc>
      </w:tr>
      <w:tr w:rsidR="00CD499A" w:rsidRPr="00647984" w14:paraId="571A7034" w14:textId="77777777" w:rsidTr="00CB743D">
        <w:trPr>
          <w:trHeight w:val="331"/>
        </w:trPr>
        <w:tc>
          <w:tcPr>
            <w:tcW w:w="1025" w:type="pct"/>
            <w:gridSpan w:val="2"/>
            <w:tcBorders>
              <w:top w:val="nil"/>
              <w:left w:val="double" w:sz="4" w:space="0" w:color="auto"/>
              <w:bottom w:val="nil"/>
              <w:right w:val="nil"/>
            </w:tcBorders>
            <w:shd w:val="clear" w:color="auto" w:fill="auto"/>
            <w:tcMar>
              <w:left w:w="43" w:type="dxa"/>
              <w:right w:w="43" w:type="dxa"/>
            </w:tcMar>
            <w:vAlign w:val="center"/>
          </w:tcPr>
          <w:p w14:paraId="617337D5" w14:textId="17D22AAB" w:rsidR="00A679D1" w:rsidRPr="00647984" w:rsidRDefault="00A679D1" w:rsidP="00CB743D">
            <w:pPr>
              <w:spacing w:after="0" w:line="240" w:lineRule="auto"/>
              <w:ind w:left="120"/>
              <w:rPr>
                <w:rFonts w:eastAsia="Times New Roman"/>
                <w:color w:val="000000"/>
                <w:sz w:val="21"/>
                <w:szCs w:val="21"/>
              </w:rPr>
            </w:pPr>
            <w:r w:rsidRPr="00647984">
              <w:rPr>
                <w:rFonts w:eastAsia="Times New Roman"/>
                <w:color w:val="000000"/>
                <w:sz w:val="21"/>
                <w:szCs w:val="21"/>
              </w:rPr>
              <w:t>No degree</w:t>
            </w:r>
          </w:p>
        </w:tc>
        <w:tc>
          <w:tcPr>
            <w:tcW w:w="394" w:type="pct"/>
            <w:gridSpan w:val="2"/>
            <w:tcBorders>
              <w:top w:val="nil"/>
              <w:left w:val="nil"/>
              <w:bottom w:val="nil"/>
              <w:right w:val="nil"/>
            </w:tcBorders>
            <w:shd w:val="clear" w:color="auto" w:fill="auto"/>
            <w:tcMar>
              <w:left w:w="43" w:type="dxa"/>
              <w:right w:w="43" w:type="dxa"/>
            </w:tcMar>
            <w:vAlign w:val="center"/>
          </w:tcPr>
          <w:p w14:paraId="1C31CF81" w14:textId="74BB9764"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11</w:t>
            </w:r>
          </w:p>
        </w:tc>
        <w:tc>
          <w:tcPr>
            <w:tcW w:w="344" w:type="pct"/>
            <w:gridSpan w:val="3"/>
            <w:tcBorders>
              <w:top w:val="nil"/>
              <w:left w:val="nil"/>
              <w:bottom w:val="nil"/>
              <w:right w:val="nil"/>
            </w:tcBorders>
            <w:shd w:val="clear" w:color="auto" w:fill="auto"/>
            <w:tcMar>
              <w:left w:w="43" w:type="dxa"/>
              <w:right w:w="43" w:type="dxa"/>
            </w:tcMar>
            <w:vAlign w:val="center"/>
          </w:tcPr>
          <w:p w14:paraId="3DF25BA2" w14:textId="5BABDD26"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1.0</w:t>
            </w:r>
          </w:p>
        </w:tc>
        <w:tc>
          <w:tcPr>
            <w:tcW w:w="417" w:type="pct"/>
            <w:tcBorders>
              <w:top w:val="nil"/>
              <w:left w:val="nil"/>
              <w:bottom w:val="nil"/>
              <w:right w:val="double" w:sz="4" w:space="0" w:color="auto"/>
            </w:tcBorders>
            <w:shd w:val="clear" w:color="auto" w:fill="auto"/>
            <w:tcMar>
              <w:left w:w="43" w:type="dxa"/>
              <w:right w:w="43" w:type="dxa"/>
            </w:tcMar>
            <w:vAlign w:val="center"/>
          </w:tcPr>
          <w:p w14:paraId="15B2328A" w14:textId="6B4FE487"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15.7</w:t>
            </w:r>
          </w:p>
        </w:tc>
        <w:tc>
          <w:tcPr>
            <w:tcW w:w="1701" w:type="pct"/>
            <w:tcBorders>
              <w:top w:val="nil"/>
              <w:left w:val="double" w:sz="4" w:space="0" w:color="auto"/>
              <w:bottom w:val="nil"/>
              <w:right w:val="nil"/>
            </w:tcBorders>
            <w:shd w:val="clear" w:color="auto" w:fill="auto"/>
            <w:tcMar>
              <w:left w:w="43" w:type="dxa"/>
              <w:right w:w="43" w:type="dxa"/>
            </w:tcMar>
            <w:vAlign w:val="center"/>
          </w:tcPr>
          <w:p w14:paraId="7049A60E" w14:textId="234E49DF" w:rsidR="00A679D1" w:rsidRPr="00647984" w:rsidRDefault="00A679D1" w:rsidP="00CB743D">
            <w:pPr>
              <w:spacing w:after="0" w:line="240" w:lineRule="auto"/>
              <w:ind w:left="133"/>
              <w:rPr>
                <w:rFonts w:eastAsia="Times New Roman"/>
                <w:color w:val="000000"/>
                <w:sz w:val="21"/>
                <w:szCs w:val="21"/>
              </w:rPr>
            </w:pPr>
            <w:r w:rsidRPr="00647984">
              <w:rPr>
                <w:rFonts w:eastAsia="Times New Roman"/>
                <w:color w:val="000000"/>
                <w:sz w:val="21"/>
                <w:szCs w:val="21"/>
              </w:rPr>
              <w:t>Part-time employee</w:t>
            </w:r>
          </w:p>
        </w:tc>
        <w:tc>
          <w:tcPr>
            <w:tcW w:w="391" w:type="pct"/>
            <w:tcBorders>
              <w:top w:val="nil"/>
              <w:left w:val="nil"/>
              <w:bottom w:val="nil"/>
              <w:right w:val="nil"/>
            </w:tcBorders>
            <w:shd w:val="clear" w:color="auto" w:fill="auto"/>
            <w:tcMar>
              <w:left w:w="43" w:type="dxa"/>
              <w:right w:w="43" w:type="dxa"/>
            </w:tcMar>
            <w:vAlign w:val="center"/>
          </w:tcPr>
          <w:p w14:paraId="547463B1" w14:textId="0D74BE17"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50</w:t>
            </w:r>
          </w:p>
        </w:tc>
        <w:tc>
          <w:tcPr>
            <w:tcW w:w="340" w:type="pct"/>
            <w:tcBorders>
              <w:top w:val="nil"/>
              <w:left w:val="nil"/>
              <w:bottom w:val="nil"/>
              <w:right w:val="nil"/>
            </w:tcBorders>
            <w:shd w:val="clear" w:color="auto" w:fill="auto"/>
            <w:tcMar>
              <w:left w:w="43" w:type="dxa"/>
              <w:right w:w="43" w:type="dxa"/>
            </w:tcMar>
            <w:vAlign w:val="center"/>
          </w:tcPr>
          <w:p w14:paraId="102159D7" w14:textId="52AD362C"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4.6</w:t>
            </w:r>
          </w:p>
        </w:tc>
        <w:tc>
          <w:tcPr>
            <w:tcW w:w="388" w:type="pct"/>
            <w:tcBorders>
              <w:top w:val="nil"/>
              <w:left w:val="nil"/>
              <w:bottom w:val="nil"/>
              <w:right w:val="double" w:sz="4" w:space="0" w:color="auto"/>
            </w:tcBorders>
            <w:shd w:val="clear" w:color="auto" w:fill="auto"/>
            <w:tcMar>
              <w:left w:w="43" w:type="dxa"/>
              <w:right w:w="43" w:type="dxa"/>
            </w:tcMar>
            <w:vAlign w:val="center"/>
          </w:tcPr>
          <w:p w14:paraId="6A804D18" w14:textId="5A040A34"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14.9</w:t>
            </w:r>
          </w:p>
        </w:tc>
      </w:tr>
      <w:tr w:rsidR="00CB743D" w:rsidRPr="00647984" w14:paraId="502BB5B9" w14:textId="77777777" w:rsidTr="00CB743D">
        <w:trPr>
          <w:trHeight w:val="331"/>
        </w:trPr>
        <w:tc>
          <w:tcPr>
            <w:tcW w:w="1025" w:type="pct"/>
            <w:gridSpan w:val="2"/>
            <w:tcBorders>
              <w:top w:val="nil"/>
              <w:left w:val="double" w:sz="4" w:space="0" w:color="auto"/>
              <w:bottom w:val="nil"/>
              <w:right w:val="nil"/>
            </w:tcBorders>
            <w:shd w:val="clear" w:color="auto" w:fill="auto"/>
            <w:tcMar>
              <w:left w:w="43" w:type="dxa"/>
              <w:right w:w="43" w:type="dxa"/>
            </w:tcMar>
            <w:vAlign w:val="center"/>
            <w:hideMark/>
          </w:tcPr>
          <w:p w14:paraId="771435C4" w14:textId="72FEF432" w:rsidR="00A679D1" w:rsidRPr="00647984" w:rsidRDefault="00A679D1" w:rsidP="00CB743D">
            <w:pPr>
              <w:spacing w:after="0" w:line="240" w:lineRule="auto"/>
              <w:ind w:left="120"/>
              <w:rPr>
                <w:rFonts w:eastAsia="Times New Roman"/>
                <w:b/>
                <w:bCs/>
                <w:i/>
                <w:iCs/>
                <w:color w:val="000000"/>
                <w:sz w:val="21"/>
                <w:szCs w:val="21"/>
              </w:rPr>
            </w:pPr>
            <w:r w:rsidRPr="00647984">
              <w:rPr>
                <w:rFonts w:eastAsia="Times New Roman"/>
                <w:color w:val="000000"/>
                <w:sz w:val="21"/>
                <w:szCs w:val="21"/>
              </w:rPr>
              <w:t>High school</w:t>
            </w:r>
          </w:p>
        </w:tc>
        <w:tc>
          <w:tcPr>
            <w:tcW w:w="394" w:type="pct"/>
            <w:gridSpan w:val="2"/>
            <w:tcBorders>
              <w:top w:val="nil"/>
              <w:left w:val="nil"/>
              <w:bottom w:val="nil"/>
              <w:right w:val="nil"/>
            </w:tcBorders>
            <w:shd w:val="clear" w:color="auto" w:fill="auto"/>
            <w:tcMar>
              <w:left w:w="43" w:type="dxa"/>
              <w:right w:w="43" w:type="dxa"/>
            </w:tcMar>
            <w:vAlign w:val="center"/>
          </w:tcPr>
          <w:p w14:paraId="5D5FA50D" w14:textId="39EB0465"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87</w:t>
            </w:r>
          </w:p>
        </w:tc>
        <w:tc>
          <w:tcPr>
            <w:tcW w:w="340" w:type="pct"/>
            <w:gridSpan w:val="2"/>
            <w:tcBorders>
              <w:top w:val="nil"/>
              <w:left w:val="nil"/>
              <w:bottom w:val="nil"/>
              <w:right w:val="nil"/>
            </w:tcBorders>
            <w:shd w:val="clear" w:color="auto" w:fill="auto"/>
            <w:tcMar>
              <w:left w:w="43" w:type="dxa"/>
              <w:right w:w="43" w:type="dxa"/>
            </w:tcMar>
            <w:vAlign w:val="center"/>
          </w:tcPr>
          <w:p w14:paraId="394BBF83" w14:textId="081475A1"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8.0</w:t>
            </w:r>
          </w:p>
        </w:tc>
        <w:tc>
          <w:tcPr>
            <w:tcW w:w="421" w:type="pct"/>
            <w:gridSpan w:val="2"/>
            <w:tcBorders>
              <w:top w:val="nil"/>
              <w:left w:val="nil"/>
              <w:bottom w:val="nil"/>
              <w:right w:val="double" w:sz="4" w:space="0" w:color="auto"/>
            </w:tcBorders>
            <w:shd w:val="clear" w:color="auto" w:fill="auto"/>
            <w:tcMar>
              <w:left w:w="43" w:type="dxa"/>
              <w:right w:w="43" w:type="dxa"/>
            </w:tcMar>
            <w:vAlign w:val="center"/>
          </w:tcPr>
          <w:p w14:paraId="18CE206A" w14:textId="13F15A49" w:rsidR="00A679D1" w:rsidRPr="00647984" w:rsidRDefault="00A679D1" w:rsidP="00CB743D">
            <w:pPr>
              <w:spacing w:after="0" w:line="240" w:lineRule="auto"/>
              <w:jc w:val="right"/>
              <w:rPr>
                <w:rFonts w:eastAsia="Times New Roman"/>
                <w:b/>
                <w:bCs/>
                <w:i/>
                <w:iCs/>
                <w:color w:val="000000"/>
                <w:sz w:val="21"/>
                <w:szCs w:val="21"/>
              </w:rPr>
            </w:pPr>
            <w:r w:rsidRPr="00647984">
              <w:rPr>
                <w:rFonts w:eastAsia="Times New Roman"/>
                <w:color w:val="000000"/>
                <w:sz w:val="21"/>
                <w:szCs w:val="21"/>
              </w:rPr>
              <w:t>46.2</w:t>
            </w:r>
          </w:p>
        </w:tc>
        <w:tc>
          <w:tcPr>
            <w:tcW w:w="1701" w:type="pct"/>
            <w:tcBorders>
              <w:top w:val="nil"/>
              <w:left w:val="double" w:sz="4" w:space="0" w:color="auto"/>
              <w:bottom w:val="nil"/>
            </w:tcBorders>
            <w:shd w:val="clear" w:color="auto" w:fill="auto"/>
            <w:tcMar>
              <w:left w:w="43" w:type="dxa"/>
              <w:right w:w="43" w:type="dxa"/>
            </w:tcMar>
            <w:vAlign w:val="center"/>
          </w:tcPr>
          <w:p w14:paraId="36BE4066" w14:textId="335760CD" w:rsidR="00A679D1" w:rsidRPr="00647984" w:rsidRDefault="00A679D1" w:rsidP="00CB743D">
            <w:pPr>
              <w:spacing w:after="0" w:line="240" w:lineRule="auto"/>
              <w:ind w:left="133"/>
              <w:rPr>
                <w:rFonts w:eastAsia="Times New Roman"/>
                <w:color w:val="000000"/>
                <w:sz w:val="21"/>
                <w:szCs w:val="21"/>
              </w:rPr>
            </w:pPr>
            <w:r w:rsidRPr="00647984">
              <w:rPr>
                <w:rFonts w:eastAsia="Times New Roman"/>
                <w:color w:val="000000"/>
                <w:sz w:val="21"/>
                <w:szCs w:val="21"/>
              </w:rPr>
              <w:t>Full-time employee</w:t>
            </w:r>
          </w:p>
        </w:tc>
        <w:tc>
          <w:tcPr>
            <w:tcW w:w="391" w:type="pct"/>
            <w:tcBorders>
              <w:top w:val="nil"/>
              <w:bottom w:val="nil"/>
            </w:tcBorders>
            <w:shd w:val="clear" w:color="auto" w:fill="auto"/>
            <w:tcMar>
              <w:left w:w="43" w:type="dxa"/>
              <w:right w:w="43" w:type="dxa"/>
            </w:tcMar>
            <w:vAlign w:val="center"/>
          </w:tcPr>
          <w:p w14:paraId="3BB9643E" w14:textId="3A29711D"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813</w:t>
            </w:r>
          </w:p>
        </w:tc>
        <w:tc>
          <w:tcPr>
            <w:tcW w:w="340" w:type="pct"/>
            <w:tcBorders>
              <w:top w:val="nil"/>
              <w:bottom w:val="nil"/>
            </w:tcBorders>
            <w:shd w:val="clear" w:color="auto" w:fill="auto"/>
            <w:tcMar>
              <w:left w:w="43" w:type="dxa"/>
              <w:right w:w="43" w:type="dxa"/>
            </w:tcMar>
            <w:vAlign w:val="center"/>
          </w:tcPr>
          <w:p w14:paraId="52477A89" w14:textId="62E53ACD"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74.4</w:t>
            </w:r>
          </w:p>
        </w:tc>
        <w:tc>
          <w:tcPr>
            <w:tcW w:w="388" w:type="pct"/>
            <w:tcBorders>
              <w:top w:val="nil"/>
              <w:bottom w:val="nil"/>
              <w:right w:val="double" w:sz="4" w:space="0" w:color="auto"/>
            </w:tcBorders>
            <w:shd w:val="clear" w:color="auto" w:fill="auto"/>
            <w:tcMar>
              <w:left w:w="43" w:type="dxa"/>
              <w:right w:w="43" w:type="dxa"/>
            </w:tcMar>
            <w:vAlign w:val="center"/>
          </w:tcPr>
          <w:p w14:paraId="1B34B5B6" w14:textId="0F0DBF70"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61.1</w:t>
            </w:r>
          </w:p>
        </w:tc>
      </w:tr>
      <w:tr w:rsidR="00CD499A" w:rsidRPr="00647984" w14:paraId="7DFBC5FE" w14:textId="77777777" w:rsidTr="00CB743D">
        <w:trPr>
          <w:trHeight w:val="331"/>
        </w:trPr>
        <w:tc>
          <w:tcPr>
            <w:tcW w:w="1025" w:type="pct"/>
            <w:gridSpan w:val="2"/>
            <w:tcBorders>
              <w:top w:val="nil"/>
              <w:left w:val="double" w:sz="4" w:space="0" w:color="auto"/>
              <w:bottom w:val="nil"/>
            </w:tcBorders>
            <w:shd w:val="clear" w:color="auto" w:fill="auto"/>
            <w:tcMar>
              <w:left w:w="43" w:type="dxa"/>
              <w:right w:w="43" w:type="dxa"/>
            </w:tcMar>
            <w:vAlign w:val="center"/>
          </w:tcPr>
          <w:p w14:paraId="37E7534C" w14:textId="2D217039" w:rsidR="00A679D1" w:rsidRPr="00647984" w:rsidRDefault="00A679D1" w:rsidP="00CB743D">
            <w:pPr>
              <w:spacing w:after="0" w:line="240" w:lineRule="auto"/>
              <w:ind w:left="120"/>
              <w:rPr>
                <w:rFonts w:eastAsia="Times New Roman"/>
                <w:color w:val="000000"/>
                <w:sz w:val="21"/>
                <w:szCs w:val="21"/>
              </w:rPr>
            </w:pPr>
            <w:r w:rsidRPr="00647984">
              <w:rPr>
                <w:rFonts w:eastAsia="Times New Roman"/>
                <w:color w:val="000000"/>
                <w:sz w:val="21"/>
                <w:szCs w:val="21"/>
              </w:rPr>
              <w:t>Technical degree</w:t>
            </w:r>
          </w:p>
        </w:tc>
        <w:tc>
          <w:tcPr>
            <w:tcW w:w="394" w:type="pct"/>
            <w:gridSpan w:val="2"/>
            <w:tcBorders>
              <w:top w:val="nil"/>
              <w:bottom w:val="nil"/>
            </w:tcBorders>
            <w:shd w:val="clear" w:color="auto" w:fill="auto"/>
            <w:tcMar>
              <w:left w:w="43" w:type="dxa"/>
              <w:right w:w="43" w:type="dxa"/>
            </w:tcMar>
            <w:vAlign w:val="center"/>
          </w:tcPr>
          <w:p w14:paraId="40736353" w14:textId="76DAFC0B"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104</w:t>
            </w:r>
          </w:p>
        </w:tc>
        <w:tc>
          <w:tcPr>
            <w:tcW w:w="344" w:type="pct"/>
            <w:gridSpan w:val="3"/>
            <w:tcBorders>
              <w:top w:val="nil"/>
              <w:bottom w:val="nil"/>
            </w:tcBorders>
            <w:shd w:val="clear" w:color="auto" w:fill="auto"/>
            <w:tcMar>
              <w:left w:w="43" w:type="dxa"/>
              <w:right w:w="43" w:type="dxa"/>
            </w:tcMar>
            <w:vAlign w:val="center"/>
          </w:tcPr>
          <w:p w14:paraId="25B64364" w14:textId="4A041AD2"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9.5</w:t>
            </w:r>
          </w:p>
        </w:tc>
        <w:tc>
          <w:tcPr>
            <w:tcW w:w="417" w:type="pct"/>
            <w:tcBorders>
              <w:top w:val="nil"/>
              <w:bottom w:val="nil"/>
              <w:right w:val="double" w:sz="4" w:space="0" w:color="auto"/>
            </w:tcBorders>
            <w:shd w:val="clear" w:color="auto" w:fill="auto"/>
            <w:tcMar>
              <w:left w:w="43" w:type="dxa"/>
              <w:right w:w="43" w:type="dxa"/>
            </w:tcMar>
            <w:vAlign w:val="center"/>
          </w:tcPr>
          <w:p w14:paraId="5C441DCE" w14:textId="1A85C8A0"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7.4</w:t>
            </w:r>
          </w:p>
        </w:tc>
        <w:tc>
          <w:tcPr>
            <w:tcW w:w="1701" w:type="pct"/>
            <w:tcBorders>
              <w:top w:val="nil"/>
              <w:left w:val="double" w:sz="4" w:space="0" w:color="auto"/>
              <w:bottom w:val="nil"/>
            </w:tcBorders>
            <w:shd w:val="clear" w:color="auto" w:fill="auto"/>
            <w:tcMar>
              <w:left w:w="43" w:type="dxa"/>
              <w:right w:w="43" w:type="dxa"/>
            </w:tcMar>
            <w:vAlign w:val="center"/>
          </w:tcPr>
          <w:p w14:paraId="3C3856CE" w14:textId="7C19A95C" w:rsidR="00A679D1" w:rsidRPr="00647984" w:rsidRDefault="00A679D1" w:rsidP="00CB743D">
            <w:pPr>
              <w:spacing w:after="0" w:line="240" w:lineRule="auto"/>
              <w:rPr>
                <w:rFonts w:eastAsia="Times New Roman"/>
                <w:color w:val="000000"/>
                <w:sz w:val="21"/>
                <w:szCs w:val="21"/>
              </w:rPr>
            </w:pPr>
            <w:r w:rsidRPr="00647984">
              <w:rPr>
                <w:rFonts w:eastAsia="Times New Roman"/>
                <w:b/>
                <w:bCs/>
                <w:i/>
                <w:iCs/>
                <w:color w:val="000000"/>
                <w:sz w:val="21"/>
                <w:szCs w:val="21"/>
              </w:rPr>
              <w:t>Self-</w:t>
            </w:r>
            <w:r>
              <w:rPr>
                <w:rFonts w:eastAsia="Times New Roman"/>
                <w:b/>
                <w:bCs/>
                <w:i/>
                <w:iCs/>
                <w:color w:val="000000"/>
                <w:sz w:val="21"/>
                <w:szCs w:val="21"/>
              </w:rPr>
              <w:t>e</w:t>
            </w:r>
            <w:r w:rsidRPr="00647984">
              <w:rPr>
                <w:rFonts w:eastAsia="Times New Roman"/>
                <w:b/>
                <w:bCs/>
                <w:i/>
                <w:iCs/>
                <w:color w:val="000000"/>
                <w:sz w:val="21"/>
                <w:szCs w:val="21"/>
              </w:rPr>
              <w:t>mployment</w:t>
            </w:r>
          </w:p>
        </w:tc>
        <w:tc>
          <w:tcPr>
            <w:tcW w:w="391" w:type="pct"/>
            <w:tcBorders>
              <w:top w:val="nil"/>
              <w:bottom w:val="nil"/>
            </w:tcBorders>
            <w:shd w:val="clear" w:color="auto" w:fill="auto"/>
            <w:tcMar>
              <w:left w:w="43" w:type="dxa"/>
              <w:right w:w="43" w:type="dxa"/>
            </w:tcMar>
            <w:vAlign w:val="center"/>
          </w:tcPr>
          <w:p w14:paraId="5866F70C" w14:textId="069B1F16" w:rsidR="00A679D1" w:rsidRPr="00647984" w:rsidRDefault="00A679D1" w:rsidP="00CB743D">
            <w:pPr>
              <w:spacing w:after="0" w:line="240" w:lineRule="auto"/>
              <w:jc w:val="right"/>
              <w:rPr>
                <w:rFonts w:eastAsia="Times New Roman"/>
                <w:color w:val="000000"/>
                <w:sz w:val="21"/>
                <w:szCs w:val="21"/>
              </w:rPr>
            </w:pPr>
          </w:p>
        </w:tc>
        <w:tc>
          <w:tcPr>
            <w:tcW w:w="340" w:type="pct"/>
            <w:tcBorders>
              <w:top w:val="nil"/>
              <w:bottom w:val="nil"/>
            </w:tcBorders>
            <w:shd w:val="clear" w:color="auto" w:fill="auto"/>
            <w:tcMar>
              <w:left w:w="43" w:type="dxa"/>
              <w:right w:w="43" w:type="dxa"/>
            </w:tcMar>
            <w:vAlign w:val="center"/>
          </w:tcPr>
          <w:p w14:paraId="01207BE1" w14:textId="2DED607B" w:rsidR="00A679D1" w:rsidRPr="00647984" w:rsidRDefault="00A679D1" w:rsidP="00CB743D">
            <w:pPr>
              <w:spacing w:after="0" w:line="240" w:lineRule="auto"/>
              <w:jc w:val="right"/>
              <w:rPr>
                <w:rFonts w:eastAsia="Times New Roman"/>
                <w:color w:val="000000"/>
                <w:sz w:val="21"/>
                <w:szCs w:val="21"/>
              </w:rPr>
            </w:pPr>
          </w:p>
        </w:tc>
        <w:tc>
          <w:tcPr>
            <w:tcW w:w="388" w:type="pct"/>
            <w:tcBorders>
              <w:top w:val="nil"/>
              <w:bottom w:val="nil"/>
              <w:right w:val="double" w:sz="4" w:space="0" w:color="auto"/>
            </w:tcBorders>
            <w:shd w:val="clear" w:color="auto" w:fill="auto"/>
            <w:tcMar>
              <w:left w:w="43" w:type="dxa"/>
              <w:right w:w="43" w:type="dxa"/>
            </w:tcMar>
            <w:vAlign w:val="center"/>
          </w:tcPr>
          <w:p w14:paraId="563D0528" w14:textId="11776F16" w:rsidR="00A679D1" w:rsidRPr="00647984" w:rsidRDefault="00A679D1" w:rsidP="00CB743D">
            <w:pPr>
              <w:spacing w:after="0" w:line="240" w:lineRule="auto"/>
              <w:jc w:val="right"/>
              <w:rPr>
                <w:rFonts w:eastAsia="Times New Roman"/>
                <w:color w:val="000000"/>
                <w:sz w:val="21"/>
                <w:szCs w:val="21"/>
              </w:rPr>
            </w:pPr>
          </w:p>
        </w:tc>
      </w:tr>
      <w:tr w:rsidR="00CD499A" w:rsidRPr="00647984" w14:paraId="707591A8" w14:textId="77777777" w:rsidTr="00CB743D">
        <w:trPr>
          <w:trHeight w:val="331"/>
        </w:trPr>
        <w:tc>
          <w:tcPr>
            <w:tcW w:w="1025" w:type="pct"/>
            <w:gridSpan w:val="2"/>
            <w:tcBorders>
              <w:top w:val="nil"/>
              <w:left w:val="double" w:sz="4" w:space="0" w:color="auto"/>
              <w:bottom w:val="nil"/>
            </w:tcBorders>
            <w:shd w:val="clear" w:color="auto" w:fill="auto"/>
            <w:tcMar>
              <w:left w:w="43" w:type="dxa"/>
              <w:right w:w="43" w:type="dxa"/>
            </w:tcMar>
            <w:vAlign w:val="center"/>
          </w:tcPr>
          <w:p w14:paraId="3EE78D3F" w14:textId="196E6FE7" w:rsidR="00A679D1" w:rsidRPr="00647984" w:rsidRDefault="00A679D1" w:rsidP="00CB743D">
            <w:pPr>
              <w:spacing w:after="0" w:line="240" w:lineRule="auto"/>
              <w:ind w:left="120"/>
              <w:rPr>
                <w:rFonts w:eastAsia="Times New Roman"/>
                <w:color w:val="000000"/>
                <w:sz w:val="21"/>
                <w:szCs w:val="21"/>
              </w:rPr>
            </w:pPr>
            <w:r w:rsidRPr="00647984">
              <w:rPr>
                <w:rFonts w:eastAsia="Times New Roman"/>
                <w:color w:val="000000"/>
                <w:sz w:val="21"/>
                <w:szCs w:val="21"/>
              </w:rPr>
              <w:t xml:space="preserve">Undergraduate </w:t>
            </w:r>
          </w:p>
        </w:tc>
        <w:tc>
          <w:tcPr>
            <w:tcW w:w="394" w:type="pct"/>
            <w:gridSpan w:val="2"/>
            <w:tcBorders>
              <w:top w:val="nil"/>
              <w:bottom w:val="nil"/>
            </w:tcBorders>
            <w:shd w:val="clear" w:color="auto" w:fill="auto"/>
            <w:tcMar>
              <w:left w:w="43" w:type="dxa"/>
              <w:right w:w="43" w:type="dxa"/>
            </w:tcMar>
            <w:vAlign w:val="center"/>
          </w:tcPr>
          <w:p w14:paraId="542279FC" w14:textId="3CC7B939"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377</w:t>
            </w:r>
          </w:p>
        </w:tc>
        <w:tc>
          <w:tcPr>
            <w:tcW w:w="344" w:type="pct"/>
            <w:gridSpan w:val="3"/>
            <w:tcBorders>
              <w:top w:val="nil"/>
              <w:bottom w:val="nil"/>
            </w:tcBorders>
            <w:shd w:val="clear" w:color="auto" w:fill="auto"/>
            <w:tcMar>
              <w:left w:w="43" w:type="dxa"/>
              <w:right w:w="43" w:type="dxa"/>
            </w:tcMar>
            <w:vAlign w:val="center"/>
          </w:tcPr>
          <w:p w14:paraId="49AE990E" w14:textId="5519A469"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34.5</w:t>
            </w:r>
          </w:p>
        </w:tc>
        <w:tc>
          <w:tcPr>
            <w:tcW w:w="417" w:type="pct"/>
            <w:tcBorders>
              <w:top w:val="nil"/>
              <w:bottom w:val="nil"/>
              <w:right w:val="double" w:sz="4" w:space="0" w:color="auto"/>
            </w:tcBorders>
            <w:shd w:val="clear" w:color="auto" w:fill="auto"/>
            <w:tcMar>
              <w:left w:w="43" w:type="dxa"/>
              <w:right w:w="43" w:type="dxa"/>
            </w:tcMar>
            <w:vAlign w:val="center"/>
          </w:tcPr>
          <w:p w14:paraId="4A328620" w14:textId="53C52EC7"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19.9</w:t>
            </w:r>
          </w:p>
        </w:tc>
        <w:tc>
          <w:tcPr>
            <w:tcW w:w="1701" w:type="pct"/>
            <w:tcBorders>
              <w:top w:val="nil"/>
              <w:left w:val="double" w:sz="4" w:space="0" w:color="auto"/>
              <w:bottom w:val="double" w:sz="4" w:space="0" w:color="auto"/>
            </w:tcBorders>
            <w:shd w:val="clear" w:color="auto" w:fill="auto"/>
            <w:tcMar>
              <w:left w:w="43" w:type="dxa"/>
              <w:right w:w="43" w:type="dxa"/>
            </w:tcMar>
            <w:vAlign w:val="center"/>
          </w:tcPr>
          <w:p w14:paraId="0F5063E0" w14:textId="58E5EC2D" w:rsidR="00A679D1" w:rsidRPr="00647984" w:rsidRDefault="00A679D1" w:rsidP="00CB743D">
            <w:pPr>
              <w:spacing w:after="0" w:line="240" w:lineRule="auto"/>
              <w:ind w:left="133"/>
              <w:rPr>
                <w:rFonts w:eastAsia="Times New Roman"/>
                <w:color w:val="000000"/>
                <w:sz w:val="21"/>
                <w:szCs w:val="21"/>
              </w:rPr>
            </w:pPr>
            <w:r w:rsidRPr="00647984">
              <w:rPr>
                <w:rFonts w:eastAsia="Times New Roman"/>
                <w:color w:val="000000"/>
                <w:sz w:val="21"/>
                <w:szCs w:val="21"/>
              </w:rPr>
              <w:t>Self-</w:t>
            </w:r>
            <w:r>
              <w:rPr>
                <w:rFonts w:eastAsia="Times New Roman"/>
                <w:color w:val="000000"/>
                <w:sz w:val="21"/>
                <w:szCs w:val="21"/>
              </w:rPr>
              <w:t>e</w:t>
            </w:r>
            <w:r w:rsidRPr="00647984">
              <w:rPr>
                <w:rFonts w:eastAsia="Times New Roman"/>
                <w:color w:val="000000"/>
                <w:sz w:val="21"/>
                <w:szCs w:val="21"/>
              </w:rPr>
              <w:t>mployed</w:t>
            </w:r>
          </w:p>
        </w:tc>
        <w:tc>
          <w:tcPr>
            <w:tcW w:w="391" w:type="pct"/>
            <w:tcBorders>
              <w:top w:val="nil"/>
              <w:bottom w:val="double" w:sz="4" w:space="0" w:color="auto"/>
            </w:tcBorders>
            <w:shd w:val="clear" w:color="auto" w:fill="auto"/>
            <w:tcMar>
              <w:left w:w="43" w:type="dxa"/>
              <w:right w:w="43" w:type="dxa"/>
            </w:tcMar>
            <w:vAlign w:val="center"/>
          </w:tcPr>
          <w:p w14:paraId="1A145195" w14:textId="53D0798E"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104</w:t>
            </w:r>
          </w:p>
        </w:tc>
        <w:tc>
          <w:tcPr>
            <w:tcW w:w="340" w:type="pct"/>
            <w:tcBorders>
              <w:top w:val="nil"/>
              <w:bottom w:val="double" w:sz="4" w:space="0" w:color="auto"/>
            </w:tcBorders>
            <w:shd w:val="clear" w:color="auto" w:fill="auto"/>
            <w:tcMar>
              <w:left w:w="43" w:type="dxa"/>
              <w:right w:w="43" w:type="dxa"/>
            </w:tcMar>
            <w:vAlign w:val="center"/>
          </w:tcPr>
          <w:p w14:paraId="188A865E" w14:textId="7FD42123"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9.5</w:t>
            </w:r>
          </w:p>
        </w:tc>
        <w:tc>
          <w:tcPr>
            <w:tcW w:w="388" w:type="pct"/>
            <w:tcBorders>
              <w:top w:val="nil"/>
              <w:bottom w:val="double" w:sz="4" w:space="0" w:color="auto"/>
              <w:right w:val="double" w:sz="4" w:space="0" w:color="auto"/>
            </w:tcBorders>
            <w:shd w:val="clear" w:color="auto" w:fill="auto"/>
            <w:tcMar>
              <w:left w:w="43" w:type="dxa"/>
              <w:right w:w="43" w:type="dxa"/>
            </w:tcMar>
            <w:vAlign w:val="center"/>
          </w:tcPr>
          <w:p w14:paraId="15517155" w14:textId="080832C8"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6.7</w:t>
            </w:r>
          </w:p>
        </w:tc>
      </w:tr>
      <w:tr w:rsidR="00CD499A" w:rsidRPr="00647984" w14:paraId="4BC138E8" w14:textId="77777777" w:rsidTr="00CB743D">
        <w:trPr>
          <w:trHeight w:val="331"/>
        </w:trPr>
        <w:tc>
          <w:tcPr>
            <w:tcW w:w="1025" w:type="pct"/>
            <w:gridSpan w:val="2"/>
            <w:tcBorders>
              <w:top w:val="nil"/>
              <w:left w:val="double" w:sz="4" w:space="0" w:color="auto"/>
              <w:bottom w:val="single" w:sz="4" w:space="0" w:color="auto"/>
            </w:tcBorders>
            <w:shd w:val="clear" w:color="auto" w:fill="auto"/>
            <w:tcMar>
              <w:left w:w="43" w:type="dxa"/>
              <w:right w:w="43" w:type="dxa"/>
            </w:tcMar>
            <w:vAlign w:val="center"/>
          </w:tcPr>
          <w:p w14:paraId="1E13D521" w14:textId="4EA071F1" w:rsidR="00A679D1" w:rsidRPr="00647984" w:rsidRDefault="00A679D1" w:rsidP="00CB743D">
            <w:pPr>
              <w:spacing w:after="0" w:line="240" w:lineRule="auto"/>
              <w:ind w:left="120"/>
              <w:rPr>
                <w:rFonts w:eastAsia="Times New Roman"/>
                <w:color w:val="000000"/>
                <w:sz w:val="21"/>
                <w:szCs w:val="21"/>
              </w:rPr>
            </w:pPr>
            <w:r w:rsidRPr="00647984">
              <w:rPr>
                <w:rFonts w:eastAsia="Times New Roman"/>
                <w:color w:val="000000"/>
                <w:sz w:val="21"/>
                <w:szCs w:val="21"/>
              </w:rPr>
              <w:t xml:space="preserve">Graduate </w:t>
            </w:r>
          </w:p>
        </w:tc>
        <w:tc>
          <w:tcPr>
            <w:tcW w:w="394" w:type="pct"/>
            <w:gridSpan w:val="2"/>
            <w:tcBorders>
              <w:top w:val="nil"/>
              <w:bottom w:val="single" w:sz="4" w:space="0" w:color="auto"/>
            </w:tcBorders>
            <w:shd w:val="clear" w:color="auto" w:fill="auto"/>
            <w:tcMar>
              <w:left w:w="43" w:type="dxa"/>
              <w:right w:w="43" w:type="dxa"/>
            </w:tcMar>
            <w:vAlign w:val="center"/>
          </w:tcPr>
          <w:p w14:paraId="79E41140" w14:textId="7C4008BB"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513</w:t>
            </w:r>
          </w:p>
        </w:tc>
        <w:tc>
          <w:tcPr>
            <w:tcW w:w="344" w:type="pct"/>
            <w:gridSpan w:val="3"/>
            <w:tcBorders>
              <w:top w:val="nil"/>
              <w:bottom w:val="single" w:sz="4" w:space="0" w:color="auto"/>
            </w:tcBorders>
            <w:shd w:val="clear" w:color="auto" w:fill="auto"/>
            <w:tcMar>
              <w:left w:w="43" w:type="dxa"/>
              <w:right w:w="43" w:type="dxa"/>
            </w:tcMar>
            <w:vAlign w:val="center"/>
          </w:tcPr>
          <w:p w14:paraId="3D76C248" w14:textId="3F9BFA80"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47.0</w:t>
            </w:r>
          </w:p>
        </w:tc>
        <w:tc>
          <w:tcPr>
            <w:tcW w:w="417" w:type="pct"/>
            <w:tcBorders>
              <w:top w:val="nil"/>
              <w:bottom w:val="single" w:sz="4" w:space="0" w:color="auto"/>
              <w:right w:val="double" w:sz="4" w:space="0" w:color="auto"/>
            </w:tcBorders>
            <w:shd w:val="clear" w:color="auto" w:fill="auto"/>
            <w:tcMar>
              <w:left w:w="43" w:type="dxa"/>
              <w:right w:w="43" w:type="dxa"/>
            </w:tcMar>
            <w:vAlign w:val="center"/>
          </w:tcPr>
          <w:p w14:paraId="10080BB7" w14:textId="5DE5D10C" w:rsidR="00A679D1" w:rsidRPr="00647984" w:rsidRDefault="00A679D1" w:rsidP="00CB743D">
            <w:pPr>
              <w:spacing w:after="0" w:line="240" w:lineRule="auto"/>
              <w:jc w:val="right"/>
              <w:rPr>
                <w:rFonts w:eastAsia="Times New Roman"/>
                <w:color w:val="000000"/>
                <w:sz w:val="21"/>
                <w:szCs w:val="21"/>
              </w:rPr>
            </w:pPr>
            <w:r w:rsidRPr="00647984">
              <w:rPr>
                <w:rFonts w:eastAsia="Times New Roman"/>
                <w:color w:val="000000"/>
                <w:sz w:val="21"/>
                <w:szCs w:val="21"/>
              </w:rPr>
              <w:t>10.8</w:t>
            </w:r>
          </w:p>
        </w:tc>
        <w:tc>
          <w:tcPr>
            <w:tcW w:w="1701" w:type="pct"/>
            <w:tcBorders>
              <w:top w:val="double" w:sz="4" w:space="0" w:color="auto"/>
              <w:left w:val="double" w:sz="4" w:space="0" w:color="auto"/>
              <w:bottom w:val="double" w:sz="4" w:space="0" w:color="auto"/>
            </w:tcBorders>
            <w:shd w:val="clear" w:color="auto" w:fill="auto"/>
            <w:tcMar>
              <w:left w:w="43" w:type="dxa"/>
              <w:right w:w="43" w:type="dxa"/>
            </w:tcMar>
            <w:vAlign w:val="center"/>
          </w:tcPr>
          <w:p w14:paraId="1FB630DE" w14:textId="74EE440E" w:rsidR="00A679D1" w:rsidRPr="00647984" w:rsidRDefault="00A679D1" w:rsidP="00A679D1">
            <w:pPr>
              <w:spacing w:after="0" w:line="240" w:lineRule="auto"/>
              <w:rPr>
                <w:rFonts w:eastAsia="Times New Roman"/>
                <w:color w:val="000000"/>
                <w:sz w:val="21"/>
                <w:szCs w:val="21"/>
              </w:rPr>
            </w:pPr>
            <w:r w:rsidRPr="00647984">
              <w:rPr>
                <w:rFonts w:eastAsia="Times New Roman"/>
                <w:b/>
                <w:bCs/>
                <w:color w:val="000000"/>
                <w:sz w:val="21"/>
                <w:szCs w:val="21"/>
              </w:rPr>
              <w:t>Variable</w:t>
            </w:r>
          </w:p>
        </w:tc>
        <w:tc>
          <w:tcPr>
            <w:tcW w:w="391" w:type="pct"/>
            <w:tcBorders>
              <w:top w:val="double" w:sz="4" w:space="0" w:color="auto"/>
              <w:bottom w:val="double" w:sz="4" w:space="0" w:color="auto"/>
            </w:tcBorders>
            <w:shd w:val="clear" w:color="auto" w:fill="auto"/>
            <w:tcMar>
              <w:left w:w="43" w:type="dxa"/>
              <w:right w:w="43" w:type="dxa"/>
            </w:tcMar>
            <w:vAlign w:val="center"/>
          </w:tcPr>
          <w:p w14:paraId="2B7D6FC5" w14:textId="73B5BE4D" w:rsidR="00A679D1" w:rsidRPr="00647984" w:rsidRDefault="00A679D1" w:rsidP="00A679D1">
            <w:pPr>
              <w:spacing w:after="0" w:line="240" w:lineRule="auto"/>
              <w:jc w:val="right"/>
              <w:rPr>
                <w:rFonts w:eastAsia="Times New Roman"/>
                <w:color w:val="000000"/>
                <w:sz w:val="21"/>
                <w:szCs w:val="21"/>
              </w:rPr>
            </w:pPr>
            <w:r w:rsidRPr="00647984">
              <w:rPr>
                <w:rFonts w:eastAsia="Times New Roman"/>
                <w:b/>
                <w:bCs/>
                <w:color w:val="000000"/>
                <w:sz w:val="21"/>
                <w:szCs w:val="21"/>
              </w:rPr>
              <w:t>Mean</w:t>
            </w:r>
          </w:p>
        </w:tc>
        <w:tc>
          <w:tcPr>
            <w:tcW w:w="340" w:type="pct"/>
            <w:tcBorders>
              <w:top w:val="double" w:sz="4" w:space="0" w:color="auto"/>
              <w:bottom w:val="double" w:sz="4" w:space="0" w:color="auto"/>
            </w:tcBorders>
            <w:shd w:val="clear" w:color="auto" w:fill="auto"/>
            <w:tcMar>
              <w:left w:w="43" w:type="dxa"/>
              <w:right w:w="43" w:type="dxa"/>
            </w:tcMar>
            <w:vAlign w:val="center"/>
          </w:tcPr>
          <w:p w14:paraId="0635981C" w14:textId="1E527B7F" w:rsidR="00A679D1" w:rsidRPr="00647984" w:rsidRDefault="00A679D1" w:rsidP="00A679D1">
            <w:pPr>
              <w:spacing w:after="0" w:line="240" w:lineRule="auto"/>
              <w:jc w:val="right"/>
              <w:rPr>
                <w:rFonts w:eastAsia="Times New Roman"/>
                <w:color w:val="000000"/>
                <w:sz w:val="21"/>
                <w:szCs w:val="21"/>
              </w:rPr>
            </w:pPr>
            <w:r w:rsidRPr="00647984">
              <w:rPr>
                <w:rFonts w:eastAsia="Times New Roman"/>
                <w:b/>
                <w:bCs/>
                <w:color w:val="000000"/>
                <w:sz w:val="21"/>
                <w:szCs w:val="21"/>
              </w:rPr>
              <w:t>SD</w:t>
            </w:r>
          </w:p>
        </w:tc>
        <w:tc>
          <w:tcPr>
            <w:tcW w:w="388" w:type="pct"/>
            <w:tcBorders>
              <w:top w:val="double" w:sz="4" w:space="0" w:color="auto"/>
              <w:bottom w:val="double" w:sz="4" w:space="0" w:color="auto"/>
              <w:right w:val="double" w:sz="4" w:space="0" w:color="auto"/>
            </w:tcBorders>
            <w:shd w:val="clear" w:color="auto" w:fill="auto"/>
            <w:tcMar>
              <w:left w:w="43" w:type="dxa"/>
              <w:right w:w="43" w:type="dxa"/>
            </w:tcMar>
            <w:vAlign w:val="center"/>
          </w:tcPr>
          <w:p w14:paraId="51191ED9" w14:textId="5D5883C9" w:rsidR="00A679D1" w:rsidRPr="00647984" w:rsidRDefault="00A679D1" w:rsidP="00A679D1">
            <w:pPr>
              <w:spacing w:after="0" w:line="240" w:lineRule="auto"/>
              <w:jc w:val="right"/>
              <w:rPr>
                <w:rFonts w:eastAsia="Times New Roman"/>
                <w:color w:val="000000"/>
                <w:sz w:val="21"/>
                <w:szCs w:val="21"/>
              </w:rPr>
            </w:pPr>
            <w:r w:rsidRPr="00647984">
              <w:rPr>
                <w:rFonts w:eastAsia="Times New Roman"/>
                <w:b/>
                <w:color w:val="000000"/>
                <w:sz w:val="21"/>
                <w:szCs w:val="21"/>
              </w:rPr>
              <w:t xml:space="preserve">Texas </w:t>
            </w:r>
          </w:p>
        </w:tc>
      </w:tr>
      <w:tr w:rsidR="00CB743D" w:rsidRPr="00647984" w14:paraId="7B460011" w14:textId="77777777" w:rsidTr="00CB743D">
        <w:trPr>
          <w:trHeight w:val="331"/>
        </w:trPr>
        <w:tc>
          <w:tcPr>
            <w:tcW w:w="2180" w:type="pct"/>
            <w:gridSpan w:val="8"/>
            <w:tcBorders>
              <w:top w:val="single" w:sz="4" w:space="0" w:color="auto"/>
              <w:left w:val="double" w:sz="4" w:space="0" w:color="auto"/>
              <w:bottom w:val="single" w:sz="4" w:space="0" w:color="auto"/>
              <w:right w:val="double" w:sz="4" w:space="0" w:color="auto"/>
            </w:tcBorders>
            <w:shd w:val="clear" w:color="auto" w:fill="auto"/>
            <w:tcMar>
              <w:left w:w="43" w:type="dxa"/>
              <w:right w:w="43" w:type="dxa"/>
            </w:tcMar>
            <w:vAlign w:val="center"/>
          </w:tcPr>
          <w:p w14:paraId="4EA4F519" w14:textId="335E20EB" w:rsidR="00CD499A" w:rsidRPr="00647984" w:rsidRDefault="00CD499A" w:rsidP="00CB743D">
            <w:pPr>
              <w:spacing w:after="0" w:line="240" w:lineRule="auto"/>
              <w:rPr>
                <w:rFonts w:eastAsia="Times New Roman"/>
                <w:color w:val="000000"/>
                <w:sz w:val="21"/>
                <w:szCs w:val="21"/>
              </w:rPr>
            </w:pPr>
            <w:r w:rsidRPr="00647984">
              <w:rPr>
                <w:rFonts w:eastAsia="Times New Roman"/>
                <w:b/>
                <w:bCs/>
                <w:color w:val="000000"/>
                <w:sz w:val="21"/>
                <w:szCs w:val="21"/>
              </w:rPr>
              <w:t>Household Characteristics</w:t>
            </w:r>
          </w:p>
        </w:tc>
        <w:tc>
          <w:tcPr>
            <w:tcW w:w="1701" w:type="pct"/>
            <w:tcBorders>
              <w:top w:val="double" w:sz="4" w:space="0" w:color="auto"/>
              <w:left w:val="double" w:sz="4" w:space="0" w:color="auto"/>
            </w:tcBorders>
            <w:shd w:val="clear" w:color="auto" w:fill="auto"/>
            <w:tcMar>
              <w:left w:w="43" w:type="dxa"/>
              <w:right w:w="43" w:type="dxa"/>
            </w:tcMar>
            <w:vAlign w:val="center"/>
          </w:tcPr>
          <w:p w14:paraId="295B8E16" w14:textId="4BC23CCC" w:rsidR="00CD499A" w:rsidRPr="00647984" w:rsidRDefault="00CD499A" w:rsidP="00CB743D">
            <w:pPr>
              <w:spacing w:after="0" w:line="240" w:lineRule="auto"/>
              <w:rPr>
                <w:rFonts w:eastAsia="Times New Roman"/>
                <w:color w:val="000000"/>
                <w:sz w:val="21"/>
                <w:szCs w:val="21"/>
              </w:rPr>
            </w:pPr>
            <w:r w:rsidRPr="00647984">
              <w:rPr>
                <w:rFonts w:eastAsia="Times New Roman"/>
                <w:b/>
                <w:bCs/>
                <w:i/>
                <w:iCs/>
                <w:color w:val="000000"/>
                <w:sz w:val="21"/>
                <w:szCs w:val="21"/>
              </w:rPr>
              <w:t>Commute duration</w:t>
            </w:r>
          </w:p>
        </w:tc>
        <w:tc>
          <w:tcPr>
            <w:tcW w:w="391" w:type="pct"/>
            <w:tcBorders>
              <w:top w:val="double" w:sz="4" w:space="0" w:color="auto"/>
            </w:tcBorders>
            <w:shd w:val="clear" w:color="auto" w:fill="auto"/>
            <w:tcMar>
              <w:left w:w="43" w:type="dxa"/>
              <w:right w:w="43" w:type="dxa"/>
            </w:tcMar>
          </w:tcPr>
          <w:p w14:paraId="386698D7" w14:textId="77777777" w:rsidR="00CD499A" w:rsidRPr="00647984" w:rsidRDefault="00CD499A" w:rsidP="00A679D1">
            <w:pPr>
              <w:spacing w:after="0" w:line="240" w:lineRule="auto"/>
              <w:jc w:val="right"/>
              <w:rPr>
                <w:rFonts w:eastAsia="Times New Roman"/>
                <w:color w:val="000000"/>
                <w:sz w:val="21"/>
                <w:szCs w:val="21"/>
              </w:rPr>
            </w:pPr>
          </w:p>
        </w:tc>
        <w:tc>
          <w:tcPr>
            <w:tcW w:w="340" w:type="pct"/>
            <w:tcBorders>
              <w:top w:val="double" w:sz="4" w:space="0" w:color="auto"/>
            </w:tcBorders>
            <w:shd w:val="clear" w:color="auto" w:fill="auto"/>
            <w:tcMar>
              <w:left w:w="43" w:type="dxa"/>
              <w:right w:w="43" w:type="dxa"/>
            </w:tcMar>
          </w:tcPr>
          <w:p w14:paraId="53024872" w14:textId="77777777" w:rsidR="00CD499A" w:rsidRPr="00647984" w:rsidRDefault="00CD499A" w:rsidP="00A679D1">
            <w:pPr>
              <w:spacing w:after="0" w:line="240" w:lineRule="auto"/>
              <w:jc w:val="right"/>
              <w:rPr>
                <w:rFonts w:eastAsia="Times New Roman"/>
                <w:color w:val="000000"/>
                <w:sz w:val="21"/>
                <w:szCs w:val="21"/>
              </w:rPr>
            </w:pPr>
          </w:p>
        </w:tc>
        <w:tc>
          <w:tcPr>
            <w:tcW w:w="388" w:type="pct"/>
            <w:tcBorders>
              <w:top w:val="double" w:sz="4" w:space="0" w:color="auto"/>
              <w:right w:val="double" w:sz="4" w:space="0" w:color="auto"/>
            </w:tcBorders>
            <w:shd w:val="clear" w:color="auto" w:fill="auto"/>
            <w:tcMar>
              <w:left w:w="43" w:type="dxa"/>
              <w:right w:w="43" w:type="dxa"/>
            </w:tcMar>
          </w:tcPr>
          <w:p w14:paraId="19A21D2D" w14:textId="77777777" w:rsidR="00CD499A" w:rsidRPr="00647984" w:rsidRDefault="00CD499A" w:rsidP="00A679D1">
            <w:pPr>
              <w:spacing w:after="0" w:line="240" w:lineRule="auto"/>
              <w:jc w:val="right"/>
              <w:rPr>
                <w:rFonts w:eastAsia="Times New Roman"/>
                <w:color w:val="000000"/>
                <w:sz w:val="21"/>
                <w:szCs w:val="21"/>
              </w:rPr>
            </w:pPr>
          </w:p>
        </w:tc>
      </w:tr>
      <w:tr w:rsidR="00CD499A" w:rsidRPr="00647984" w14:paraId="42042FEF" w14:textId="77777777" w:rsidTr="00CB743D">
        <w:trPr>
          <w:trHeight w:val="331"/>
        </w:trPr>
        <w:tc>
          <w:tcPr>
            <w:tcW w:w="1025" w:type="pct"/>
            <w:gridSpan w:val="2"/>
            <w:tcBorders>
              <w:top w:val="single" w:sz="4" w:space="0" w:color="auto"/>
              <w:left w:val="double" w:sz="4" w:space="0" w:color="auto"/>
              <w:bottom w:val="nil"/>
            </w:tcBorders>
            <w:shd w:val="clear" w:color="auto" w:fill="auto"/>
            <w:tcMar>
              <w:left w:w="43" w:type="dxa"/>
              <w:right w:w="43" w:type="dxa"/>
            </w:tcMar>
            <w:vAlign w:val="center"/>
          </w:tcPr>
          <w:p w14:paraId="2142D65A" w14:textId="21A74C00" w:rsidR="00CD499A" w:rsidRPr="00647984" w:rsidRDefault="00CD499A" w:rsidP="00CB743D">
            <w:pPr>
              <w:spacing w:after="0" w:line="240" w:lineRule="auto"/>
              <w:rPr>
                <w:rFonts w:eastAsia="Times New Roman"/>
                <w:color w:val="000000"/>
                <w:sz w:val="21"/>
                <w:szCs w:val="21"/>
              </w:rPr>
            </w:pPr>
            <w:r w:rsidRPr="00647984">
              <w:rPr>
                <w:rFonts w:eastAsia="Times New Roman"/>
                <w:b/>
                <w:bCs/>
                <w:i/>
                <w:iCs/>
                <w:color w:val="000000"/>
                <w:sz w:val="21"/>
                <w:szCs w:val="21"/>
              </w:rPr>
              <w:t>Annual income</w:t>
            </w:r>
          </w:p>
        </w:tc>
        <w:tc>
          <w:tcPr>
            <w:tcW w:w="394" w:type="pct"/>
            <w:gridSpan w:val="2"/>
            <w:tcBorders>
              <w:top w:val="single" w:sz="4" w:space="0" w:color="auto"/>
              <w:bottom w:val="nil"/>
            </w:tcBorders>
            <w:shd w:val="clear" w:color="auto" w:fill="auto"/>
            <w:tcMar>
              <w:left w:w="43" w:type="dxa"/>
              <w:right w:w="43" w:type="dxa"/>
            </w:tcMar>
            <w:vAlign w:val="center"/>
          </w:tcPr>
          <w:p w14:paraId="1C260DCB" w14:textId="7CC41C24" w:rsidR="00CD499A" w:rsidRPr="00647984" w:rsidRDefault="00CD499A" w:rsidP="00CB743D">
            <w:pPr>
              <w:spacing w:after="0" w:line="240" w:lineRule="auto"/>
              <w:jc w:val="right"/>
              <w:rPr>
                <w:rFonts w:eastAsia="Times New Roman"/>
                <w:color w:val="000000"/>
                <w:sz w:val="21"/>
                <w:szCs w:val="21"/>
              </w:rPr>
            </w:pPr>
          </w:p>
        </w:tc>
        <w:tc>
          <w:tcPr>
            <w:tcW w:w="344" w:type="pct"/>
            <w:gridSpan w:val="3"/>
            <w:tcBorders>
              <w:top w:val="single" w:sz="4" w:space="0" w:color="auto"/>
              <w:bottom w:val="nil"/>
            </w:tcBorders>
            <w:shd w:val="clear" w:color="auto" w:fill="auto"/>
            <w:tcMar>
              <w:left w:w="43" w:type="dxa"/>
              <w:right w:w="43" w:type="dxa"/>
            </w:tcMar>
            <w:vAlign w:val="center"/>
          </w:tcPr>
          <w:p w14:paraId="7AEBE914" w14:textId="3B2B074E" w:rsidR="00CD499A" w:rsidRPr="00647984" w:rsidRDefault="00CD499A" w:rsidP="00CB743D">
            <w:pPr>
              <w:spacing w:after="0" w:line="240" w:lineRule="auto"/>
              <w:jc w:val="right"/>
              <w:rPr>
                <w:rFonts w:eastAsia="Times New Roman"/>
                <w:color w:val="000000"/>
                <w:sz w:val="21"/>
                <w:szCs w:val="21"/>
              </w:rPr>
            </w:pPr>
          </w:p>
        </w:tc>
        <w:tc>
          <w:tcPr>
            <w:tcW w:w="417" w:type="pct"/>
            <w:tcBorders>
              <w:top w:val="single" w:sz="4" w:space="0" w:color="auto"/>
              <w:bottom w:val="nil"/>
              <w:right w:val="double" w:sz="4" w:space="0" w:color="auto"/>
            </w:tcBorders>
            <w:shd w:val="clear" w:color="auto" w:fill="auto"/>
            <w:tcMar>
              <w:left w:w="43" w:type="dxa"/>
              <w:right w:w="43" w:type="dxa"/>
            </w:tcMar>
            <w:vAlign w:val="center"/>
          </w:tcPr>
          <w:p w14:paraId="47599748" w14:textId="13D05A75" w:rsidR="00CD499A" w:rsidRPr="00647984" w:rsidRDefault="00CD499A" w:rsidP="00CB743D">
            <w:pPr>
              <w:spacing w:after="0" w:line="240" w:lineRule="auto"/>
              <w:jc w:val="right"/>
              <w:rPr>
                <w:rFonts w:eastAsia="Times New Roman"/>
                <w:color w:val="000000"/>
                <w:sz w:val="21"/>
                <w:szCs w:val="21"/>
              </w:rPr>
            </w:pPr>
          </w:p>
        </w:tc>
        <w:tc>
          <w:tcPr>
            <w:tcW w:w="1701" w:type="pct"/>
            <w:tcBorders>
              <w:left w:val="double" w:sz="4" w:space="0" w:color="auto"/>
              <w:bottom w:val="single" w:sz="4" w:space="0" w:color="auto"/>
            </w:tcBorders>
            <w:shd w:val="clear" w:color="auto" w:fill="auto"/>
            <w:tcMar>
              <w:left w:w="43" w:type="dxa"/>
              <w:right w:w="43" w:type="dxa"/>
            </w:tcMar>
            <w:vAlign w:val="center"/>
          </w:tcPr>
          <w:p w14:paraId="530D781A" w14:textId="5826E5EA" w:rsidR="00CD499A" w:rsidRPr="00647984" w:rsidRDefault="00CD499A" w:rsidP="00CB743D">
            <w:pPr>
              <w:spacing w:after="0" w:line="240" w:lineRule="auto"/>
              <w:ind w:left="133"/>
              <w:rPr>
                <w:rFonts w:eastAsia="Times New Roman"/>
                <w:color w:val="000000"/>
                <w:sz w:val="21"/>
                <w:szCs w:val="21"/>
              </w:rPr>
            </w:pPr>
            <w:r w:rsidRPr="00647984">
              <w:rPr>
                <w:rFonts w:eastAsia="Times New Roman"/>
                <w:color w:val="000000"/>
                <w:sz w:val="21"/>
                <w:szCs w:val="21"/>
              </w:rPr>
              <w:t>Commute (minutes)</w:t>
            </w:r>
          </w:p>
        </w:tc>
        <w:tc>
          <w:tcPr>
            <w:tcW w:w="391" w:type="pct"/>
            <w:tcBorders>
              <w:bottom w:val="single" w:sz="4" w:space="0" w:color="auto"/>
            </w:tcBorders>
            <w:shd w:val="clear" w:color="auto" w:fill="auto"/>
            <w:tcMar>
              <w:left w:w="43" w:type="dxa"/>
              <w:right w:w="43" w:type="dxa"/>
            </w:tcMar>
            <w:vAlign w:val="center"/>
          </w:tcPr>
          <w:p w14:paraId="46C55A35" w14:textId="08BCDAD3"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22.8</w:t>
            </w:r>
          </w:p>
        </w:tc>
        <w:tc>
          <w:tcPr>
            <w:tcW w:w="340" w:type="pct"/>
            <w:tcBorders>
              <w:bottom w:val="single" w:sz="4" w:space="0" w:color="auto"/>
            </w:tcBorders>
            <w:shd w:val="clear" w:color="auto" w:fill="auto"/>
            <w:tcMar>
              <w:left w:w="43" w:type="dxa"/>
              <w:right w:w="43" w:type="dxa"/>
            </w:tcMar>
            <w:vAlign w:val="center"/>
          </w:tcPr>
          <w:p w14:paraId="1C227826" w14:textId="50238840"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14.3</w:t>
            </w:r>
          </w:p>
        </w:tc>
        <w:tc>
          <w:tcPr>
            <w:tcW w:w="388" w:type="pct"/>
            <w:tcBorders>
              <w:bottom w:val="single" w:sz="4" w:space="0" w:color="auto"/>
              <w:right w:val="double" w:sz="4" w:space="0" w:color="auto"/>
            </w:tcBorders>
            <w:shd w:val="clear" w:color="auto" w:fill="auto"/>
            <w:tcMar>
              <w:left w:w="43" w:type="dxa"/>
              <w:right w:w="43" w:type="dxa"/>
            </w:tcMar>
            <w:vAlign w:val="center"/>
          </w:tcPr>
          <w:p w14:paraId="71681BEC" w14:textId="12D9B2F1"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 26.6</w:t>
            </w:r>
          </w:p>
        </w:tc>
      </w:tr>
      <w:tr w:rsidR="00CD499A" w:rsidRPr="00647984" w14:paraId="3991E4BC" w14:textId="77777777" w:rsidTr="00CB743D">
        <w:trPr>
          <w:trHeight w:val="331"/>
        </w:trPr>
        <w:tc>
          <w:tcPr>
            <w:tcW w:w="1025" w:type="pct"/>
            <w:gridSpan w:val="2"/>
            <w:tcBorders>
              <w:top w:val="nil"/>
              <w:left w:val="double" w:sz="4" w:space="0" w:color="auto"/>
              <w:bottom w:val="nil"/>
            </w:tcBorders>
            <w:shd w:val="clear" w:color="auto" w:fill="auto"/>
            <w:tcMar>
              <w:left w:w="43" w:type="dxa"/>
              <w:right w:w="43" w:type="dxa"/>
            </w:tcMar>
            <w:vAlign w:val="center"/>
          </w:tcPr>
          <w:p w14:paraId="29DB9EAE" w14:textId="2A1B5087" w:rsidR="00CD499A" w:rsidRPr="00647984" w:rsidRDefault="00CD499A" w:rsidP="00CB743D">
            <w:pPr>
              <w:spacing w:after="0" w:line="240" w:lineRule="auto"/>
              <w:ind w:left="120"/>
              <w:rPr>
                <w:rFonts w:eastAsia="Times New Roman"/>
                <w:color w:val="000000"/>
                <w:sz w:val="21"/>
                <w:szCs w:val="21"/>
              </w:rPr>
            </w:pPr>
            <w:r w:rsidRPr="00647984">
              <w:rPr>
                <w:rFonts w:eastAsia="Times New Roman"/>
                <w:color w:val="000000"/>
                <w:sz w:val="21"/>
                <w:szCs w:val="21"/>
              </w:rPr>
              <w:t>Under $24,999</w:t>
            </w:r>
          </w:p>
        </w:tc>
        <w:tc>
          <w:tcPr>
            <w:tcW w:w="394" w:type="pct"/>
            <w:gridSpan w:val="2"/>
            <w:tcBorders>
              <w:top w:val="nil"/>
              <w:bottom w:val="nil"/>
            </w:tcBorders>
            <w:shd w:val="clear" w:color="auto" w:fill="auto"/>
            <w:tcMar>
              <w:left w:w="43" w:type="dxa"/>
              <w:right w:w="43" w:type="dxa"/>
            </w:tcMar>
            <w:vAlign w:val="center"/>
          </w:tcPr>
          <w:p w14:paraId="69633DFE" w14:textId="74ED0B2E"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38</w:t>
            </w:r>
          </w:p>
        </w:tc>
        <w:tc>
          <w:tcPr>
            <w:tcW w:w="344" w:type="pct"/>
            <w:gridSpan w:val="3"/>
            <w:tcBorders>
              <w:top w:val="nil"/>
              <w:bottom w:val="nil"/>
            </w:tcBorders>
            <w:shd w:val="clear" w:color="auto" w:fill="auto"/>
            <w:tcMar>
              <w:left w:w="43" w:type="dxa"/>
              <w:right w:w="43" w:type="dxa"/>
            </w:tcMar>
            <w:vAlign w:val="center"/>
          </w:tcPr>
          <w:p w14:paraId="1F4E2FBD" w14:textId="44D2D022"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3.4</w:t>
            </w:r>
          </w:p>
        </w:tc>
        <w:tc>
          <w:tcPr>
            <w:tcW w:w="417" w:type="pct"/>
            <w:tcBorders>
              <w:top w:val="nil"/>
              <w:bottom w:val="nil"/>
              <w:right w:val="double" w:sz="4" w:space="0" w:color="auto"/>
            </w:tcBorders>
            <w:shd w:val="clear" w:color="auto" w:fill="auto"/>
            <w:tcMar>
              <w:left w:w="43" w:type="dxa"/>
              <w:right w:w="43" w:type="dxa"/>
            </w:tcMar>
            <w:vAlign w:val="center"/>
          </w:tcPr>
          <w:p w14:paraId="158A1FCF" w14:textId="66877BE5"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12.3</w:t>
            </w:r>
          </w:p>
        </w:tc>
        <w:tc>
          <w:tcPr>
            <w:tcW w:w="1701" w:type="pct"/>
            <w:tcBorders>
              <w:top w:val="single" w:sz="4" w:space="0" w:color="auto"/>
              <w:left w:val="double" w:sz="4" w:space="0" w:color="auto"/>
              <w:bottom w:val="nil"/>
            </w:tcBorders>
            <w:shd w:val="clear" w:color="auto" w:fill="auto"/>
            <w:tcMar>
              <w:left w:w="43" w:type="dxa"/>
              <w:right w:w="43" w:type="dxa"/>
            </w:tcMar>
            <w:vAlign w:val="center"/>
          </w:tcPr>
          <w:p w14:paraId="6EF2F9E0" w14:textId="608A1E3E" w:rsidR="00CD499A" w:rsidRPr="00647984" w:rsidRDefault="00CD499A" w:rsidP="00CB743D">
            <w:pPr>
              <w:spacing w:after="0" w:line="240" w:lineRule="auto"/>
              <w:rPr>
                <w:rFonts w:eastAsia="Times New Roman"/>
                <w:color w:val="000000"/>
                <w:sz w:val="21"/>
                <w:szCs w:val="21"/>
              </w:rPr>
            </w:pPr>
            <w:r w:rsidRPr="00647984">
              <w:rPr>
                <w:rFonts w:eastAsia="Times New Roman"/>
                <w:b/>
                <w:bCs/>
                <w:i/>
                <w:iCs/>
                <w:color w:val="000000"/>
                <w:sz w:val="21"/>
                <w:szCs w:val="21"/>
              </w:rPr>
              <w:t>Number of work days per month</w:t>
            </w:r>
          </w:p>
        </w:tc>
        <w:tc>
          <w:tcPr>
            <w:tcW w:w="391" w:type="pct"/>
            <w:tcBorders>
              <w:top w:val="single" w:sz="4" w:space="0" w:color="auto"/>
              <w:bottom w:val="nil"/>
            </w:tcBorders>
            <w:shd w:val="clear" w:color="auto" w:fill="auto"/>
            <w:tcMar>
              <w:left w:w="43" w:type="dxa"/>
              <w:right w:w="43" w:type="dxa"/>
            </w:tcMar>
            <w:vAlign w:val="center"/>
          </w:tcPr>
          <w:p w14:paraId="7A68F09F" w14:textId="77777777" w:rsidR="00CD499A" w:rsidRPr="00647984" w:rsidRDefault="00CD499A" w:rsidP="00CB743D">
            <w:pPr>
              <w:spacing w:after="0" w:line="240" w:lineRule="auto"/>
              <w:jc w:val="right"/>
              <w:rPr>
                <w:rFonts w:eastAsia="Times New Roman"/>
                <w:color w:val="000000"/>
                <w:sz w:val="21"/>
                <w:szCs w:val="21"/>
              </w:rPr>
            </w:pPr>
          </w:p>
        </w:tc>
        <w:tc>
          <w:tcPr>
            <w:tcW w:w="340" w:type="pct"/>
            <w:tcBorders>
              <w:top w:val="single" w:sz="4" w:space="0" w:color="auto"/>
              <w:bottom w:val="nil"/>
            </w:tcBorders>
            <w:shd w:val="clear" w:color="auto" w:fill="auto"/>
            <w:tcMar>
              <w:left w:w="43" w:type="dxa"/>
              <w:right w:w="43" w:type="dxa"/>
            </w:tcMar>
            <w:vAlign w:val="center"/>
          </w:tcPr>
          <w:p w14:paraId="26E3F37B" w14:textId="77777777" w:rsidR="00CD499A" w:rsidRPr="00647984" w:rsidRDefault="00CD499A" w:rsidP="00CB743D">
            <w:pPr>
              <w:spacing w:after="0" w:line="240" w:lineRule="auto"/>
              <w:jc w:val="right"/>
              <w:rPr>
                <w:rFonts w:eastAsia="Times New Roman"/>
                <w:color w:val="000000"/>
                <w:sz w:val="21"/>
                <w:szCs w:val="21"/>
              </w:rPr>
            </w:pPr>
          </w:p>
        </w:tc>
        <w:tc>
          <w:tcPr>
            <w:tcW w:w="388" w:type="pct"/>
            <w:tcBorders>
              <w:top w:val="single" w:sz="4" w:space="0" w:color="auto"/>
              <w:bottom w:val="nil"/>
              <w:right w:val="double" w:sz="4" w:space="0" w:color="auto"/>
            </w:tcBorders>
            <w:shd w:val="clear" w:color="auto" w:fill="auto"/>
            <w:tcMar>
              <w:left w:w="43" w:type="dxa"/>
              <w:right w:w="43" w:type="dxa"/>
            </w:tcMar>
            <w:vAlign w:val="center"/>
          </w:tcPr>
          <w:p w14:paraId="120088EF" w14:textId="77777777" w:rsidR="00CD499A" w:rsidRPr="00647984" w:rsidRDefault="00CD499A" w:rsidP="00CB743D">
            <w:pPr>
              <w:spacing w:after="0" w:line="240" w:lineRule="auto"/>
              <w:jc w:val="right"/>
              <w:rPr>
                <w:rFonts w:eastAsia="Times New Roman"/>
                <w:color w:val="000000"/>
                <w:sz w:val="21"/>
                <w:szCs w:val="21"/>
              </w:rPr>
            </w:pPr>
          </w:p>
        </w:tc>
      </w:tr>
      <w:tr w:rsidR="00CD499A" w:rsidRPr="00647984" w14:paraId="27E5FC42" w14:textId="77777777" w:rsidTr="00CB743D">
        <w:trPr>
          <w:trHeight w:val="331"/>
        </w:trPr>
        <w:tc>
          <w:tcPr>
            <w:tcW w:w="1025" w:type="pct"/>
            <w:gridSpan w:val="2"/>
            <w:tcBorders>
              <w:top w:val="nil"/>
              <w:left w:val="double" w:sz="4" w:space="0" w:color="auto"/>
              <w:bottom w:val="nil"/>
            </w:tcBorders>
            <w:shd w:val="clear" w:color="auto" w:fill="auto"/>
            <w:tcMar>
              <w:left w:w="43" w:type="dxa"/>
              <w:right w:w="43" w:type="dxa"/>
            </w:tcMar>
            <w:vAlign w:val="center"/>
          </w:tcPr>
          <w:p w14:paraId="4F06A234" w14:textId="76A8EE55" w:rsidR="00CD499A" w:rsidRPr="00647984" w:rsidRDefault="00CD499A" w:rsidP="00CB743D">
            <w:pPr>
              <w:spacing w:after="0" w:line="240" w:lineRule="auto"/>
              <w:ind w:left="120"/>
              <w:rPr>
                <w:rFonts w:eastAsia="Times New Roman"/>
                <w:color w:val="000000"/>
                <w:sz w:val="21"/>
                <w:szCs w:val="21"/>
              </w:rPr>
            </w:pPr>
            <w:r w:rsidRPr="00647984">
              <w:rPr>
                <w:rFonts w:eastAsia="Times New Roman"/>
                <w:color w:val="000000"/>
                <w:sz w:val="21"/>
                <w:szCs w:val="21"/>
              </w:rPr>
              <w:t>$25,000-$49,999</w:t>
            </w:r>
          </w:p>
        </w:tc>
        <w:tc>
          <w:tcPr>
            <w:tcW w:w="394" w:type="pct"/>
            <w:gridSpan w:val="2"/>
            <w:tcBorders>
              <w:top w:val="nil"/>
              <w:bottom w:val="nil"/>
            </w:tcBorders>
            <w:shd w:val="clear" w:color="auto" w:fill="auto"/>
            <w:tcMar>
              <w:left w:w="43" w:type="dxa"/>
              <w:right w:w="43" w:type="dxa"/>
            </w:tcMar>
            <w:vAlign w:val="center"/>
          </w:tcPr>
          <w:p w14:paraId="4C89798F" w14:textId="49CC3388"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81</w:t>
            </w:r>
          </w:p>
        </w:tc>
        <w:tc>
          <w:tcPr>
            <w:tcW w:w="344" w:type="pct"/>
            <w:gridSpan w:val="3"/>
            <w:tcBorders>
              <w:top w:val="nil"/>
              <w:bottom w:val="nil"/>
            </w:tcBorders>
            <w:shd w:val="clear" w:color="auto" w:fill="auto"/>
            <w:tcMar>
              <w:left w:w="43" w:type="dxa"/>
              <w:right w:w="43" w:type="dxa"/>
            </w:tcMar>
            <w:vAlign w:val="center"/>
          </w:tcPr>
          <w:p w14:paraId="51094687" w14:textId="39E1BD9A"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7.4</w:t>
            </w:r>
          </w:p>
        </w:tc>
        <w:tc>
          <w:tcPr>
            <w:tcW w:w="417" w:type="pct"/>
            <w:tcBorders>
              <w:top w:val="nil"/>
              <w:bottom w:val="nil"/>
              <w:right w:val="double" w:sz="4" w:space="0" w:color="auto"/>
            </w:tcBorders>
            <w:shd w:val="clear" w:color="auto" w:fill="auto"/>
            <w:tcMar>
              <w:left w:w="43" w:type="dxa"/>
              <w:right w:w="43" w:type="dxa"/>
            </w:tcMar>
            <w:vAlign w:val="center"/>
          </w:tcPr>
          <w:p w14:paraId="6BE3923D" w14:textId="24338494"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8.9</w:t>
            </w:r>
          </w:p>
        </w:tc>
        <w:tc>
          <w:tcPr>
            <w:tcW w:w="1701" w:type="pct"/>
            <w:tcBorders>
              <w:top w:val="nil"/>
              <w:left w:val="double" w:sz="4" w:space="0" w:color="auto"/>
              <w:bottom w:val="single" w:sz="4" w:space="0" w:color="auto"/>
            </w:tcBorders>
            <w:shd w:val="clear" w:color="auto" w:fill="auto"/>
            <w:tcMar>
              <w:left w:w="43" w:type="dxa"/>
              <w:right w:w="43" w:type="dxa"/>
            </w:tcMar>
            <w:vAlign w:val="center"/>
          </w:tcPr>
          <w:p w14:paraId="146E2F44" w14:textId="1F886154" w:rsidR="00CD499A" w:rsidRPr="00647984" w:rsidRDefault="00CD499A" w:rsidP="00CB743D">
            <w:pPr>
              <w:spacing w:after="0" w:line="240" w:lineRule="auto"/>
              <w:ind w:left="133"/>
              <w:rPr>
                <w:rFonts w:eastAsia="Times New Roman"/>
                <w:color w:val="000000"/>
                <w:sz w:val="21"/>
                <w:szCs w:val="21"/>
              </w:rPr>
            </w:pPr>
            <w:r w:rsidRPr="00647984">
              <w:rPr>
                <w:rFonts w:eastAsia="Times New Roman"/>
                <w:color w:val="000000"/>
                <w:sz w:val="21"/>
                <w:szCs w:val="21"/>
              </w:rPr>
              <w:t>Number of days</w:t>
            </w:r>
          </w:p>
        </w:tc>
        <w:tc>
          <w:tcPr>
            <w:tcW w:w="391" w:type="pct"/>
            <w:tcBorders>
              <w:top w:val="nil"/>
              <w:bottom w:val="single" w:sz="4" w:space="0" w:color="auto"/>
            </w:tcBorders>
            <w:shd w:val="clear" w:color="auto" w:fill="auto"/>
            <w:tcMar>
              <w:left w:w="43" w:type="dxa"/>
              <w:right w:w="43" w:type="dxa"/>
            </w:tcMar>
            <w:vAlign w:val="center"/>
          </w:tcPr>
          <w:p w14:paraId="6217F5FA" w14:textId="4E0A9261"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21.5</w:t>
            </w:r>
          </w:p>
        </w:tc>
        <w:tc>
          <w:tcPr>
            <w:tcW w:w="340" w:type="pct"/>
            <w:tcBorders>
              <w:top w:val="nil"/>
              <w:bottom w:val="single" w:sz="4" w:space="0" w:color="auto"/>
            </w:tcBorders>
            <w:shd w:val="clear" w:color="auto" w:fill="auto"/>
            <w:tcMar>
              <w:left w:w="43" w:type="dxa"/>
              <w:right w:w="43" w:type="dxa"/>
            </w:tcMar>
            <w:vAlign w:val="center"/>
          </w:tcPr>
          <w:p w14:paraId="4C447374" w14:textId="069E7C4B"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9.2</w:t>
            </w:r>
          </w:p>
        </w:tc>
        <w:tc>
          <w:tcPr>
            <w:tcW w:w="388" w:type="pct"/>
            <w:tcBorders>
              <w:top w:val="nil"/>
              <w:bottom w:val="single" w:sz="4" w:space="0" w:color="auto"/>
              <w:right w:val="double" w:sz="4" w:space="0" w:color="auto"/>
            </w:tcBorders>
            <w:shd w:val="clear" w:color="auto" w:fill="auto"/>
            <w:tcMar>
              <w:left w:w="43" w:type="dxa"/>
              <w:right w:w="43" w:type="dxa"/>
            </w:tcMar>
            <w:vAlign w:val="center"/>
          </w:tcPr>
          <w:p w14:paraId="790DF7BD" w14:textId="0912EFB0"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22.0</w:t>
            </w:r>
          </w:p>
        </w:tc>
      </w:tr>
      <w:tr w:rsidR="00CD499A" w:rsidRPr="00647984" w14:paraId="4FFA42DD" w14:textId="77777777" w:rsidTr="00CB743D">
        <w:trPr>
          <w:trHeight w:val="331"/>
        </w:trPr>
        <w:tc>
          <w:tcPr>
            <w:tcW w:w="1025" w:type="pct"/>
            <w:gridSpan w:val="2"/>
            <w:tcBorders>
              <w:top w:val="nil"/>
              <w:left w:val="double" w:sz="4" w:space="0" w:color="auto"/>
              <w:bottom w:val="nil"/>
            </w:tcBorders>
            <w:shd w:val="clear" w:color="auto" w:fill="auto"/>
            <w:tcMar>
              <w:left w:w="43" w:type="dxa"/>
              <w:right w:w="43" w:type="dxa"/>
            </w:tcMar>
            <w:vAlign w:val="center"/>
          </w:tcPr>
          <w:p w14:paraId="528EE0C5" w14:textId="6771EE1E" w:rsidR="00CD499A" w:rsidRPr="00647984" w:rsidRDefault="00CD499A" w:rsidP="00CB743D">
            <w:pPr>
              <w:spacing w:after="0" w:line="240" w:lineRule="auto"/>
              <w:ind w:left="120"/>
              <w:rPr>
                <w:rFonts w:eastAsia="Times New Roman"/>
                <w:color w:val="000000"/>
                <w:sz w:val="21"/>
                <w:szCs w:val="21"/>
              </w:rPr>
            </w:pPr>
            <w:r w:rsidRPr="00647984">
              <w:rPr>
                <w:rFonts w:eastAsia="Times New Roman"/>
                <w:color w:val="000000"/>
                <w:sz w:val="21"/>
                <w:szCs w:val="21"/>
              </w:rPr>
              <w:t>$50,000-$74,999</w:t>
            </w:r>
          </w:p>
        </w:tc>
        <w:tc>
          <w:tcPr>
            <w:tcW w:w="394" w:type="pct"/>
            <w:gridSpan w:val="2"/>
            <w:tcBorders>
              <w:top w:val="nil"/>
              <w:bottom w:val="nil"/>
            </w:tcBorders>
            <w:shd w:val="clear" w:color="auto" w:fill="auto"/>
            <w:tcMar>
              <w:left w:w="43" w:type="dxa"/>
              <w:right w:w="43" w:type="dxa"/>
            </w:tcMar>
            <w:vAlign w:val="center"/>
          </w:tcPr>
          <w:p w14:paraId="4E51CD31" w14:textId="18C8D243"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148</w:t>
            </w:r>
          </w:p>
        </w:tc>
        <w:tc>
          <w:tcPr>
            <w:tcW w:w="344" w:type="pct"/>
            <w:gridSpan w:val="3"/>
            <w:tcBorders>
              <w:top w:val="nil"/>
              <w:bottom w:val="nil"/>
            </w:tcBorders>
            <w:shd w:val="clear" w:color="auto" w:fill="auto"/>
            <w:tcMar>
              <w:left w:w="43" w:type="dxa"/>
              <w:right w:w="43" w:type="dxa"/>
            </w:tcMar>
            <w:vAlign w:val="center"/>
          </w:tcPr>
          <w:p w14:paraId="3339B2A9" w14:textId="6B371440"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13.6</w:t>
            </w:r>
          </w:p>
        </w:tc>
        <w:tc>
          <w:tcPr>
            <w:tcW w:w="417" w:type="pct"/>
            <w:tcBorders>
              <w:top w:val="nil"/>
              <w:bottom w:val="nil"/>
              <w:right w:val="double" w:sz="4" w:space="0" w:color="auto"/>
            </w:tcBorders>
            <w:shd w:val="clear" w:color="auto" w:fill="auto"/>
            <w:tcMar>
              <w:left w:w="43" w:type="dxa"/>
              <w:right w:w="43" w:type="dxa"/>
            </w:tcMar>
            <w:vAlign w:val="center"/>
          </w:tcPr>
          <w:p w14:paraId="4787B969" w14:textId="3B10D921"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17.6</w:t>
            </w:r>
          </w:p>
        </w:tc>
        <w:tc>
          <w:tcPr>
            <w:tcW w:w="1701" w:type="pct"/>
            <w:tcBorders>
              <w:top w:val="single" w:sz="4" w:space="0" w:color="auto"/>
              <w:left w:val="double" w:sz="4" w:space="0" w:color="auto"/>
              <w:bottom w:val="nil"/>
            </w:tcBorders>
            <w:shd w:val="clear" w:color="auto" w:fill="auto"/>
            <w:tcMar>
              <w:left w:w="43" w:type="dxa"/>
              <w:right w:w="43" w:type="dxa"/>
            </w:tcMar>
            <w:vAlign w:val="center"/>
          </w:tcPr>
          <w:p w14:paraId="3CE0DDF1" w14:textId="13992FEF" w:rsidR="00CD499A" w:rsidRPr="00647984" w:rsidRDefault="00CD499A" w:rsidP="00CB743D">
            <w:pPr>
              <w:spacing w:after="0" w:line="240" w:lineRule="auto"/>
              <w:rPr>
                <w:rFonts w:eastAsia="Times New Roman"/>
                <w:color w:val="000000"/>
                <w:sz w:val="21"/>
                <w:szCs w:val="21"/>
              </w:rPr>
            </w:pPr>
            <w:r w:rsidRPr="00647984">
              <w:rPr>
                <w:rFonts w:eastAsia="Times New Roman"/>
                <w:b/>
                <w:i/>
                <w:color w:val="000000"/>
                <w:sz w:val="21"/>
                <w:szCs w:val="21"/>
              </w:rPr>
              <w:t>Workplace location</w:t>
            </w:r>
          </w:p>
        </w:tc>
        <w:tc>
          <w:tcPr>
            <w:tcW w:w="391" w:type="pct"/>
            <w:tcBorders>
              <w:top w:val="single" w:sz="4" w:space="0" w:color="auto"/>
              <w:bottom w:val="nil"/>
            </w:tcBorders>
            <w:shd w:val="clear" w:color="auto" w:fill="auto"/>
            <w:tcMar>
              <w:left w:w="43" w:type="dxa"/>
              <w:right w:w="43" w:type="dxa"/>
            </w:tcMar>
            <w:vAlign w:val="center"/>
          </w:tcPr>
          <w:p w14:paraId="19AF3680" w14:textId="77777777" w:rsidR="00CD499A" w:rsidRPr="00647984" w:rsidRDefault="00CD499A" w:rsidP="00CB743D">
            <w:pPr>
              <w:spacing w:after="0" w:line="240" w:lineRule="auto"/>
              <w:jc w:val="right"/>
              <w:rPr>
                <w:rFonts w:eastAsia="Times New Roman"/>
                <w:color w:val="000000"/>
                <w:sz w:val="21"/>
                <w:szCs w:val="21"/>
              </w:rPr>
            </w:pPr>
          </w:p>
        </w:tc>
        <w:tc>
          <w:tcPr>
            <w:tcW w:w="340" w:type="pct"/>
            <w:tcBorders>
              <w:top w:val="single" w:sz="4" w:space="0" w:color="auto"/>
              <w:bottom w:val="nil"/>
            </w:tcBorders>
            <w:shd w:val="clear" w:color="auto" w:fill="auto"/>
            <w:tcMar>
              <w:left w:w="43" w:type="dxa"/>
              <w:right w:w="43" w:type="dxa"/>
            </w:tcMar>
            <w:vAlign w:val="center"/>
          </w:tcPr>
          <w:p w14:paraId="71CA9F11" w14:textId="77777777" w:rsidR="00CD499A" w:rsidRPr="00647984" w:rsidRDefault="00CD499A" w:rsidP="00CB743D">
            <w:pPr>
              <w:spacing w:after="0" w:line="240" w:lineRule="auto"/>
              <w:jc w:val="right"/>
              <w:rPr>
                <w:rFonts w:eastAsia="Times New Roman"/>
                <w:color w:val="000000"/>
                <w:sz w:val="21"/>
                <w:szCs w:val="21"/>
              </w:rPr>
            </w:pPr>
          </w:p>
        </w:tc>
        <w:tc>
          <w:tcPr>
            <w:tcW w:w="388" w:type="pct"/>
            <w:tcBorders>
              <w:top w:val="single" w:sz="4" w:space="0" w:color="auto"/>
              <w:bottom w:val="nil"/>
              <w:right w:val="double" w:sz="4" w:space="0" w:color="auto"/>
            </w:tcBorders>
            <w:shd w:val="clear" w:color="auto" w:fill="auto"/>
            <w:tcMar>
              <w:left w:w="43" w:type="dxa"/>
              <w:right w:w="43" w:type="dxa"/>
            </w:tcMar>
            <w:vAlign w:val="center"/>
          </w:tcPr>
          <w:p w14:paraId="054555D3" w14:textId="77777777" w:rsidR="00CD499A" w:rsidRPr="00647984" w:rsidRDefault="00CD499A" w:rsidP="00CB743D">
            <w:pPr>
              <w:spacing w:after="0" w:line="240" w:lineRule="auto"/>
              <w:jc w:val="right"/>
              <w:rPr>
                <w:rFonts w:eastAsia="Times New Roman"/>
                <w:color w:val="000000"/>
                <w:sz w:val="21"/>
                <w:szCs w:val="21"/>
              </w:rPr>
            </w:pPr>
          </w:p>
        </w:tc>
      </w:tr>
      <w:tr w:rsidR="00CD499A" w:rsidRPr="00647984" w14:paraId="45EECD4D" w14:textId="77777777" w:rsidTr="00CB743D">
        <w:trPr>
          <w:trHeight w:val="331"/>
        </w:trPr>
        <w:tc>
          <w:tcPr>
            <w:tcW w:w="1017" w:type="pct"/>
            <w:tcBorders>
              <w:top w:val="nil"/>
              <w:left w:val="double" w:sz="4" w:space="0" w:color="auto"/>
              <w:bottom w:val="nil"/>
              <w:right w:val="nil"/>
            </w:tcBorders>
            <w:shd w:val="clear" w:color="auto" w:fill="auto"/>
            <w:tcMar>
              <w:left w:w="43" w:type="dxa"/>
              <w:right w:w="43" w:type="dxa"/>
            </w:tcMar>
            <w:vAlign w:val="center"/>
          </w:tcPr>
          <w:p w14:paraId="6CA76171" w14:textId="1066A6D3" w:rsidR="00CD499A" w:rsidRPr="00647984" w:rsidRDefault="00CD499A" w:rsidP="00CB743D">
            <w:pPr>
              <w:spacing w:after="0" w:line="240" w:lineRule="auto"/>
              <w:ind w:left="120"/>
              <w:rPr>
                <w:rFonts w:eastAsia="Times New Roman"/>
                <w:color w:val="000000"/>
                <w:sz w:val="21"/>
                <w:szCs w:val="21"/>
              </w:rPr>
            </w:pPr>
            <w:r w:rsidRPr="00647984">
              <w:rPr>
                <w:rFonts w:eastAsia="Times New Roman"/>
                <w:color w:val="000000"/>
                <w:sz w:val="21"/>
                <w:szCs w:val="21"/>
              </w:rPr>
              <w:t>$75,000-$99,999</w:t>
            </w:r>
          </w:p>
        </w:tc>
        <w:tc>
          <w:tcPr>
            <w:tcW w:w="391" w:type="pct"/>
            <w:gridSpan w:val="2"/>
            <w:tcBorders>
              <w:top w:val="nil"/>
              <w:left w:val="nil"/>
              <w:bottom w:val="nil"/>
              <w:right w:val="nil"/>
            </w:tcBorders>
            <w:shd w:val="clear" w:color="auto" w:fill="auto"/>
            <w:tcMar>
              <w:left w:w="43" w:type="dxa"/>
              <w:right w:w="43" w:type="dxa"/>
            </w:tcMar>
            <w:vAlign w:val="center"/>
          </w:tcPr>
          <w:p w14:paraId="6C521E9D" w14:textId="4D1AAC57"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176</w:t>
            </w:r>
          </w:p>
        </w:tc>
        <w:tc>
          <w:tcPr>
            <w:tcW w:w="341" w:type="pct"/>
            <w:gridSpan w:val="2"/>
            <w:tcBorders>
              <w:top w:val="nil"/>
              <w:left w:val="nil"/>
              <w:bottom w:val="nil"/>
              <w:right w:val="nil"/>
            </w:tcBorders>
            <w:shd w:val="clear" w:color="auto" w:fill="auto"/>
            <w:tcMar>
              <w:left w:w="43" w:type="dxa"/>
              <w:right w:w="43" w:type="dxa"/>
            </w:tcMar>
            <w:vAlign w:val="center"/>
          </w:tcPr>
          <w:p w14:paraId="256D62E6" w14:textId="0B5F4386" w:rsidR="00CD499A" w:rsidRPr="00647984" w:rsidRDefault="0089594F" w:rsidP="0089594F">
            <w:pPr>
              <w:spacing w:after="0" w:line="240" w:lineRule="auto"/>
              <w:ind w:right="-30"/>
              <w:jc w:val="right"/>
              <w:rPr>
                <w:rFonts w:eastAsia="Times New Roman"/>
                <w:color w:val="000000"/>
                <w:sz w:val="21"/>
                <w:szCs w:val="21"/>
              </w:rPr>
            </w:pPr>
            <w:r>
              <w:rPr>
                <w:rFonts w:eastAsia="Times New Roman"/>
                <w:color w:val="000000"/>
                <w:sz w:val="21"/>
                <w:szCs w:val="21"/>
              </w:rPr>
              <w:t xml:space="preserve">   </w:t>
            </w:r>
            <w:r w:rsidR="00CD499A" w:rsidRPr="00647984">
              <w:rPr>
                <w:rFonts w:eastAsia="Times New Roman"/>
                <w:color w:val="000000"/>
                <w:sz w:val="21"/>
                <w:szCs w:val="21"/>
              </w:rPr>
              <w:t>16.1</w:t>
            </w:r>
          </w:p>
        </w:tc>
        <w:tc>
          <w:tcPr>
            <w:tcW w:w="431" w:type="pct"/>
            <w:gridSpan w:val="3"/>
            <w:tcBorders>
              <w:top w:val="nil"/>
              <w:left w:val="nil"/>
              <w:bottom w:val="nil"/>
              <w:right w:val="double" w:sz="4" w:space="0" w:color="auto"/>
            </w:tcBorders>
            <w:shd w:val="clear" w:color="auto" w:fill="auto"/>
            <w:tcMar>
              <w:left w:w="43" w:type="dxa"/>
              <w:right w:w="43" w:type="dxa"/>
            </w:tcMar>
            <w:vAlign w:val="center"/>
          </w:tcPr>
          <w:p w14:paraId="6E5350FC" w14:textId="5C690FF6"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12.5</w:t>
            </w:r>
          </w:p>
        </w:tc>
        <w:tc>
          <w:tcPr>
            <w:tcW w:w="1701" w:type="pct"/>
            <w:vMerge w:val="restart"/>
            <w:tcBorders>
              <w:top w:val="nil"/>
              <w:left w:val="double" w:sz="4" w:space="0" w:color="auto"/>
            </w:tcBorders>
            <w:shd w:val="clear" w:color="auto" w:fill="auto"/>
            <w:tcMar>
              <w:left w:w="43" w:type="dxa"/>
              <w:right w:w="43" w:type="dxa"/>
            </w:tcMar>
            <w:vAlign w:val="center"/>
          </w:tcPr>
          <w:p w14:paraId="0D56C97D" w14:textId="0CAC80BF" w:rsidR="00CD499A" w:rsidRPr="00647984" w:rsidRDefault="00CD499A" w:rsidP="00CB743D">
            <w:pPr>
              <w:spacing w:after="0" w:line="240" w:lineRule="auto"/>
              <w:ind w:left="313" w:hanging="180"/>
              <w:rPr>
                <w:rFonts w:eastAsia="Times New Roman"/>
                <w:b/>
                <w:i/>
                <w:color w:val="000000"/>
                <w:sz w:val="21"/>
                <w:szCs w:val="21"/>
              </w:rPr>
            </w:pPr>
            <w:r w:rsidRPr="00647984">
              <w:rPr>
                <w:rFonts w:eastAsia="Times New Roman"/>
                <w:color w:val="000000"/>
                <w:sz w:val="21"/>
                <w:szCs w:val="21"/>
              </w:rPr>
              <w:t>Percentage of work days from a third workplace location in the past month</w:t>
            </w:r>
          </w:p>
        </w:tc>
        <w:tc>
          <w:tcPr>
            <w:tcW w:w="391" w:type="pct"/>
            <w:tcBorders>
              <w:top w:val="nil"/>
            </w:tcBorders>
            <w:shd w:val="clear" w:color="auto" w:fill="auto"/>
            <w:tcMar>
              <w:left w:w="43" w:type="dxa"/>
              <w:right w:w="43" w:type="dxa"/>
            </w:tcMar>
            <w:vAlign w:val="center"/>
          </w:tcPr>
          <w:p w14:paraId="557C704A" w14:textId="7A8F5B1F"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53.2</w:t>
            </w:r>
          </w:p>
        </w:tc>
        <w:tc>
          <w:tcPr>
            <w:tcW w:w="340" w:type="pct"/>
            <w:tcBorders>
              <w:top w:val="nil"/>
            </w:tcBorders>
            <w:shd w:val="clear" w:color="auto" w:fill="auto"/>
            <w:tcMar>
              <w:left w:w="43" w:type="dxa"/>
              <w:right w:w="43" w:type="dxa"/>
            </w:tcMar>
            <w:vAlign w:val="center"/>
          </w:tcPr>
          <w:p w14:paraId="21ECA359" w14:textId="2EC2F850"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26.6</w:t>
            </w:r>
          </w:p>
        </w:tc>
        <w:tc>
          <w:tcPr>
            <w:tcW w:w="388" w:type="pct"/>
            <w:tcBorders>
              <w:top w:val="nil"/>
              <w:right w:val="double" w:sz="4" w:space="0" w:color="auto"/>
            </w:tcBorders>
            <w:shd w:val="clear" w:color="auto" w:fill="auto"/>
            <w:tcMar>
              <w:left w:w="43" w:type="dxa"/>
              <w:right w:w="43" w:type="dxa"/>
            </w:tcMar>
            <w:vAlign w:val="center"/>
          </w:tcPr>
          <w:p w14:paraId="0E43465B" w14:textId="06249B26"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w:t>
            </w:r>
          </w:p>
        </w:tc>
      </w:tr>
      <w:tr w:rsidR="00CD499A" w:rsidRPr="00647984" w14:paraId="3AFD35DE" w14:textId="77777777" w:rsidTr="00CB743D">
        <w:trPr>
          <w:trHeight w:val="331"/>
        </w:trPr>
        <w:tc>
          <w:tcPr>
            <w:tcW w:w="1025" w:type="pct"/>
            <w:gridSpan w:val="2"/>
            <w:tcBorders>
              <w:top w:val="nil"/>
              <w:left w:val="double" w:sz="4" w:space="0" w:color="auto"/>
              <w:bottom w:val="nil"/>
            </w:tcBorders>
            <w:shd w:val="clear" w:color="auto" w:fill="auto"/>
            <w:tcMar>
              <w:left w:w="43" w:type="dxa"/>
              <w:right w:w="43" w:type="dxa"/>
            </w:tcMar>
            <w:vAlign w:val="center"/>
          </w:tcPr>
          <w:p w14:paraId="4EF2E7B4" w14:textId="4596354C" w:rsidR="00CD499A" w:rsidRPr="00647984" w:rsidRDefault="00CD499A" w:rsidP="00CB743D">
            <w:pPr>
              <w:spacing w:after="0" w:line="240" w:lineRule="auto"/>
              <w:ind w:left="120"/>
              <w:rPr>
                <w:rFonts w:eastAsia="Times New Roman"/>
                <w:color w:val="000000"/>
                <w:sz w:val="21"/>
                <w:szCs w:val="21"/>
              </w:rPr>
            </w:pPr>
            <w:r w:rsidRPr="00647984">
              <w:rPr>
                <w:rFonts w:eastAsia="Times New Roman"/>
                <w:color w:val="000000"/>
                <w:sz w:val="21"/>
                <w:szCs w:val="21"/>
              </w:rPr>
              <w:t>$100,000-$149,999</w:t>
            </w:r>
          </w:p>
        </w:tc>
        <w:tc>
          <w:tcPr>
            <w:tcW w:w="394" w:type="pct"/>
            <w:gridSpan w:val="2"/>
            <w:tcBorders>
              <w:top w:val="nil"/>
              <w:bottom w:val="nil"/>
            </w:tcBorders>
            <w:shd w:val="clear" w:color="auto" w:fill="auto"/>
            <w:tcMar>
              <w:left w:w="43" w:type="dxa"/>
              <w:right w:w="43" w:type="dxa"/>
            </w:tcMar>
            <w:vAlign w:val="center"/>
          </w:tcPr>
          <w:p w14:paraId="57AFD11C" w14:textId="2E8771C9"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313</w:t>
            </w:r>
          </w:p>
        </w:tc>
        <w:tc>
          <w:tcPr>
            <w:tcW w:w="344" w:type="pct"/>
            <w:gridSpan w:val="3"/>
            <w:tcBorders>
              <w:top w:val="nil"/>
              <w:bottom w:val="nil"/>
            </w:tcBorders>
            <w:shd w:val="clear" w:color="auto" w:fill="auto"/>
            <w:tcMar>
              <w:left w:w="43" w:type="dxa"/>
              <w:right w:w="43" w:type="dxa"/>
            </w:tcMar>
            <w:vAlign w:val="center"/>
          </w:tcPr>
          <w:p w14:paraId="0EF60E85" w14:textId="1D25094F"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28.7</w:t>
            </w:r>
          </w:p>
        </w:tc>
        <w:tc>
          <w:tcPr>
            <w:tcW w:w="417" w:type="pct"/>
            <w:tcBorders>
              <w:top w:val="nil"/>
              <w:bottom w:val="nil"/>
              <w:right w:val="double" w:sz="4" w:space="0" w:color="auto"/>
            </w:tcBorders>
            <w:shd w:val="clear" w:color="auto" w:fill="auto"/>
            <w:tcMar>
              <w:left w:w="43" w:type="dxa"/>
              <w:right w:w="43" w:type="dxa"/>
            </w:tcMar>
            <w:vAlign w:val="center"/>
          </w:tcPr>
          <w:p w14:paraId="1097B4A6" w14:textId="30E2D4A5"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15.6</w:t>
            </w:r>
          </w:p>
        </w:tc>
        <w:tc>
          <w:tcPr>
            <w:tcW w:w="1701" w:type="pct"/>
            <w:vMerge/>
            <w:tcBorders>
              <w:left w:val="double" w:sz="4" w:space="0" w:color="auto"/>
            </w:tcBorders>
            <w:shd w:val="clear" w:color="auto" w:fill="auto"/>
            <w:tcMar>
              <w:left w:w="43" w:type="dxa"/>
              <w:right w:w="43" w:type="dxa"/>
            </w:tcMar>
            <w:vAlign w:val="center"/>
          </w:tcPr>
          <w:p w14:paraId="26F9FDDA" w14:textId="77777777" w:rsidR="00CD499A" w:rsidRPr="00647984" w:rsidRDefault="00CD499A" w:rsidP="00CB743D">
            <w:pPr>
              <w:spacing w:after="0" w:line="240" w:lineRule="auto"/>
              <w:ind w:left="313" w:hanging="180"/>
              <w:rPr>
                <w:rFonts w:eastAsia="Times New Roman"/>
                <w:b/>
                <w:i/>
                <w:color w:val="000000"/>
                <w:sz w:val="21"/>
                <w:szCs w:val="21"/>
              </w:rPr>
            </w:pPr>
          </w:p>
        </w:tc>
        <w:tc>
          <w:tcPr>
            <w:tcW w:w="391" w:type="pct"/>
            <w:shd w:val="clear" w:color="auto" w:fill="auto"/>
            <w:tcMar>
              <w:left w:w="43" w:type="dxa"/>
              <w:right w:w="43" w:type="dxa"/>
            </w:tcMar>
            <w:vAlign w:val="center"/>
          </w:tcPr>
          <w:p w14:paraId="5F8C5ADA" w14:textId="77777777" w:rsidR="00CD499A" w:rsidRPr="00647984" w:rsidRDefault="00CD499A" w:rsidP="00CB743D">
            <w:pPr>
              <w:spacing w:after="0" w:line="240" w:lineRule="auto"/>
              <w:jc w:val="right"/>
              <w:rPr>
                <w:rFonts w:eastAsia="Times New Roman"/>
                <w:color w:val="000000"/>
                <w:sz w:val="21"/>
                <w:szCs w:val="21"/>
              </w:rPr>
            </w:pPr>
          </w:p>
        </w:tc>
        <w:tc>
          <w:tcPr>
            <w:tcW w:w="340" w:type="pct"/>
            <w:shd w:val="clear" w:color="auto" w:fill="auto"/>
            <w:tcMar>
              <w:left w:w="43" w:type="dxa"/>
              <w:right w:w="43" w:type="dxa"/>
            </w:tcMar>
            <w:vAlign w:val="center"/>
          </w:tcPr>
          <w:p w14:paraId="2686420D" w14:textId="77777777" w:rsidR="00CD499A" w:rsidRPr="00647984" w:rsidRDefault="00CD499A" w:rsidP="00CB743D">
            <w:pPr>
              <w:spacing w:after="0" w:line="240" w:lineRule="auto"/>
              <w:jc w:val="right"/>
              <w:rPr>
                <w:rFonts w:eastAsia="Times New Roman"/>
                <w:color w:val="000000"/>
                <w:sz w:val="21"/>
                <w:szCs w:val="21"/>
              </w:rPr>
            </w:pPr>
          </w:p>
        </w:tc>
        <w:tc>
          <w:tcPr>
            <w:tcW w:w="388" w:type="pct"/>
            <w:tcBorders>
              <w:right w:val="double" w:sz="4" w:space="0" w:color="auto"/>
            </w:tcBorders>
            <w:shd w:val="clear" w:color="auto" w:fill="auto"/>
            <w:tcMar>
              <w:left w:w="43" w:type="dxa"/>
              <w:right w:w="43" w:type="dxa"/>
            </w:tcMar>
            <w:vAlign w:val="center"/>
          </w:tcPr>
          <w:p w14:paraId="07A0B2EF" w14:textId="77777777" w:rsidR="00CD499A" w:rsidRPr="00647984" w:rsidRDefault="00CD499A" w:rsidP="00CB743D">
            <w:pPr>
              <w:spacing w:after="0" w:line="240" w:lineRule="auto"/>
              <w:jc w:val="right"/>
              <w:rPr>
                <w:rFonts w:eastAsia="Times New Roman"/>
                <w:color w:val="000000"/>
                <w:sz w:val="21"/>
                <w:szCs w:val="21"/>
              </w:rPr>
            </w:pPr>
          </w:p>
        </w:tc>
      </w:tr>
      <w:tr w:rsidR="00CD499A" w:rsidRPr="00647984" w14:paraId="5790692A" w14:textId="77777777" w:rsidTr="00CB743D">
        <w:trPr>
          <w:trHeight w:val="331"/>
        </w:trPr>
        <w:tc>
          <w:tcPr>
            <w:tcW w:w="1025" w:type="pct"/>
            <w:gridSpan w:val="2"/>
            <w:tcBorders>
              <w:top w:val="nil"/>
              <w:left w:val="double" w:sz="4" w:space="0" w:color="auto"/>
              <w:bottom w:val="nil"/>
            </w:tcBorders>
            <w:shd w:val="clear" w:color="auto" w:fill="auto"/>
            <w:tcMar>
              <w:left w:w="43" w:type="dxa"/>
              <w:right w:w="43" w:type="dxa"/>
            </w:tcMar>
            <w:vAlign w:val="center"/>
          </w:tcPr>
          <w:p w14:paraId="42950E62" w14:textId="09049995" w:rsidR="00CD499A" w:rsidRPr="00647984" w:rsidRDefault="00CD499A" w:rsidP="00CB743D">
            <w:pPr>
              <w:spacing w:after="0" w:line="240" w:lineRule="auto"/>
              <w:ind w:left="120"/>
              <w:rPr>
                <w:rFonts w:eastAsia="Times New Roman"/>
                <w:color w:val="000000"/>
                <w:sz w:val="21"/>
                <w:szCs w:val="21"/>
              </w:rPr>
            </w:pPr>
            <w:r w:rsidRPr="00647984">
              <w:rPr>
                <w:rFonts w:eastAsia="Times New Roman"/>
                <w:color w:val="000000"/>
                <w:sz w:val="21"/>
                <w:szCs w:val="21"/>
              </w:rPr>
              <w:t>$150,000-$249,999</w:t>
            </w:r>
          </w:p>
        </w:tc>
        <w:tc>
          <w:tcPr>
            <w:tcW w:w="394" w:type="pct"/>
            <w:gridSpan w:val="2"/>
            <w:tcBorders>
              <w:top w:val="nil"/>
              <w:bottom w:val="nil"/>
            </w:tcBorders>
            <w:shd w:val="clear" w:color="auto" w:fill="auto"/>
            <w:tcMar>
              <w:left w:w="43" w:type="dxa"/>
              <w:right w:w="43" w:type="dxa"/>
            </w:tcMar>
            <w:vAlign w:val="center"/>
          </w:tcPr>
          <w:p w14:paraId="6B55A49C" w14:textId="1084A23A"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231</w:t>
            </w:r>
          </w:p>
        </w:tc>
        <w:tc>
          <w:tcPr>
            <w:tcW w:w="344" w:type="pct"/>
            <w:gridSpan w:val="3"/>
            <w:tcBorders>
              <w:top w:val="nil"/>
              <w:bottom w:val="nil"/>
            </w:tcBorders>
            <w:shd w:val="clear" w:color="auto" w:fill="auto"/>
            <w:tcMar>
              <w:left w:w="43" w:type="dxa"/>
              <w:right w:w="43" w:type="dxa"/>
            </w:tcMar>
            <w:vAlign w:val="center"/>
          </w:tcPr>
          <w:p w14:paraId="4F98DACC" w14:textId="4B504E48"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21.2</w:t>
            </w:r>
          </w:p>
        </w:tc>
        <w:tc>
          <w:tcPr>
            <w:tcW w:w="417" w:type="pct"/>
            <w:tcBorders>
              <w:top w:val="nil"/>
              <w:bottom w:val="nil"/>
              <w:right w:val="double" w:sz="4" w:space="0" w:color="auto"/>
            </w:tcBorders>
            <w:shd w:val="clear" w:color="auto" w:fill="auto"/>
            <w:tcMar>
              <w:left w:w="43" w:type="dxa"/>
              <w:right w:w="43" w:type="dxa"/>
            </w:tcMar>
            <w:vAlign w:val="center"/>
          </w:tcPr>
          <w:p w14:paraId="360EB421" w14:textId="62D7F75F"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7.0</w:t>
            </w:r>
          </w:p>
        </w:tc>
        <w:tc>
          <w:tcPr>
            <w:tcW w:w="1701" w:type="pct"/>
            <w:vMerge w:val="restart"/>
            <w:tcBorders>
              <w:left w:val="double" w:sz="4" w:space="0" w:color="auto"/>
              <w:bottom w:val="nil"/>
            </w:tcBorders>
            <w:shd w:val="clear" w:color="auto" w:fill="auto"/>
            <w:tcMar>
              <w:left w:w="43" w:type="dxa"/>
              <w:right w:w="43" w:type="dxa"/>
            </w:tcMar>
            <w:vAlign w:val="center"/>
          </w:tcPr>
          <w:p w14:paraId="6D211EAB" w14:textId="45C73255" w:rsidR="00CD499A" w:rsidRPr="00647984" w:rsidRDefault="00CD499A" w:rsidP="00CB743D">
            <w:pPr>
              <w:spacing w:after="0" w:line="240" w:lineRule="auto"/>
              <w:ind w:left="313" w:hanging="180"/>
              <w:rPr>
                <w:rFonts w:eastAsia="Times New Roman"/>
                <w:color w:val="000000"/>
                <w:sz w:val="21"/>
                <w:szCs w:val="21"/>
              </w:rPr>
            </w:pPr>
            <w:r w:rsidRPr="00647984">
              <w:rPr>
                <w:rFonts w:eastAsia="Times New Roman"/>
                <w:color w:val="000000"/>
                <w:sz w:val="21"/>
                <w:szCs w:val="21"/>
              </w:rPr>
              <w:t>Percentage of work days from a home in the past month</w:t>
            </w:r>
          </w:p>
        </w:tc>
        <w:tc>
          <w:tcPr>
            <w:tcW w:w="391" w:type="pct"/>
            <w:tcBorders>
              <w:bottom w:val="nil"/>
            </w:tcBorders>
            <w:shd w:val="clear" w:color="auto" w:fill="auto"/>
            <w:tcMar>
              <w:left w:w="43" w:type="dxa"/>
              <w:right w:w="43" w:type="dxa"/>
            </w:tcMar>
            <w:vAlign w:val="center"/>
          </w:tcPr>
          <w:p w14:paraId="2AA2674E" w14:textId="7909FF25"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 44.8</w:t>
            </w:r>
          </w:p>
        </w:tc>
        <w:tc>
          <w:tcPr>
            <w:tcW w:w="340" w:type="pct"/>
            <w:tcBorders>
              <w:bottom w:val="nil"/>
            </w:tcBorders>
            <w:shd w:val="clear" w:color="auto" w:fill="auto"/>
            <w:tcMar>
              <w:left w:w="43" w:type="dxa"/>
              <w:right w:w="43" w:type="dxa"/>
            </w:tcMar>
            <w:vAlign w:val="center"/>
          </w:tcPr>
          <w:p w14:paraId="3361E571" w14:textId="0F8E2B0D"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38.3</w:t>
            </w:r>
          </w:p>
        </w:tc>
        <w:tc>
          <w:tcPr>
            <w:tcW w:w="388" w:type="pct"/>
            <w:tcBorders>
              <w:bottom w:val="nil"/>
              <w:right w:val="double" w:sz="4" w:space="0" w:color="auto"/>
            </w:tcBorders>
            <w:shd w:val="clear" w:color="auto" w:fill="auto"/>
            <w:tcMar>
              <w:left w:w="43" w:type="dxa"/>
              <w:right w:w="43" w:type="dxa"/>
            </w:tcMar>
            <w:vAlign w:val="center"/>
          </w:tcPr>
          <w:p w14:paraId="4DABEC2D" w14:textId="5C1647E5"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w:t>
            </w:r>
          </w:p>
        </w:tc>
      </w:tr>
      <w:tr w:rsidR="00CD499A" w:rsidRPr="00647984" w14:paraId="01B9BD0E" w14:textId="77777777" w:rsidTr="00CB743D">
        <w:trPr>
          <w:trHeight w:val="331"/>
        </w:trPr>
        <w:tc>
          <w:tcPr>
            <w:tcW w:w="1025" w:type="pct"/>
            <w:gridSpan w:val="2"/>
            <w:tcBorders>
              <w:top w:val="nil"/>
              <w:left w:val="double" w:sz="4" w:space="0" w:color="auto"/>
              <w:bottom w:val="double" w:sz="4" w:space="0" w:color="auto"/>
            </w:tcBorders>
            <w:shd w:val="clear" w:color="auto" w:fill="auto"/>
            <w:tcMar>
              <w:left w:w="43" w:type="dxa"/>
              <w:right w:w="43" w:type="dxa"/>
            </w:tcMar>
            <w:vAlign w:val="center"/>
          </w:tcPr>
          <w:p w14:paraId="4F704AA4" w14:textId="1239E1D7" w:rsidR="00CD499A" w:rsidRPr="00647984" w:rsidRDefault="00CD499A" w:rsidP="00CB743D">
            <w:pPr>
              <w:spacing w:after="0" w:line="240" w:lineRule="auto"/>
              <w:ind w:left="120"/>
              <w:rPr>
                <w:rFonts w:eastAsia="Times New Roman"/>
                <w:color w:val="000000"/>
                <w:sz w:val="21"/>
                <w:szCs w:val="21"/>
              </w:rPr>
            </w:pPr>
            <w:r w:rsidRPr="00647984">
              <w:rPr>
                <w:rFonts w:eastAsia="Times New Roman"/>
                <w:color w:val="000000"/>
                <w:sz w:val="21"/>
                <w:szCs w:val="21"/>
              </w:rPr>
              <w:t>$250,000 or more</w:t>
            </w:r>
          </w:p>
        </w:tc>
        <w:tc>
          <w:tcPr>
            <w:tcW w:w="394" w:type="pct"/>
            <w:gridSpan w:val="2"/>
            <w:tcBorders>
              <w:top w:val="nil"/>
              <w:bottom w:val="double" w:sz="4" w:space="0" w:color="auto"/>
            </w:tcBorders>
            <w:shd w:val="clear" w:color="auto" w:fill="auto"/>
            <w:tcMar>
              <w:left w:w="43" w:type="dxa"/>
              <w:right w:w="43" w:type="dxa"/>
            </w:tcMar>
            <w:vAlign w:val="center"/>
          </w:tcPr>
          <w:p w14:paraId="21EC569D" w14:textId="51999EEA"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105</w:t>
            </w:r>
          </w:p>
        </w:tc>
        <w:tc>
          <w:tcPr>
            <w:tcW w:w="344" w:type="pct"/>
            <w:gridSpan w:val="3"/>
            <w:tcBorders>
              <w:top w:val="nil"/>
              <w:bottom w:val="double" w:sz="4" w:space="0" w:color="auto"/>
            </w:tcBorders>
            <w:shd w:val="clear" w:color="auto" w:fill="auto"/>
            <w:tcMar>
              <w:left w:w="43" w:type="dxa"/>
              <w:right w:w="43" w:type="dxa"/>
            </w:tcMar>
            <w:vAlign w:val="center"/>
          </w:tcPr>
          <w:p w14:paraId="02C38122" w14:textId="0D725E7D"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9.6</w:t>
            </w:r>
          </w:p>
        </w:tc>
        <w:tc>
          <w:tcPr>
            <w:tcW w:w="417" w:type="pct"/>
            <w:tcBorders>
              <w:top w:val="nil"/>
              <w:bottom w:val="double" w:sz="4" w:space="0" w:color="auto"/>
              <w:right w:val="double" w:sz="4" w:space="0" w:color="auto"/>
            </w:tcBorders>
            <w:shd w:val="clear" w:color="auto" w:fill="auto"/>
            <w:tcMar>
              <w:left w:w="43" w:type="dxa"/>
              <w:right w:w="43" w:type="dxa"/>
            </w:tcMar>
            <w:vAlign w:val="center"/>
          </w:tcPr>
          <w:p w14:paraId="213D9C64" w14:textId="779F8EF7" w:rsidR="00CD499A" w:rsidRPr="00647984" w:rsidRDefault="00CD499A" w:rsidP="00CB743D">
            <w:pPr>
              <w:spacing w:after="0" w:line="240" w:lineRule="auto"/>
              <w:jc w:val="right"/>
              <w:rPr>
                <w:rFonts w:eastAsia="Times New Roman"/>
                <w:color w:val="000000"/>
                <w:sz w:val="21"/>
                <w:szCs w:val="21"/>
              </w:rPr>
            </w:pPr>
            <w:r w:rsidRPr="00647984">
              <w:rPr>
                <w:rFonts w:eastAsia="Times New Roman"/>
                <w:color w:val="000000"/>
                <w:sz w:val="21"/>
                <w:szCs w:val="21"/>
              </w:rPr>
              <w:t>6.0</w:t>
            </w:r>
          </w:p>
        </w:tc>
        <w:tc>
          <w:tcPr>
            <w:tcW w:w="1701" w:type="pct"/>
            <w:vMerge/>
            <w:tcBorders>
              <w:top w:val="nil"/>
              <w:left w:val="double" w:sz="4" w:space="0" w:color="auto"/>
              <w:bottom w:val="double" w:sz="4" w:space="0" w:color="auto"/>
            </w:tcBorders>
            <w:shd w:val="clear" w:color="auto" w:fill="auto"/>
            <w:tcMar>
              <w:left w:w="43" w:type="dxa"/>
              <w:right w:w="43" w:type="dxa"/>
            </w:tcMar>
            <w:vAlign w:val="center"/>
          </w:tcPr>
          <w:p w14:paraId="53A57428" w14:textId="77777777" w:rsidR="00CD499A" w:rsidRPr="00647984" w:rsidRDefault="00CD499A" w:rsidP="00CD499A">
            <w:pPr>
              <w:spacing w:after="0" w:line="240" w:lineRule="auto"/>
              <w:jc w:val="both"/>
              <w:rPr>
                <w:rFonts w:eastAsia="Times New Roman"/>
                <w:b/>
                <w:i/>
                <w:color w:val="000000"/>
                <w:sz w:val="21"/>
                <w:szCs w:val="21"/>
              </w:rPr>
            </w:pPr>
          </w:p>
        </w:tc>
        <w:tc>
          <w:tcPr>
            <w:tcW w:w="391" w:type="pct"/>
            <w:tcBorders>
              <w:top w:val="nil"/>
              <w:bottom w:val="double" w:sz="4" w:space="0" w:color="auto"/>
            </w:tcBorders>
            <w:shd w:val="clear" w:color="auto" w:fill="auto"/>
            <w:tcMar>
              <w:left w:w="43" w:type="dxa"/>
              <w:right w:w="43" w:type="dxa"/>
            </w:tcMar>
          </w:tcPr>
          <w:p w14:paraId="0D660C7C" w14:textId="77777777" w:rsidR="00CD499A" w:rsidRPr="00647984" w:rsidRDefault="00CD499A" w:rsidP="00CD499A">
            <w:pPr>
              <w:spacing w:after="0" w:line="240" w:lineRule="auto"/>
              <w:jc w:val="right"/>
              <w:rPr>
                <w:rFonts w:eastAsia="Times New Roman"/>
                <w:color w:val="000000"/>
                <w:sz w:val="21"/>
                <w:szCs w:val="21"/>
              </w:rPr>
            </w:pPr>
          </w:p>
        </w:tc>
        <w:tc>
          <w:tcPr>
            <w:tcW w:w="340" w:type="pct"/>
            <w:tcBorders>
              <w:top w:val="nil"/>
              <w:bottom w:val="double" w:sz="4" w:space="0" w:color="auto"/>
            </w:tcBorders>
            <w:shd w:val="clear" w:color="auto" w:fill="auto"/>
            <w:tcMar>
              <w:left w:w="43" w:type="dxa"/>
              <w:right w:w="43" w:type="dxa"/>
            </w:tcMar>
          </w:tcPr>
          <w:p w14:paraId="1EF99E61" w14:textId="77777777" w:rsidR="00CD499A" w:rsidRPr="00647984" w:rsidRDefault="00CD499A" w:rsidP="00CD499A">
            <w:pPr>
              <w:spacing w:after="0" w:line="240" w:lineRule="auto"/>
              <w:jc w:val="right"/>
              <w:rPr>
                <w:rFonts w:eastAsia="Times New Roman"/>
                <w:color w:val="000000"/>
                <w:sz w:val="21"/>
                <w:szCs w:val="21"/>
              </w:rPr>
            </w:pPr>
          </w:p>
        </w:tc>
        <w:tc>
          <w:tcPr>
            <w:tcW w:w="388" w:type="pct"/>
            <w:tcBorders>
              <w:top w:val="nil"/>
              <w:bottom w:val="double" w:sz="4" w:space="0" w:color="auto"/>
              <w:right w:val="double" w:sz="4" w:space="0" w:color="auto"/>
            </w:tcBorders>
            <w:shd w:val="clear" w:color="auto" w:fill="auto"/>
            <w:tcMar>
              <w:left w:w="43" w:type="dxa"/>
              <w:right w:w="43" w:type="dxa"/>
            </w:tcMar>
          </w:tcPr>
          <w:p w14:paraId="693DC4F4" w14:textId="77777777" w:rsidR="00CD499A" w:rsidRPr="00647984" w:rsidRDefault="00CD499A" w:rsidP="00CD499A">
            <w:pPr>
              <w:spacing w:after="0" w:line="240" w:lineRule="auto"/>
              <w:jc w:val="right"/>
              <w:rPr>
                <w:rFonts w:eastAsia="Times New Roman"/>
                <w:color w:val="000000"/>
                <w:sz w:val="21"/>
                <w:szCs w:val="21"/>
              </w:rPr>
            </w:pPr>
          </w:p>
        </w:tc>
      </w:tr>
    </w:tbl>
    <w:p w14:paraId="038AE814" w14:textId="59583C2A" w:rsidR="00D00A05" w:rsidRDefault="00D00A05" w:rsidP="00D00A05">
      <w:pPr>
        <w:rPr>
          <w:b/>
        </w:rPr>
      </w:pPr>
    </w:p>
    <w:p w14:paraId="2908F3B9" w14:textId="577AB93A" w:rsidR="003C4D90" w:rsidRDefault="003C4D90" w:rsidP="00D00A05">
      <w:pPr>
        <w:rPr>
          <w:b/>
        </w:rPr>
      </w:pPr>
    </w:p>
    <w:p w14:paraId="1A20C8AE" w14:textId="76BF702F" w:rsidR="003C4D90" w:rsidRDefault="003C4D90" w:rsidP="00D00A05">
      <w:pPr>
        <w:rPr>
          <w:b/>
        </w:rPr>
      </w:pPr>
    </w:p>
    <w:p w14:paraId="293FA506" w14:textId="3C99AF24" w:rsidR="003C4D90" w:rsidRDefault="003C4D90" w:rsidP="00D00A05">
      <w:pPr>
        <w:rPr>
          <w:b/>
        </w:rPr>
      </w:pPr>
    </w:p>
    <w:p w14:paraId="6EE0C613" w14:textId="77777777" w:rsidR="00647984" w:rsidRDefault="00647984" w:rsidP="00D00A05">
      <w:pPr>
        <w:rPr>
          <w:b/>
        </w:rPr>
      </w:pPr>
    </w:p>
    <w:p w14:paraId="630AC796" w14:textId="3F97C1D6" w:rsidR="00CB743D" w:rsidRPr="00D52C17" w:rsidRDefault="00CB743D" w:rsidP="00472474">
      <w:pPr>
        <w:pStyle w:val="Caption"/>
        <w:spacing w:after="120"/>
        <w:rPr>
          <w:sz w:val="24"/>
        </w:rPr>
      </w:pPr>
      <w:bookmarkStart w:id="65" w:name="_Ref108201234"/>
      <w:r w:rsidRPr="00861789">
        <w:rPr>
          <w:sz w:val="24"/>
          <w:szCs w:val="24"/>
        </w:rPr>
        <w:lastRenderedPageBreak/>
        <w:t xml:space="preserve">Table </w:t>
      </w:r>
      <w:bookmarkEnd w:id="65"/>
      <w:r>
        <w:rPr>
          <w:sz w:val="24"/>
          <w:szCs w:val="24"/>
        </w:rPr>
        <w:t>2</w:t>
      </w:r>
      <w:r w:rsidRPr="00861789">
        <w:rPr>
          <w:noProof/>
          <w:sz w:val="24"/>
          <w:szCs w:val="24"/>
        </w:rPr>
        <w:t>.</w:t>
      </w:r>
      <w:r w:rsidRPr="00CA28DC">
        <w:rPr>
          <w:sz w:val="24"/>
        </w:rPr>
        <w:t xml:space="preserve"> Distribution of N</w:t>
      </w:r>
      <w:r w:rsidR="009D141C">
        <w:rPr>
          <w:sz w:val="24"/>
        </w:rPr>
        <w:t>HCM</w:t>
      </w:r>
      <w:r w:rsidRPr="00CA28DC">
        <w:rPr>
          <w:sz w:val="24"/>
        </w:rPr>
        <w:t xml:space="preserve"> consumption </w:t>
      </w:r>
      <w:r>
        <w:rPr>
          <w:sz w:val="24"/>
          <w:szCs w:val="24"/>
        </w:rPr>
        <w:t>count</w:t>
      </w:r>
      <w:r w:rsidRPr="00CA28DC">
        <w:rPr>
          <w:sz w:val="24"/>
        </w:rPr>
        <w:t xml:space="preserve"> by channel</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0"/>
        <w:gridCol w:w="1129"/>
        <w:gridCol w:w="1101"/>
        <w:gridCol w:w="1129"/>
        <w:gridCol w:w="1073"/>
        <w:gridCol w:w="983"/>
        <w:gridCol w:w="1075"/>
      </w:tblGrid>
      <w:tr w:rsidR="00CB743D" w:rsidRPr="004C15D0" w14:paraId="0500A7F8" w14:textId="77777777" w:rsidTr="00472474">
        <w:trPr>
          <w:cantSplit/>
          <w:trHeight w:val="20"/>
        </w:trPr>
        <w:tc>
          <w:tcPr>
            <w:tcW w:w="1522" w:type="pct"/>
            <w:vMerge w:val="restart"/>
            <w:tcBorders>
              <w:top w:val="double" w:sz="4" w:space="0" w:color="auto"/>
              <w:bottom w:val="single" w:sz="4" w:space="0" w:color="auto"/>
              <w:right w:val="double" w:sz="4" w:space="0" w:color="auto"/>
            </w:tcBorders>
            <w:shd w:val="clear" w:color="auto" w:fill="auto"/>
            <w:vAlign w:val="center"/>
            <w:hideMark/>
          </w:tcPr>
          <w:p w14:paraId="2F97A22E" w14:textId="3BF3FC5E" w:rsidR="00CB743D" w:rsidRPr="004C15D0" w:rsidRDefault="00CB743D" w:rsidP="00472474">
            <w:pPr>
              <w:spacing w:after="0" w:line="240" w:lineRule="auto"/>
              <w:rPr>
                <w:rFonts w:eastAsia="Times New Roman"/>
                <w:b/>
                <w:bCs/>
                <w:color w:val="000000"/>
              </w:rPr>
            </w:pPr>
            <w:r w:rsidRPr="004C15D0">
              <w:rPr>
                <w:rFonts w:eastAsia="Times New Roman"/>
                <w:b/>
                <w:bCs/>
                <w:color w:val="000000"/>
              </w:rPr>
              <w:t>N</w:t>
            </w:r>
            <w:r w:rsidR="009D141C">
              <w:rPr>
                <w:rFonts w:eastAsia="Times New Roman"/>
                <w:b/>
                <w:bCs/>
                <w:color w:val="000000"/>
              </w:rPr>
              <w:t>HCM</w:t>
            </w:r>
            <w:r w:rsidRPr="004C15D0">
              <w:rPr>
                <w:rFonts w:eastAsia="Times New Roman"/>
                <w:b/>
                <w:bCs/>
                <w:color w:val="000000"/>
              </w:rPr>
              <w:t xml:space="preserve"> count per month</w:t>
            </w:r>
          </w:p>
        </w:tc>
        <w:tc>
          <w:tcPr>
            <w:tcW w:w="1195" w:type="pct"/>
            <w:gridSpan w:val="2"/>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7358CA2"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Eat-out</w:t>
            </w:r>
          </w:p>
        </w:tc>
        <w:tc>
          <w:tcPr>
            <w:tcW w:w="2283" w:type="pct"/>
            <w:gridSpan w:val="4"/>
            <w:tcBorders>
              <w:top w:val="double" w:sz="4" w:space="0" w:color="auto"/>
              <w:left w:val="double" w:sz="4" w:space="0" w:color="auto"/>
              <w:bottom w:val="single" w:sz="4" w:space="0" w:color="auto"/>
            </w:tcBorders>
            <w:shd w:val="clear" w:color="auto" w:fill="auto"/>
            <w:noWrap/>
            <w:vAlign w:val="center"/>
            <w:hideMark/>
          </w:tcPr>
          <w:p w14:paraId="0C611F76"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Eat-in</w:t>
            </w:r>
          </w:p>
        </w:tc>
      </w:tr>
      <w:tr w:rsidR="00CB743D" w:rsidRPr="004C15D0" w14:paraId="182CCD34" w14:textId="77777777" w:rsidTr="00472474">
        <w:trPr>
          <w:trHeight w:val="20"/>
        </w:trPr>
        <w:tc>
          <w:tcPr>
            <w:tcW w:w="1522" w:type="pct"/>
            <w:vMerge/>
            <w:tcBorders>
              <w:top w:val="single" w:sz="4" w:space="0" w:color="auto"/>
              <w:bottom w:val="single" w:sz="4" w:space="0" w:color="auto"/>
              <w:right w:val="double" w:sz="4" w:space="0" w:color="auto"/>
            </w:tcBorders>
            <w:shd w:val="clear" w:color="auto" w:fill="auto"/>
            <w:vAlign w:val="center"/>
            <w:hideMark/>
          </w:tcPr>
          <w:p w14:paraId="05388E1E" w14:textId="77777777" w:rsidR="00CB743D" w:rsidRPr="004C15D0" w:rsidRDefault="00CB743D" w:rsidP="00472474">
            <w:pPr>
              <w:spacing w:after="0" w:line="240" w:lineRule="auto"/>
              <w:rPr>
                <w:rFonts w:eastAsia="Times New Roman"/>
                <w:b/>
                <w:bCs/>
                <w:color w:val="000000"/>
              </w:rPr>
            </w:pPr>
          </w:p>
        </w:tc>
        <w:tc>
          <w:tcPr>
            <w:tcW w:w="1195" w:type="pct"/>
            <w:gridSpan w:val="2"/>
            <w:vMerge/>
            <w:tcBorders>
              <w:top w:val="single" w:sz="4" w:space="0" w:color="auto"/>
              <w:left w:val="double" w:sz="4" w:space="0" w:color="auto"/>
              <w:bottom w:val="single" w:sz="4" w:space="0" w:color="auto"/>
              <w:right w:val="double" w:sz="4" w:space="0" w:color="auto"/>
            </w:tcBorders>
            <w:shd w:val="clear" w:color="auto" w:fill="auto"/>
            <w:vAlign w:val="center"/>
            <w:hideMark/>
          </w:tcPr>
          <w:p w14:paraId="65B0D124" w14:textId="77777777" w:rsidR="00CB743D" w:rsidRPr="004C15D0" w:rsidRDefault="00CB743D" w:rsidP="00472474">
            <w:pPr>
              <w:spacing w:after="0" w:line="240" w:lineRule="auto"/>
              <w:rPr>
                <w:rFonts w:eastAsia="Times New Roman"/>
                <w:b/>
                <w:bCs/>
                <w:color w:val="000000"/>
              </w:rPr>
            </w:pPr>
          </w:p>
        </w:tc>
        <w:tc>
          <w:tcPr>
            <w:tcW w:w="1180"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B542D6A"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Takeout</w:t>
            </w:r>
          </w:p>
        </w:tc>
        <w:tc>
          <w:tcPr>
            <w:tcW w:w="1102" w:type="pct"/>
            <w:gridSpan w:val="2"/>
            <w:tcBorders>
              <w:top w:val="single" w:sz="4" w:space="0" w:color="auto"/>
              <w:left w:val="double" w:sz="4" w:space="0" w:color="auto"/>
              <w:bottom w:val="single" w:sz="4" w:space="0" w:color="auto"/>
            </w:tcBorders>
            <w:shd w:val="clear" w:color="auto" w:fill="auto"/>
            <w:noWrap/>
            <w:vAlign w:val="center"/>
            <w:hideMark/>
          </w:tcPr>
          <w:p w14:paraId="775F2574"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Delivery</w:t>
            </w:r>
          </w:p>
        </w:tc>
      </w:tr>
      <w:tr w:rsidR="00CB743D" w:rsidRPr="004C15D0" w14:paraId="1A17B783" w14:textId="77777777" w:rsidTr="00472474">
        <w:trPr>
          <w:trHeight w:val="20"/>
        </w:trPr>
        <w:tc>
          <w:tcPr>
            <w:tcW w:w="1522" w:type="pct"/>
            <w:vMerge/>
            <w:tcBorders>
              <w:top w:val="single" w:sz="4" w:space="0" w:color="auto"/>
              <w:bottom w:val="double" w:sz="4" w:space="0" w:color="auto"/>
              <w:right w:val="double" w:sz="4" w:space="0" w:color="auto"/>
            </w:tcBorders>
            <w:shd w:val="clear" w:color="auto" w:fill="auto"/>
            <w:vAlign w:val="center"/>
            <w:hideMark/>
          </w:tcPr>
          <w:p w14:paraId="09C8F353" w14:textId="77777777" w:rsidR="00CB743D" w:rsidRPr="004C15D0" w:rsidRDefault="00CB743D" w:rsidP="00472474">
            <w:pPr>
              <w:spacing w:after="0" w:line="240" w:lineRule="auto"/>
              <w:rPr>
                <w:rFonts w:eastAsia="Times New Roman"/>
                <w:b/>
                <w:bCs/>
                <w:color w:val="000000"/>
              </w:rPr>
            </w:pPr>
          </w:p>
        </w:tc>
        <w:tc>
          <w:tcPr>
            <w:tcW w:w="605" w:type="pct"/>
            <w:tcBorders>
              <w:top w:val="single" w:sz="4" w:space="0" w:color="auto"/>
              <w:left w:val="double" w:sz="4" w:space="0" w:color="auto"/>
              <w:bottom w:val="double" w:sz="4" w:space="0" w:color="auto"/>
            </w:tcBorders>
            <w:shd w:val="clear" w:color="auto" w:fill="auto"/>
            <w:noWrap/>
            <w:vAlign w:val="center"/>
            <w:hideMark/>
          </w:tcPr>
          <w:p w14:paraId="7D2B69CD"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 obs.</w:t>
            </w:r>
          </w:p>
        </w:tc>
        <w:tc>
          <w:tcPr>
            <w:tcW w:w="590" w:type="pct"/>
            <w:tcBorders>
              <w:top w:val="single" w:sz="4" w:space="0" w:color="auto"/>
              <w:bottom w:val="double" w:sz="4" w:space="0" w:color="auto"/>
              <w:right w:val="double" w:sz="4" w:space="0" w:color="auto"/>
            </w:tcBorders>
            <w:shd w:val="clear" w:color="auto" w:fill="auto"/>
            <w:noWrap/>
            <w:vAlign w:val="center"/>
            <w:hideMark/>
          </w:tcPr>
          <w:p w14:paraId="0586D596"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w:t>
            </w:r>
          </w:p>
        </w:tc>
        <w:tc>
          <w:tcPr>
            <w:tcW w:w="605" w:type="pct"/>
            <w:tcBorders>
              <w:top w:val="single" w:sz="4" w:space="0" w:color="auto"/>
              <w:left w:val="double" w:sz="4" w:space="0" w:color="auto"/>
              <w:bottom w:val="double" w:sz="4" w:space="0" w:color="auto"/>
            </w:tcBorders>
            <w:shd w:val="clear" w:color="auto" w:fill="auto"/>
            <w:noWrap/>
            <w:vAlign w:val="center"/>
            <w:hideMark/>
          </w:tcPr>
          <w:p w14:paraId="20BC9590"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 obs.</w:t>
            </w:r>
          </w:p>
        </w:tc>
        <w:tc>
          <w:tcPr>
            <w:tcW w:w="575" w:type="pct"/>
            <w:tcBorders>
              <w:top w:val="single" w:sz="4" w:space="0" w:color="auto"/>
              <w:bottom w:val="double" w:sz="4" w:space="0" w:color="auto"/>
              <w:right w:val="double" w:sz="4" w:space="0" w:color="auto"/>
            </w:tcBorders>
            <w:shd w:val="clear" w:color="auto" w:fill="auto"/>
            <w:noWrap/>
            <w:vAlign w:val="center"/>
            <w:hideMark/>
          </w:tcPr>
          <w:p w14:paraId="7DC28662"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w:t>
            </w:r>
          </w:p>
        </w:tc>
        <w:tc>
          <w:tcPr>
            <w:tcW w:w="527" w:type="pct"/>
            <w:tcBorders>
              <w:top w:val="single" w:sz="4" w:space="0" w:color="auto"/>
              <w:left w:val="double" w:sz="4" w:space="0" w:color="auto"/>
              <w:bottom w:val="double" w:sz="4" w:space="0" w:color="auto"/>
            </w:tcBorders>
            <w:shd w:val="clear" w:color="auto" w:fill="auto"/>
            <w:noWrap/>
            <w:vAlign w:val="center"/>
            <w:hideMark/>
          </w:tcPr>
          <w:p w14:paraId="2AAA4BF9"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 obs.</w:t>
            </w:r>
          </w:p>
        </w:tc>
        <w:tc>
          <w:tcPr>
            <w:tcW w:w="575" w:type="pct"/>
            <w:tcBorders>
              <w:top w:val="single" w:sz="4" w:space="0" w:color="auto"/>
              <w:bottom w:val="double" w:sz="4" w:space="0" w:color="auto"/>
            </w:tcBorders>
            <w:shd w:val="clear" w:color="auto" w:fill="auto"/>
            <w:noWrap/>
            <w:vAlign w:val="center"/>
            <w:hideMark/>
          </w:tcPr>
          <w:p w14:paraId="6231585C"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w:t>
            </w:r>
          </w:p>
        </w:tc>
      </w:tr>
      <w:tr w:rsidR="00CB743D" w:rsidRPr="004C15D0" w14:paraId="3D6F77A1" w14:textId="77777777" w:rsidTr="00472474">
        <w:trPr>
          <w:trHeight w:val="20"/>
        </w:trPr>
        <w:tc>
          <w:tcPr>
            <w:tcW w:w="1522" w:type="pct"/>
            <w:tcBorders>
              <w:top w:val="double" w:sz="4" w:space="0" w:color="auto"/>
              <w:bottom w:val="single" w:sz="4" w:space="0" w:color="auto"/>
              <w:right w:val="double" w:sz="4" w:space="0" w:color="auto"/>
            </w:tcBorders>
            <w:shd w:val="clear" w:color="auto" w:fill="auto"/>
            <w:vAlign w:val="center"/>
            <w:hideMark/>
          </w:tcPr>
          <w:p w14:paraId="1AE7DA42"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0</w:t>
            </w:r>
          </w:p>
        </w:tc>
        <w:tc>
          <w:tcPr>
            <w:tcW w:w="605" w:type="pct"/>
            <w:tcBorders>
              <w:top w:val="double" w:sz="4" w:space="0" w:color="auto"/>
              <w:left w:val="double" w:sz="4" w:space="0" w:color="auto"/>
              <w:bottom w:val="single" w:sz="4" w:space="0" w:color="auto"/>
            </w:tcBorders>
            <w:shd w:val="clear" w:color="auto" w:fill="auto"/>
            <w:vAlign w:val="center"/>
            <w:hideMark/>
          </w:tcPr>
          <w:p w14:paraId="4BACDC42"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283</w:t>
            </w:r>
          </w:p>
        </w:tc>
        <w:tc>
          <w:tcPr>
            <w:tcW w:w="590" w:type="pct"/>
            <w:tcBorders>
              <w:top w:val="double" w:sz="4" w:space="0" w:color="auto"/>
              <w:bottom w:val="single" w:sz="4" w:space="0" w:color="auto"/>
              <w:right w:val="double" w:sz="4" w:space="0" w:color="auto"/>
            </w:tcBorders>
            <w:shd w:val="clear" w:color="auto" w:fill="auto"/>
            <w:vAlign w:val="center"/>
            <w:hideMark/>
          </w:tcPr>
          <w:p w14:paraId="418AB85A"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25.92</w:t>
            </w:r>
          </w:p>
        </w:tc>
        <w:tc>
          <w:tcPr>
            <w:tcW w:w="605" w:type="pct"/>
            <w:tcBorders>
              <w:top w:val="double" w:sz="4" w:space="0" w:color="auto"/>
              <w:left w:val="double" w:sz="4" w:space="0" w:color="auto"/>
              <w:bottom w:val="single" w:sz="4" w:space="0" w:color="auto"/>
            </w:tcBorders>
            <w:shd w:val="clear" w:color="auto" w:fill="auto"/>
            <w:vAlign w:val="center"/>
            <w:hideMark/>
          </w:tcPr>
          <w:p w14:paraId="01CF2F83"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730</w:t>
            </w:r>
          </w:p>
        </w:tc>
        <w:tc>
          <w:tcPr>
            <w:tcW w:w="575" w:type="pct"/>
            <w:tcBorders>
              <w:top w:val="double" w:sz="4" w:space="0" w:color="auto"/>
              <w:bottom w:val="single" w:sz="4" w:space="0" w:color="auto"/>
              <w:right w:val="double" w:sz="4" w:space="0" w:color="auto"/>
            </w:tcBorders>
            <w:shd w:val="clear" w:color="auto" w:fill="auto"/>
            <w:vAlign w:val="center"/>
            <w:hideMark/>
          </w:tcPr>
          <w:p w14:paraId="045E6DC4"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66.85</w:t>
            </w:r>
          </w:p>
        </w:tc>
        <w:tc>
          <w:tcPr>
            <w:tcW w:w="527" w:type="pct"/>
            <w:tcBorders>
              <w:top w:val="double" w:sz="4" w:space="0" w:color="auto"/>
              <w:left w:val="double" w:sz="4" w:space="0" w:color="auto"/>
              <w:bottom w:val="single" w:sz="4" w:space="0" w:color="auto"/>
            </w:tcBorders>
            <w:shd w:val="clear" w:color="auto" w:fill="auto"/>
            <w:vAlign w:val="center"/>
            <w:hideMark/>
          </w:tcPr>
          <w:p w14:paraId="35A59C06"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623</w:t>
            </w:r>
          </w:p>
        </w:tc>
        <w:tc>
          <w:tcPr>
            <w:tcW w:w="575" w:type="pct"/>
            <w:tcBorders>
              <w:top w:val="double" w:sz="4" w:space="0" w:color="auto"/>
              <w:bottom w:val="single" w:sz="4" w:space="0" w:color="auto"/>
            </w:tcBorders>
            <w:shd w:val="clear" w:color="auto" w:fill="auto"/>
            <w:vAlign w:val="center"/>
            <w:hideMark/>
          </w:tcPr>
          <w:p w14:paraId="2D5F55E8"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57.05</w:t>
            </w:r>
          </w:p>
        </w:tc>
      </w:tr>
      <w:tr w:rsidR="00CB743D" w:rsidRPr="004C15D0" w14:paraId="5B4F5E1E"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784D26DD"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1</w:t>
            </w:r>
          </w:p>
        </w:tc>
        <w:tc>
          <w:tcPr>
            <w:tcW w:w="605" w:type="pct"/>
            <w:tcBorders>
              <w:top w:val="single" w:sz="4" w:space="0" w:color="auto"/>
              <w:left w:val="double" w:sz="4" w:space="0" w:color="auto"/>
              <w:bottom w:val="single" w:sz="4" w:space="0" w:color="auto"/>
            </w:tcBorders>
            <w:shd w:val="clear" w:color="auto" w:fill="auto"/>
            <w:vAlign w:val="center"/>
            <w:hideMark/>
          </w:tcPr>
          <w:p w14:paraId="42D8E226"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140</w:t>
            </w:r>
          </w:p>
        </w:tc>
        <w:tc>
          <w:tcPr>
            <w:tcW w:w="590" w:type="pct"/>
            <w:tcBorders>
              <w:top w:val="single" w:sz="4" w:space="0" w:color="auto"/>
              <w:bottom w:val="single" w:sz="4" w:space="0" w:color="auto"/>
              <w:right w:val="double" w:sz="4" w:space="0" w:color="auto"/>
            </w:tcBorders>
            <w:shd w:val="clear" w:color="auto" w:fill="auto"/>
            <w:vAlign w:val="center"/>
            <w:hideMark/>
          </w:tcPr>
          <w:p w14:paraId="15689B02"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12.82</w:t>
            </w:r>
          </w:p>
        </w:tc>
        <w:tc>
          <w:tcPr>
            <w:tcW w:w="605" w:type="pct"/>
            <w:tcBorders>
              <w:top w:val="single" w:sz="4" w:space="0" w:color="auto"/>
              <w:left w:val="double" w:sz="4" w:space="0" w:color="auto"/>
              <w:bottom w:val="single" w:sz="4" w:space="0" w:color="auto"/>
            </w:tcBorders>
            <w:shd w:val="clear" w:color="auto" w:fill="auto"/>
            <w:vAlign w:val="center"/>
            <w:hideMark/>
          </w:tcPr>
          <w:p w14:paraId="690F4EFA"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103</w:t>
            </w:r>
          </w:p>
        </w:tc>
        <w:tc>
          <w:tcPr>
            <w:tcW w:w="575" w:type="pct"/>
            <w:tcBorders>
              <w:top w:val="single" w:sz="4" w:space="0" w:color="auto"/>
              <w:bottom w:val="single" w:sz="4" w:space="0" w:color="auto"/>
              <w:right w:val="double" w:sz="4" w:space="0" w:color="auto"/>
            </w:tcBorders>
            <w:shd w:val="clear" w:color="auto" w:fill="auto"/>
            <w:vAlign w:val="center"/>
            <w:hideMark/>
          </w:tcPr>
          <w:p w14:paraId="0B55AFF4"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9.43</w:t>
            </w:r>
          </w:p>
        </w:tc>
        <w:tc>
          <w:tcPr>
            <w:tcW w:w="527" w:type="pct"/>
            <w:tcBorders>
              <w:top w:val="single" w:sz="4" w:space="0" w:color="auto"/>
              <w:left w:val="double" w:sz="4" w:space="0" w:color="auto"/>
              <w:bottom w:val="single" w:sz="4" w:space="0" w:color="auto"/>
            </w:tcBorders>
            <w:shd w:val="clear" w:color="auto" w:fill="auto"/>
            <w:vAlign w:val="center"/>
            <w:hideMark/>
          </w:tcPr>
          <w:p w14:paraId="714BE307"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122</w:t>
            </w:r>
          </w:p>
        </w:tc>
        <w:tc>
          <w:tcPr>
            <w:tcW w:w="575" w:type="pct"/>
            <w:tcBorders>
              <w:top w:val="single" w:sz="4" w:space="0" w:color="auto"/>
              <w:bottom w:val="single" w:sz="4" w:space="0" w:color="auto"/>
            </w:tcBorders>
            <w:shd w:val="clear" w:color="auto" w:fill="auto"/>
            <w:vAlign w:val="center"/>
            <w:hideMark/>
          </w:tcPr>
          <w:p w14:paraId="07517703"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11.17</w:t>
            </w:r>
          </w:p>
        </w:tc>
      </w:tr>
      <w:tr w:rsidR="00CB743D" w:rsidRPr="004C15D0" w14:paraId="58CFB06F"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0EDA8F4D"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2</w:t>
            </w:r>
          </w:p>
        </w:tc>
        <w:tc>
          <w:tcPr>
            <w:tcW w:w="605" w:type="pct"/>
            <w:tcBorders>
              <w:top w:val="single" w:sz="4" w:space="0" w:color="auto"/>
              <w:left w:val="double" w:sz="4" w:space="0" w:color="auto"/>
              <w:bottom w:val="single" w:sz="4" w:space="0" w:color="auto"/>
            </w:tcBorders>
            <w:shd w:val="clear" w:color="auto" w:fill="auto"/>
            <w:vAlign w:val="center"/>
            <w:hideMark/>
          </w:tcPr>
          <w:p w14:paraId="71B82DC0"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160</w:t>
            </w:r>
          </w:p>
        </w:tc>
        <w:tc>
          <w:tcPr>
            <w:tcW w:w="590" w:type="pct"/>
            <w:tcBorders>
              <w:top w:val="single" w:sz="4" w:space="0" w:color="auto"/>
              <w:bottom w:val="single" w:sz="4" w:space="0" w:color="auto"/>
              <w:right w:val="double" w:sz="4" w:space="0" w:color="auto"/>
            </w:tcBorders>
            <w:shd w:val="clear" w:color="auto" w:fill="auto"/>
            <w:vAlign w:val="center"/>
            <w:hideMark/>
          </w:tcPr>
          <w:p w14:paraId="41C0021B"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14.65</w:t>
            </w:r>
          </w:p>
        </w:tc>
        <w:tc>
          <w:tcPr>
            <w:tcW w:w="605" w:type="pct"/>
            <w:tcBorders>
              <w:top w:val="single" w:sz="4" w:space="0" w:color="auto"/>
              <w:left w:val="double" w:sz="4" w:space="0" w:color="auto"/>
              <w:bottom w:val="single" w:sz="4" w:space="0" w:color="auto"/>
            </w:tcBorders>
            <w:shd w:val="clear" w:color="auto" w:fill="auto"/>
            <w:vAlign w:val="center"/>
            <w:hideMark/>
          </w:tcPr>
          <w:p w14:paraId="7E1D9A40"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104</w:t>
            </w:r>
          </w:p>
        </w:tc>
        <w:tc>
          <w:tcPr>
            <w:tcW w:w="575" w:type="pct"/>
            <w:tcBorders>
              <w:top w:val="single" w:sz="4" w:space="0" w:color="auto"/>
              <w:bottom w:val="single" w:sz="4" w:space="0" w:color="auto"/>
              <w:right w:val="double" w:sz="4" w:space="0" w:color="auto"/>
            </w:tcBorders>
            <w:shd w:val="clear" w:color="auto" w:fill="auto"/>
            <w:vAlign w:val="center"/>
            <w:hideMark/>
          </w:tcPr>
          <w:p w14:paraId="50B37E4A"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9.52</w:t>
            </w:r>
          </w:p>
        </w:tc>
        <w:tc>
          <w:tcPr>
            <w:tcW w:w="527" w:type="pct"/>
            <w:tcBorders>
              <w:top w:val="single" w:sz="4" w:space="0" w:color="auto"/>
              <w:left w:val="double" w:sz="4" w:space="0" w:color="auto"/>
              <w:bottom w:val="single" w:sz="4" w:space="0" w:color="auto"/>
            </w:tcBorders>
            <w:shd w:val="clear" w:color="auto" w:fill="auto"/>
            <w:vAlign w:val="center"/>
            <w:hideMark/>
          </w:tcPr>
          <w:p w14:paraId="1100AC3C"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138</w:t>
            </w:r>
          </w:p>
        </w:tc>
        <w:tc>
          <w:tcPr>
            <w:tcW w:w="575" w:type="pct"/>
            <w:tcBorders>
              <w:top w:val="single" w:sz="4" w:space="0" w:color="auto"/>
              <w:bottom w:val="single" w:sz="4" w:space="0" w:color="auto"/>
            </w:tcBorders>
            <w:shd w:val="clear" w:color="auto" w:fill="auto"/>
            <w:vAlign w:val="center"/>
            <w:hideMark/>
          </w:tcPr>
          <w:p w14:paraId="61DC3AFC"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12.64</w:t>
            </w:r>
          </w:p>
        </w:tc>
      </w:tr>
      <w:tr w:rsidR="00CB743D" w:rsidRPr="004C15D0" w14:paraId="50232ADB"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32B078D4"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3</w:t>
            </w:r>
          </w:p>
        </w:tc>
        <w:tc>
          <w:tcPr>
            <w:tcW w:w="605" w:type="pct"/>
            <w:tcBorders>
              <w:top w:val="single" w:sz="4" w:space="0" w:color="auto"/>
              <w:left w:val="double" w:sz="4" w:space="0" w:color="auto"/>
              <w:bottom w:val="single" w:sz="4" w:space="0" w:color="auto"/>
            </w:tcBorders>
            <w:shd w:val="clear" w:color="auto" w:fill="auto"/>
            <w:vAlign w:val="center"/>
            <w:hideMark/>
          </w:tcPr>
          <w:p w14:paraId="37182313"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79</w:t>
            </w:r>
          </w:p>
        </w:tc>
        <w:tc>
          <w:tcPr>
            <w:tcW w:w="590" w:type="pct"/>
            <w:tcBorders>
              <w:top w:val="single" w:sz="4" w:space="0" w:color="auto"/>
              <w:bottom w:val="single" w:sz="4" w:space="0" w:color="auto"/>
              <w:right w:val="double" w:sz="4" w:space="0" w:color="auto"/>
            </w:tcBorders>
            <w:shd w:val="clear" w:color="auto" w:fill="auto"/>
            <w:vAlign w:val="center"/>
            <w:hideMark/>
          </w:tcPr>
          <w:p w14:paraId="34066360"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7.23</w:t>
            </w:r>
          </w:p>
        </w:tc>
        <w:tc>
          <w:tcPr>
            <w:tcW w:w="605" w:type="pct"/>
            <w:tcBorders>
              <w:top w:val="single" w:sz="4" w:space="0" w:color="auto"/>
              <w:left w:val="double" w:sz="4" w:space="0" w:color="auto"/>
              <w:bottom w:val="single" w:sz="4" w:space="0" w:color="auto"/>
            </w:tcBorders>
            <w:shd w:val="clear" w:color="auto" w:fill="auto"/>
            <w:vAlign w:val="center"/>
            <w:hideMark/>
          </w:tcPr>
          <w:p w14:paraId="741F1AAF"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29</w:t>
            </w:r>
          </w:p>
        </w:tc>
        <w:tc>
          <w:tcPr>
            <w:tcW w:w="575" w:type="pct"/>
            <w:tcBorders>
              <w:top w:val="single" w:sz="4" w:space="0" w:color="auto"/>
              <w:bottom w:val="single" w:sz="4" w:space="0" w:color="auto"/>
              <w:right w:val="double" w:sz="4" w:space="0" w:color="auto"/>
            </w:tcBorders>
            <w:shd w:val="clear" w:color="auto" w:fill="auto"/>
            <w:vAlign w:val="center"/>
            <w:hideMark/>
          </w:tcPr>
          <w:p w14:paraId="684FB058"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2.66</w:t>
            </w:r>
          </w:p>
        </w:tc>
        <w:tc>
          <w:tcPr>
            <w:tcW w:w="527" w:type="pct"/>
            <w:tcBorders>
              <w:top w:val="single" w:sz="4" w:space="0" w:color="auto"/>
              <w:left w:val="double" w:sz="4" w:space="0" w:color="auto"/>
              <w:bottom w:val="single" w:sz="4" w:space="0" w:color="auto"/>
            </w:tcBorders>
            <w:shd w:val="clear" w:color="auto" w:fill="auto"/>
            <w:vAlign w:val="center"/>
            <w:hideMark/>
          </w:tcPr>
          <w:p w14:paraId="542D1B13"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64</w:t>
            </w:r>
          </w:p>
        </w:tc>
        <w:tc>
          <w:tcPr>
            <w:tcW w:w="575" w:type="pct"/>
            <w:tcBorders>
              <w:top w:val="single" w:sz="4" w:space="0" w:color="auto"/>
              <w:bottom w:val="single" w:sz="4" w:space="0" w:color="auto"/>
            </w:tcBorders>
            <w:shd w:val="clear" w:color="auto" w:fill="auto"/>
            <w:vAlign w:val="center"/>
            <w:hideMark/>
          </w:tcPr>
          <w:p w14:paraId="61749273"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5.86</w:t>
            </w:r>
          </w:p>
        </w:tc>
      </w:tr>
      <w:tr w:rsidR="00CB743D" w:rsidRPr="004C15D0" w14:paraId="2C32B6BE"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702FEEAB"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4</w:t>
            </w:r>
          </w:p>
        </w:tc>
        <w:tc>
          <w:tcPr>
            <w:tcW w:w="605" w:type="pct"/>
            <w:tcBorders>
              <w:top w:val="single" w:sz="4" w:space="0" w:color="auto"/>
              <w:left w:val="double" w:sz="4" w:space="0" w:color="auto"/>
              <w:bottom w:val="single" w:sz="4" w:space="0" w:color="auto"/>
            </w:tcBorders>
            <w:shd w:val="clear" w:color="auto" w:fill="auto"/>
            <w:vAlign w:val="center"/>
            <w:hideMark/>
          </w:tcPr>
          <w:p w14:paraId="79E41186"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117</w:t>
            </w:r>
          </w:p>
        </w:tc>
        <w:tc>
          <w:tcPr>
            <w:tcW w:w="590" w:type="pct"/>
            <w:tcBorders>
              <w:top w:val="single" w:sz="4" w:space="0" w:color="auto"/>
              <w:bottom w:val="single" w:sz="4" w:space="0" w:color="auto"/>
              <w:right w:val="double" w:sz="4" w:space="0" w:color="auto"/>
            </w:tcBorders>
            <w:shd w:val="clear" w:color="auto" w:fill="auto"/>
            <w:vAlign w:val="center"/>
            <w:hideMark/>
          </w:tcPr>
          <w:p w14:paraId="3D81482D"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10.71</w:t>
            </w:r>
          </w:p>
        </w:tc>
        <w:tc>
          <w:tcPr>
            <w:tcW w:w="605" w:type="pct"/>
            <w:tcBorders>
              <w:top w:val="single" w:sz="4" w:space="0" w:color="auto"/>
              <w:left w:val="double" w:sz="4" w:space="0" w:color="auto"/>
              <w:bottom w:val="single" w:sz="4" w:space="0" w:color="auto"/>
            </w:tcBorders>
            <w:shd w:val="clear" w:color="auto" w:fill="auto"/>
            <w:vAlign w:val="center"/>
            <w:hideMark/>
          </w:tcPr>
          <w:p w14:paraId="23BAC1FD"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35</w:t>
            </w:r>
          </w:p>
        </w:tc>
        <w:tc>
          <w:tcPr>
            <w:tcW w:w="575" w:type="pct"/>
            <w:tcBorders>
              <w:top w:val="single" w:sz="4" w:space="0" w:color="auto"/>
              <w:bottom w:val="single" w:sz="4" w:space="0" w:color="auto"/>
              <w:right w:val="double" w:sz="4" w:space="0" w:color="auto"/>
            </w:tcBorders>
            <w:shd w:val="clear" w:color="auto" w:fill="auto"/>
            <w:vAlign w:val="center"/>
            <w:hideMark/>
          </w:tcPr>
          <w:p w14:paraId="4EB0C001"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3.21</w:t>
            </w:r>
          </w:p>
        </w:tc>
        <w:tc>
          <w:tcPr>
            <w:tcW w:w="527" w:type="pct"/>
            <w:tcBorders>
              <w:top w:val="single" w:sz="4" w:space="0" w:color="auto"/>
              <w:left w:val="double" w:sz="4" w:space="0" w:color="auto"/>
              <w:bottom w:val="single" w:sz="4" w:space="0" w:color="auto"/>
            </w:tcBorders>
            <w:shd w:val="clear" w:color="auto" w:fill="auto"/>
            <w:vAlign w:val="center"/>
            <w:hideMark/>
          </w:tcPr>
          <w:p w14:paraId="6DC2CFEF"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58</w:t>
            </w:r>
          </w:p>
        </w:tc>
        <w:tc>
          <w:tcPr>
            <w:tcW w:w="575" w:type="pct"/>
            <w:tcBorders>
              <w:top w:val="single" w:sz="4" w:space="0" w:color="auto"/>
              <w:bottom w:val="single" w:sz="4" w:space="0" w:color="auto"/>
            </w:tcBorders>
            <w:shd w:val="clear" w:color="auto" w:fill="auto"/>
            <w:vAlign w:val="center"/>
            <w:hideMark/>
          </w:tcPr>
          <w:p w14:paraId="65B00167"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5.31</w:t>
            </w:r>
          </w:p>
        </w:tc>
      </w:tr>
      <w:tr w:rsidR="00CB743D" w:rsidRPr="004C15D0" w14:paraId="30F75F54"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30996733"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5</w:t>
            </w:r>
          </w:p>
        </w:tc>
        <w:tc>
          <w:tcPr>
            <w:tcW w:w="605" w:type="pct"/>
            <w:tcBorders>
              <w:top w:val="single" w:sz="4" w:space="0" w:color="auto"/>
              <w:left w:val="double" w:sz="4" w:space="0" w:color="auto"/>
              <w:bottom w:val="single" w:sz="4" w:space="0" w:color="auto"/>
            </w:tcBorders>
            <w:shd w:val="clear" w:color="auto" w:fill="auto"/>
            <w:vAlign w:val="center"/>
            <w:hideMark/>
          </w:tcPr>
          <w:p w14:paraId="0818D0A5"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97</w:t>
            </w:r>
          </w:p>
        </w:tc>
        <w:tc>
          <w:tcPr>
            <w:tcW w:w="590" w:type="pct"/>
            <w:tcBorders>
              <w:top w:val="single" w:sz="4" w:space="0" w:color="auto"/>
              <w:bottom w:val="single" w:sz="4" w:space="0" w:color="auto"/>
              <w:right w:val="double" w:sz="4" w:space="0" w:color="auto"/>
            </w:tcBorders>
            <w:shd w:val="clear" w:color="auto" w:fill="auto"/>
            <w:vAlign w:val="center"/>
            <w:hideMark/>
          </w:tcPr>
          <w:p w14:paraId="3B08F780"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8.88</w:t>
            </w:r>
          </w:p>
        </w:tc>
        <w:tc>
          <w:tcPr>
            <w:tcW w:w="605" w:type="pct"/>
            <w:tcBorders>
              <w:top w:val="single" w:sz="4" w:space="0" w:color="auto"/>
              <w:left w:val="double" w:sz="4" w:space="0" w:color="auto"/>
              <w:bottom w:val="single" w:sz="4" w:space="0" w:color="auto"/>
            </w:tcBorders>
            <w:shd w:val="clear" w:color="auto" w:fill="auto"/>
            <w:vAlign w:val="center"/>
            <w:hideMark/>
          </w:tcPr>
          <w:p w14:paraId="620BADC2"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28</w:t>
            </w:r>
          </w:p>
        </w:tc>
        <w:tc>
          <w:tcPr>
            <w:tcW w:w="575" w:type="pct"/>
            <w:tcBorders>
              <w:top w:val="single" w:sz="4" w:space="0" w:color="auto"/>
              <w:bottom w:val="single" w:sz="4" w:space="0" w:color="auto"/>
              <w:right w:val="double" w:sz="4" w:space="0" w:color="auto"/>
            </w:tcBorders>
            <w:shd w:val="clear" w:color="auto" w:fill="auto"/>
            <w:vAlign w:val="center"/>
            <w:hideMark/>
          </w:tcPr>
          <w:p w14:paraId="7515D785"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2.56</w:t>
            </w:r>
          </w:p>
        </w:tc>
        <w:tc>
          <w:tcPr>
            <w:tcW w:w="527" w:type="pct"/>
            <w:tcBorders>
              <w:top w:val="single" w:sz="4" w:space="0" w:color="auto"/>
              <w:left w:val="double" w:sz="4" w:space="0" w:color="auto"/>
              <w:bottom w:val="single" w:sz="4" w:space="0" w:color="auto"/>
            </w:tcBorders>
            <w:shd w:val="clear" w:color="auto" w:fill="auto"/>
            <w:vAlign w:val="center"/>
            <w:hideMark/>
          </w:tcPr>
          <w:p w14:paraId="61FA06AB"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45</w:t>
            </w:r>
          </w:p>
        </w:tc>
        <w:tc>
          <w:tcPr>
            <w:tcW w:w="575" w:type="pct"/>
            <w:tcBorders>
              <w:top w:val="single" w:sz="4" w:space="0" w:color="auto"/>
              <w:bottom w:val="single" w:sz="4" w:space="0" w:color="auto"/>
            </w:tcBorders>
            <w:shd w:val="clear" w:color="auto" w:fill="auto"/>
            <w:vAlign w:val="center"/>
            <w:hideMark/>
          </w:tcPr>
          <w:p w14:paraId="4FDEC9FA"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4.12</w:t>
            </w:r>
          </w:p>
        </w:tc>
      </w:tr>
      <w:tr w:rsidR="00CB743D" w:rsidRPr="004C15D0" w14:paraId="6F74C75E"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1D10D563"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6</w:t>
            </w:r>
          </w:p>
        </w:tc>
        <w:tc>
          <w:tcPr>
            <w:tcW w:w="605" w:type="pct"/>
            <w:tcBorders>
              <w:top w:val="single" w:sz="4" w:space="0" w:color="auto"/>
              <w:left w:val="double" w:sz="4" w:space="0" w:color="auto"/>
              <w:bottom w:val="single" w:sz="4" w:space="0" w:color="auto"/>
            </w:tcBorders>
            <w:shd w:val="clear" w:color="auto" w:fill="auto"/>
            <w:vAlign w:val="center"/>
            <w:hideMark/>
          </w:tcPr>
          <w:p w14:paraId="29D6EF76"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39</w:t>
            </w:r>
          </w:p>
        </w:tc>
        <w:tc>
          <w:tcPr>
            <w:tcW w:w="590" w:type="pct"/>
            <w:tcBorders>
              <w:top w:val="single" w:sz="4" w:space="0" w:color="auto"/>
              <w:bottom w:val="single" w:sz="4" w:space="0" w:color="auto"/>
              <w:right w:val="double" w:sz="4" w:space="0" w:color="auto"/>
            </w:tcBorders>
            <w:shd w:val="clear" w:color="auto" w:fill="auto"/>
            <w:vAlign w:val="center"/>
            <w:hideMark/>
          </w:tcPr>
          <w:p w14:paraId="35AD5A0F"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3.57</w:t>
            </w:r>
          </w:p>
        </w:tc>
        <w:tc>
          <w:tcPr>
            <w:tcW w:w="605" w:type="pct"/>
            <w:tcBorders>
              <w:top w:val="single" w:sz="4" w:space="0" w:color="auto"/>
              <w:left w:val="double" w:sz="4" w:space="0" w:color="auto"/>
              <w:bottom w:val="single" w:sz="4" w:space="0" w:color="auto"/>
            </w:tcBorders>
            <w:shd w:val="clear" w:color="auto" w:fill="auto"/>
            <w:vAlign w:val="center"/>
            <w:hideMark/>
          </w:tcPr>
          <w:p w14:paraId="5664C345"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63</w:t>
            </w:r>
          </w:p>
        </w:tc>
        <w:tc>
          <w:tcPr>
            <w:tcW w:w="575" w:type="pct"/>
            <w:tcBorders>
              <w:top w:val="single" w:sz="4" w:space="0" w:color="auto"/>
              <w:bottom w:val="single" w:sz="4" w:space="0" w:color="auto"/>
              <w:right w:val="double" w:sz="4" w:space="0" w:color="auto"/>
            </w:tcBorders>
            <w:shd w:val="clear" w:color="auto" w:fill="auto"/>
            <w:vAlign w:val="center"/>
            <w:hideMark/>
          </w:tcPr>
          <w:p w14:paraId="72A41564"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5.77</w:t>
            </w:r>
          </w:p>
        </w:tc>
        <w:tc>
          <w:tcPr>
            <w:tcW w:w="527" w:type="pct"/>
            <w:tcBorders>
              <w:top w:val="single" w:sz="4" w:space="0" w:color="auto"/>
              <w:left w:val="double" w:sz="4" w:space="0" w:color="auto"/>
              <w:bottom w:val="single" w:sz="4" w:space="0" w:color="auto"/>
            </w:tcBorders>
            <w:shd w:val="clear" w:color="auto" w:fill="auto"/>
            <w:vAlign w:val="center"/>
            <w:hideMark/>
          </w:tcPr>
          <w:p w14:paraId="1BD589AD"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42</w:t>
            </w:r>
          </w:p>
        </w:tc>
        <w:tc>
          <w:tcPr>
            <w:tcW w:w="575" w:type="pct"/>
            <w:tcBorders>
              <w:top w:val="single" w:sz="4" w:space="0" w:color="auto"/>
              <w:bottom w:val="single" w:sz="4" w:space="0" w:color="auto"/>
            </w:tcBorders>
            <w:shd w:val="clear" w:color="auto" w:fill="auto"/>
            <w:vAlign w:val="center"/>
            <w:hideMark/>
          </w:tcPr>
          <w:p w14:paraId="6A0F7E7F"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3.85</w:t>
            </w:r>
          </w:p>
        </w:tc>
      </w:tr>
      <w:tr w:rsidR="00CB743D" w:rsidRPr="004C15D0" w14:paraId="43947901"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6E115D4D"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7</w:t>
            </w:r>
          </w:p>
        </w:tc>
        <w:tc>
          <w:tcPr>
            <w:tcW w:w="605" w:type="pct"/>
            <w:tcBorders>
              <w:top w:val="single" w:sz="4" w:space="0" w:color="auto"/>
              <w:left w:val="double" w:sz="4" w:space="0" w:color="auto"/>
              <w:bottom w:val="single" w:sz="4" w:space="0" w:color="auto"/>
            </w:tcBorders>
            <w:shd w:val="clear" w:color="auto" w:fill="auto"/>
            <w:vAlign w:val="center"/>
            <w:hideMark/>
          </w:tcPr>
          <w:p w14:paraId="2B35526D"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12</w:t>
            </w:r>
          </w:p>
        </w:tc>
        <w:tc>
          <w:tcPr>
            <w:tcW w:w="590" w:type="pct"/>
            <w:tcBorders>
              <w:top w:val="single" w:sz="4" w:space="0" w:color="auto"/>
              <w:bottom w:val="single" w:sz="4" w:space="0" w:color="auto"/>
              <w:right w:val="double" w:sz="4" w:space="0" w:color="auto"/>
            </w:tcBorders>
            <w:shd w:val="clear" w:color="auto" w:fill="auto"/>
            <w:vAlign w:val="center"/>
            <w:hideMark/>
          </w:tcPr>
          <w:p w14:paraId="37A7F863"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1.1</w:t>
            </w:r>
            <w:r>
              <w:rPr>
                <w:rFonts w:eastAsia="Times New Roman"/>
                <w:color w:val="000000"/>
              </w:rPr>
              <w:t>1</w:t>
            </w:r>
          </w:p>
        </w:tc>
        <w:tc>
          <w:tcPr>
            <w:tcW w:w="605" w:type="pct"/>
            <w:tcBorders>
              <w:top w:val="single" w:sz="4" w:space="0" w:color="auto"/>
              <w:left w:val="double" w:sz="4" w:space="0" w:color="auto"/>
              <w:bottom w:val="single" w:sz="4" w:space="0" w:color="auto"/>
            </w:tcBorders>
            <w:shd w:val="clear" w:color="auto" w:fill="auto"/>
            <w:vAlign w:val="center"/>
            <w:hideMark/>
          </w:tcPr>
          <w:p w14:paraId="41F0D12C"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w:t>
            </w:r>
          </w:p>
        </w:tc>
        <w:tc>
          <w:tcPr>
            <w:tcW w:w="575" w:type="pct"/>
            <w:tcBorders>
              <w:top w:val="single" w:sz="4" w:space="0" w:color="auto"/>
              <w:bottom w:val="single" w:sz="4" w:space="0" w:color="auto"/>
              <w:right w:val="double" w:sz="4" w:space="0" w:color="auto"/>
            </w:tcBorders>
            <w:shd w:val="clear" w:color="auto" w:fill="auto"/>
            <w:vAlign w:val="center"/>
            <w:hideMark/>
          </w:tcPr>
          <w:p w14:paraId="4E954B57"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0.00</w:t>
            </w:r>
          </w:p>
        </w:tc>
        <w:tc>
          <w:tcPr>
            <w:tcW w:w="527" w:type="pct"/>
            <w:tcBorders>
              <w:top w:val="single" w:sz="4" w:space="0" w:color="auto"/>
              <w:left w:val="double" w:sz="4" w:space="0" w:color="auto"/>
              <w:bottom w:val="single" w:sz="4" w:space="0" w:color="auto"/>
            </w:tcBorders>
            <w:shd w:val="clear" w:color="auto" w:fill="auto"/>
            <w:vAlign w:val="center"/>
            <w:hideMark/>
          </w:tcPr>
          <w:p w14:paraId="507837F3"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w:t>
            </w:r>
          </w:p>
        </w:tc>
        <w:tc>
          <w:tcPr>
            <w:tcW w:w="575" w:type="pct"/>
            <w:tcBorders>
              <w:top w:val="single" w:sz="4" w:space="0" w:color="auto"/>
              <w:bottom w:val="single" w:sz="4" w:space="0" w:color="auto"/>
            </w:tcBorders>
            <w:shd w:val="clear" w:color="auto" w:fill="auto"/>
            <w:vAlign w:val="center"/>
            <w:hideMark/>
          </w:tcPr>
          <w:p w14:paraId="2F073BF9"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0.00</w:t>
            </w:r>
          </w:p>
        </w:tc>
      </w:tr>
      <w:tr w:rsidR="00CB743D" w:rsidRPr="004C15D0" w14:paraId="4ADC6A6E"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31F2E206"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8</w:t>
            </w:r>
          </w:p>
        </w:tc>
        <w:tc>
          <w:tcPr>
            <w:tcW w:w="605" w:type="pct"/>
            <w:tcBorders>
              <w:top w:val="single" w:sz="4" w:space="0" w:color="auto"/>
              <w:left w:val="double" w:sz="4" w:space="0" w:color="auto"/>
              <w:bottom w:val="single" w:sz="4" w:space="0" w:color="auto"/>
            </w:tcBorders>
            <w:shd w:val="clear" w:color="auto" w:fill="auto"/>
            <w:vAlign w:val="center"/>
            <w:hideMark/>
          </w:tcPr>
          <w:p w14:paraId="4DD5BEAB"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41</w:t>
            </w:r>
          </w:p>
        </w:tc>
        <w:tc>
          <w:tcPr>
            <w:tcW w:w="590" w:type="pct"/>
            <w:tcBorders>
              <w:top w:val="single" w:sz="4" w:space="0" w:color="auto"/>
              <w:bottom w:val="single" w:sz="4" w:space="0" w:color="auto"/>
              <w:right w:val="double" w:sz="4" w:space="0" w:color="auto"/>
            </w:tcBorders>
            <w:shd w:val="clear" w:color="auto" w:fill="auto"/>
            <w:vAlign w:val="center"/>
            <w:hideMark/>
          </w:tcPr>
          <w:p w14:paraId="1C0092B2"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3.75</w:t>
            </w:r>
          </w:p>
        </w:tc>
        <w:tc>
          <w:tcPr>
            <w:tcW w:w="605" w:type="pct"/>
            <w:tcBorders>
              <w:top w:val="single" w:sz="4" w:space="0" w:color="auto"/>
              <w:left w:val="double" w:sz="4" w:space="0" w:color="auto"/>
              <w:bottom w:val="single" w:sz="4" w:space="0" w:color="auto"/>
            </w:tcBorders>
            <w:shd w:val="clear" w:color="auto" w:fill="auto"/>
            <w:vAlign w:val="center"/>
            <w:hideMark/>
          </w:tcPr>
          <w:p w14:paraId="5D0871B5"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w:t>
            </w:r>
          </w:p>
        </w:tc>
        <w:tc>
          <w:tcPr>
            <w:tcW w:w="575" w:type="pct"/>
            <w:tcBorders>
              <w:top w:val="single" w:sz="4" w:space="0" w:color="auto"/>
              <w:bottom w:val="single" w:sz="4" w:space="0" w:color="auto"/>
              <w:right w:val="double" w:sz="4" w:space="0" w:color="auto"/>
            </w:tcBorders>
            <w:shd w:val="clear" w:color="auto" w:fill="auto"/>
            <w:vAlign w:val="center"/>
            <w:hideMark/>
          </w:tcPr>
          <w:p w14:paraId="27FF0BB1"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0.00</w:t>
            </w:r>
          </w:p>
        </w:tc>
        <w:tc>
          <w:tcPr>
            <w:tcW w:w="527" w:type="pct"/>
            <w:tcBorders>
              <w:top w:val="single" w:sz="4" w:space="0" w:color="auto"/>
              <w:left w:val="double" w:sz="4" w:space="0" w:color="auto"/>
              <w:bottom w:val="single" w:sz="4" w:space="0" w:color="auto"/>
            </w:tcBorders>
            <w:shd w:val="clear" w:color="auto" w:fill="auto"/>
            <w:vAlign w:val="center"/>
            <w:hideMark/>
          </w:tcPr>
          <w:p w14:paraId="7E703E18"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w:t>
            </w:r>
          </w:p>
        </w:tc>
        <w:tc>
          <w:tcPr>
            <w:tcW w:w="575" w:type="pct"/>
            <w:tcBorders>
              <w:top w:val="single" w:sz="4" w:space="0" w:color="auto"/>
              <w:bottom w:val="single" w:sz="4" w:space="0" w:color="auto"/>
            </w:tcBorders>
            <w:shd w:val="clear" w:color="auto" w:fill="auto"/>
            <w:vAlign w:val="center"/>
            <w:hideMark/>
          </w:tcPr>
          <w:p w14:paraId="330B12C9"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0.00</w:t>
            </w:r>
          </w:p>
        </w:tc>
      </w:tr>
      <w:tr w:rsidR="00CB743D" w:rsidRPr="004C15D0" w14:paraId="2D520EB1"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04EBEDC2"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9</w:t>
            </w:r>
          </w:p>
        </w:tc>
        <w:tc>
          <w:tcPr>
            <w:tcW w:w="605" w:type="pct"/>
            <w:tcBorders>
              <w:top w:val="single" w:sz="4" w:space="0" w:color="auto"/>
              <w:left w:val="double" w:sz="4" w:space="0" w:color="auto"/>
              <w:bottom w:val="single" w:sz="4" w:space="0" w:color="auto"/>
            </w:tcBorders>
            <w:shd w:val="clear" w:color="auto" w:fill="auto"/>
            <w:vAlign w:val="center"/>
            <w:hideMark/>
          </w:tcPr>
          <w:p w14:paraId="6A0CDF40"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5</w:t>
            </w:r>
          </w:p>
        </w:tc>
        <w:tc>
          <w:tcPr>
            <w:tcW w:w="590" w:type="pct"/>
            <w:tcBorders>
              <w:top w:val="single" w:sz="4" w:space="0" w:color="auto"/>
              <w:bottom w:val="single" w:sz="4" w:space="0" w:color="auto"/>
              <w:right w:val="double" w:sz="4" w:space="0" w:color="auto"/>
            </w:tcBorders>
            <w:shd w:val="clear" w:color="auto" w:fill="auto"/>
            <w:vAlign w:val="center"/>
            <w:hideMark/>
          </w:tcPr>
          <w:p w14:paraId="0ADD87CC"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0.46</w:t>
            </w:r>
          </w:p>
        </w:tc>
        <w:tc>
          <w:tcPr>
            <w:tcW w:w="605" w:type="pct"/>
            <w:tcBorders>
              <w:top w:val="single" w:sz="4" w:space="0" w:color="auto"/>
              <w:left w:val="double" w:sz="4" w:space="0" w:color="auto"/>
              <w:bottom w:val="single" w:sz="4" w:space="0" w:color="auto"/>
            </w:tcBorders>
            <w:shd w:val="clear" w:color="auto" w:fill="auto"/>
            <w:vAlign w:val="center"/>
            <w:hideMark/>
          </w:tcPr>
          <w:p w14:paraId="6FAF6603"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w:t>
            </w:r>
          </w:p>
        </w:tc>
        <w:tc>
          <w:tcPr>
            <w:tcW w:w="575" w:type="pct"/>
            <w:tcBorders>
              <w:top w:val="single" w:sz="4" w:space="0" w:color="auto"/>
              <w:bottom w:val="single" w:sz="4" w:space="0" w:color="auto"/>
              <w:right w:val="double" w:sz="4" w:space="0" w:color="auto"/>
            </w:tcBorders>
            <w:shd w:val="clear" w:color="auto" w:fill="auto"/>
            <w:vAlign w:val="center"/>
            <w:hideMark/>
          </w:tcPr>
          <w:p w14:paraId="36E9772D"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0.00</w:t>
            </w:r>
          </w:p>
        </w:tc>
        <w:tc>
          <w:tcPr>
            <w:tcW w:w="527" w:type="pct"/>
            <w:tcBorders>
              <w:top w:val="single" w:sz="4" w:space="0" w:color="auto"/>
              <w:left w:val="double" w:sz="4" w:space="0" w:color="auto"/>
              <w:bottom w:val="single" w:sz="4" w:space="0" w:color="auto"/>
            </w:tcBorders>
            <w:shd w:val="clear" w:color="auto" w:fill="auto"/>
            <w:vAlign w:val="center"/>
            <w:hideMark/>
          </w:tcPr>
          <w:p w14:paraId="358DDD61"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w:t>
            </w:r>
          </w:p>
        </w:tc>
        <w:tc>
          <w:tcPr>
            <w:tcW w:w="575" w:type="pct"/>
            <w:tcBorders>
              <w:top w:val="single" w:sz="4" w:space="0" w:color="auto"/>
              <w:bottom w:val="single" w:sz="4" w:space="0" w:color="auto"/>
            </w:tcBorders>
            <w:shd w:val="clear" w:color="auto" w:fill="auto"/>
            <w:vAlign w:val="center"/>
            <w:hideMark/>
          </w:tcPr>
          <w:p w14:paraId="1E729886"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0.00</w:t>
            </w:r>
          </w:p>
        </w:tc>
      </w:tr>
      <w:tr w:rsidR="00CB743D" w:rsidRPr="004C15D0" w14:paraId="64DB44E0" w14:textId="77777777" w:rsidTr="00AC636C">
        <w:trPr>
          <w:trHeight w:val="20"/>
        </w:trPr>
        <w:tc>
          <w:tcPr>
            <w:tcW w:w="1522" w:type="pct"/>
            <w:tcBorders>
              <w:top w:val="single" w:sz="4" w:space="0" w:color="auto"/>
              <w:bottom w:val="double" w:sz="4" w:space="0" w:color="auto"/>
              <w:right w:val="double" w:sz="4" w:space="0" w:color="auto"/>
            </w:tcBorders>
            <w:shd w:val="clear" w:color="auto" w:fill="auto"/>
            <w:vAlign w:val="center"/>
            <w:hideMark/>
          </w:tcPr>
          <w:p w14:paraId="400A771D"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10</w:t>
            </w:r>
          </w:p>
        </w:tc>
        <w:tc>
          <w:tcPr>
            <w:tcW w:w="605" w:type="pct"/>
            <w:tcBorders>
              <w:top w:val="single" w:sz="4" w:space="0" w:color="auto"/>
              <w:left w:val="double" w:sz="4" w:space="0" w:color="auto"/>
              <w:bottom w:val="double" w:sz="4" w:space="0" w:color="auto"/>
            </w:tcBorders>
            <w:shd w:val="clear" w:color="auto" w:fill="auto"/>
            <w:vAlign w:val="center"/>
            <w:hideMark/>
          </w:tcPr>
          <w:p w14:paraId="6C887311"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119</w:t>
            </w:r>
          </w:p>
        </w:tc>
        <w:tc>
          <w:tcPr>
            <w:tcW w:w="590" w:type="pct"/>
            <w:tcBorders>
              <w:top w:val="single" w:sz="4" w:space="0" w:color="auto"/>
              <w:bottom w:val="double" w:sz="4" w:space="0" w:color="auto"/>
              <w:right w:val="double" w:sz="4" w:space="0" w:color="auto"/>
            </w:tcBorders>
            <w:shd w:val="clear" w:color="auto" w:fill="auto"/>
            <w:vAlign w:val="center"/>
            <w:hideMark/>
          </w:tcPr>
          <w:p w14:paraId="49B343B8"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10.90</w:t>
            </w:r>
          </w:p>
        </w:tc>
        <w:tc>
          <w:tcPr>
            <w:tcW w:w="605" w:type="pct"/>
            <w:tcBorders>
              <w:top w:val="single" w:sz="4" w:space="0" w:color="auto"/>
              <w:left w:val="double" w:sz="4" w:space="0" w:color="auto"/>
              <w:bottom w:val="double" w:sz="4" w:space="0" w:color="auto"/>
            </w:tcBorders>
            <w:shd w:val="clear" w:color="auto" w:fill="auto"/>
            <w:vAlign w:val="center"/>
            <w:hideMark/>
          </w:tcPr>
          <w:p w14:paraId="7D39BD16"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w:t>
            </w:r>
          </w:p>
        </w:tc>
        <w:tc>
          <w:tcPr>
            <w:tcW w:w="575" w:type="pct"/>
            <w:tcBorders>
              <w:top w:val="single" w:sz="4" w:space="0" w:color="auto"/>
              <w:bottom w:val="double" w:sz="4" w:space="0" w:color="auto"/>
              <w:right w:val="double" w:sz="4" w:space="0" w:color="auto"/>
            </w:tcBorders>
            <w:shd w:val="clear" w:color="auto" w:fill="auto"/>
            <w:vAlign w:val="center"/>
            <w:hideMark/>
          </w:tcPr>
          <w:p w14:paraId="2B17EDA1"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0.00</w:t>
            </w:r>
          </w:p>
        </w:tc>
        <w:tc>
          <w:tcPr>
            <w:tcW w:w="527" w:type="pct"/>
            <w:tcBorders>
              <w:top w:val="single" w:sz="4" w:space="0" w:color="auto"/>
              <w:left w:val="double" w:sz="4" w:space="0" w:color="auto"/>
              <w:bottom w:val="double" w:sz="4" w:space="0" w:color="auto"/>
            </w:tcBorders>
            <w:shd w:val="clear" w:color="auto" w:fill="auto"/>
            <w:vAlign w:val="center"/>
            <w:hideMark/>
          </w:tcPr>
          <w:p w14:paraId="5003FE0C"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w:t>
            </w:r>
          </w:p>
        </w:tc>
        <w:tc>
          <w:tcPr>
            <w:tcW w:w="575" w:type="pct"/>
            <w:tcBorders>
              <w:top w:val="single" w:sz="4" w:space="0" w:color="auto"/>
              <w:bottom w:val="double" w:sz="4" w:space="0" w:color="auto"/>
            </w:tcBorders>
            <w:shd w:val="clear" w:color="auto" w:fill="auto"/>
            <w:vAlign w:val="center"/>
            <w:hideMark/>
          </w:tcPr>
          <w:p w14:paraId="4435F3EB"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0.00</w:t>
            </w:r>
          </w:p>
        </w:tc>
      </w:tr>
      <w:tr w:rsidR="00CB743D" w:rsidRPr="004C15D0" w14:paraId="317FF57B" w14:textId="77777777" w:rsidTr="00AC636C">
        <w:trPr>
          <w:trHeight w:val="20"/>
        </w:trPr>
        <w:tc>
          <w:tcPr>
            <w:tcW w:w="5000" w:type="pct"/>
            <w:gridSpan w:val="7"/>
            <w:tcBorders>
              <w:top w:val="double" w:sz="4" w:space="0" w:color="auto"/>
              <w:bottom w:val="double" w:sz="4" w:space="0" w:color="auto"/>
            </w:tcBorders>
            <w:shd w:val="clear" w:color="auto" w:fill="auto"/>
            <w:vAlign w:val="center"/>
            <w:hideMark/>
          </w:tcPr>
          <w:p w14:paraId="4AEE42A8" w14:textId="77777777" w:rsidR="00CB743D" w:rsidRPr="004C15D0" w:rsidRDefault="00CB743D" w:rsidP="00472474">
            <w:pPr>
              <w:spacing w:after="0" w:line="240" w:lineRule="auto"/>
              <w:jc w:val="right"/>
              <w:rPr>
                <w:rFonts w:eastAsia="Times New Roman"/>
                <w:color w:val="000000"/>
              </w:rPr>
            </w:pPr>
            <w:r w:rsidRPr="004C15D0">
              <w:rPr>
                <w:rFonts w:eastAsia="Times New Roman"/>
                <w:color w:val="000000"/>
              </w:rPr>
              <w:t> </w:t>
            </w:r>
          </w:p>
        </w:tc>
      </w:tr>
      <w:tr w:rsidR="00CB743D" w:rsidRPr="004C15D0" w14:paraId="6B5ACDAC" w14:textId="77777777" w:rsidTr="00AC636C">
        <w:trPr>
          <w:trHeight w:val="20"/>
        </w:trPr>
        <w:tc>
          <w:tcPr>
            <w:tcW w:w="1522" w:type="pct"/>
            <w:tcBorders>
              <w:top w:val="double" w:sz="4" w:space="0" w:color="auto"/>
              <w:bottom w:val="single" w:sz="4" w:space="0" w:color="auto"/>
              <w:right w:val="double" w:sz="4" w:space="0" w:color="auto"/>
            </w:tcBorders>
            <w:shd w:val="clear" w:color="auto" w:fill="auto"/>
            <w:vAlign w:val="center"/>
            <w:hideMark/>
          </w:tcPr>
          <w:p w14:paraId="14F95058"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Min</w:t>
            </w:r>
          </w:p>
        </w:tc>
        <w:tc>
          <w:tcPr>
            <w:tcW w:w="1195"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B8BFF95"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0</w:t>
            </w:r>
          </w:p>
        </w:tc>
        <w:tc>
          <w:tcPr>
            <w:tcW w:w="1180" w:type="pct"/>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04D8D924"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0</w:t>
            </w:r>
          </w:p>
        </w:tc>
        <w:tc>
          <w:tcPr>
            <w:tcW w:w="1102" w:type="pct"/>
            <w:gridSpan w:val="2"/>
            <w:tcBorders>
              <w:top w:val="double" w:sz="4" w:space="0" w:color="auto"/>
              <w:left w:val="double" w:sz="4" w:space="0" w:color="auto"/>
              <w:bottom w:val="single" w:sz="4" w:space="0" w:color="auto"/>
            </w:tcBorders>
            <w:shd w:val="clear" w:color="auto" w:fill="auto"/>
            <w:noWrap/>
            <w:vAlign w:val="center"/>
            <w:hideMark/>
          </w:tcPr>
          <w:p w14:paraId="0E0EDDAC"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0</w:t>
            </w:r>
          </w:p>
        </w:tc>
      </w:tr>
      <w:tr w:rsidR="00CB743D" w:rsidRPr="004C15D0" w14:paraId="552ECA92"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1591368C"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1st Q</w:t>
            </w:r>
          </w:p>
        </w:tc>
        <w:tc>
          <w:tcPr>
            <w:tcW w:w="1195"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EE66475"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0</w:t>
            </w:r>
          </w:p>
        </w:tc>
        <w:tc>
          <w:tcPr>
            <w:tcW w:w="1180"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7A8E745"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0</w:t>
            </w:r>
          </w:p>
        </w:tc>
        <w:tc>
          <w:tcPr>
            <w:tcW w:w="1102" w:type="pct"/>
            <w:gridSpan w:val="2"/>
            <w:tcBorders>
              <w:top w:val="single" w:sz="4" w:space="0" w:color="auto"/>
              <w:left w:val="double" w:sz="4" w:space="0" w:color="auto"/>
              <w:bottom w:val="single" w:sz="4" w:space="0" w:color="auto"/>
            </w:tcBorders>
            <w:shd w:val="clear" w:color="auto" w:fill="auto"/>
            <w:noWrap/>
            <w:vAlign w:val="center"/>
            <w:hideMark/>
          </w:tcPr>
          <w:p w14:paraId="55BD2B31"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0</w:t>
            </w:r>
          </w:p>
        </w:tc>
      </w:tr>
      <w:tr w:rsidR="00CB743D" w:rsidRPr="004C15D0" w14:paraId="2608616A"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7F1E1FB9"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Median</w:t>
            </w:r>
          </w:p>
        </w:tc>
        <w:tc>
          <w:tcPr>
            <w:tcW w:w="1195"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1B3F07F"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2</w:t>
            </w:r>
          </w:p>
        </w:tc>
        <w:tc>
          <w:tcPr>
            <w:tcW w:w="1180"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F1E0E61"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0</w:t>
            </w:r>
          </w:p>
        </w:tc>
        <w:tc>
          <w:tcPr>
            <w:tcW w:w="1102" w:type="pct"/>
            <w:gridSpan w:val="2"/>
            <w:tcBorders>
              <w:top w:val="single" w:sz="4" w:space="0" w:color="auto"/>
              <w:left w:val="double" w:sz="4" w:space="0" w:color="auto"/>
              <w:bottom w:val="single" w:sz="4" w:space="0" w:color="auto"/>
            </w:tcBorders>
            <w:shd w:val="clear" w:color="auto" w:fill="auto"/>
            <w:noWrap/>
            <w:vAlign w:val="center"/>
            <w:hideMark/>
          </w:tcPr>
          <w:p w14:paraId="2F1A7BB3"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0</w:t>
            </w:r>
          </w:p>
        </w:tc>
      </w:tr>
      <w:tr w:rsidR="00CB743D" w:rsidRPr="004C15D0" w14:paraId="7303609A"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2A8DDBC0"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Mean</w:t>
            </w:r>
          </w:p>
        </w:tc>
        <w:tc>
          <w:tcPr>
            <w:tcW w:w="1195"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F343017"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3.23</w:t>
            </w:r>
          </w:p>
        </w:tc>
        <w:tc>
          <w:tcPr>
            <w:tcW w:w="1180"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3025A5F1"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0.97</w:t>
            </w:r>
          </w:p>
        </w:tc>
        <w:tc>
          <w:tcPr>
            <w:tcW w:w="1102" w:type="pct"/>
            <w:gridSpan w:val="2"/>
            <w:tcBorders>
              <w:top w:val="single" w:sz="4" w:space="0" w:color="auto"/>
              <w:left w:val="double" w:sz="4" w:space="0" w:color="auto"/>
              <w:bottom w:val="single" w:sz="4" w:space="0" w:color="auto"/>
            </w:tcBorders>
            <w:shd w:val="clear" w:color="auto" w:fill="auto"/>
            <w:noWrap/>
            <w:vAlign w:val="center"/>
            <w:hideMark/>
          </w:tcPr>
          <w:p w14:paraId="2F5BE23F"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1.19</w:t>
            </w:r>
          </w:p>
        </w:tc>
      </w:tr>
      <w:tr w:rsidR="00CB743D" w:rsidRPr="004C15D0" w14:paraId="7B38BD8C" w14:textId="77777777" w:rsidTr="00AC636C">
        <w:trPr>
          <w:trHeight w:val="20"/>
        </w:trPr>
        <w:tc>
          <w:tcPr>
            <w:tcW w:w="1522" w:type="pct"/>
            <w:tcBorders>
              <w:top w:val="single" w:sz="4" w:space="0" w:color="auto"/>
              <w:bottom w:val="single" w:sz="4" w:space="0" w:color="auto"/>
              <w:right w:val="double" w:sz="4" w:space="0" w:color="auto"/>
            </w:tcBorders>
            <w:shd w:val="clear" w:color="auto" w:fill="auto"/>
            <w:vAlign w:val="center"/>
            <w:hideMark/>
          </w:tcPr>
          <w:p w14:paraId="639DEC5A"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3rd Q</w:t>
            </w:r>
          </w:p>
        </w:tc>
        <w:tc>
          <w:tcPr>
            <w:tcW w:w="1195"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3C813500"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5</w:t>
            </w:r>
          </w:p>
        </w:tc>
        <w:tc>
          <w:tcPr>
            <w:tcW w:w="1180" w:type="pct"/>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3DB27F4"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1</w:t>
            </w:r>
          </w:p>
        </w:tc>
        <w:tc>
          <w:tcPr>
            <w:tcW w:w="1102" w:type="pct"/>
            <w:gridSpan w:val="2"/>
            <w:tcBorders>
              <w:top w:val="single" w:sz="4" w:space="0" w:color="auto"/>
              <w:left w:val="double" w:sz="4" w:space="0" w:color="auto"/>
              <w:bottom w:val="single" w:sz="4" w:space="0" w:color="auto"/>
            </w:tcBorders>
            <w:shd w:val="clear" w:color="auto" w:fill="auto"/>
            <w:noWrap/>
            <w:vAlign w:val="center"/>
            <w:hideMark/>
          </w:tcPr>
          <w:p w14:paraId="49988525"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2</w:t>
            </w:r>
          </w:p>
        </w:tc>
      </w:tr>
      <w:tr w:rsidR="00CB743D" w:rsidRPr="004C15D0" w14:paraId="35B53FCA" w14:textId="77777777" w:rsidTr="00AC636C">
        <w:trPr>
          <w:trHeight w:val="20"/>
        </w:trPr>
        <w:tc>
          <w:tcPr>
            <w:tcW w:w="1522" w:type="pct"/>
            <w:tcBorders>
              <w:top w:val="single" w:sz="4" w:space="0" w:color="auto"/>
              <w:bottom w:val="double" w:sz="4" w:space="0" w:color="auto"/>
              <w:right w:val="double" w:sz="4" w:space="0" w:color="auto"/>
            </w:tcBorders>
            <w:shd w:val="clear" w:color="auto" w:fill="auto"/>
            <w:vAlign w:val="center"/>
            <w:hideMark/>
          </w:tcPr>
          <w:p w14:paraId="4ACC8D48" w14:textId="77777777" w:rsidR="00CB743D" w:rsidRPr="004C15D0" w:rsidRDefault="00CB743D" w:rsidP="00472474">
            <w:pPr>
              <w:spacing w:after="0" w:line="240" w:lineRule="auto"/>
              <w:jc w:val="center"/>
              <w:rPr>
                <w:rFonts w:eastAsia="Times New Roman"/>
                <w:b/>
                <w:bCs/>
                <w:color w:val="000000"/>
              </w:rPr>
            </w:pPr>
            <w:r w:rsidRPr="004C15D0">
              <w:rPr>
                <w:rFonts w:eastAsia="Times New Roman"/>
                <w:b/>
                <w:bCs/>
                <w:color w:val="000000"/>
              </w:rPr>
              <w:t>Max</w:t>
            </w:r>
          </w:p>
        </w:tc>
        <w:tc>
          <w:tcPr>
            <w:tcW w:w="1195" w:type="pct"/>
            <w:gridSpan w:val="2"/>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2454F2E0"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10</w:t>
            </w:r>
          </w:p>
        </w:tc>
        <w:tc>
          <w:tcPr>
            <w:tcW w:w="1180" w:type="pct"/>
            <w:gridSpan w:val="2"/>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69F64E8B"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6</w:t>
            </w:r>
          </w:p>
        </w:tc>
        <w:tc>
          <w:tcPr>
            <w:tcW w:w="1102" w:type="pct"/>
            <w:gridSpan w:val="2"/>
            <w:tcBorders>
              <w:top w:val="single" w:sz="4" w:space="0" w:color="auto"/>
              <w:left w:val="double" w:sz="4" w:space="0" w:color="auto"/>
              <w:bottom w:val="double" w:sz="4" w:space="0" w:color="auto"/>
            </w:tcBorders>
            <w:shd w:val="clear" w:color="auto" w:fill="auto"/>
            <w:noWrap/>
            <w:vAlign w:val="center"/>
            <w:hideMark/>
          </w:tcPr>
          <w:p w14:paraId="29301C2A" w14:textId="77777777" w:rsidR="00CB743D" w:rsidRPr="004C15D0" w:rsidRDefault="00CB743D" w:rsidP="00472474">
            <w:pPr>
              <w:spacing w:after="0" w:line="240" w:lineRule="auto"/>
              <w:jc w:val="center"/>
              <w:rPr>
                <w:rFonts w:eastAsia="Times New Roman"/>
                <w:color w:val="000000"/>
              </w:rPr>
            </w:pPr>
            <w:r w:rsidRPr="004C15D0">
              <w:rPr>
                <w:rFonts w:eastAsia="Times New Roman"/>
                <w:color w:val="000000"/>
              </w:rPr>
              <w:t>6</w:t>
            </w:r>
          </w:p>
        </w:tc>
      </w:tr>
    </w:tbl>
    <w:p w14:paraId="055CFBA2" w14:textId="77777777" w:rsidR="00CB743D" w:rsidRDefault="00CB743D" w:rsidP="00472474">
      <w:pPr>
        <w:spacing w:after="0" w:line="240" w:lineRule="auto"/>
      </w:pPr>
    </w:p>
    <w:p w14:paraId="58B85463" w14:textId="77777777" w:rsidR="00D00A05" w:rsidRPr="00CC7908" w:rsidRDefault="00D00A05" w:rsidP="00472474">
      <w:pPr>
        <w:spacing w:after="0" w:line="240" w:lineRule="auto"/>
        <w:jc w:val="both"/>
      </w:pPr>
    </w:p>
    <w:p w14:paraId="06907FA5" w14:textId="54C9FE79" w:rsidR="00D00A05" w:rsidRDefault="00D00A05" w:rsidP="00472474">
      <w:pPr>
        <w:tabs>
          <w:tab w:val="right" w:pos="630"/>
        </w:tabs>
        <w:spacing w:after="0" w:line="240" w:lineRule="auto"/>
      </w:pPr>
    </w:p>
    <w:p w14:paraId="6434477C" w14:textId="44A73D7C" w:rsidR="00472474" w:rsidRDefault="00472474" w:rsidP="00472474">
      <w:pPr>
        <w:tabs>
          <w:tab w:val="right" w:pos="630"/>
        </w:tabs>
        <w:spacing w:after="0" w:line="240" w:lineRule="auto"/>
      </w:pPr>
    </w:p>
    <w:p w14:paraId="77071E7A" w14:textId="77777777" w:rsidR="00472474" w:rsidRDefault="00472474">
      <w:pPr>
        <w:rPr>
          <w:b/>
          <w:iCs/>
          <w:color w:val="000000" w:themeColor="text1"/>
        </w:rPr>
      </w:pPr>
      <w:bookmarkStart w:id="66" w:name="_Ref108201792"/>
      <w:bookmarkStart w:id="67" w:name="_Ref108206303"/>
      <w:r>
        <w:br w:type="page"/>
      </w:r>
    </w:p>
    <w:p w14:paraId="369061E6" w14:textId="6E5FD2FE" w:rsidR="00472474" w:rsidRPr="00420E62" w:rsidRDefault="00472474" w:rsidP="00472474">
      <w:pPr>
        <w:pStyle w:val="Caption"/>
        <w:spacing w:after="120"/>
        <w:rPr>
          <w:sz w:val="24"/>
          <w:szCs w:val="24"/>
        </w:rPr>
      </w:pPr>
      <w:r w:rsidRPr="002C5F6C">
        <w:rPr>
          <w:sz w:val="24"/>
          <w:szCs w:val="24"/>
        </w:rPr>
        <w:lastRenderedPageBreak/>
        <w:t xml:space="preserve">Table </w:t>
      </w:r>
      <w:bookmarkEnd w:id="66"/>
      <w:bookmarkEnd w:id="67"/>
      <w:r>
        <w:rPr>
          <w:sz w:val="24"/>
          <w:szCs w:val="24"/>
        </w:rPr>
        <w:t>3</w:t>
      </w:r>
      <w:r w:rsidRPr="002C5F6C">
        <w:rPr>
          <w:sz w:val="24"/>
          <w:szCs w:val="24"/>
        </w:rPr>
        <w:t xml:space="preserve">. Estimation </w:t>
      </w:r>
      <w:r w:rsidR="000E1B51">
        <w:rPr>
          <w:sz w:val="24"/>
          <w:szCs w:val="24"/>
        </w:rPr>
        <w:t>r</w:t>
      </w:r>
      <w:r w:rsidRPr="002C5F6C">
        <w:rPr>
          <w:sz w:val="24"/>
          <w:szCs w:val="24"/>
        </w:rPr>
        <w:t xml:space="preserve">esults </w:t>
      </w:r>
    </w:p>
    <w:tbl>
      <w:tblPr>
        <w:tblW w:w="9350" w:type="dxa"/>
        <w:tblLayout w:type="fixed"/>
        <w:tblLook w:val="04A0" w:firstRow="1" w:lastRow="0" w:firstColumn="1" w:lastColumn="0" w:noHBand="0" w:noVBand="1"/>
      </w:tblPr>
      <w:tblGrid>
        <w:gridCol w:w="2907"/>
        <w:gridCol w:w="1073"/>
        <w:gridCol w:w="1074"/>
        <w:gridCol w:w="1074"/>
        <w:gridCol w:w="1074"/>
        <w:gridCol w:w="1074"/>
        <w:gridCol w:w="1074"/>
      </w:tblGrid>
      <w:tr w:rsidR="00472474" w:rsidRPr="007D6A50" w14:paraId="0B549F19" w14:textId="77777777" w:rsidTr="00AC636C">
        <w:trPr>
          <w:trHeight w:val="20"/>
          <w:tblHeader/>
        </w:trPr>
        <w:tc>
          <w:tcPr>
            <w:tcW w:w="2907" w:type="dxa"/>
            <w:vMerge w:val="restart"/>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C087F8E" w14:textId="77777777" w:rsidR="00472474" w:rsidRPr="007D6A50" w:rsidRDefault="00472474" w:rsidP="00AC636C">
            <w:pPr>
              <w:spacing w:after="0" w:line="240" w:lineRule="auto"/>
              <w:rPr>
                <w:rFonts w:eastAsia="Times New Roman"/>
                <w:b/>
                <w:bCs/>
                <w:color w:val="000000"/>
                <w:sz w:val="22"/>
                <w:szCs w:val="22"/>
              </w:rPr>
            </w:pPr>
            <w:bookmarkStart w:id="68" w:name="_Hlk109803614"/>
            <w:r w:rsidRPr="007D6A50">
              <w:rPr>
                <w:rFonts w:eastAsia="Times New Roman"/>
                <w:b/>
                <w:bCs/>
                <w:color w:val="000000"/>
                <w:sz w:val="22"/>
                <w:szCs w:val="22"/>
              </w:rPr>
              <w:t>Variables</w:t>
            </w:r>
          </w:p>
        </w:tc>
        <w:tc>
          <w:tcPr>
            <w:tcW w:w="2147"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D1263F8"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Eat-out</w:t>
            </w:r>
          </w:p>
        </w:tc>
        <w:tc>
          <w:tcPr>
            <w:tcW w:w="2148"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59204D3"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Eat-in Takeout</w:t>
            </w:r>
          </w:p>
        </w:tc>
        <w:tc>
          <w:tcPr>
            <w:tcW w:w="2148" w:type="dxa"/>
            <w:gridSpan w:val="2"/>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DCFE36C"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Eat-in Delivery</w:t>
            </w:r>
          </w:p>
        </w:tc>
      </w:tr>
      <w:tr w:rsidR="00472474" w:rsidRPr="007D6A50" w14:paraId="1415F8AD" w14:textId="77777777" w:rsidTr="00AC636C">
        <w:trPr>
          <w:trHeight w:val="20"/>
          <w:tblHeader/>
        </w:trPr>
        <w:tc>
          <w:tcPr>
            <w:tcW w:w="2907" w:type="dxa"/>
            <w:vMerge/>
            <w:tcBorders>
              <w:top w:val="single" w:sz="4" w:space="0" w:color="auto"/>
              <w:left w:val="double" w:sz="4" w:space="0" w:color="auto"/>
              <w:bottom w:val="double" w:sz="4" w:space="0" w:color="auto"/>
              <w:right w:val="double" w:sz="4" w:space="0" w:color="auto"/>
            </w:tcBorders>
            <w:shd w:val="clear" w:color="auto" w:fill="auto"/>
            <w:vAlign w:val="center"/>
            <w:hideMark/>
          </w:tcPr>
          <w:p w14:paraId="48683508" w14:textId="77777777" w:rsidR="00472474" w:rsidRPr="007D6A50" w:rsidRDefault="00472474" w:rsidP="00AC636C">
            <w:pPr>
              <w:spacing w:after="0" w:line="240" w:lineRule="auto"/>
              <w:rPr>
                <w:rFonts w:eastAsia="Times New Roman"/>
                <w:b/>
                <w:bCs/>
                <w:color w:val="000000"/>
                <w:sz w:val="22"/>
                <w:szCs w:val="22"/>
              </w:rPr>
            </w:pPr>
          </w:p>
        </w:tc>
        <w:tc>
          <w:tcPr>
            <w:tcW w:w="1073" w:type="dxa"/>
            <w:tcBorders>
              <w:top w:val="nil"/>
              <w:left w:val="double" w:sz="4" w:space="0" w:color="auto"/>
              <w:bottom w:val="double" w:sz="4" w:space="0" w:color="auto"/>
              <w:right w:val="single" w:sz="4" w:space="0" w:color="auto"/>
            </w:tcBorders>
            <w:shd w:val="clear" w:color="auto" w:fill="auto"/>
            <w:noWrap/>
            <w:vAlign w:val="center"/>
            <w:hideMark/>
          </w:tcPr>
          <w:p w14:paraId="60C76186"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Coef.</w:t>
            </w:r>
          </w:p>
        </w:tc>
        <w:tc>
          <w:tcPr>
            <w:tcW w:w="1074" w:type="dxa"/>
            <w:tcBorders>
              <w:top w:val="nil"/>
              <w:left w:val="nil"/>
              <w:bottom w:val="double" w:sz="4" w:space="0" w:color="auto"/>
              <w:right w:val="double" w:sz="4" w:space="0" w:color="auto"/>
            </w:tcBorders>
            <w:shd w:val="clear" w:color="auto" w:fill="auto"/>
            <w:noWrap/>
            <w:vAlign w:val="center"/>
            <w:hideMark/>
          </w:tcPr>
          <w:p w14:paraId="5BF547EA"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t-stat</w:t>
            </w:r>
          </w:p>
        </w:tc>
        <w:tc>
          <w:tcPr>
            <w:tcW w:w="1074" w:type="dxa"/>
            <w:tcBorders>
              <w:top w:val="nil"/>
              <w:left w:val="double" w:sz="4" w:space="0" w:color="auto"/>
              <w:bottom w:val="double" w:sz="4" w:space="0" w:color="auto"/>
              <w:right w:val="single" w:sz="4" w:space="0" w:color="auto"/>
            </w:tcBorders>
            <w:shd w:val="clear" w:color="auto" w:fill="auto"/>
            <w:noWrap/>
            <w:vAlign w:val="center"/>
            <w:hideMark/>
          </w:tcPr>
          <w:p w14:paraId="6BD4CDF9"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Coef.</w:t>
            </w:r>
          </w:p>
        </w:tc>
        <w:tc>
          <w:tcPr>
            <w:tcW w:w="1074" w:type="dxa"/>
            <w:tcBorders>
              <w:top w:val="nil"/>
              <w:left w:val="nil"/>
              <w:bottom w:val="double" w:sz="4" w:space="0" w:color="auto"/>
              <w:right w:val="double" w:sz="4" w:space="0" w:color="auto"/>
            </w:tcBorders>
            <w:shd w:val="clear" w:color="auto" w:fill="auto"/>
            <w:noWrap/>
            <w:vAlign w:val="center"/>
            <w:hideMark/>
          </w:tcPr>
          <w:p w14:paraId="5DEEADDC"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t-stat</w:t>
            </w:r>
          </w:p>
        </w:tc>
        <w:tc>
          <w:tcPr>
            <w:tcW w:w="1074" w:type="dxa"/>
            <w:tcBorders>
              <w:top w:val="nil"/>
              <w:left w:val="double" w:sz="4" w:space="0" w:color="auto"/>
              <w:bottom w:val="double" w:sz="4" w:space="0" w:color="auto"/>
              <w:right w:val="single" w:sz="4" w:space="0" w:color="auto"/>
            </w:tcBorders>
            <w:shd w:val="clear" w:color="auto" w:fill="auto"/>
            <w:noWrap/>
            <w:vAlign w:val="center"/>
            <w:hideMark/>
          </w:tcPr>
          <w:p w14:paraId="2890BA0C"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Coef.</w:t>
            </w:r>
          </w:p>
        </w:tc>
        <w:tc>
          <w:tcPr>
            <w:tcW w:w="1074" w:type="dxa"/>
            <w:tcBorders>
              <w:top w:val="nil"/>
              <w:left w:val="nil"/>
              <w:bottom w:val="double" w:sz="4" w:space="0" w:color="auto"/>
              <w:right w:val="double" w:sz="4" w:space="0" w:color="auto"/>
            </w:tcBorders>
            <w:shd w:val="clear" w:color="auto" w:fill="auto"/>
            <w:noWrap/>
            <w:vAlign w:val="center"/>
            <w:hideMark/>
          </w:tcPr>
          <w:p w14:paraId="533E3221"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t-stat</w:t>
            </w:r>
          </w:p>
        </w:tc>
      </w:tr>
      <w:tr w:rsidR="00472474" w:rsidRPr="007D6A50" w14:paraId="3D2FCC2C" w14:textId="77777777" w:rsidTr="00AC636C">
        <w:trPr>
          <w:trHeight w:val="20"/>
        </w:trPr>
        <w:tc>
          <w:tcPr>
            <w:tcW w:w="9350" w:type="dxa"/>
            <w:gridSpan w:val="7"/>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29F1D2C6" w14:textId="77777777" w:rsidR="00472474" w:rsidRPr="007D6A50" w:rsidRDefault="00472474" w:rsidP="00AC636C">
            <w:pPr>
              <w:spacing w:after="0" w:line="240" w:lineRule="auto"/>
              <w:rPr>
                <w:rFonts w:eastAsia="Times New Roman"/>
                <w:b/>
                <w:bCs/>
                <w:color w:val="000000"/>
                <w:sz w:val="22"/>
                <w:szCs w:val="22"/>
              </w:rPr>
            </w:pPr>
            <w:r w:rsidRPr="007D6A50">
              <w:rPr>
                <w:rFonts w:eastAsia="Times New Roman"/>
                <w:b/>
                <w:bCs/>
                <w:color w:val="000000"/>
                <w:sz w:val="22"/>
                <w:szCs w:val="22"/>
              </w:rPr>
              <w:t>Exogenous Variables</w:t>
            </w:r>
          </w:p>
        </w:tc>
      </w:tr>
      <w:tr w:rsidR="00472474" w:rsidRPr="007D6A50" w14:paraId="5C8A44CC" w14:textId="77777777" w:rsidTr="00AC636C">
        <w:trPr>
          <w:trHeight w:val="20"/>
        </w:trPr>
        <w:tc>
          <w:tcPr>
            <w:tcW w:w="9350" w:type="dxa"/>
            <w:gridSpan w:val="7"/>
            <w:tcBorders>
              <w:top w:val="double" w:sz="4" w:space="0" w:color="auto"/>
              <w:left w:val="double" w:sz="4" w:space="0" w:color="auto"/>
              <w:bottom w:val="single" w:sz="4" w:space="0" w:color="auto"/>
              <w:right w:val="double" w:sz="4" w:space="0" w:color="auto"/>
            </w:tcBorders>
            <w:shd w:val="clear" w:color="auto" w:fill="auto"/>
            <w:vAlign w:val="center"/>
            <w:hideMark/>
          </w:tcPr>
          <w:p w14:paraId="6DB89072" w14:textId="77777777" w:rsidR="00472474" w:rsidRPr="007D6A50" w:rsidRDefault="00472474" w:rsidP="00AC636C">
            <w:pPr>
              <w:spacing w:after="0" w:line="240" w:lineRule="auto"/>
              <w:rPr>
                <w:rFonts w:eastAsia="Times New Roman"/>
                <w:b/>
                <w:bCs/>
                <w:color w:val="000000"/>
                <w:sz w:val="22"/>
                <w:szCs w:val="22"/>
              </w:rPr>
            </w:pPr>
            <w:r w:rsidRPr="007D6A50">
              <w:rPr>
                <w:rFonts w:eastAsia="Times New Roman"/>
                <w:b/>
                <w:bCs/>
                <w:color w:val="000000"/>
                <w:sz w:val="22"/>
                <w:szCs w:val="22"/>
              </w:rPr>
              <w:t>Individual Demographics</w:t>
            </w:r>
          </w:p>
        </w:tc>
      </w:tr>
      <w:tr w:rsidR="00472474" w:rsidRPr="007D6A50" w14:paraId="65EFAFB0"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3F7E28CA"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Gendered-Lifestyle</w:t>
            </w:r>
          </w:p>
        </w:tc>
      </w:tr>
      <w:tr w:rsidR="00472474" w:rsidRPr="007D6A50" w14:paraId="481E72DC"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3733D8C4"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Single female (no children</w:t>
            </w:r>
            <w:r>
              <w:rPr>
                <w:rFonts w:eastAsia="Times New Roman"/>
                <w:color w:val="000000"/>
                <w:sz w:val="22"/>
                <w:szCs w:val="22"/>
              </w:rPr>
              <w:t>)</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5B0FAB45"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-0.115</w:t>
            </w:r>
          </w:p>
        </w:tc>
        <w:tc>
          <w:tcPr>
            <w:tcW w:w="1074" w:type="dxa"/>
            <w:tcBorders>
              <w:top w:val="nil"/>
              <w:left w:val="nil"/>
              <w:bottom w:val="single" w:sz="4" w:space="0" w:color="auto"/>
              <w:right w:val="double" w:sz="4" w:space="0" w:color="auto"/>
            </w:tcBorders>
            <w:shd w:val="clear" w:color="auto" w:fill="auto"/>
            <w:noWrap/>
            <w:vAlign w:val="center"/>
            <w:hideMark/>
          </w:tcPr>
          <w:p w14:paraId="032A6EA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-1.09</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0DE2D3EF"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51E92934"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8DE9544"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0E1148B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710E8C30"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5329437A"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 xml:space="preserve">Age (base: 18 to </w:t>
            </w:r>
            <w:r>
              <w:rPr>
                <w:rFonts w:eastAsia="Times New Roman"/>
                <w:b/>
                <w:bCs/>
                <w:i/>
                <w:iCs/>
                <w:color w:val="000000"/>
                <w:sz w:val="22"/>
                <w:szCs w:val="22"/>
              </w:rPr>
              <w:t>29</w:t>
            </w:r>
            <w:r w:rsidRPr="007D6A50">
              <w:rPr>
                <w:rFonts w:eastAsia="Times New Roman"/>
                <w:b/>
                <w:bCs/>
                <w:i/>
                <w:iCs/>
                <w:color w:val="000000"/>
                <w:sz w:val="22"/>
                <w:szCs w:val="22"/>
              </w:rPr>
              <w:t xml:space="preserve"> years old)</w:t>
            </w:r>
          </w:p>
        </w:tc>
      </w:tr>
      <w:tr w:rsidR="00472474" w:rsidRPr="007D6A50" w14:paraId="00CC8FDD"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56250AB7"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30 to 49 years old</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6619034B"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-0.160</w:t>
            </w:r>
          </w:p>
        </w:tc>
        <w:tc>
          <w:tcPr>
            <w:tcW w:w="1074" w:type="dxa"/>
            <w:tcBorders>
              <w:top w:val="nil"/>
              <w:left w:val="nil"/>
              <w:bottom w:val="single" w:sz="4" w:space="0" w:color="auto"/>
              <w:right w:val="double" w:sz="4" w:space="0" w:color="auto"/>
            </w:tcBorders>
            <w:shd w:val="clear" w:color="auto" w:fill="auto"/>
            <w:noWrap/>
            <w:vAlign w:val="center"/>
            <w:hideMark/>
          </w:tcPr>
          <w:p w14:paraId="68A034E7"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-1.18</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651A67E5"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41109E33"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3591D47C"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3691573D"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69A776C6"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42B7B673"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49 to 64 years old</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1CDF3737"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-0.160</w:t>
            </w:r>
          </w:p>
        </w:tc>
        <w:tc>
          <w:tcPr>
            <w:tcW w:w="1074" w:type="dxa"/>
            <w:tcBorders>
              <w:top w:val="nil"/>
              <w:left w:val="nil"/>
              <w:bottom w:val="single" w:sz="4" w:space="0" w:color="auto"/>
              <w:right w:val="double" w:sz="4" w:space="0" w:color="auto"/>
            </w:tcBorders>
            <w:shd w:val="clear" w:color="auto" w:fill="auto"/>
            <w:noWrap/>
            <w:vAlign w:val="center"/>
            <w:hideMark/>
          </w:tcPr>
          <w:p w14:paraId="3A560B5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-1.18</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1FD60E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-0.420</w:t>
            </w:r>
          </w:p>
        </w:tc>
        <w:tc>
          <w:tcPr>
            <w:tcW w:w="1074" w:type="dxa"/>
            <w:tcBorders>
              <w:top w:val="nil"/>
              <w:left w:val="nil"/>
              <w:bottom w:val="single" w:sz="4" w:space="0" w:color="auto"/>
              <w:right w:val="double" w:sz="4" w:space="0" w:color="auto"/>
            </w:tcBorders>
            <w:shd w:val="clear" w:color="auto" w:fill="auto"/>
            <w:noWrap/>
            <w:vAlign w:val="center"/>
            <w:hideMark/>
          </w:tcPr>
          <w:p w14:paraId="407B00B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-4.81</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9D6556D" w14:textId="77777777" w:rsidR="00472474" w:rsidRPr="00D366FA" w:rsidRDefault="00472474" w:rsidP="00AC636C">
            <w:pPr>
              <w:spacing w:after="0" w:line="240" w:lineRule="auto"/>
              <w:jc w:val="right"/>
              <w:rPr>
                <w:rFonts w:eastAsia="Times New Roman"/>
                <w:b/>
                <w:color w:val="000000"/>
                <w:sz w:val="22"/>
                <w:szCs w:val="22"/>
              </w:rPr>
            </w:pPr>
            <w:r w:rsidRPr="00D366FA">
              <w:rPr>
                <w:rFonts w:eastAsia="Times New Roman"/>
                <w:b/>
                <w:color w:val="000000"/>
                <w:sz w:val="22"/>
                <w:szCs w:val="22"/>
              </w:rPr>
              <w:t>-- </w:t>
            </w:r>
          </w:p>
        </w:tc>
        <w:tc>
          <w:tcPr>
            <w:tcW w:w="1074" w:type="dxa"/>
            <w:tcBorders>
              <w:top w:val="nil"/>
              <w:left w:val="nil"/>
              <w:bottom w:val="single" w:sz="4" w:space="0" w:color="auto"/>
              <w:right w:val="double" w:sz="4" w:space="0" w:color="auto"/>
            </w:tcBorders>
            <w:shd w:val="clear" w:color="auto" w:fill="auto"/>
            <w:noWrap/>
            <w:vAlign w:val="center"/>
            <w:hideMark/>
          </w:tcPr>
          <w:p w14:paraId="3E98093E" w14:textId="77777777" w:rsidR="00472474" w:rsidRPr="00D366FA" w:rsidRDefault="00472474" w:rsidP="00AC636C">
            <w:pPr>
              <w:spacing w:after="0" w:line="240" w:lineRule="auto"/>
              <w:jc w:val="right"/>
              <w:rPr>
                <w:rFonts w:eastAsia="Times New Roman"/>
                <w:b/>
                <w:color w:val="000000"/>
                <w:sz w:val="22"/>
                <w:szCs w:val="22"/>
              </w:rPr>
            </w:pPr>
            <w:r w:rsidRPr="00D366FA">
              <w:rPr>
                <w:rFonts w:eastAsia="Times New Roman"/>
                <w:b/>
                <w:color w:val="000000"/>
                <w:sz w:val="22"/>
                <w:szCs w:val="22"/>
              </w:rPr>
              <w:t>-- </w:t>
            </w:r>
          </w:p>
        </w:tc>
      </w:tr>
      <w:tr w:rsidR="00472474" w:rsidRPr="007D6A50" w14:paraId="71B4B8BE"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58846F4E"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65 and older</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6BAEFA52"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-0.160</w:t>
            </w:r>
          </w:p>
        </w:tc>
        <w:tc>
          <w:tcPr>
            <w:tcW w:w="1074" w:type="dxa"/>
            <w:tcBorders>
              <w:top w:val="nil"/>
              <w:left w:val="nil"/>
              <w:bottom w:val="single" w:sz="4" w:space="0" w:color="auto"/>
              <w:right w:val="double" w:sz="4" w:space="0" w:color="auto"/>
            </w:tcBorders>
            <w:shd w:val="clear" w:color="auto" w:fill="auto"/>
            <w:noWrap/>
            <w:vAlign w:val="center"/>
            <w:hideMark/>
          </w:tcPr>
          <w:p w14:paraId="32C606B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-1.18</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1FC55B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-0.678</w:t>
            </w:r>
          </w:p>
        </w:tc>
        <w:tc>
          <w:tcPr>
            <w:tcW w:w="1074" w:type="dxa"/>
            <w:tcBorders>
              <w:top w:val="nil"/>
              <w:left w:val="nil"/>
              <w:bottom w:val="single" w:sz="4" w:space="0" w:color="auto"/>
              <w:right w:val="double" w:sz="4" w:space="0" w:color="auto"/>
            </w:tcBorders>
            <w:shd w:val="clear" w:color="auto" w:fill="auto"/>
            <w:noWrap/>
            <w:vAlign w:val="center"/>
            <w:hideMark/>
          </w:tcPr>
          <w:p w14:paraId="78727439"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-5.74</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59E1A80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-0.139</w:t>
            </w:r>
          </w:p>
        </w:tc>
        <w:tc>
          <w:tcPr>
            <w:tcW w:w="1074" w:type="dxa"/>
            <w:tcBorders>
              <w:top w:val="nil"/>
              <w:left w:val="nil"/>
              <w:bottom w:val="single" w:sz="4" w:space="0" w:color="auto"/>
              <w:right w:val="double" w:sz="4" w:space="0" w:color="auto"/>
            </w:tcBorders>
            <w:shd w:val="clear" w:color="auto" w:fill="auto"/>
            <w:noWrap/>
            <w:vAlign w:val="center"/>
            <w:hideMark/>
          </w:tcPr>
          <w:p w14:paraId="40F77E4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-1.63</w:t>
            </w:r>
          </w:p>
        </w:tc>
      </w:tr>
      <w:tr w:rsidR="00472474" w:rsidRPr="007D6A50" w14:paraId="1A12C441"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3D204563"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Race (base: White)</w:t>
            </w:r>
            <w:r w:rsidRPr="007D6A50">
              <w:rPr>
                <w:rFonts w:eastAsia="Times New Roman"/>
                <w:color w:val="000000"/>
                <w:sz w:val="22"/>
                <w:szCs w:val="22"/>
              </w:rPr>
              <w:t> </w:t>
            </w:r>
          </w:p>
        </w:tc>
      </w:tr>
      <w:tr w:rsidR="00472474" w:rsidRPr="007D6A50" w14:paraId="00D320AF"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5CFFAA8F"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Not White</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573F0B9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-0.189</w:t>
            </w:r>
          </w:p>
        </w:tc>
        <w:tc>
          <w:tcPr>
            <w:tcW w:w="1074" w:type="dxa"/>
            <w:tcBorders>
              <w:top w:val="nil"/>
              <w:left w:val="nil"/>
              <w:bottom w:val="single" w:sz="4" w:space="0" w:color="auto"/>
              <w:right w:val="double" w:sz="4" w:space="0" w:color="auto"/>
            </w:tcBorders>
            <w:shd w:val="clear" w:color="auto" w:fill="auto"/>
            <w:noWrap/>
            <w:vAlign w:val="center"/>
            <w:hideMark/>
          </w:tcPr>
          <w:p w14:paraId="28AC58F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-1.82</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6DD4BD9"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22B3C16A"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650FC377"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-0.241</w:t>
            </w:r>
          </w:p>
        </w:tc>
        <w:tc>
          <w:tcPr>
            <w:tcW w:w="1074" w:type="dxa"/>
            <w:tcBorders>
              <w:top w:val="nil"/>
              <w:left w:val="nil"/>
              <w:bottom w:val="single" w:sz="4" w:space="0" w:color="auto"/>
              <w:right w:val="double" w:sz="4" w:space="0" w:color="auto"/>
            </w:tcBorders>
            <w:shd w:val="clear" w:color="auto" w:fill="auto"/>
            <w:noWrap/>
            <w:vAlign w:val="center"/>
            <w:hideMark/>
          </w:tcPr>
          <w:p w14:paraId="28CAA2C5"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-2.41</w:t>
            </w:r>
          </w:p>
        </w:tc>
      </w:tr>
      <w:tr w:rsidR="00472474" w:rsidRPr="007D6A50" w14:paraId="22E1E79D"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3E998722"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 xml:space="preserve">Educational </w:t>
            </w:r>
            <w:r>
              <w:rPr>
                <w:rFonts w:eastAsia="Times New Roman"/>
                <w:b/>
                <w:bCs/>
                <w:i/>
                <w:iCs/>
                <w:color w:val="000000"/>
                <w:sz w:val="22"/>
                <w:szCs w:val="22"/>
              </w:rPr>
              <w:t>l</w:t>
            </w:r>
            <w:r w:rsidRPr="007D6A50">
              <w:rPr>
                <w:rFonts w:eastAsia="Times New Roman"/>
                <w:b/>
                <w:bCs/>
                <w:i/>
                <w:iCs/>
                <w:color w:val="000000"/>
                <w:sz w:val="22"/>
                <w:szCs w:val="22"/>
              </w:rPr>
              <w:t xml:space="preserve">evel (base: </w:t>
            </w:r>
            <w:r>
              <w:rPr>
                <w:rFonts w:eastAsia="Times New Roman"/>
                <w:b/>
                <w:bCs/>
                <w:i/>
                <w:iCs/>
                <w:color w:val="000000"/>
                <w:sz w:val="22"/>
                <w:szCs w:val="22"/>
              </w:rPr>
              <w:t>b</w:t>
            </w:r>
            <w:r w:rsidRPr="007D6A50">
              <w:rPr>
                <w:rFonts w:eastAsia="Times New Roman"/>
                <w:b/>
                <w:bCs/>
                <w:i/>
                <w:iCs/>
                <w:color w:val="000000"/>
                <w:sz w:val="22"/>
                <w:szCs w:val="22"/>
              </w:rPr>
              <w:t>elow graduate degree)</w:t>
            </w:r>
          </w:p>
        </w:tc>
      </w:tr>
      <w:tr w:rsidR="00472474" w:rsidRPr="007D6A50" w14:paraId="74B12BB3"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4F7F432F"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Graduate</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6041310C"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-0.237</w:t>
            </w:r>
          </w:p>
        </w:tc>
        <w:tc>
          <w:tcPr>
            <w:tcW w:w="1074" w:type="dxa"/>
            <w:tcBorders>
              <w:top w:val="nil"/>
              <w:left w:val="nil"/>
              <w:bottom w:val="single" w:sz="4" w:space="0" w:color="auto"/>
              <w:right w:val="double" w:sz="4" w:space="0" w:color="auto"/>
            </w:tcBorders>
            <w:shd w:val="clear" w:color="auto" w:fill="auto"/>
            <w:noWrap/>
            <w:vAlign w:val="center"/>
            <w:hideMark/>
          </w:tcPr>
          <w:p w14:paraId="4003846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-4.00</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61FC5F7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-0.226</w:t>
            </w:r>
          </w:p>
        </w:tc>
        <w:tc>
          <w:tcPr>
            <w:tcW w:w="1074" w:type="dxa"/>
            <w:tcBorders>
              <w:top w:val="nil"/>
              <w:left w:val="nil"/>
              <w:bottom w:val="single" w:sz="4" w:space="0" w:color="auto"/>
              <w:right w:val="double" w:sz="4" w:space="0" w:color="auto"/>
            </w:tcBorders>
            <w:shd w:val="clear" w:color="auto" w:fill="auto"/>
            <w:noWrap/>
            <w:vAlign w:val="center"/>
            <w:hideMark/>
          </w:tcPr>
          <w:p w14:paraId="29E6C9C5"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-2.74</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5D7623C"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02E05F35"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5F5AD0E8"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4BE65BC1" w14:textId="77777777" w:rsidR="00472474" w:rsidRPr="007D6A50" w:rsidRDefault="00472474" w:rsidP="00AC636C">
            <w:pPr>
              <w:spacing w:after="0" w:line="240" w:lineRule="auto"/>
              <w:rPr>
                <w:rFonts w:eastAsia="Times New Roman"/>
                <w:b/>
                <w:bCs/>
                <w:color w:val="000000"/>
                <w:sz w:val="22"/>
                <w:szCs w:val="22"/>
              </w:rPr>
            </w:pPr>
            <w:r w:rsidRPr="007D6A50">
              <w:rPr>
                <w:rFonts w:eastAsia="Times New Roman"/>
                <w:b/>
                <w:bCs/>
                <w:color w:val="000000"/>
                <w:sz w:val="22"/>
                <w:szCs w:val="22"/>
              </w:rPr>
              <w:t>Household Characteristics</w:t>
            </w:r>
          </w:p>
        </w:tc>
      </w:tr>
      <w:tr w:rsidR="00472474" w:rsidRPr="007D6A50" w14:paraId="268F8E5C" w14:textId="77777777" w:rsidTr="00AC636C">
        <w:trPr>
          <w:trHeight w:val="54"/>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3A0D2D4C"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Income (base: &lt;$100,000)</w:t>
            </w:r>
          </w:p>
        </w:tc>
      </w:tr>
      <w:tr w:rsidR="00472474" w:rsidRPr="007D6A50" w14:paraId="1179BB91"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6C55196A"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≥$100,000</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17BCE7F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0.127</w:t>
            </w:r>
          </w:p>
        </w:tc>
        <w:tc>
          <w:tcPr>
            <w:tcW w:w="1074" w:type="dxa"/>
            <w:tcBorders>
              <w:top w:val="nil"/>
              <w:left w:val="nil"/>
              <w:bottom w:val="single" w:sz="4" w:space="0" w:color="auto"/>
              <w:right w:val="double" w:sz="4" w:space="0" w:color="auto"/>
            </w:tcBorders>
            <w:shd w:val="clear" w:color="auto" w:fill="auto"/>
            <w:noWrap/>
            <w:vAlign w:val="center"/>
            <w:hideMark/>
          </w:tcPr>
          <w:p w14:paraId="451C2E0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1.92</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651E6B9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0.257</w:t>
            </w:r>
          </w:p>
        </w:tc>
        <w:tc>
          <w:tcPr>
            <w:tcW w:w="1074" w:type="dxa"/>
            <w:tcBorders>
              <w:top w:val="nil"/>
              <w:left w:val="nil"/>
              <w:bottom w:val="single" w:sz="4" w:space="0" w:color="auto"/>
              <w:right w:val="double" w:sz="4" w:space="0" w:color="auto"/>
            </w:tcBorders>
            <w:shd w:val="clear" w:color="auto" w:fill="auto"/>
            <w:noWrap/>
            <w:vAlign w:val="center"/>
            <w:hideMark/>
          </w:tcPr>
          <w:p w14:paraId="5B12E177"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2.96</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E6068F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53A8E583"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324BB328"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061D6F83" w14:textId="77777777" w:rsidR="00472474" w:rsidRPr="007D6A50" w:rsidRDefault="00472474" w:rsidP="00AC636C">
            <w:pPr>
              <w:spacing w:after="0" w:line="240" w:lineRule="auto"/>
              <w:jc w:val="both"/>
              <w:rPr>
                <w:rFonts w:eastAsia="Times New Roman"/>
                <w:b/>
                <w:bCs/>
                <w:i/>
                <w:iCs/>
                <w:color w:val="000000"/>
                <w:sz w:val="22"/>
                <w:szCs w:val="22"/>
              </w:rPr>
            </w:pPr>
            <w:r w:rsidRPr="007D6A50">
              <w:rPr>
                <w:rFonts w:eastAsia="Times New Roman"/>
                <w:b/>
                <w:bCs/>
                <w:i/>
                <w:iCs/>
                <w:color w:val="000000"/>
                <w:sz w:val="22"/>
                <w:szCs w:val="22"/>
              </w:rPr>
              <w:t xml:space="preserve">Car </w:t>
            </w:r>
            <w:r>
              <w:rPr>
                <w:rFonts w:eastAsia="Times New Roman"/>
                <w:b/>
                <w:bCs/>
                <w:i/>
                <w:iCs/>
                <w:color w:val="000000"/>
                <w:sz w:val="22"/>
                <w:szCs w:val="22"/>
              </w:rPr>
              <w:t>o</w:t>
            </w:r>
            <w:r w:rsidRPr="007D6A50">
              <w:rPr>
                <w:rFonts w:eastAsia="Times New Roman"/>
                <w:b/>
                <w:bCs/>
                <w:i/>
                <w:iCs/>
                <w:color w:val="000000"/>
                <w:sz w:val="22"/>
                <w:szCs w:val="22"/>
              </w:rPr>
              <w:t xml:space="preserve">wnership (base: </w:t>
            </w:r>
            <w:r>
              <w:rPr>
                <w:rFonts w:eastAsia="Times New Roman"/>
                <w:b/>
                <w:bCs/>
                <w:i/>
                <w:iCs/>
                <w:color w:val="000000"/>
                <w:sz w:val="22"/>
                <w:szCs w:val="22"/>
              </w:rPr>
              <w:t>z</w:t>
            </w:r>
            <w:r w:rsidRPr="007D6A50">
              <w:rPr>
                <w:rFonts w:eastAsia="Times New Roman"/>
                <w:b/>
                <w:bCs/>
                <w:i/>
                <w:iCs/>
                <w:color w:val="000000"/>
                <w:sz w:val="22"/>
                <w:szCs w:val="22"/>
              </w:rPr>
              <w:t>ero</w:t>
            </w:r>
            <w:r>
              <w:rPr>
                <w:rFonts w:eastAsia="Times New Roman"/>
                <w:b/>
                <w:bCs/>
                <w:i/>
                <w:iCs/>
                <w:color w:val="000000"/>
                <w:sz w:val="22"/>
                <w:szCs w:val="22"/>
              </w:rPr>
              <w:t xml:space="preserve"> or one vehicle</w:t>
            </w:r>
            <w:r w:rsidRPr="007D6A50">
              <w:rPr>
                <w:rFonts w:eastAsia="Times New Roman"/>
                <w:b/>
                <w:bCs/>
                <w:i/>
                <w:iCs/>
                <w:color w:val="000000"/>
                <w:sz w:val="22"/>
                <w:szCs w:val="22"/>
              </w:rPr>
              <w:t>)</w:t>
            </w:r>
          </w:p>
        </w:tc>
      </w:tr>
      <w:tr w:rsidR="00472474" w:rsidRPr="007D6A50" w14:paraId="780BA931"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1D24D2B6" w14:textId="33210E76"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Two </w:t>
            </w:r>
            <w:r>
              <w:rPr>
                <w:rFonts w:eastAsia="Times New Roman"/>
                <w:color w:val="000000"/>
                <w:sz w:val="22"/>
                <w:szCs w:val="22"/>
              </w:rPr>
              <w:t>v</w:t>
            </w:r>
            <w:r w:rsidRPr="007D6A50">
              <w:rPr>
                <w:rFonts w:eastAsia="Times New Roman"/>
                <w:color w:val="000000"/>
                <w:sz w:val="22"/>
                <w:szCs w:val="22"/>
              </w:rPr>
              <w:t>ehicles</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28B4470B"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271629F2"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853DE3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647FB6E5"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29858C5"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0.264</w:t>
            </w:r>
          </w:p>
        </w:tc>
        <w:tc>
          <w:tcPr>
            <w:tcW w:w="1074" w:type="dxa"/>
            <w:tcBorders>
              <w:top w:val="nil"/>
              <w:left w:val="nil"/>
              <w:bottom w:val="single" w:sz="4" w:space="0" w:color="auto"/>
              <w:right w:val="double" w:sz="4" w:space="0" w:color="auto"/>
            </w:tcBorders>
            <w:shd w:val="clear" w:color="auto" w:fill="auto"/>
            <w:noWrap/>
            <w:vAlign w:val="center"/>
            <w:hideMark/>
          </w:tcPr>
          <w:p w14:paraId="79922E6B"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3.31</w:t>
            </w:r>
          </w:p>
        </w:tc>
      </w:tr>
      <w:tr w:rsidR="00472474" w:rsidRPr="007D6A50" w14:paraId="441BF448"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7266B369" w14:textId="537F8053"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Three or </w:t>
            </w:r>
            <w:r>
              <w:rPr>
                <w:rFonts w:eastAsia="Times New Roman"/>
                <w:color w:val="000000"/>
                <w:sz w:val="22"/>
                <w:szCs w:val="22"/>
              </w:rPr>
              <w:t>m</w:t>
            </w:r>
            <w:r w:rsidRPr="007D6A50">
              <w:rPr>
                <w:rFonts w:eastAsia="Times New Roman"/>
                <w:color w:val="000000"/>
                <w:sz w:val="22"/>
                <w:szCs w:val="22"/>
              </w:rPr>
              <w:t xml:space="preserve">ore </w:t>
            </w:r>
            <w:r>
              <w:rPr>
                <w:rFonts w:eastAsia="Times New Roman"/>
                <w:color w:val="000000"/>
                <w:sz w:val="22"/>
                <w:szCs w:val="22"/>
              </w:rPr>
              <w:t>v</w:t>
            </w:r>
            <w:r w:rsidRPr="007D6A50">
              <w:rPr>
                <w:rFonts w:eastAsia="Times New Roman"/>
                <w:color w:val="000000"/>
                <w:sz w:val="22"/>
                <w:szCs w:val="22"/>
              </w:rPr>
              <w:t>ehicles</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68FDB1A9"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0.338</w:t>
            </w:r>
          </w:p>
        </w:tc>
        <w:tc>
          <w:tcPr>
            <w:tcW w:w="1074" w:type="dxa"/>
            <w:tcBorders>
              <w:top w:val="nil"/>
              <w:left w:val="nil"/>
              <w:bottom w:val="single" w:sz="4" w:space="0" w:color="auto"/>
              <w:right w:val="double" w:sz="4" w:space="0" w:color="auto"/>
            </w:tcBorders>
            <w:shd w:val="clear" w:color="auto" w:fill="auto"/>
            <w:noWrap/>
            <w:vAlign w:val="center"/>
            <w:hideMark/>
          </w:tcPr>
          <w:p w14:paraId="67959D99"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4.46</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1CBE46D"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36070E6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7BF5E8D"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0.264</w:t>
            </w:r>
          </w:p>
        </w:tc>
        <w:tc>
          <w:tcPr>
            <w:tcW w:w="1074" w:type="dxa"/>
            <w:tcBorders>
              <w:top w:val="nil"/>
              <w:left w:val="nil"/>
              <w:bottom w:val="single" w:sz="4" w:space="0" w:color="auto"/>
              <w:right w:val="double" w:sz="4" w:space="0" w:color="auto"/>
            </w:tcBorders>
            <w:shd w:val="clear" w:color="auto" w:fill="auto"/>
            <w:noWrap/>
            <w:vAlign w:val="center"/>
            <w:hideMark/>
          </w:tcPr>
          <w:p w14:paraId="139B33B9"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3.31</w:t>
            </w:r>
          </w:p>
        </w:tc>
      </w:tr>
      <w:tr w:rsidR="00472474" w:rsidRPr="007D6A50" w14:paraId="1F736367"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7F775135"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 xml:space="preserve">Household </w:t>
            </w:r>
            <w:r>
              <w:rPr>
                <w:rFonts w:eastAsia="Times New Roman"/>
                <w:b/>
                <w:bCs/>
                <w:i/>
                <w:iCs/>
                <w:color w:val="000000"/>
                <w:sz w:val="22"/>
                <w:szCs w:val="22"/>
              </w:rPr>
              <w:t>s</w:t>
            </w:r>
            <w:r w:rsidRPr="007D6A50">
              <w:rPr>
                <w:rFonts w:eastAsia="Times New Roman"/>
                <w:b/>
                <w:bCs/>
                <w:i/>
                <w:iCs/>
                <w:color w:val="000000"/>
                <w:sz w:val="22"/>
                <w:szCs w:val="22"/>
              </w:rPr>
              <w:t xml:space="preserve">tructure (base: </w:t>
            </w:r>
            <w:r>
              <w:rPr>
                <w:rFonts w:eastAsia="Times New Roman"/>
                <w:b/>
                <w:bCs/>
                <w:i/>
                <w:iCs/>
                <w:color w:val="000000"/>
                <w:sz w:val="22"/>
                <w:szCs w:val="22"/>
              </w:rPr>
              <w:t>n</w:t>
            </w:r>
            <w:r w:rsidRPr="007D6A50">
              <w:rPr>
                <w:rFonts w:eastAsia="Times New Roman"/>
                <w:b/>
                <w:bCs/>
                <w:i/>
                <w:iCs/>
                <w:color w:val="000000"/>
                <w:sz w:val="22"/>
                <w:szCs w:val="22"/>
              </w:rPr>
              <w:t>ot living with children or family)</w:t>
            </w:r>
          </w:p>
        </w:tc>
      </w:tr>
      <w:tr w:rsidR="00472474" w:rsidRPr="007D6A50" w14:paraId="1042397B"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28B937B8" w14:textId="645E0C3F"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Joint </w:t>
            </w:r>
            <w:r>
              <w:rPr>
                <w:rFonts w:eastAsia="Times New Roman"/>
                <w:color w:val="000000"/>
                <w:sz w:val="22"/>
                <w:szCs w:val="22"/>
              </w:rPr>
              <w:t>f</w:t>
            </w:r>
            <w:r w:rsidRPr="007D6A50">
              <w:rPr>
                <w:rFonts w:eastAsia="Times New Roman"/>
                <w:color w:val="000000"/>
                <w:sz w:val="22"/>
                <w:szCs w:val="22"/>
              </w:rPr>
              <w:t>amily</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649B446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-0.332</w:t>
            </w:r>
          </w:p>
        </w:tc>
        <w:tc>
          <w:tcPr>
            <w:tcW w:w="1074" w:type="dxa"/>
            <w:tcBorders>
              <w:top w:val="nil"/>
              <w:left w:val="nil"/>
              <w:bottom w:val="single" w:sz="4" w:space="0" w:color="auto"/>
              <w:right w:val="double" w:sz="4" w:space="0" w:color="auto"/>
            </w:tcBorders>
            <w:shd w:val="clear" w:color="auto" w:fill="auto"/>
            <w:noWrap/>
            <w:vAlign w:val="center"/>
            <w:hideMark/>
          </w:tcPr>
          <w:p w14:paraId="339B9329"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-2.69</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26955C5"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4E0C6A84"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D5F1ED9"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552F3CF4"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29EDB7B2"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57A3D92E" w14:textId="7432C53F"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Presence of </w:t>
            </w:r>
            <w:r>
              <w:rPr>
                <w:rFonts w:eastAsia="Times New Roman"/>
                <w:color w:val="000000"/>
                <w:sz w:val="22"/>
                <w:szCs w:val="22"/>
              </w:rPr>
              <w:t>c</w:t>
            </w:r>
            <w:r w:rsidRPr="007D6A50">
              <w:rPr>
                <w:rFonts w:eastAsia="Times New Roman"/>
                <w:color w:val="000000"/>
                <w:sz w:val="22"/>
                <w:szCs w:val="22"/>
              </w:rPr>
              <w:t>hildren</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43CFAE1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-0.383</w:t>
            </w:r>
          </w:p>
        </w:tc>
        <w:tc>
          <w:tcPr>
            <w:tcW w:w="1074" w:type="dxa"/>
            <w:tcBorders>
              <w:top w:val="nil"/>
              <w:left w:val="nil"/>
              <w:bottom w:val="single" w:sz="4" w:space="0" w:color="auto"/>
              <w:right w:val="double" w:sz="4" w:space="0" w:color="auto"/>
            </w:tcBorders>
            <w:shd w:val="clear" w:color="auto" w:fill="auto"/>
            <w:noWrap/>
            <w:vAlign w:val="center"/>
            <w:hideMark/>
          </w:tcPr>
          <w:p w14:paraId="1155EC1E"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-5.05</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284FECE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-0.116</w:t>
            </w:r>
          </w:p>
        </w:tc>
        <w:tc>
          <w:tcPr>
            <w:tcW w:w="1074" w:type="dxa"/>
            <w:tcBorders>
              <w:top w:val="nil"/>
              <w:left w:val="nil"/>
              <w:bottom w:val="single" w:sz="4" w:space="0" w:color="auto"/>
              <w:right w:val="double" w:sz="4" w:space="0" w:color="auto"/>
            </w:tcBorders>
            <w:shd w:val="clear" w:color="auto" w:fill="auto"/>
            <w:noWrap/>
            <w:vAlign w:val="center"/>
            <w:hideMark/>
          </w:tcPr>
          <w:p w14:paraId="1D3F2D2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-1.23</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BB3507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0.175</w:t>
            </w:r>
          </w:p>
        </w:tc>
        <w:tc>
          <w:tcPr>
            <w:tcW w:w="1074" w:type="dxa"/>
            <w:tcBorders>
              <w:top w:val="nil"/>
              <w:left w:val="nil"/>
              <w:bottom w:val="single" w:sz="4" w:space="0" w:color="auto"/>
              <w:right w:val="double" w:sz="4" w:space="0" w:color="auto"/>
            </w:tcBorders>
            <w:shd w:val="clear" w:color="auto" w:fill="auto"/>
            <w:noWrap/>
            <w:vAlign w:val="center"/>
            <w:hideMark/>
          </w:tcPr>
          <w:p w14:paraId="49219F6B"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2.24</w:t>
            </w:r>
          </w:p>
        </w:tc>
      </w:tr>
      <w:tr w:rsidR="00472474" w:rsidRPr="007D6A50" w14:paraId="47904C88"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1FACE9C1" w14:textId="77777777" w:rsidR="00472474" w:rsidRPr="007D6A50" w:rsidRDefault="00472474" w:rsidP="00AC636C">
            <w:pPr>
              <w:spacing w:after="0" w:line="240" w:lineRule="auto"/>
              <w:rPr>
                <w:rFonts w:eastAsia="Times New Roman"/>
                <w:b/>
                <w:bCs/>
                <w:color w:val="000000"/>
                <w:sz w:val="22"/>
                <w:szCs w:val="22"/>
              </w:rPr>
            </w:pPr>
            <w:r w:rsidRPr="007D6A50">
              <w:rPr>
                <w:rFonts w:eastAsia="Times New Roman"/>
                <w:b/>
                <w:bCs/>
                <w:color w:val="000000"/>
                <w:sz w:val="22"/>
                <w:szCs w:val="22"/>
              </w:rPr>
              <w:t>Employment Status/Job Characteristics</w:t>
            </w:r>
          </w:p>
        </w:tc>
      </w:tr>
      <w:tr w:rsidR="00472474" w:rsidRPr="007D6A50" w14:paraId="518EBAD8" w14:textId="77777777" w:rsidTr="00AC636C">
        <w:trPr>
          <w:trHeight w:val="20"/>
        </w:trPr>
        <w:tc>
          <w:tcPr>
            <w:tcW w:w="9350" w:type="dxa"/>
            <w:gridSpan w:val="7"/>
            <w:tcBorders>
              <w:top w:val="nil"/>
              <w:left w:val="double" w:sz="4" w:space="0" w:color="auto"/>
              <w:bottom w:val="single" w:sz="4" w:space="0" w:color="auto"/>
              <w:right w:val="double" w:sz="4" w:space="0" w:color="auto"/>
            </w:tcBorders>
            <w:shd w:val="clear" w:color="auto" w:fill="auto"/>
            <w:noWrap/>
            <w:vAlign w:val="center"/>
          </w:tcPr>
          <w:p w14:paraId="05D4D8D3"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b/>
                <w:bCs/>
                <w:i/>
                <w:iCs/>
                <w:color w:val="000000"/>
                <w:sz w:val="22"/>
                <w:szCs w:val="22"/>
              </w:rPr>
              <w:t xml:space="preserve">Number of </w:t>
            </w:r>
            <w:r>
              <w:rPr>
                <w:rFonts w:eastAsia="Times New Roman"/>
                <w:b/>
                <w:bCs/>
                <w:i/>
                <w:iCs/>
                <w:color w:val="000000"/>
                <w:sz w:val="22"/>
                <w:szCs w:val="22"/>
              </w:rPr>
              <w:t>w</w:t>
            </w:r>
            <w:r w:rsidRPr="007D6A50">
              <w:rPr>
                <w:rFonts w:eastAsia="Times New Roman"/>
                <w:b/>
                <w:bCs/>
                <w:i/>
                <w:iCs/>
                <w:color w:val="000000"/>
                <w:sz w:val="22"/>
                <w:szCs w:val="22"/>
              </w:rPr>
              <w:t xml:space="preserve">orkdays per </w:t>
            </w:r>
            <w:r>
              <w:rPr>
                <w:rFonts w:eastAsia="Times New Roman"/>
                <w:b/>
                <w:bCs/>
                <w:i/>
                <w:iCs/>
                <w:color w:val="000000"/>
                <w:sz w:val="22"/>
                <w:szCs w:val="22"/>
              </w:rPr>
              <w:t>m</w:t>
            </w:r>
            <w:r w:rsidRPr="007D6A50">
              <w:rPr>
                <w:rFonts w:eastAsia="Times New Roman"/>
                <w:b/>
                <w:bCs/>
                <w:i/>
                <w:iCs/>
                <w:color w:val="000000"/>
                <w:sz w:val="22"/>
                <w:szCs w:val="22"/>
              </w:rPr>
              <w:t>onth</w:t>
            </w:r>
          </w:p>
        </w:tc>
      </w:tr>
      <w:tr w:rsidR="00472474" w:rsidRPr="007D6A50" w14:paraId="0B0B4A57"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tcPr>
          <w:p w14:paraId="6BA2C00A" w14:textId="77777777" w:rsidR="00472474" w:rsidRPr="007D6A50" w:rsidRDefault="00472474" w:rsidP="00AC636C">
            <w:pPr>
              <w:spacing w:after="0" w:line="240" w:lineRule="auto"/>
              <w:ind w:left="162"/>
              <w:rPr>
                <w:rFonts w:eastAsia="Times New Roman"/>
                <w:color w:val="000000"/>
                <w:sz w:val="22"/>
                <w:szCs w:val="22"/>
              </w:rPr>
            </w:pPr>
            <w:r w:rsidRPr="007D6A50">
              <w:rPr>
                <w:rFonts w:eastAsia="Times New Roman"/>
                <w:color w:val="000000"/>
                <w:sz w:val="22"/>
                <w:szCs w:val="22"/>
              </w:rPr>
              <w:t>Number of workdays</w:t>
            </w:r>
          </w:p>
        </w:tc>
        <w:tc>
          <w:tcPr>
            <w:tcW w:w="1073" w:type="dxa"/>
            <w:tcBorders>
              <w:top w:val="nil"/>
              <w:left w:val="double" w:sz="4" w:space="0" w:color="auto"/>
              <w:bottom w:val="single" w:sz="4" w:space="0" w:color="auto"/>
              <w:right w:val="single" w:sz="4" w:space="0" w:color="auto"/>
            </w:tcBorders>
            <w:shd w:val="clear" w:color="auto" w:fill="auto"/>
            <w:noWrap/>
            <w:vAlign w:val="center"/>
          </w:tcPr>
          <w:p w14:paraId="5DAE3C16" w14:textId="77777777" w:rsidR="00472474" w:rsidRPr="007D6A50" w:rsidRDefault="00472474" w:rsidP="00AC636C">
            <w:pPr>
              <w:spacing w:after="0" w:line="240" w:lineRule="auto"/>
              <w:jc w:val="center"/>
              <w:rPr>
                <w:rFonts w:eastAsia="Times New Roman"/>
                <w:b/>
                <w:bCs/>
                <w:color w:val="000000"/>
                <w:sz w:val="22"/>
                <w:szCs w:val="22"/>
              </w:rPr>
            </w:pPr>
            <w:r>
              <w:rPr>
                <w:rFonts w:eastAsia="Times New Roman"/>
                <w:color w:val="000000"/>
                <w:sz w:val="22"/>
                <w:szCs w:val="22"/>
              </w:rPr>
              <w:t>0.0</w:t>
            </w:r>
            <w:r w:rsidRPr="007D6A50">
              <w:rPr>
                <w:rFonts w:eastAsia="Times New Roman"/>
                <w:color w:val="000000"/>
                <w:sz w:val="22"/>
                <w:szCs w:val="22"/>
              </w:rPr>
              <w:t>2</w:t>
            </w:r>
            <w:r>
              <w:rPr>
                <w:rFonts w:eastAsia="Times New Roman"/>
                <w:color w:val="000000"/>
                <w:sz w:val="22"/>
                <w:szCs w:val="22"/>
              </w:rPr>
              <w:t>5</w:t>
            </w:r>
          </w:p>
        </w:tc>
        <w:tc>
          <w:tcPr>
            <w:tcW w:w="1074" w:type="dxa"/>
            <w:tcBorders>
              <w:top w:val="nil"/>
              <w:left w:val="nil"/>
              <w:bottom w:val="single" w:sz="4" w:space="0" w:color="auto"/>
              <w:right w:val="double" w:sz="4" w:space="0" w:color="auto"/>
            </w:tcBorders>
            <w:shd w:val="clear" w:color="auto" w:fill="auto"/>
            <w:noWrap/>
            <w:vAlign w:val="center"/>
          </w:tcPr>
          <w:p w14:paraId="00440CF6"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color w:val="000000"/>
                <w:sz w:val="22"/>
                <w:szCs w:val="22"/>
              </w:rPr>
              <w:t>6.44</w:t>
            </w:r>
          </w:p>
        </w:tc>
        <w:tc>
          <w:tcPr>
            <w:tcW w:w="1074" w:type="dxa"/>
            <w:tcBorders>
              <w:top w:val="nil"/>
              <w:left w:val="double" w:sz="4" w:space="0" w:color="auto"/>
              <w:bottom w:val="single" w:sz="4" w:space="0" w:color="auto"/>
              <w:right w:val="single" w:sz="4" w:space="0" w:color="auto"/>
            </w:tcBorders>
            <w:shd w:val="clear" w:color="auto" w:fill="auto"/>
            <w:noWrap/>
            <w:vAlign w:val="center"/>
          </w:tcPr>
          <w:p w14:paraId="4DB1DB3C" w14:textId="77777777" w:rsidR="00472474" w:rsidRPr="007D6A50" w:rsidRDefault="00472474" w:rsidP="0089594F">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tcPr>
          <w:p w14:paraId="3B346A89" w14:textId="77777777" w:rsidR="00472474" w:rsidRPr="007D6A50" w:rsidRDefault="00472474" w:rsidP="0089594F">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tcPr>
          <w:p w14:paraId="64E7D48C" w14:textId="77777777" w:rsidR="00472474" w:rsidRPr="007D6A50" w:rsidRDefault="00472474" w:rsidP="0089594F">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tcPr>
          <w:p w14:paraId="2CD1E357" w14:textId="77777777" w:rsidR="00472474" w:rsidRPr="007D6A50" w:rsidRDefault="00472474" w:rsidP="0089594F">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r>
      <w:tr w:rsidR="00472474" w:rsidRPr="007D6A50" w14:paraId="7B6FCBE3" w14:textId="77777777" w:rsidTr="00AC636C">
        <w:trPr>
          <w:trHeight w:val="20"/>
        </w:trPr>
        <w:tc>
          <w:tcPr>
            <w:tcW w:w="9350" w:type="dxa"/>
            <w:gridSpan w:val="7"/>
            <w:tcBorders>
              <w:top w:val="nil"/>
              <w:left w:val="double" w:sz="4" w:space="0" w:color="auto"/>
              <w:bottom w:val="single" w:sz="4" w:space="0" w:color="auto"/>
              <w:right w:val="double" w:sz="4" w:space="0" w:color="auto"/>
            </w:tcBorders>
            <w:shd w:val="clear" w:color="auto" w:fill="auto"/>
            <w:noWrap/>
            <w:vAlign w:val="center"/>
          </w:tcPr>
          <w:p w14:paraId="4B2F94E4"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b/>
                <w:bCs/>
                <w:i/>
                <w:iCs/>
                <w:color w:val="000000"/>
                <w:sz w:val="22"/>
                <w:szCs w:val="22"/>
              </w:rPr>
              <w:t>Employment</w:t>
            </w:r>
            <w:r>
              <w:rPr>
                <w:rFonts w:eastAsia="Times New Roman"/>
                <w:b/>
                <w:bCs/>
                <w:i/>
                <w:iCs/>
                <w:color w:val="000000"/>
                <w:sz w:val="22"/>
                <w:szCs w:val="22"/>
              </w:rPr>
              <w:t xml:space="preserve"> s</w:t>
            </w:r>
            <w:r w:rsidRPr="007D6A50">
              <w:rPr>
                <w:rFonts w:eastAsia="Times New Roman"/>
                <w:b/>
                <w:bCs/>
                <w:i/>
                <w:iCs/>
                <w:color w:val="000000"/>
                <w:sz w:val="22"/>
                <w:szCs w:val="22"/>
              </w:rPr>
              <w:t>tatus (base: not employed)</w:t>
            </w:r>
          </w:p>
        </w:tc>
      </w:tr>
      <w:tr w:rsidR="00472474" w:rsidRPr="007D6A50" w14:paraId="6BCA996D"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0AEDB43C" w14:textId="77777777" w:rsidR="00472474" w:rsidRPr="007D6A50" w:rsidRDefault="00472474" w:rsidP="00AC636C">
            <w:pPr>
              <w:spacing w:after="0" w:line="240" w:lineRule="auto"/>
              <w:ind w:left="162"/>
              <w:rPr>
                <w:rFonts w:eastAsia="Times New Roman"/>
                <w:color w:val="000000"/>
                <w:sz w:val="22"/>
                <w:szCs w:val="22"/>
              </w:rPr>
            </w:pPr>
            <w:r w:rsidRPr="007D6A50">
              <w:rPr>
                <w:rFonts w:eastAsia="Times New Roman"/>
                <w:color w:val="000000"/>
                <w:sz w:val="22"/>
                <w:szCs w:val="22"/>
              </w:rPr>
              <w:t>Part-time</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5C282382"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0AE71788"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5E7E860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0.406</w:t>
            </w:r>
          </w:p>
        </w:tc>
        <w:tc>
          <w:tcPr>
            <w:tcW w:w="1074" w:type="dxa"/>
            <w:tcBorders>
              <w:top w:val="nil"/>
              <w:left w:val="nil"/>
              <w:bottom w:val="single" w:sz="4" w:space="0" w:color="auto"/>
              <w:right w:val="double" w:sz="4" w:space="0" w:color="auto"/>
            </w:tcBorders>
            <w:shd w:val="clear" w:color="auto" w:fill="auto"/>
            <w:noWrap/>
            <w:vAlign w:val="center"/>
            <w:hideMark/>
          </w:tcPr>
          <w:p w14:paraId="36E9DC7E"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1.92</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4BCAEF5"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0.330</w:t>
            </w:r>
          </w:p>
        </w:tc>
        <w:tc>
          <w:tcPr>
            <w:tcW w:w="1074" w:type="dxa"/>
            <w:tcBorders>
              <w:top w:val="nil"/>
              <w:left w:val="nil"/>
              <w:bottom w:val="single" w:sz="4" w:space="0" w:color="auto"/>
              <w:right w:val="double" w:sz="4" w:space="0" w:color="auto"/>
            </w:tcBorders>
            <w:shd w:val="clear" w:color="auto" w:fill="auto"/>
            <w:noWrap/>
            <w:vAlign w:val="center"/>
            <w:hideMark/>
          </w:tcPr>
          <w:p w14:paraId="1590B709"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2.25</w:t>
            </w:r>
          </w:p>
        </w:tc>
      </w:tr>
      <w:tr w:rsidR="00472474" w:rsidRPr="007D6A50" w14:paraId="592A8416"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566CDD89" w14:textId="77777777" w:rsidR="00472474" w:rsidRPr="007D6A50" w:rsidRDefault="00472474" w:rsidP="00AC636C">
            <w:pPr>
              <w:spacing w:after="0" w:line="240" w:lineRule="auto"/>
              <w:ind w:left="162"/>
              <w:rPr>
                <w:rFonts w:eastAsia="Times New Roman"/>
                <w:color w:val="000000"/>
                <w:sz w:val="22"/>
                <w:szCs w:val="22"/>
              </w:rPr>
            </w:pPr>
            <w:r w:rsidRPr="007D6A50">
              <w:rPr>
                <w:rFonts w:eastAsia="Times New Roman"/>
                <w:color w:val="000000"/>
                <w:sz w:val="22"/>
                <w:szCs w:val="22"/>
              </w:rPr>
              <w:t>Full-time</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297BC330"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0BFBC9E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557E597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0.222</w:t>
            </w:r>
          </w:p>
        </w:tc>
        <w:tc>
          <w:tcPr>
            <w:tcW w:w="1074" w:type="dxa"/>
            <w:tcBorders>
              <w:top w:val="nil"/>
              <w:left w:val="nil"/>
              <w:bottom w:val="single" w:sz="4" w:space="0" w:color="auto"/>
              <w:right w:val="double" w:sz="4" w:space="0" w:color="auto"/>
            </w:tcBorders>
            <w:shd w:val="clear" w:color="auto" w:fill="auto"/>
            <w:noWrap/>
            <w:vAlign w:val="center"/>
            <w:hideMark/>
          </w:tcPr>
          <w:p w14:paraId="6B3C3327"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1.61</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F834D16"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6B3130D0"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399CB830"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4F1A28D1"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 xml:space="preserve">Current </w:t>
            </w:r>
            <w:r>
              <w:rPr>
                <w:rFonts w:eastAsia="Times New Roman"/>
                <w:b/>
                <w:bCs/>
                <w:i/>
                <w:iCs/>
                <w:color w:val="000000"/>
                <w:sz w:val="22"/>
                <w:szCs w:val="22"/>
              </w:rPr>
              <w:t>w</w:t>
            </w:r>
            <w:r w:rsidRPr="007D6A50">
              <w:rPr>
                <w:rFonts w:eastAsia="Times New Roman"/>
                <w:b/>
                <w:bCs/>
                <w:i/>
                <w:iCs/>
                <w:color w:val="000000"/>
                <w:sz w:val="22"/>
                <w:szCs w:val="22"/>
              </w:rPr>
              <w:t xml:space="preserve">orkplace </w:t>
            </w:r>
            <w:r>
              <w:rPr>
                <w:rFonts w:eastAsia="Times New Roman"/>
                <w:b/>
                <w:bCs/>
                <w:i/>
                <w:iCs/>
                <w:color w:val="000000"/>
                <w:sz w:val="22"/>
                <w:szCs w:val="22"/>
              </w:rPr>
              <w:t>l</w:t>
            </w:r>
            <w:r w:rsidRPr="007D6A50">
              <w:rPr>
                <w:rFonts w:eastAsia="Times New Roman"/>
                <w:b/>
                <w:bCs/>
                <w:i/>
                <w:iCs/>
                <w:color w:val="000000"/>
                <w:sz w:val="22"/>
                <w:szCs w:val="22"/>
              </w:rPr>
              <w:t>ocations (base: work from the office)</w:t>
            </w:r>
          </w:p>
        </w:tc>
      </w:tr>
      <w:tr w:rsidR="00472474" w:rsidRPr="007D6A50" w14:paraId="2EB1330F"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4C52D03F" w14:textId="77777777" w:rsidR="00472474" w:rsidRPr="007D6A50" w:rsidRDefault="00472474" w:rsidP="00AC636C">
            <w:pPr>
              <w:spacing w:after="0" w:line="240" w:lineRule="auto"/>
              <w:ind w:left="162"/>
              <w:rPr>
                <w:rFonts w:eastAsia="Times New Roman"/>
                <w:color w:val="000000"/>
                <w:sz w:val="22"/>
                <w:szCs w:val="22"/>
              </w:rPr>
            </w:pPr>
            <w:r>
              <w:rPr>
                <w:rFonts w:eastAsia="Times New Roman"/>
                <w:color w:val="000000"/>
                <w:sz w:val="22"/>
                <w:szCs w:val="22"/>
              </w:rPr>
              <w:t xml:space="preserve">Fraction </w:t>
            </w:r>
            <w:r w:rsidRPr="007D6A50">
              <w:rPr>
                <w:rFonts w:eastAsia="Times New Roman"/>
                <w:color w:val="000000"/>
                <w:sz w:val="22"/>
                <w:szCs w:val="22"/>
              </w:rPr>
              <w:t xml:space="preserve">of work days from home in the past month </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200BCD5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-0.585</w:t>
            </w:r>
          </w:p>
        </w:tc>
        <w:tc>
          <w:tcPr>
            <w:tcW w:w="1074" w:type="dxa"/>
            <w:tcBorders>
              <w:top w:val="nil"/>
              <w:left w:val="nil"/>
              <w:bottom w:val="single" w:sz="4" w:space="0" w:color="auto"/>
              <w:right w:val="double" w:sz="4" w:space="0" w:color="auto"/>
            </w:tcBorders>
            <w:shd w:val="clear" w:color="auto" w:fill="auto"/>
            <w:noWrap/>
            <w:vAlign w:val="center"/>
            <w:hideMark/>
          </w:tcPr>
          <w:p w14:paraId="7FD05A6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-6.12</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728907B"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0.297</w:t>
            </w:r>
          </w:p>
        </w:tc>
        <w:tc>
          <w:tcPr>
            <w:tcW w:w="1074" w:type="dxa"/>
            <w:tcBorders>
              <w:top w:val="nil"/>
              <w:left w:val="nil"/>
              <w:bottom w:val="single" w:sz="4" w:space="0" w:color="auto"/>
              <w:right w:val="double" w:sz="4" w:space="0" w:color="auto"/>
            </w:tcBorders>
            <w:shd w:val="clear" w:color="auto" w:fill="auto"/>
            <w:noWrap/>
            <w:vAlign w:val="center"/>
            <w:hideMark/>
          </w:tcPr>
          <w:p w14:paraId="6A3BBD1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2.37</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0D1DF52"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0.309</w:t>
            </w:r>
          </w:p>
        </w:tc>
        <w:tc>
          <w:tcPr>
            <w:tcW w:w="1074" w:type="dxa"/>
            <w:tcBorders>
              <w:top w:val="nil"/>
              <w:left w:val="nil"/>
              <w:bottom w:val="single" w:sz="4" w:space="0" w:color="auto"/>
              <w:right w:val="double" w:sz="4" w:space="0" w:color="auto"/>
            </w:tcBorders>
            <w:shd w:val="clear" w:color="auto" w:fill="auto"/>
            <w:noWrap/>
            <w:vAlign w:val="center"/>
            <w:hideMark/>
          </w:tcPr>
          <w:p w14:paraId="5E70F699"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3.13</w:t>
            </w:r>
          </w:p>
        </w:tc>
      </w:tr>
      <w:tr w:rsidR="00472474" w:rsidRPr="007D6A50" w14:paraId="352EF2C6"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5F009A5E" w14:textId="77777777" w:rsidR="00472474" w:rsidRPr="007D6A50" w:rsidRDefault="00472474" w:rsidP="00AC636C">
            <w:pPr>
              <w:spacing w:after="0" w:line="240" w:lineRule="auto"/>
              <w:rPr>
                <w:rFonts w:eastAsia="Times New Roman"/>
                <w:b/>
                <w:bCs/>
                <w:color w:val="000000"/>
                <w:sz w:val="22"/>
                <w:szCs w:val="22"/>
              </w:rPr>
            </w:pPr>
            <w:r w:rsidRPr="007D6A50">
              <w:rPr>
                <w:rFonts w:eastAsia="Times New Roman"/>
                <w:b/>
                <w:bCs/>
                <w:color w:val="000000"/>
                <w:sz w:val="22"/>
                <w:szCs w:val="22"/>
              </w:rPr>
              <w:t>Residential Location BE Factors</w:t>
            </w:r>
          </w:p>
        </w:tc>
      </w:tr>
      <w:tr w:rsidR="00472474" w:rsidRPr="007D6A50" w14:paraId="3EDB6D07"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65245B9C"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Community region type (base: rural)</w:t>
            </w:r>
          </w:p>
        </w:tc>
      </w:tr>
      <w:tr w:rsidR="00472474" w:rsidRPr="007D6A50" w14:paraId="76694A43"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02F27AF7" w14:textId="77777777" w:rsidR="00472474" w:rsidRPr="007D6A50" w:rsidRDefault="00472474" w:rsidP="00AC636C">
            <w:pPr>
              <w:spacing w:after="0" w:line="240" w:lineRule="auto"/>
              <w:rPr>
                <w:rFonts w:eastAsia="Times New Roman"/>
                <w:color w:val="000000"/>
                <w:sz w:val="22"/>
                <w:szCs w:val="22"/>
              </w:rPr>
            </w:pPr>
            <w:r>
              <w:rPr>
                <w:rFonts w:eastAsia="Times New Roman"/>
                <w:color w:val="000000"/>
                <w:sz w:val="22"/>
                <w:szCs w:val="22"/>
              </w:rPr>
              <w:t xml:space="preserve">  </w:t>
            </w:r>
            <w:r w:rsidRPr="007D6A50">
              <w:rPr>
                <w:rFonts w:eastAsia="Times New Roman"/>
                <w:color w:val="000000"/>
                <w:sz w:val="22"/>
                <w:szCs w:val="22"/>
              </w:rPr>
              <w:t>Suburban</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2B640BE8"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38298346"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2B9DE38E"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0.690</w:t>
            </w:r>
          </w:p>
        </w:tc>
        <w:tc>
          <w:tcPr>
            <w:tcW w:w="1074" w:type="dxa"/>
            <w:tcBorders>
              <w:top w:val="nil"/>
              <w:left w:val="nil"/>
              <w:bottom w:val="single" w:sz="4" w:space="0" w:color="auto"/>
              <w:right w:val="double" w:sz="4" w:space="0" w:color="auto"/>
            </w:tcBorders>
            <w:shd w:val="clear" w:color="auto" w:fill="auto"/>
            <w:noWrap/>
            <w:vAlign w:val="center"/>
            <w:hideMark/>
          </w:tcPr>
          <w:p w14:paraId="632F913B"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5.59</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32E36BB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0.137</w:t>
            </w:r>
          </w:p>
        </w:tc>
        <w:tc>
          <w:tcPr>
            <w:tcW w:w="1074" w:type="dxa"/>
            <w:tcBorders>
              <w:top w:val="nil"/>
              <w:left w:val="nil"/>
              <w:bottom w:val="single" w:sz="4" w:space="0" w:color="auto"/>
              <w:right w:val="double" w:sz="4" w:space="0" w:color="auto"/>
            </w:tcBorders>
            <w:shd w:val="clear" w:color="auto" w:fill="auto"/>
            <w:noWrap/>
            <w:vAlign w:val="center"/>
            <w:hideMark/>
          </w:tcPr>
          <w:p w14:paraId="59A6FDF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1.47</w:t>
            </w:r>
          </w:p>
        </w:tc>
      </w:tr>
      <w:tr w:rsidR="00472474" w:rsidRPr="007D6A50" w14:paraId="7939B400"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4052D743"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Urban</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451906F9"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6C2D4BE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20C6E29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0.727</w:t>
            </w:r>
          </w:p>
        </w:tc>
        <w:tc>
          <w:tcPr>
            <w:tcW w:w="1074" w:type="dxa"/>
            <w:tcBorders>
              <w:top w:val="nil"/>
              <w:left w:val="nil"/>
              <w:bottom w:val="single" w:sz="4" w:space="0" w:color="auto"/>
              <w:right w:val="double" w:sz="4" w:space="0" w:color="auto"/>
            </w:tcBorders>
            <w:shd w:val="clear" w:color="auto" w:fill="auto"/>
            <w:noWrap/>
            <w:vAlign w:val="center"/>
            <w:hideMark/>
          </w:tcPr>
          <w:p w14:paraId="08F0BCA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5.18</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682838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0.335</w:t>
            </w:r>
          </w:p>
        </w:tc>
        <w:tc>
          <w:tcPr>
            <w:tcW w:w="1074" w:type="dxa"/>
            <w:tcBorders>
              <w:top w:val="nil"/>
              <w:left w:val="nil"/>
              <w:bottom w:val="single" w:sz="4" w:space="0" w:color="auto"/>
              <w:right w:val="double" w:sz="4" w:space="0" w:color="auto"/>
            </w:tcBorders>
            <w:shd w:val="clear" w:color="auto" w:fill="auto"/>
            <w:noWrap/>
            <w:vAlign w:val="center"/>
            <w:hideMark/>
          </w:tcPr>
          <w:p w14:paraId="27FB92C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3.13</w:t>
            </w:r>
          </w:p>
        </w:tc>
      </w:tr>
      <w:tr w:rsidR="00472474" w:rsidRPr="007D6A50" w14:paraId="7133AE4F"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35BB658D"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 xml:space="preserve">Land-use </w:t>
            </w:r>
            <w:r>
              <w:rPr>
                <w:rFonts w:eastAsia="Times New Roman"/>
                <w:b/>
                <w:bCs/>
                <w:i/>
                <w:iCs/>
                <w:color w:val="000000"/>
                <w:sz w:val="22"/>
                <w:szCs w:val="22"/>
              </w:rPr>
              <w:t>m</w:t>
            </w:r>
            <w:r w:rsidRPr="007D6A50">
              <w:rPr>
                <w:rFonts w:eastAsia="Times New Roman"/>
                <w:b/>
                <w:bCs/>
                <w:i/>
                <w:iCs/>
                <w:color w:val="000000"/>
                <w:sz w:val="22"/>
                <w:szCs w:val="22"/>
              </w:rPr>
              <w:t>ix</w:t>
            </w:r>
          </w:p>
        </w:tc>
      </w:tr>
      <w:tr w:rsidR="00472474" w:rsidRPr="007D6A50" w14:paraId="626C1728"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66B2EF9A" w14:textId="77777777" w:rsidR="00472474" w:rsidRPr="007D6A50" w:rsidRDefault="00472474" w:rsidP="00AC636C">
            <w:pPr>
              <w:spacing w:after="0" w:line="240" w:lineRule="auto"/>
              <w:rPr>
                <w:rFonts w:eastAsia="Times New Roman"/>
                <w:color w:val="000000"/>
                <w:sz w:val="22"/>
                <w:szCs w:val="22"/>
              </w:rPr>
            </w:pPr>
            <w:r w:rsidRPr="007D6A50">
              <w:rPr>
                <w:rFonts w:eastAsia="Times New Roman"/>
                <w:color w:val="000000"/>
                <w:sz w:val="22"/>
                <w:szCs w:val="22"/>
              </w:rPr>
              <w:t xml:space="preserve">  Land-use Diversity Index</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799EDE27"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5EBD7DF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269774FB"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1B6F96C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22F72E3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-0.446</w:t>
            </w:r>
          </w:p>
        </w:tc>
        <w:tc>
          <w:tcPr>
            <w:tcW w:w="1074" w:type="dxa"/>
            <w:tcBorders>
              <w:top w:val="nil"/>
              <w:left w:val="nil"/>
              <w:bottom w:val="single" w:sz="4" w:space="0" w:color="auto"/>
              <w:right w:val="double" w:sz="4" w:space="0" w:color="auto"/>
            </w:tcBorders>
            <w:shd w:val="clear" w:color="auto" w:fill="auto"/>
            <w:noWrap/>
            <w:vAlign w:val="center"/>
            <w:hideMark/>
          </w:tcPr>
          <w:p w14:paraId="7FB51ED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-2.22</w:t>
            </w:r>
          </w:p>
        </w:tc>
      </w:tr>
      <w:tr w:rsidR="00472474" w:rsidRPr="007D6A50" w14:paraId="7ED8DBC2"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67C154A3" w14:textId="77777777" w:rsidR="00472474" w:rsidRPr="007D6A50" w:rsidRDefault="00472474" w:rsidP="00AC636C">
            <w:pPr>
              <w:spacing w:after="0" w:line="240" w:lineRule="auto"/>
              <w:rPr>
                <w:rFonts w:eastAsia="Times New Roman"/>
                <w:b/>
                <w:bCs/>
                <w:i/>
                <w:iCs/>
                <w:color w:val="000000"/>
                <w:sz w:val="22"/>
                <w:szCs w:val="22"/>
              </w:rPr>
            </w:pPr>
            <w:r w:rsidRPr="007D6A50">
              <w:rPr>
                <w:rFonts w:eastAsia="Times New Roman"/>
                <w:b/>
                <w:bCs/>
                <w:i/>
                <w:iCs/>
                <w:color w:val="000000"/>
                <w:sz w:val="22"/>
                <w:szCs w:val="22"/>
              </w:rPr>
              <w:t xml:space="preserve">Restaurant </w:t>
            </w:r>
            <w:r>
              <w:rPr>
                <w:rFonts w:eastAsia="Times New Roman"/>
                <w:b/>
                <w:bCs/>
                <w:i/>
                <w:iCs/>
                <w:color w:val="000000"/>
                <w:sz w:val="22"/>
                <w:szCs w:val="22"/>
              </w:rPr>
              <w:t>d</w:t>
            </w:r>
            <w:r w:rsidRPr="007D6A50">
              <w:rPr>
                <w:rFonts w:eastAsia="Times New Roman"/>
                <w:b/>
                <w:bCs/>
                <w:i/>
                <w:iCs/>
                <w:color w:val="000000"/>
                <w:sz w:val="22"/>
                <w:szCs w:val="22"/>
              </w:rPr>
              <w:t>ensity</w:t>
            </w:r>
          </w:p>
        </w:tc>
      </w:tr>
      <w:tr w:rsidR="00472474" w:rsidRPr="007D6A50" w14:paraId="1D95354D"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6073ACEB" w14:textId="77777777" w:rsidR="00472474" w:rsidRPr="007D6A50" w:rsidRDefault="00472474" w:rsidP="00AC636C">
            <w:pPr>
              <w:spacing w:after="0" w:line="240" w:lineRule="auto"/>
              <w:ind w:left="162"/>
              <w:rPr>
                <w:rFonts w:eastAsia="Times New Roman"/>
                <w:color w:val="000000"/>
                <w:sz w:val="22"/>
                <w:szCs w:val="22"/>
              </w:rPr>
            </w:pPr>
            <w:r w:rsidRPr="007D6A50">
              <w:rPr>
                <w:rFonts w:eastAsia="Times New Roman"/>
                <w:color w:val="000000"/>
                <w:sz w:val="22"/>
                <w:szCs w:val="22"/>
              </w:rPr>
              <w:t xml:space="preserve">Number of restaurants per </w:t>
            </w:r>
            <w:r>
              <w:rPr>
                <w:rFonts w:eastAsia="Times New Roman"/>
                <w:color w:val="000000"/>
                <w:sz w:val="22"/>
                <w:szCs w:val="22"/>
              </w:rPr>
              <w:t xml:space="preserve">100 </w:t>
            </w:r>
            <w:r w:rsidRPr="007D6A50">
              <w:rPr>
                <w:rFonts w:eastAsia="Times New Roman"/>
                <w:color w:val="000000"/>
                <w:sz w:val="22"/>
                <w:szCs w:val="22"/>
              </w:rPr>
              <w:t xml:space="preserve">square </w:t>
            </w:r>
            <w:r>
              <w:rPr>
                <w:rFonts w:eastAsia="Times New Roman"/>
                <w:color w:val="000000"/>
                <w:sz w:val="22"/>
                <w:szCs w:val="22"/>
              </w:rPr>
              <w:t>acres</w:t>
            </w:r>
            <w:r w:rsidRPr="007D6A50">
              <w:rPr>
                <w:rFonts w:eastAsia="Times New Roman"/>
                <w:color w:val="000000"/>
                <w:sz w:val="22"/>
                <w:szCs w:val="22"/>
              </w:rPr>
              <w:t xml:space="preserve"> &gt; 20</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50BD8E8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0.254</w:t>
            </w:r>
          </w:p>
        </w:tc>
        <w:tc>
          <w:tcPr>
            <w:tcW w:w="1074" w:type="dxa"/>
            <w:tcBorders>
              <w:top w:val="nil"/>
              <w:left w:val="nil"/>
              <w:bottom w:val="single" w:sz="4" w:space="0" w:color="auto"/>
              <w:right w:val="double" w:sz="4" w:space="0" w:color="auto"/>
            </w:tcBorders>
            <w:shd w:val="clear" w:color="auto" w:fill="auto"/>
            <w:noWrap/>
            <w:vAlign w:val="center"/>
            <w:hideMark/>
          </w:tcPr>
          <w:p w14:paraId="1312DFF7" w14:textId="77777777" w:rsidR="00472474" w:rsidRPr="007D6A50" w:rsidRDefault="00472474" w:rsidP="00AC636C">
            <w:pPr>
              <w:spacing w:after="0" w:line="240" w:lineRule="auto"/>
              <w:jc w:val="right"/>
              <w:rPr>
                <w:rFonts w:eastAsia="Times New Roman"/>
                <w:color w:val="000000"/>
                <w:sz w:val="22"/>
                <w:szCs w:val="22"/>
              </w:rPr>
            </w:pPr>
            <w:r>
              <w:rPr>
                <w:rFonts w:eastAsia="Times New Roman"/>
                <w:color w:val="000000"/>
                <w:sz w:val="22"/>
                <w:szCs w:val="22"/>
              </w:rPr>
              <w:t>2</w:t>
            </w:r>
            <w:r w:rsidRPr="007D6A50">
              <w:rPr>
                <w:rFonts w:eastAsia="Times New Roman"/>
                <w:color w:val="000000"/>
                <w:sz w:val="22"/>
                <w:szCs w:val="22"/>
              </w:rPr>
              <w:t>.</w:t>
            </w:r>
            <w:r>
              <w:rPr>
                <w:rFonts w:eastAsia="Times New Roman"/>
                <w:color w:val="000000"/>
                <w:sz w:val="22"/>
                <w:szCs w:val="22"/>
              </w:rPr>
              <w:t>57</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5626BC4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2712D14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7F4766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18700C5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7CB44BBE" w14:textId="77777777" w:rsidTr="00AC636C">
        <w:trPr>
          <w:trHeight w:val="20"/>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002A9575" w14:textId="77777777" w:rsidR="00472474" w:rsidRPr="007D6A50" w:rsidRDefault="00472474" w:rsidP="00AC636C">
            <w:pPr>
              <w:spacing w:after="0" w:line="240" w:lineRule="auto"/>
              <w:rPr>
                <w:rFonts w:eastAsia="Times New Roman"/>
                <w:b/>
                <w:bCs/>
                <w:color w:val="000000"/>
                <w:sz w:val="22"/>
                <w:szCs w:val="22"/>
              </w:rPr>
            </w:pPr>
            <w:r w:rsidRPr="007D6A50">
              <w:rPr>
                <w:rFonts w:eastAsia="Times New Roman"/>
                <w:b/>
                <w:bCs/>
                <w:color w:val="000000"/>
                <w:sz w:val="22"/>
                <w:szCs w:val="22"/>
              </w:rPr>
              <w:t>COVID-19 Perspectives</w:t>
            </w:r>
          </w:p>
        </w:tc>
      </w:tr>
      <w:tr w:rsidR="00472474" w:rsidRPr="007D6A50" w14:paraId="2E49AE70" w14:textId="77777777" w:rsidTr="00AC636C">
        <w:trPr>
          <w:trHeight w:val="20"/>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2BCAB89A" w14:textId="77777777" w:rsidR="00472474" w:rsidRPr="007D6A50" w:rsidRDefault="00472474" w:rsidP="00AC636C">
            <w:pPr>
              <w:spacing w:after="0" w:line="240" w:lineRule="auto"/>
              <w:ind w:left="162"/>
              <w:rPr>
                <w:rFonts w:eastAsia="Times New Roman"/>
                <w:color w:val="000000"/>
                <w:sz w:val="22"/>
                <w:szCs w:val="22"/>
              </w:rPr>
            </w:pPr>
            <w:r w:rsidRPr="007D6A50">
              <w:rPr>
                <w:rFonts w:eastAsia="Times New Roman"/>
                <w:color w:val="000000"/>
                <w:sz w:val="22"/>
                <w:szCs w:val="22"/>
              </w:rPr>
              <w:t>COVID-19 was/still is a threat to my loved ones</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1B18C87C"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-0.205</w:t>
            </w:r>
          </w:p>
        </w:tc>
        <w:tc>
          <w:tcPr>
            <w:tcW w:w="1074" w:type="dxa"/>
            <w:tcBorders>
              <w:top w:val="nil"/>
              <w:left w:val="nil"/>
              <w:bottom w:val="single" w:sz="4" w:space="0" w:color="auto"/>
              <w:right w:val="double" w:sz="4" w:space="0" w:color="auto"/>
            </w:tcBorders>
            <w:shd w:val="clear" w:color="auto" w:fill="auto"/>
            <w:noWrap/>
            <w:vAlign w:val="center"/>
            <w:hideMark/>
          </w:tcPr>
          <w:p w14:paraId="20CFFD0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-3.04</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662B20C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1F9467D4"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B5FF015"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4A8A14B8"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7A6A9C8B" w14:textId="77777777" w:rsidTr="00AC636C">
        <w:trPr>
          <w:trHeight w:val="20"/>
        </w:trPr>
        <w:tc>
          <w:tcPr>
            <w:tcW w:w="2907" w:type="dxa"/>
            <w:tcBorders>
              <w:top w:val="nil"/>
              <w:left w:val="double" w:sz="4" w:space="0" w:color="auto"/>
              <w:bottom w:val="double" w:sz="4" w:space="0" w:color="auto"/>
              <w:right w:val="double" w:sz="4" w:space="0" w:color="auto"/>
            </w:tcBorders>
            <w:shd w:val="clear" w:color="auto" w:fill="auto"/>
            <w:noWrap/>
            <w:vAlign w:val="center"/>
            <w:hideMark/>
          </w:tcPr>
          <w:p w14:paraId="5BB5BF20" w14:textId="77777777" w:rsidR="00472474" w:rsidRPr="007D6A50" w:rsidRDefault="00472474" w:rsidP="00AC636C">
            <w:pPr>
              <w:spacing w:after="0" w:line="240" w:lineRule="auto"/>
              <w:ind w:left="162"/>
              <w:rPr>
                <w:rFonts w:eastAsia="Times New Roman"/>
                <w:color w:val="000000"/>
                <w:sz w:val="22"/>
                <w:szCs w:val="22"/>
              </w:rPr>
            </w:pPr>
            <w:r w:rsidRPr="007D6A50">
              <w:rPr>
                <w:rFonts w:eastAsia="Times New Roman"/>
                <w:color w:val="000000"/>
                <w:sz w:val="22"/>
                <w:szCs w:val="22"/>
              </w:rPr>
              <w:t>My personal well</w:t>
            </w:r>
            <w:r>
              <w:rPr>
                <w:rFonts w:eastAsia="Times New Roman"/>
                <w:color w:val="000000"/>
                <w:sz w:val="22"/>
                <w:szCs w:val="22"/>
              </w:rPr>
              <w:t>-</w:t>
            </w:r>
            <w:r w:rsidRPr="007D6A50">
              <w:rPr>
                <w:rFonts w:eastAsia="Times New Roman"/>
                <w:color w:val="000000"/>
                <w:sz w:val="22"/>
                <w:szCs w:val="22"/>
              </w:rPr>
              <w:t>being was or still is at risk during the pandemic</w:t>
            </w:r>
          </w:p>
        </w:tc>
        <w:tc>
          <w:tcPr>
            <w:tcW w:w="1073" w:type="dxa"/>
            <w:tcBorders>
              <w:top w:val="nil"/>
              <w:left w:val="double" w:sz="4" w:space="0" w:color="auto"/>
              <w:bottom w:val="double" w:sz="4" w:space="0" w:color="auto"/>
              <w:right w:val="single" w:sz="4" w:space="0" w:color="auto"/>
            </w:tcBorders>
            <w:shd w:val="clear" w:color="auto" w:fill="auto"/>
            <w:noWrap/>
            <w:vAlign w:val="center"/>
            <w:hideMark/>
          </w:tcPr>
          <w:p w14:paraId="6672108E"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w:t>
            </w:r>
          </w:p>
        </w:tc>
        <w:tc>
          <w:tcPr>
            <w:tcW w:w="1074" w:type="dxa"/>
            <w:tcBorders>
              <w:top w:val="nil"/>
              <w:left w:val="nil"/>
              <w:bottom w:val="double" w:sz="4" w:space="0" w:color="auto"/>
              <w:right w:val="double" w:sz="4" w:space="0" w:color="auto"/>
            </w:tcBorders>
            <w:shd w:val="clear" w:color="auto" w:fill="auto"/>
            <w:noWrap/>
            <w:vAlign w:val="center"/>
            <w:hideMark/>
          </w:tcPr>
          <w:p w14:paraId="40F200E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w:t>
            </w:r>
          </w:p>
        </w:tc>
        <w:tc>
          <w:tcPr>
            <w:tcW w:w="1074" w:type="dxa"/>
            <w:tcBorders>
              <w:top w:val="nil"/>
              <w:left w:val="double" w:sz="4" w:space="0" w:color="auto"/>
              <w:bottom w:val="double" w:sz="4" w:space="0" w:color="auto"/>
              <w:right w:val="single" w:sz="4" w:space="0" w:color="auto"/>
            </w:tcBorders>
            <w:shd w:val="clear" w:color="auto" w:fill="auto"/>
            <w:noWrap/>
            <w:vAlign w:val="center"/>
            <w:hideMark/>
          </w:tcPr>
          <w:p w14:paraId="1F1AB98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0.234</w:t>
            </w:r>
          </w:p>
        </w:tc>
        <w:tc>
          <w:tcPr>
            <w:tcW w:w="1074" w:type="dxa"/>
            <w:tcBorders>
              <w:top w:val="nil"/>
              <w:left w:val="nil"/>
              <w:bottom w:val="double" w:sz="4" w:space="0" w:color="auto"/>
              <w:right w:val="double" w:sz="4" w:space="0" w:color="auto"/>
            </w:tcBorders>
            <w:shd w:val="clear" w:color="auto" w:fill="auto"/>
            <w:noWrap/>
            <w:vAlign w:val="center"/>
            <w:hideMark/>
          </w:tcPr>
          <w:p w14:paraId="5F4B33D2"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2.68</w:t>
            </w:r>
          </w:p>
        </w:tc>
        <w:tc>
          <w:tcPr>
            <w:tcW w:w="1074" w:type="dxa"/>
            <w:tcBorders>
              <w:top w:val="nil"/>
              <w:left w:val="double" w:sz="4" w:space="0" w:color="auto"/>
              <w:bottom w:val="double" w:sz="4" w:space="0" w:color="auto"/>
              <w:right w:val="single" w:sz="4" w:space="0" w:color="auto"/>
            </w:tcBorders>
            <w:shd w:val="clear" w:color="auto" w:fill="auto"/>
            <w:noWrap/>
            <w:vAlign w:val="center"/>
            <w:hideMark/>
          </w:tcPr>
          <w:p w14:paraId="630FF4B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0.180</w:t>
            </w:r>
          </w:p>
        </w:tc>
        <w:tc>
          <w:tcPr>
            <w:tcW w:w="1074" w:type="dxa"/>
            <w:tcBorders>
              <w:top w:val="nil"/>
              <w:left w:val="nil"/>
              <w:bottom w:val="double" w:sz="4" w:space="0" w:color="auto"/>
              <w:right w:val="double" w:sz="4" w:space="0" w:color="auto"/>
            </w:tcBorders>
            <w:shd w:val="clear" w:color="auto" w:fill="auto"/>
            <w:noWrap/>
            <w:vAlign w:val="center"/>
            <w:hideMark/>
          </w:tcPr>
          <w:p w14:paraId="762B691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2.56</w:t>
            </w:r>
          </w:p>
        </w:tc>
      </w:tr>
    </w:tbl>
    <w:p w14:paraId="67048BF0" w14:textId="77777777" w:rsidR="00472474" w:rsidRDefault="00472474" w:rsidP="00472474">
      <w:pPr>
        <w:spacing w:after="0" w:line="240" w:lineRule="auto"/>
      </w:pPr>
    </w:p>
    <w:p w14:paraId="34795160" w14:textId="24F8DB97" w:rsidR="00472474" w:rsidRPr="00D366FA" w:rsidRDefault="00472474" w:rsidP="00472474">
      <w:pPr>
        <w:pStyle w:val="Caption"/>
        <w:spacing w:after="120"/>
        <w:rPr>
          <w:sz w:val="24"/>
          <w:szCs w:val="24"/>
        </w:rPr>
      </w:pPr>
      <w:r w:rsidRPr="002C5F6C">
        <w:rPr>
          <w:sz w:val="24"/>
          <w:szCs w:val="24"/>
        </w:rPr>
        <w:t xml:space="preserve">Table </w:t>
      </w:r>
      <w:r>
        <w:rPr>
          <w:sz w:val="24"/>
          <w:szCs w:val="24"/>
        </w:rPr>
        <w:t>3</w:t>
      </w:r>
      <w:r w:rsidRPr="002C5F6C">
        <w:rPr>
          <w:sz w:val="24"/>
          <w:szCs w:val="24"/>
        </w:rPr>
        <w:t xml:space="preserve">. Estimation </w:t>
      </w:r>
      <w:r w:rsidR="000E1B51">
        <w:rPr>
          <w:sz w:val="24"/>
          <w:szCs w:val="24"/>
        </w:rPr>
        <w:t>r</w:t>
      </w:r>
      <w:r w:rsidRPr="002C5F6C">
        <w:rPr>
          <w:sz w:val="24"/>
          <w:szCs w:val="24"/>
        </w:rPr>
        <w:t xml:space="preserve">esults </w:t>
      </w:r>
      <w:r>
        <w:rPr>
          <w:sz w:val="24"/>
          <w:szCs w:val="24"/>
        </w:rPr>
        <w:t>(contd.)</w:t>
      </w:r>
    </w:p>
    <w:tbl>
      <w:tblPr>
        <w:tblW w:w="9350" w:type="dxa"/>
        <w:tblLayout w:type="fixed"/>
        <w:tblLook w:val="04A0" w:firstRow="1" w:lastRow="0" w:firstColumn="1" w:lastColumn="0" w:noHBand="0" w:noVBand="1"/>
      </w:tblPr>
      <w:tblGrid>
        <w:gridCol w:w="2907"/>
        <w:gridCol w:w="1073"/>
        <w:gridCol w:w="1074"/>
        <w:gridCol w:w="1074"/>
        <w:gridCol w:w="1074"/>
        <w:gridCol w:w="1074"/>
        <w:gridCol w:w="1074"/>
      </w:tblGrid>
      <w:tr w:rsidR="00472474" w:rsidRPr="007D6A50" w14:paraId="4B62E3CD" w14:textId="77777777" w:rsidTr="00472474">
        <w:trPr>
          <w:trHeight w:val="288"/>
        </w:trPr>
        <w:tc>
          <w:tcPr>
            <w:tcW w:w="2907" w:type="dxa"/>
            <w:vMerge w:val="restart"/>
            <w:tcBorders>
              <w:top w:val="double" w:sz="4" w:space="0" w:color="auto"/>
              <w:left w:val="double" w:sz="4" w:space="0" w:color="auto"/>
              <w:right w:val="double" w:sz="4" w:space="0" w:color="auto"/>
            </w:tcBorders>
            <w:shd w:val="clear" w:color="auto" w:fill="auto"/>
            <w:noWrap/>
            <w:vAlign w:val="center"/>
          </w:tcPr>
          <w:p w14:paraId="2D33ABE3" w14:textId="77777777" w:rsidR="00472474" w:rsidRPr="007D6A50" w:rsidRDefault="00472474" w:rsidP="0077577E">
            <w:pPr>
              <w:spacing w:after="0" w:line="240" w:lineRule="auto"/>
              <w:ind w:left="60"/>
              <w:rPr>
                <w:rFonts w:eastAsia="Times New Roman"/>
                <w:color w:val="000000"/>
                <w:sz w:val="22"/>
                <w:szCs w:val="22"/>
              </w:rPr>
            </w:pPr>
            <w:r w:rsidRPr="007D6A50">
              <w:rPr>
                <w:rFonts w:eastAsia="Times New Roman"/>
                <w:b/>
                <w:bCs/>
                <w:color w:val="000000"/>
                <w:sz w:val="22"/>
                <w:szCs w:val="22"/>
              </w:rPr>
              <w:t>Variables</w:t>
            </w:r>
          </w:p>
        </w:tc>
        <w:tc>
          <w:tcPr>
            <w:tcW w:w="2147" w:type="dxa"/>
            <w:gridSpan w:val="2"/>
            <w:tcBorders>
              <w:top w:val="double" w:sz="4" w:space="0" w:color="auto"/>
              <w:left w:val="double" w:sz="4" w:space="0" w:color="auto"/>
              <w:bottom w:val="single" w:sz="4" w:space="0" w:color="auto"/>
              <w:right w:val="double" w:sz="4" w:space="0" w:color="auto"/>
            </w:tcBorders>
            <w:shd w:val="clear" w:color="auto" w:fill="auto"/>
            <w:noWrap/>
            <w:vAlign w:val="center"/>
          </w:tcPr>
          <w:p w14:paraId="3255FF67" w14:textId="77777777" w:rsidR="00472474" w:rsidRPr="007D6A50" w:rsidRDefault="00472474" w:rsidP="00AC636C">
            <w:pPr>
              <w:spacing w:after="0" w:line="240" w:lineRule="auto"/>
              <w:jc w:val="center"/>
              <w:rPr>
                <w:rFonts w:eastAsia="Times New Roman"/>
                <w:color w:val="000000"/>
                <w:sz w:val="22"/>
                <w:szCs w:val="22"/>
              </w:rPr>
            </w:pPr>
            <w:r w:rsidRPr="007D6A50">
              <w:rPr>
                <w:rFonts w:eastAsia="Times New Roman"/>
                <w:b/>
                <w:bCs/>
                <w:color w:val="000000"/>
                <w:sz w:val="22"/>
                <w:szCs w:val="22"/>
              </w:rPr>
              <w:t>Eat-out</w:t>
            </w:r>
          </w:p>
        </w:tc>
        <w:tc>
          <w:tcPr>
            <w:tcW w:w="2148" w:type="dxa"/>
            <w:gridSpan w:val="2"/>
            <w:tcBorders>
              <w:top w:val="double" w:sz="4" w:space="0" w:color="auto"/>
              <w:left w:val="double" w:sz="4" w:space="0" w:color="auto"/>
              <w:bottom w:val="single" w:sz="4" w:space="0" w:color="auto"/>
              <w:right w:val="double" w:sz="4" w:space="0" w:color="auto"/>
            </w:tcBorders>
            <w:shd w:val="clear" w:color="auto" w:fill="auto"/>
            <w:noWrap/>
            <w:vAlign w:val="center"/>
          </w:tcPr>
          <w:p w14:paraId="2833E763"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Eat-in Takeout</w:t>
            </w:r>
          </w:p>
        </w:tc>
        <w:tc>
          <w:tcPr>
            <w:tcW w:w="2148" w:type="dxa"/>
            <w:gridSpan w:val="2"/>
            <w:tcBorders>
              <w:top w:val="double" w:sz="4" w:space="0" w:color="auto"/>
              <w:left w:val="double" w:sz="4" w:space="0" w:color="auto"/>
              <w:bottom w:val="single" w:sz="4" w:space="0" w:color="auto"/>
              <w:right w:val="double" w:sz="4" w:space="0" w:color="auto"/>
            </w:tcBorders>
            <w:shd w:val="clear" w:color="auto" w:fill="auto"/>
            <w:noWrap/>
            <w:vAlign w:val="center"/>
          </w:tcPr>
          <w:p w14:paraId="6A409A0D"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Eat-in Delivery</w:t>
            </w:r>
          </w:p>
        </w:tc>
      </w:tr>
      <w:tr w:rsidR="00472474" w:rsidRPr="007D6A50" w14:paraId="15BD8AA8" w14:textId="77777777" w:rsidTr="00472474">
        <w:trPr>
          <w:trHeight w:val="288"/>
        </w:trPr>
        <w:tc>
          <w:tcPr>
            <w:tcW w:w="2907" w:type="dxa"/>
            <w:vMerge/>
            <w:tcBorders>
              <w:left w:val="double" w:sz="4" w:space="0" w:color="auto"/>
              <w:bottom w:val="double" w:sz="4" w:space="0" w:color="auto"/>
              <w:right w:val="double" w:sz="4" w:space="0" w:color="auto"/>
            </w:tcBorders>
            <w:shd w:val="clear" w:color="auto" w:fill="auto"/>
            <w:noWrap/>
            <w:vAlign w:val="center"/>
          </w:tcPr>
          <w:p w14:paraId="2BCA0BB6" w14:textId="77777777" w:rsidR="00472474" w:rsidRPr="007D6A50" w:rsidRDefault="00472474" w:rsidP="00AC636C">
            <w:pPr>
              <w:spacing w:after="0" w:line="240" w:lineRule="auto"/>
              <w:ind w:left="162"/>
              <w:rPr>
                <w:rFonts w:eastAsia="Times New Roman"/>
                <w:color w:val="000000"/>
                <w:sz w:val="22"/>
                <w:szCs w:val="22"/>
              </w:rPr>
            </w:pPr>
          </w:p>
        </w:tc>
        <w:tc>
          <w:tcPr>
            <w:tcW w:w="1073" w:type="dxa"/>
            <w:tcBorders>
              <w:top w:val="nil"/>
              <w:left w:val="double" w:sz="4" w:space="0" w:color="auto"/>
              <w:bottom w:val="double" w:sz="4" w:space="0" w:color="auto"/>
              <w:right w:val="single" w:sz="4" w:space="0" w:color="auto"/>
            </w:tcBorders>
            <w:shd w:val="clear" w:color="auto" w:fill="auto"/>
            <w:noWrap/>
            <w:vAlign w:val="center"/>
          </w:tcPr>
          <w:p w14:paraId="01300F9A" w14:textId="77777777" w:rsidR="00472474" w:rsidRPr="007D6A50" w:rsidRDefault="00472474" w:rsidP="00AC636C">
            <w:pPr>
              <w:spacing w:after="0" w:line="240" w:lineRule="auto"/>
              <w:jc w:val="center"/>
              <w:rPr>
                <w:rFonts w:eastAsia="Times New Roman"/>
                <w:color w:val="000000"/>
                <w:sz w:val="22"/>
                <w:szCs w:val="22"/>
              </w:rPr>
            </w:pPr>
            <w:r w:rsidRPr="007D6A50">
              <w:rPr>
                <w:rFonts w:eastAsia="Times New Roman"/>
                <w:b/>
                <w:bCs/>
                <w:color w:val="000000"/>
                <w:sz w:val="22"/>
                <w:szCs w:val="22"/>
              </w:rPr>
              <w:t>Coef.</w:t>
            </w:r>
          </w:p>
        </w:tc>
        <w:tc>
          <w:tcPr>
            <w:tcW w:w="1074" w:type="dxa"/>
            <w:tcBorders>
              <w:top w:val="nil"/>
              <w:left w:val="nil"/>
              <w:bottom w:val="double" w:sz="4" w:space="0" w:color="auto"/>
              <w:right w:val="double" w:sz="4" w:space="0" w:color="auto"/>
            </w:tcBorders>
            <w:shd w:val="clear" w:color="auto" w:fill="auto"/>
            <w:noWrap/>
            <w:vAlign w:val="center"/>
          </w:tcPr>
          <w:p w14:paraId="2BD32930" w14:textId="77777777" w:rsidR="00472474" w:rsidRPr="007D6A50" w:rsidRDefault="00472474" w:rsidP="00AC636C">
            <w:pPr>
              <w:spacing w:after="0" w:line="240" w:lineRule="auto"/>
              <w:jc w:val="center"/>
              <w:rPr>
                <w:rFonts w:eastAsia="Times New Roman"/>
                <w:color w:val="000000"/>
                <w:sz w:val="22"/>
                <w:szCs w:val="22"/>
              </w:rPr>
            </w:pPr>
            <w:r w:rsidRPr="007D6A50">
              <w:rPr>
                <w:rFonts w:eastAsia="Times New Roman"/>
                <w:b/>
                <w:bCs/>
                <w:color w:val="000000"/>
                <w:sz w:val="22"/>
                <w:szCs w:val="22"/>
              </w:rPr>
              <w:t>t-stat</w:t>
            </w:r>
          </w:p>
        </w:tc>
        <w:tc>
          <w:tcPr>
            <w:tcW w:w="1074" w:type="dxa"/>
            <w:tcBorders>
              <w:top w:val="nil"/>
              <w:left w:val="double" w:sz="4" w:space="0" w:color="auto"/>
              <w:bottom w:val="double" w:sz="4" w:space="0" w:color="auto"/>
              <w:right w:val="single" w:sz="4" w:space="0" w:color="auto"/>
            </w:tcBorders>
            <w:shd w:val="clear" w:color="auto" w:fill="auto"/>
            <w:noWrap/>
            <w:vAlign w:val="center"/>
          </w:tcPr>
          <w:p w14:paraId="5EDFF0A7"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Coef.</w:t>
            </w:r>
          </w:p>
        </w:tc>
        <w:tc>
          <w:tcPr>
            <w:tcW w:w="1074" w:type="dxa"/>
            <w:tcBorders>
              <w:top w:val="nil"/>
              <w:left w:val="nil"/>
              <w:bottom w:val="double" w:sz="4" w:space="0" w:color="auto"/>
              <w:right w:val="double" w:sz="4" w:space="0" w:color="auto"/>
            </w:tcBorders>
            <w:shd w:val="clear" w:color="auto" w:fill="auto"/>
            <w:noWrap/>
            <w:vAlign w:val="center"/>
          </w:tcPr>
          <w:p w14:paraId="50201052"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t-stat</w:t>
            </w:r>
          </w:p>
        </w:tc>
        <w:tc>
          <w:tcPr>
            <w:tcW w:w="1074" w:type="dxa"/>
            <w:tcBorders>
              <w:top w:val="nil"/>
              <w:left w:val="double" w:sz="4" w:space="0" w:color="auto"/>
              <w:bottom w:val="double" w:sz="4" w:space="0" w:color="auto"/>
              <w:right w:val="single" w:sz="4" w:space="0" w:color="auto"/>
            </w:tcBorders>
            <w:shd w:val="clear" w:color="auto" w:fill="auto"/>
            <w:noWrap/>
            <w:vAlign w:val="center"/>
          </w:tcPr>
          <w:p w14:paraId="791EED42"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Coef.</w:t>
            </w:r>
          </w:p>
        </w:tc>
        <w:tc>
          <w:tcPr>
            <w:tcW w:w="1074" w:type="dxa"/>
            <w:tcBorders>
              <w:top w:val="nil"/>
              <w:left w:val="nil"/>
              <w:bottom w:val="double" w:sz="4" w:space="0" w:color="auto"/>
              <w:right w:val="double" w:sz="4" w:space="0" w:color="auto"/>
            </w:tcBorders>
            <w:shd w:val="clear" w:color="auto" w:fill="auto"/>
            <w:noWrap/>
            <w:vAlign w:val="center"/>
          </w:tcPr>
          <w:p w14:paraId="3280E427" w14:textId="77777777" w:rsidR="00472474" w:rsidRPr="007D6A50" w:rsidRDefault="00472474" w:rsidP="00AC636C">
            <w:pPr>
              <w:spacing w:after="0" w:line="240" w:lineRule="auto"/>
              <w:jc w:val="center"/>
              <w:rPr>
                <w:rFonts w:eastAsia="Times New Roman"/>
                <w:b/>
                <w:bCs/>
                <w:color w:val="000000"/>
                <w:sz w:val="22"/>
                <w:szCs w:val="22"/>
              </w:rPr>
            </w:pPr>
            <w:r w:rsidRPr="007D6A50">
              <w:rPr>
                <w:rFonts w:eastAsia="Times New Roman"/>
                <w:b/>
                <w:bCs/>
                <w:color w:val="000000"/>
                <w:sz w:val="22"/>
                <w:szCs w:val="22"/>
              </w:rPr>
              <w:t>t-stat</w:t>
            </w:r>
          </w:p>
        </w:tc>
      </w:tr>
      <w:tr w:rsidR="00472474" w:rsidRPr="007D6A50" w14:paraId="0E1DE3AB" w14:textId="77777777" w:rsidTr="00472474">
        <w:trPr>
          <w:trHeight w:val="288"/>
        </w:trPr>
        <w:tc>
          <w:tcPr>
            <w:tcW w:w="9350" w:type="dxa"/>
            <w:gridSpan w:val="7"/>
            <w:tcBorders>
              <w:top w:val="double" w:sz="4" w:space="0" w:color="auto"/>
              <w:left w:val="double" w:sz="4" w:space="0" w:color="auto"/>
              <w:bottom w:val="single" w:sz="4" w:space="0" w:color="auto"/>
              <w:right w:val="double" w:sz="4" w:space="0" w:color="auto"/>
            </w:tcBorders>
            <w:shd w:val="clear" w:color="auto" w:fill="auto"/>
            <w:noWrap/>
            <w:vAlign w:val="center"/>
          </w:tcPr>
          <w:p w14:paraId="237D0462" w14:textId="77777777" w:rsidR="00472474" w:rsidRPr="007D6A50" w:rsidRDefault="00472474" w:rsidP="00AC636C">
            <w:pPr>
              <w:spacing w:after="0" w:line="240" w:lineRule="auto"/>
              <w:rPr>
                <w:rFonts w:eastAsia="Times New Roman"/>
                <w:b/>
                <w:bCs/>
                <w:color w:val="000000"/>
                <w:sz w:val="22"/>
                <w:szCs w:val="22"/>
              </w:rPr>
            </w:pPr>
            <w:r w:rsidRPr="007D6A50">
              <w:rPr>
                <w:rFonts w:eastAsia="Times New Roman"/>
                <w:b/>
                <w:bCs/>
                <w:color w:val="000000"/>
                <w:sz w:val="22"/>
                <w:szCs w:val="22"/>
              </w:rPr>
              <w:t>COVID-19 Perspectives</w:t>
            </w:r>
          </w:p>
        </w:tc>
      </w:tr>
      <w:tr w:rsidR="00472474" w:rsidRPr="007D6A50" w14:paraId="2B32B60A"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2BB3D636" w14:textId="77777777" w:rsidR="00472474" w:rsidRPr="007D6A50" w:rsidRDefault="00472474" w:rsidP="00AC636C">
            <w:pPr>
              <w:spacing w:after="0" w:line="240" w:lineRule="auto"/>
              <w:ind w:left="162"/>
              <w:rPr>
                <w:rFonts w:eastAsia="Times New Roman"/>
                <w:color w:val="000000"/>
                <w:sz w:val="22"/>
                <w:szCs w:val="22"/>
              </w:rPr>
            </w:pPr>
            <w:r w:rsidRPr="007D6A50">
              <w:rPr>
                <w:rFonts w:eastAsia="Times New Roman"/>
                <w:color w:val="000000"/>
                <w:sz w:val="22"/>
                <w:szCs w:val="22"/>
              </w:rPr>
              <w:t>Someone I live with or frequently visit immunocompromised</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2D2DAD3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-0.261</w:t>
            </w:r>
          </w:p>
        </w:tc>
        <w:tc>
          <w:tcPr>
            <w:tcW w:w="1074" w:type="dxa"/>
            <w:tcBorders>
              <w:top w:val="nil"/>
              <w:left w:val="nil"/>
              <w:bottom w:val="single" w:sz="4" w:space="0" w:color="auto"/>
              <w:right w:val="double" w:sz="4" w:space="0" w:color="auto"/>
            </w:tcBorders>
            <w:shd w:val="clear" w:color="auto" w:fill="auto"/>
            <w:noWrap/>
            <w:vAlign w:val="center"/>
            <w:hideMark/>
          </w:tcPr>
          <w:p w14:paraId="4C5AB10E"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-3.67</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E474804"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1FA2AAC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3E7F6326"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380B792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339AE713" w14:textId="77777777" w:rsidTr="00472474">
        <w:trPr>
          <w:trHeight w:val="288"/>
        </w:trPr>
        <w:tc>
          <w:tcPr>
            <w:tcW w:w="9350" w:type="dxa"/>
            <w:gridSpan w:val="7"/>
            <w:tcBorders>
              <w:top w:val="single" w:sz="4" w:space="0" w:color="auto"/>
              <w:left w:val="double" w:sz="4" w:space="0" w:color="auto"/>
              <w:bottom w:val="single" w:sz="4" w:space="0" w:color="auto"/>
              <w:right w:val="double" w:sz="4" w:space="0" w:color="auto"/>
            </w:tcBorders>
            <w:shd w:val="clear" w:color="auto" w:fill="auto"/>
            <w:vAlign w:val="center"/>
            <w:hideMark/>
          </w:tcPr>
          <w:p w14:paraId="537E694F" w14:textId="77777777" w:rsidR="00472474" w:rsidRPr="007D6A50" w:rsidRDefault="00472474" w:rsidP="00AC636C">
            <w:pPr>
              <w:spacing w:after="0" w:line="240" w:lineRule="auto"/>
              <w:rPr>
                <w:rFonts w:eastAsia="Times New Roman"/>
                <w:b/>
                <w:bCs/>
                <w:color w:val="000000"/>
                <w:sz w:val="22"/>
                <w:szCs w:val="22"/>
              </w:rPr>
            </w:pPr>
            <w:r w:rsidRPr="007D6A50">
              <w:rPr>
                <w:rFonts w:eastAsia="Times New Roman"/>
                <w:b/>
                <w:bCs/>
                <w:color w:val="000000"/>
                <w:sz w:val="22"/>
                <w:szCs w:val="22"/>
              </w:rPr>
              <w:t>Thresholds</w:t>
            </w:r>
          </w:p>
        </w:tc>
      </w:tr>
      <w:tr w:rsidR="00472474" w:rsidRPr="007D6A50" w14:paraId="4F2FB3F1"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589F828B" w14:textId="77777777" w:rsidR="00472474" w:rsidRPr="007D6A50" w:rsidRDefault="00472474" w:rsidP="00AC636C">
            <w:pPr>
              <w:spacing w:after="0" w:line="240" w:lineRule="auto"/>
              <w:ind w:left="162"/>
              <w:rPr>
                <w:rFonts w:eastAsia="Times New Roman"/>
                <w:b/>
                <w:color w:val="000000"/>
                <w:sz w:val="22"/>
                <w:szCs w:val="22"/>
              </w:rPr>
            </w:pPr>
            <w:r w:rsidRPr="007D6A50">
              <w:rPr>
                <w:rFonts w:eastAsia="Times New Roman"/>
                <w:b/>
                <w:bCs/>
                <w:color w:val="000000"/>
                <w:sz w:val="22"/>
                <w:szCs w:val="22"/>
              </w:rPr>
              <w:t>1</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7A5FE2A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-0.382</w:t>
            </w:r>
          </w:p>
        </w:tc>
        <w:tc>
          <w:tcPr>
            <w:tcW w:w="1074" w:type="dxa"/>
            <w:tcBorders>
              <w:top w:val="nil"/>
              <w:left w:val="nil"/>
              <w:bottom w:val="single" w:sz="4" w:space="0" w:color="auto"/>
              <w:right w:val="double" w:sz="4" w:space="0" w:color="auto"/>
            </w:tcBorders>
            <w:shd w:val="clear" w:color="auto" w:fill="auto"/>
            <w:noWrap/>
            <w:vAlign w:val="center"/>
            <w:hideMark/>
          </w:tcPr>
          <w:p w14:paraId="4B8686BE"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-2.26</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02EC06DC"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0.585</w:t>
            </w:r>
          </w:p>
        </w:tc>
        <w:tc>
          <w:tcPr>
            <w:tcW w:w="1074" w:type="dxa"/>
            <w:tcBorders>
              <w:top w:val="nil"/>
              <w:left w:val="nil"/>
              <w:bottom w:val="single" w:sz="4" w:space="0" w:color="auto"/>
              <w:right w:val="double" w:sz="4" w:space="0" w:color="auto"/>
            </w:tcBorders>
            <w:shd w:val="clear" w:color="auto" w:fill="auto"/>
            <w:noWrap/>
            <w:vAlign w:val="center"/>
            <w:hideMark/>
          </w:tcPr>
          <w:p w14:paraId="33CFE59D"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2.85</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9A87AA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0.457</w:t>
            </w:r>
          </w:p>
        </w:tc>
        <w:tc>
          <w:tcPr>
            <w:tcW w:w="1074" w:type="dxa"/>
            <w:tcBorders>
              <w:top w:val="nil"/>
              <w:left w:val="nil"/>
              <w:bottom w:val="single" w:sz="4" w:space="0" w:color="auto"/>
              <w:right w:val="double" w:sz="4" w:space="0" w:color="auto"/>
            </w:tcBorders>
            <w:shd w:val="clear" w:color="auto" w:fill="auto"/>
            <w:noWrap/>
            <w:vAlign w:val="center"/>
            <w:hideMark/>
          </w:tcPr>
          <w:p w14:paraId="5F760F2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2.85</w:t>
            </w:r>
          </w:p>
        </w:tc>
      </w:tr>
      <w:tr w:rsidR="00472474" w:rsidRPr="007D6A50" w14:paraId="5AA72DC2"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7416F28C" w14:textId="77777777" w:rsidR="00472474" w:rsidRPr="007D6A50" w:rsidRDefault="00472474" w:rsidP="00AC636C">
            <w:pPr>
              <w:spacing w:after="0" w:line="240" w:lineRule="auto"/>
              <w:ind w:left="162"/>
              <w:rPr>
                <w:rFonts w:eastAsia="Times New Roman"/>
                <w:b/>
                <w:color w:val="000000"/>
                <w:sz w:val="22"/>
                <w:szCs w:val="22"/>
              </w:rPr>
            </w:pPr>
            <w:r w:rsidRPr="007D6A50">
              <w:rPr>
                <w:rFonts w:eastAsia="Times New Roman"/>
                <w:b/>
                <w:bCs/>
                <w:color w:val="000000"/>
                <w:sz w:val="22"/>
                <w:szCs w:val="22"/>
              </w:rPr>
              <w:t>2</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2F63E86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-0.034</w:t>
            </w:r>
          </w:p>
        </w:tc>
        <w:tc>
          <w:tcPr>
            <w:tcW w:w="1074" w:type="dxa"/>
            <w:tcBorders>
              <w:top w:val="nil"/>
              <w:left w:val="nil"/>
              <w:bottom w:val="single" w:sz="4" w:space="0" w:color="auto"/>
              <w:right w:val="double" w:sz="4" w:space="0" w:color="auto"/>
            </w:tcBorders>
            <w:shd w:val="clear" w:color="auto" w:fill="auto"/>
            <w:noWrap/>
            <w:vAlign w:val="center"/>
            <w:hideMark/>
          </w:tcPr>
          <w:p w14:paraId="26D8C2AB"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-0.21</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64B0D38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0.879</w:t>
            </w:r>
          </w:p>
        </w:tc>
        <w:tc>
          <w:tcPr>
            <w:tcW w:w="1074" w:type="dxa"/>
            <w:tcBorders>
              <w:top w:val="nil"/>
              <w:left w:val="nil"/>
              <w:bottom w:val="single" w:sz="4" w:space="0" w:color="auto"/>
              <w:right w:val="double" w:sz="4" w:space="0" w:color="auto"/>
            </w:tcBorders>
            <w:shd w:val="clear" w:color="auto" w:fill="auto"/>
            <w:noWrap/>
            <w:vAlign w:val="center"/>
            <w:hideMark/>
          </w:tcPr>
          <w:p w14:paraId="6EAF4E09"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4.16</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56519C5D"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0.763</w:t>
            </w:r>
          </w:p>
        </w:tc>
        <w:tc>
          <w:tcPr>
            <w:tcW w:w="1074" w:type="dxa"/>
            <w:tcBorders>
              <w:top w:val="nil"/>
              <w:left w:val="nil"/>
              <w:bottom w:val="single" w:sz="4" w:space="0" w:color="auto"/>
              <w:right w:val="double" w:sz="4" w:space="0" w:color="auto"/>
            </w:tcBorders>
            <w:shd w:val="clear" w:color="auto" w:fill="auto"/>
            <w:noWrap/>
            <w:vAlign w:val="center"/>
            <w:hideMark/>
          </w:tcPr>
          <w:p w14:paraId="13E8879C"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4.76</w:t>
            </w:r>
          </w:p>
        </w:tc>
      </w:tr>
      <w:tr w:rsidR="00472474" w:rsidRPr="007D6A50" w14:paraId="5EAFBFA9"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5A934D42" w14:textId="77777777" w:rsidR="00472474" w:rsidRPr="007D6A50" w:rsidRDefault="00472474" w:rsidP="00AC636C">
            <w:pPr>
              <w:spacing w:after="0" w:line="240" w:lineRule="auto"/>
              <w:ind w:left="162"/>
              <w:rPr>
                <w:rFonts w:eastAsia="Times New Roman"/>
                <w:b/>
                <w:color w:val="000000"/>
                <w:sz w:val="22"/>
                <w:szCs w:val="22"/>
              </w:rPr>
            </w:pPr>
            <w:r w:rsidRPr="007D6A50">
              <w:rPr>
                <w:rFonts w:eastAsia="Times New Roman"/>
                <w:b/>
                <w:bCs/>
                <w:color w:val="000000"/>
                <w:sz w:val="22"/>
                <w:szCs w:val="22"/>
              </w:rPr>
              <w:t>3</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6007B86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0.326</w:t>
            </w:r>
          </w:p>
        </w:tc>
        <w:tc>
          <w:tcPr>
            <w:tcW w:w="1074" w:type="dxa"/>
            <w:tcBorders>
              <w:top w:val="nil"/>
              <w:left w:val="nil"/>
              <w:bottom w:val="single" w:sz="4" w:space="0" w:color="auto"/>
              <w:right w:val="double" w:sz="4" w:space="0" w:color="auto"/>
            </w:tcBorders>
            <w:shd w:val="clear" w:color="auto" w:fill="auto"/>
            <w:noWrap/>
            <w:vAlign w:val="center"/>
            <w:hideMark/>
          </w:tcPr>
          <w:p w14:paraId="23399EE2"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2.06</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49113AC"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1.252</w:t>
            </w:r>
          </w:p>
        </w:tc>
        <w:tc>
          <w:tcPr>
            <w:tcW w:w="1074" w:type="dxa"/>
            <w:tcBorders>
              <w:top w:val="nil"/>
              <w:left w:val="nil"/>
              <w:bottom w:val="single" w:sz="4" w:space="0" w:color="auto"/>
              <w:right w:val="double" w:sz="4" w:space="0" w:color="auto"/>
            </w:tcBorders>
            <w:shd w:val="clear" w:color="auto" w:fill="auto"/>
            <w:noWrap/>
            <w:vAlign w:val="center"/>
            <w:hideMark/>
          </w:tcPr>
          <w:p w14:paraId="7CACA9F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5.63</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07005128"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1.179</w:t>
            </w:r>
          </w:p>
        </w:tc>
        <w:tc>
          <w:tcPr>
            <w:tcW w:w="1074" w:type="dxa"/>
            <w:tcBorders>
              <w:top w:val="nil"/>
              <w:left w:val="nil"/>
              <w:bottom w:val="single" w:sz="4" w:space="0" w:color="auto"/>
              <w:right w:val="double" w:sz="4" w:space="0" w:color="auto"/>
            </w:tcBorders>
            <w:shd w:val="clear" w:color="auto" w:fill="auto"/>
            <w:noWrap/>
            <w:vAlign w:val="center"/>
            <w:hideMark/>
          </w:tcPr>
          <w:p w14:paraId="32360D7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7.26</w:t>
            </w:r>
          </w:p>
        </w:tc>
      </w:tr>
      <w:tr w:rsidR="00472474" w:rsidRPr="007D6A50" w14:paraId="18C9A894"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17589508" w14:textId="77777777" w:rsidR="00472474" w:rsidRPr="007D6A50" w:rsidRDefault="00472474" w:rsidP="00AC636C">
            <w:pPr>
              <w:spacing w:after="0" w:line="240" w:lineRule="auto"/>
              <w:ind w:left="162"/>
              <w:rPr>
                <w:rFonts w:eastAsia="Times New Roman"/>
                <w:b/>
                <w:color w:val="000000"/>
                <w:sz w:val="22"/>
                <w:szCs w:val="22"/>
              </w:rPr>
            </w:pPr>
            <w:r w:rsidRPr="007D6A50">
              <w:rPr>
                <w:rFonts w:eastAsia="Times New Roman"/>
                <w:b/>
                <w:bCs/>
                <w:color w:val="000000"/>
                <w:sz w:val="22"/>
                <w:szCs w:val="22"/>
              </w:rPr>
              <w:t>4</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3C5A173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0.506</w:t>
            </w:r>
          </w:p>
        </w:tc>
        <w:tc>
          <w:tcPr>
            <w:tcW w:w="1074" w:type="dxa"/>
            <w:tcBorders>
              <w:top w:val="nil"/>
              <w:left w:val="nil"/>
              <w:bottom w:val="single" w:sz="4" w:space="0" w:color="auto"/>
              <w:right w:val="double" w:sz="4" w:space="0" w:color="auto"/>
            </w:tcBorders>
            <w:shd w:val="clear" w:color="auto" w:fill="auto"/>
            <w:noWrap/>
            <w:vAlign w:val="center"/>
            <w:hideMark/>
          </w:tcPr>
          <w:p w14:paraId="673890FC"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3.23</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001EF9C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1.384</w:t>
            </w:r>
          </w:p>
        </w:tc>
        <w:tc>
          <w:tcPr>
            <w:tcW w:w="1074" w:type="dxa"/>
            <w:tcBorders>
              <w:top w:val="nil"/>
              <w:left w:val="nil"/>
              <w:bottom w:val="single" w:sz="4" w:space="0" w:color="auto"/>
              <w:right w:val="double" w:sz="4" w:space="0" w:color="auto"/>
            </w:tcBorders>
            <w:shd w:val="clear" w:color="auto" w:fill="auto"/>
            <w:noWrap/>
            <w:vAlign w:val="center"/>
            <w:hideMark/>
          </w:tcPr>
          <w:p w14:paraId="3F600B4C"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6.13</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629E469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1.434</w:t>
            </w:r>
          </w:p>
        </w:tc>
        <w:tc>
          <w:tcPr>
            <w:tcW w:w="1074" w:type="dxa"/>
            <w:tcBorders>
              <w:top w:val="nil"/>
              <w:left w:val="nil"/>
              <w:bottom w:val="single" w:sz="4" w:space="0" w:color="auto"/>
              <w:right w:val="double" w:sz="4" w:space="0" w:color="auto"/>
            </w:tcBorders>
            <w:shd w:val="clear" w:color="auto" w:fill="auto"/>
            <w:noWrap/>
            <w:vAlign w:val="center"/>
            <w:hideMark/>
          </w:tcPr>
          <w:p w14:paraId="6D05F66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8.74</w:t>
            </w:r>
          </w:p>
        </w:tc>
      </w:tr>
      <w:tr w:rsidR="00472474" w:rsidRPr="007D6A50" w14:paraId="2D208A1D"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0B54F83B" w14:textId="77777777" w:rsidR="00472474" w:rsidRPr="007D6A50" w:rsidRDefault="00472474" w:rsidP="00AC636C">
            <w:pPr>
              <w:spacing w:after="0" w:line="240" w:lineRule="auto"/>
              <w:ind w:left="162"/>
              <w:rPr>
                <w:rFonts w:eastAsia="Times New Roman"/>
                <w:b/>
                <w:color w:val="000000"/>
                <w:sz w:val="22"/>
                <w:szCs w:val="22"/>
              </w:rPr>
            </w:pPr>
            <w:r w:rsidRPr="007D6A50">
              <w:rPr>
                <w:rFonts w:eastAsia="Times New Roman"/>
                <w:b/>
                <w:bCs/>
                <w:color w:val="000000"/>
                <w:sz w:val="22"/>
                <w:szCs w:val="22"/>
              </w:rPr>
              <w:t>5</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55C3A75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0.790</w:t>
            </w:r>
          </w:p>
        </w:tc>
        <w:tc>
          <w:tcPr>
            <w:tcW w:w="1074" w:type="dxa"/>
            <w:tcBorders>
              <w:top w:val="nil"/>
              <w:left w:val="nil"/>
              <w:bottom w:val="single" w:sz="4" w:space="0" w:color="auto"/>
              <w:right w:val="double" w:sz="4" w:space="0" w:color="auto"/>
            </w:tcBorders>
            <w:shd w:val="clear" w:color="auto" w:fill="auto"/>
            <w:noWrap/>
            <w:vAlign w:val="center"/>
            <w:hideMark/>
          </w:tcPr>
          <w:p w14:paraId="4DF72EB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5.10</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EC6E25E"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1.569</w:t>
            </w:r>
          </w:p>
        </w:tc>
        <w:tc>
          <w:tcPr>
            <w:tcW w:w="1074" w:type="dxa"/>
            <w:tcBorders>
              <w:top w:val="nil"/>
              <w:left w:val="nil"/>
              <w:bottom w:val="single" w:sz="4" w:space="0" w:color="auto"/>
              <w:right w:val="double" w:sz="4" w:space="0" w:color="auto"/>
            </w:tcBorders>
            <w:shd w:val="clear" w:color="auto" w:fill="auto"/>
            <w:noWrap/>
            <w:vAlign w:val="center"/>
            <w:hideMark/>
          </w:tcPr>
          <w:p w14:paraId="4EE6EE1D"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6.78</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0C49B0B2"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1.746</w:t>
            </w:r>
          </w:p>
        </w:tc>
        <w:tc>
          <w:tcPr>
            <w:tcW w:w="1074" w:type="dxa"/>
            <w:tcBorders>
              <w:top w:val="nil"/>
              <w:left w:val="nil"/>
              <w:bottom w:val="single" w:sz="4" w:space="0" w:color="auto"/>
              <w:right w:val="double" w:sz="4" w:space="0" w:color="auto"/>
            </w:tcBorders>
            <w:shd w:val="clear" w:color="auto" w:fill="auto"/>
            <w:noWrap/>
            <w:vAlign w:val="center"/>
            <w:hideMark/>
          </w:tcPr>
          <w:p w14:paraId="020C4E32"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10.53</w:t>
            </w:r>
          </w:p>
        </w:tc>
      </w:tr>
      <w:tr w:rsidR="00472474" w:rsidRPr="007D6A50" w14:paraId="03D28151"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545F4BFC" w14:textId="77777777" w:rsidR="00472474" w:rsidRPr="007D6A50" w:rsidRDefault="00472474" w:rsidP="00AC636C">
            <w:pPr>
              <w:spacing w:after="0" w:line="240" w:lineRule="auto"/>
              <w:ind w:left="162"/>
              <w:rPr>
                <w:rFonts w:eastAsia="Times New Roman"/>
                <w:b/>
                <w:color w:val="000000"/>
                <w:sz w:val="22"/>
                <w:szCs w:val="22"/>
              </w:rPr>
            </w:pPr>
            <w:r w:rsidRPr="007D6A50">
              <w:rPr>
                <w:rFonts w:eastAsia="Times New Roman"/>
                <w:b/>
                <w:bCs/>
                <w:color w:val="000000"/>
                <w:sz w:val="22"/>
                <w:szCs w:val="22"/>
              </w:rPr>
              <w:t>6</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66F2DE08"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1.065</w:t>
            </w:r>
          </w:p>
        </w:tc>
        <w:tc>
          <w:tcPr>
            <w:tcW w:w="1074" w:type="dxa"/>
            <w:tcBorders>
              <w:top w:val="nil"/>
              <w:left w:val="nil"/>
              <w:bottom w:val="single" w:sz="4" w:space="0" w:color="auto"/>
              <w:right w:val="double" w:sz="4" w:space="0" w:color="auto"/>
            </w:tcBorders>
            <w:shd w:val="clear" w:color="auto" w:fill="auto"/>
            <w:noWrap/>
            <w:vAlign w:val="center"/>
            <w:hideMark/>
          </w:tcPr>
          <w:p w14:paraId="0E3CD0CB"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6.94</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E22C73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1.757</w:t>
            </w:r>
          </w:p>
        </w:tc>
        <w:tc>
          <w:tcPr>
            <w:tcW w:w="1074" w:type="dxa"/>
            <w:tcBorders>
              <w:top w:val="nil"/>
              <w:left w:val="nil"/>
              <w:bottom w:val="single" w:sz="4" w:space="0" w:color="auto"/>
              <w:right w:val="double" w:sz="4" w:space="0" w:color="auto"/>
            </w:tcBorders>
            <w:shd w:val="clear" w:color="auto" w:fill="auto"/>
            <w:noWrap/>
            <w:vAlign w:val="center"/>
            <w:hideMark/>
          </w:tcPr>
          <w:p w14:paraId="2740C5F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7.47</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AF892A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2.121</w:t>
            </w:r>
          </w:p>
        </w:tc>
        <w:tc>
          <w:tcPr>
            <w:tcW w:w="1074" w:type="dxa"/>
            <w:tcBorders>
              <w:top w:val="nil"/>
              <w:left w:val="nil"/>
              <w:bottom w:val="single" w:sz="4" w:space="0" w:color="auto"/>
              <w:right w:val="double" w:sz="4" w:space="0" w:color="auto"/>
            </w:tcBorders>
            <w:shd w:val="clear" w:color="auto" w:fill="auto"/>
            <w:noWrap/>
            <w:vAlign w:val="center"/>
            <w:hideMark/>
          </w:tcPr>
          <w:p w14:paraId="2D1E709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12.19</w:t>
            </w:r>
          </w:p>
        </w:tc>
      </w:tr>
      <w:tr w:rsidR="00472474" w:rsidRPr="007D6A50" w14:paraId="129D7CAA"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3DB7AAD6" w14:textId="77777777" w:rsidR="00472474" w:rsidRPr="007D6A50" w:rsidRDefault="00472474" w:rsidP="00AC636C">
            <w:pPr>
              <w:spacing w:after="0" w:line="240" w:lineRule="auto"/>
              <w:ind w:left="162"/>
              <w:rPr>
                <w:rFonts w:eastAsia="Times New Roman"/>
                <w:b/>
                <w:color w:val="000000"/>
                <w:sz w:val="22"/>
                <w:szCs w:val="22"/>
              </w:rPr>
            </w:pPr>
            <w:r w:rsidRPr="007D6A50">
              <w:rPr>
                <w:rFonts w:eastAsia="Times New Roman"/>
                <w:b/>
                <w:bCs/>
                <w:color w:val="000000"/>
                <w:sz w:val="22"/>
                <w:szCs w:val="22"/>
              </w:rPr>
              <w:t>7</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4A21A63D"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1.196</w:t>
            </w:r>
          </w:p>
        </w:tc>
        <w:tc>
          <w:tcPr>
            <w:tcW w:w="1074" w:type="dxa"/>
            <w:tcBorders>
              <w:top w:val="nil"/>
              <w:left w:val="nil"/>
              <w:bottom w:val="single" w:sz="4" w:space="0" w:color="auto"/>
              <w:right w:val="double" w:sz="4" w:space="0" w:color="auto"/>
            </w:tcBorders>
            <w:shd w:val="clear" w:color="auto" w:fill="auto"/>
            <w:noWrap/>
            <w:vAlign w:val="center"/>
            <w:hideMark/>
          </w:tcPr>
          <w:p w14:paraId="07F34B7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7.80</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BA34E94"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630A53A3"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E37862F"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5323771D"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0B08FCC3"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3EC4332A" w14:textId="77777777" w:rsidR="00472474" w:rsidRPr="007D6A50" w:rsidRDefault="00472474" w:rsidP="00AC636C">
            <w:pPr>
              <w:spacing w:after="0" w:line="240" w:lineRule="auto"/>
              <w:ind w:left="162"/>
              <w:rPr>
                <w:rFonts w:eastAsia="Times New Roman"/>
                <w:b/>
                <w:color w:val="000000"/>
                <w:sz w:val="22"/>
                <w:szCs w:val="22"/>
              </w:rPr>
            </w:pPr>
            <w:r w:rsidRPr="007D6A50">
              <w:rPr>
                <w:rFonts w:eastAsia="Times New Roman"/>
                <w:b/>
                <w:bCs/>
                <w:color w:val="000000"/>
                <w:sz w:val="22"/>
                <w:szCs w:val="22"/>
              </w:rPr>
              <w:t>8</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07EBAEF3"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1.240</w:t>
            </w:r>
          </w:p>
        </w:tc>
        <w:tc>
          <w:tcPr>
            <w:tcW w:w="1074" w:type="dxa"/>
            <w:tcBorders>
              <w:top w:val="nil"/>
              <w:left w:val="nil"/>
              <w:bottom w:val="single" w:sz="4" w:space="0" w:color="auto"/>
              <w:right w:val="double" w:sz="4" w:space="0" w:color="auto"/>
            </w:tcBorders>
            <w:shd w:val="clear" w:color="auto" w:fill="auto"/>
            <w:noWrap/>
            <w:vAlign w:val="center"/>
            <w:hideMark/>
          </w:tcPr>
          <w:p w14:paraId="77A347D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8.05</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E07D959"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1E2A07DF"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4D7CB600"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445EFC7C"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087075D7"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72D584E7" w14:textId="77777777" w:rsidR="00472474" w:rsidRPr="007D6A50" w:rsidRDefault="00472474" w:rsidP="00AC636C">
            <w:pPr>
              <w:spacing w:after="0" w:line="240" w:lineRule="auto"/>
              <w:ind w:left="162"/>
              <w:rPr>
                <w:rFonts w:eastAsia="Times New Roman"/>
                <w:b/>
                <w:color w:val="000000"/>
                <w:sz w:val="22"/>
                <w:szCs w:val="22"/>
              </w:rPr>
            </w:pPr>
            <w:r w:rsidRPr="007D6A50">
              <w:rPr>
                <w:rFonts w:eastAsia="Times New Roman"/>
                <w:b/>
                <w:bCs/>
                <w:color w:val="000000"/>
                <w:sz w:val="22"/>
                <w:szCs w:val="22"/>
              </w:rPr>
              <w:t>9</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0458776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1.411</w:t>
            </w:r>
          </w:p>
        </w:tc>
        <w:tc>
          <w:tcPr>
            <w:tcW w:w="1074" w:type="dxa"/>
            <w:tcBorders>
              <w:top w:val="nil"/>
              <w:left w:val="nil"/>
              <w:bottom w:val="single" w:sz="4" w:space="0" w:color="auto"/>
              <w:right w:val="double" w:sz="4" w:space="0" w:color="auto"/>
            </w:tcBorders>
            <w:shd w:val="clear" w:color="auto" w:fill="auto"/>
            <w:noWrap/>
            <w:vAlign w:val="center"/>
            <w:hideMark/>
          </w:tcPr>
          <w:p w14:paraId="50E84F4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9.12</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7B353EFC"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44BE4999"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531A5CC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356540B7"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5ED0F279" w14:textId="77777777" w:rsidTr="00472474">
        <w:trPr>
          <w:trHeight w:val="288"/>
        </w:trPr>
        <w:tc>
          <w:tcPr>
            <w:tcW w:w="2907" w:type="dxa"/>
            <w:tcBorders>
              <w:top w:val="nil"/>
              <w:left w:val="double" w:sz="4" w:space="0" w:color="auto"/>
              <w:bottom w:val="double" w:sz="4" w:space="0" w:color="auto"/>
              <w:right w:val="double" w:sz="4" w:space="0" w:color="auto"/>
            </w:tcBorders>
            <w:shd w:val="clear" w:color="auto" w:fill="auto"/>
            <w:noWrap/>
            <w:vAlign w:val="center"/>
            <w:hideMark/>
          </w:tcPr>
          <w:p w14:paraId="5D6565E9" w14:textId="77777777" w:rsidR="00472474" w:rsidRPr="007D6A50" w:rsidRDefault="00472474" w:rsidP="00AC636C">
            <w:pPr>
              <w:spacing w:after="0" w:line="240" w:lineRule="auto"/>
              <w:rPr>
                <w:rFonts w:eastAsia="Times New Roman"/>
                <w:b/>
                <w:color w:val="000000"/>
                <w:sz w:val="22"/>
                <w:szCs w:val="22"/>
              </w:rPr>
            </w:pPr>
            <w:r>
              <w:rPr>
                <w:rFonts w:eastAsia="Times New Roman"/>
                <w:b/>
                <w:bCs/>
                <w:color w:val="000000"/>
                <w:sz w:val="22"/>
                <w:szCs w:val="22"/>
              </w:rPr>
              <w:t xml:space="preserve">   </w:t>
            </w:r>
            <w:r w:rsidRPr="007D6A50">
              <w:rPr>
                <w:rFonts w:eastAsia="Times New Roman"/>
                <w:b/>
                <w:bCs/>
                <w:color w:val="000000"/>
                <w:sz w:val="22"/>
                <w:szCs w:val="22"/>
              </w:rPr>
              <w:t>10</w:t>
            </w:r>
          </w:p>
        </w:tc>
        <w:tc>
          <w:tcPr>
            <w:tcW w:w="1073" w:type="dxa"/>
            <w:tcBorders>
              <w:top w:val="nil"/>
              <w:left w:val="double" w:sz="4" w:space="0" w:color="auto"/>
              <w:bottom w:val="double" w:sz="4" w:space="0" w:color="auto"/>
              <w:right w:val="single" w:sz="4" w:space="0" w:color="auto"/>
            </w:tcBorders>
            <w:shd w:val="clear" w:color="auto" w:fill="auto"/>
            <w:noWrap/>
            <w:vAlign w:val="center"/>
            <w:hideMark/>
          </w:tcPr>
          <w:p w14:paraId="16038D50"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1.434</w:t>
            </w:r>
          </w:p>
        </w:tc>
        <w:tc>
          <w:tcPr>
            <w:tcW w:w="1074" w:type="dxa"/>
            <w:tcBorders>
              <w:top w:val="nil"/>
              <w:left w:val="nil"/>
              <w:bottom w:val="double" w:sz="4" w:space="0" w:color="auto"/>
              <w:right w:val="double" w:sz="4" w:space="0" w:color="auto"/>
            </w:tcBorders>
            <w:shd w:val="clear" w:color="auto" w:fill="auto"/>
            <w:noWrap/>
            <w:vAlign w:val="center"/>
            <w:hideMark/>
          </w:tcPr>
          <w:p w14:paraId="2150FE98"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9.32</w:t>
            </w:r>
          </w:p>
        </w:tc>
        <w:tc>
          <w:tcPr>
            <w:tcW w:w="1074" w:type="dxa"/>
            <w:tcBorders>
              <w:top w:val="nil"/>
              <w:left w:val="double" w:sz="4" w:space="0" w:color="auto"/>
              <w:bottom w:val="double" w:sz="4" w:space="0" w:color="auto"/>
              <w:right w:val="single" w:sz="4" w:space="0" w:color="auto"/>
            </w:tcBorders>
            <w:shd w:val="clear" w:color="auto" w:fill="auto"/>
            <w:noWrap/>
            <w:vAlign w:val="center"/>
            <w:hideMark/>
          </w:tcPr>
          <w:p w14:paraId="3B43E077"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double" w:sz="4" w:space="0" w:color="auto"/>
              <w:right w:val="double" w:sz="4" w:space="0" w:color="auto"/>
            </w:tcBorders>
            <w:shd w:val="clear" w:color="auto" w:fill="auto"/>
            <w:noWrap/>
            <w:vAlign w:val="center"/>
            <w:hideMark/>
          </w:tcPr>
          <w:p w14:paraId="3607078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double" w:sz="4" w:space="0" w:color="auto"/>
              <w:right w:val="single" w:sz="4" w:space="0" w:color="auto"/>
            </w:tcBorders>
            <w:shd w:val="clear" w:color="auto" w:fill="auto"/>
            <w:noWrap/>
            <w:vAlign w:val="center"/>
            <w:hideMark/>
          </w:tcPr>
          <w:p w14:paraId="46B7A446"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double" w:sz="4" w:space="0" w:color="auto"/>
              <w:right w:val="double" w:sz="4" w:space="0" w:color="auto"/>
            </w:tcBorders>
            <w:shd w:val="clear" w:color="auto" w:fill="auto"/>
            <w:noWrap/>
            <w:vAlign w:val="center"/>
            <w:hideMark/>
          </w:tcPr>
          <w:p w14:paraId="0E25E50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50D9BB1E" w14:textId="77777777" w:rsidTr="00472474">
        <w:trPr>
          <w:trHeight w:val="288"/>
        </w:trPr>
        <w:tc>
          <w:tcPr>
            <w:tcW w:w="9350" w:type="dxa"/>
            <w:gridSpan w:val="7"/>
            <w:tcBorders>
              <w:top w:val="double" w:sz="4" w:space="0" w:color="auto"/>
              <w:left w:val="double" w:sz="4" w:space="0" w:color="auto"/>
              <w:bottom w:val="double" w:sz="4" w:space="0" w:color="auto"/>
              <w:right w:val="double" w:sz="4" w:space="0" w:color="auto"/>
            </w:tcBorders>
            <w:shd w:val="clear" w:color="auto" w:fill="auto"/>
            <w:vAlign w:val="center"/>
            <w:hideMark/>
          </w:tcPr>
          <w:p w14:paraId="10F2E221" w14:textId="77777777" w:rsidR="00472474" w:rsidRPr="007D6A50" w:rsidRDefault="00472474" w:rsidP="00AC636C">
            <w:pPr>
              <w:spacing w:after="0" w:line="240" w:lineRule="auto"/>
              <w:jc w:val="both"/>
              <w:rPr>
                <w:rFonts w:eastAsia="Times New Roman"/>
                <w:b/>
                <w:bCs/>
                <w:color w:val="000000"/>
                <w:sz w:val="22"/>
                <w:szCs w:val="22"/>
              </w:rPr>
            </w:pPr>
            <w:r w:rsidRPr="007D6A50">
              <w:rPr>
                <w:rFonts w:eastAsia="Times New Roman"/>
                <w:b/>
                <w:bCs/>
                <w:color w:val="000000"/>
                <w:sz w:val="22"/>
                <w:szCs w:val="22"/>
              </w:rPr>
              <w:t>Endogenous Variables</w:t>
            </w:r>
          </w:p>
        </w:tc>
      </w:tr>
      <w:tr w:rsidR="00472474" w:rsidRPr="007D6A50" w14:paraId="74DB85FD" w14:textId="77777777" w:rsidTr="00472474">
        <w:trPr>
          <w:trHeight w:val="288"/>
        </w:trPr>
        <w:tc>
          <w:tcPr>
            <w:tcW w:w="2907"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BEC5167" w14:textId="77777777" w:rsidR="00472474" w:rsidRPr="0089594F" w:rsidRDefault="00472474" w:rsidP="00AC636C">
            <w:pPr>
              <w:spacing w:after="0" w:line="240" w:lineRule="auto"/>
              <w:ind w:left="162"/>
              <w:rPr>
                <w:rFonts w:eastAsia="Times New Roman"/>
                <w:color w:val="000000"/>
                <w:sz w:val="22"/>
                <w:szCs w:val="22"/>
              </w:rPr>
            </w:pPr>
            <w:r w:rsidRPr="0089594F">
              <w:rPr>
                <w:rFonts w:eastAsia="Times New Roman"/>
                <w:color w:val="000000"/>
                <w:sz w:val="22"/>
                <w:szCs w:val="22"/>
              </w:rPr>
              <w:t>Monthly count of Eat-in Delivery is 1 or 2</w:t>
            </w:r>
          </w:p>
        </w:tc>
        <w:tc>
          <w:tcPr>
            <w:tcW w:w="107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43FBBEA6" w14:textId="77777777" w:rsidR="00472474" w:rsidRPr="0089594F" w:rsidRDefault="00472474" w:rsidP="00AC636C">
            <w:pPr>
              <w:spacing w:after="0" w:line="240" w:lineRule="auto"/>
              <w:jc w:val="right"/>
              <w:rPr>
                <w:rFonts w:eastAsia="Times New Roman"/>
                <w:color w:val="000000"/>
                <w:sz w:val="22"/>
                <w:szCs w:val="22"/>
              </w:rPr>
            </w:pPr>
            <w:r w:rsidRPr="0089594F">
              <w:rPr>
                <w:rFonts w:eastAsia="Times New Roman"/>
                <w:color w:val="000000"/>
                <w:sz w:val="22"/>
                <w:szCs w:val="22"/>
              </w:rPr>
              <w:t>0.648</w:t>
            </w:r>
          </w:p>
        </w:tc>
        <w:tc>
          <w:tcPr>
            <w:tcW w:w="1074" w:type="dxa"/>
            <w:tcBorders>
              <w:top w:val="double" w:sz="4" w:space="0" w:color="auto"/>
              <w:left w:val="nil"/>
              <w:bottom w:val="single" w:sz="4" w:space="0" w:color="auto"/>
              <w:right w:val="double" w:sz="4" w:space="0" w:color="auto"/>
            </w:tcBorders>
            <w:shd w:val="clear" w:color="auto" w:fill="auto"/>
            <w:noWrap/>
            <w:vAlign w:val="center"/>
            <w:hideMark/>
          </w:tcPr>
          <w:p w14:paraId="2BCDC52A" w14:textId="77777777" w:rsidR="00472474" w:rsidRPr="0089594F" w:rsidRDefault="00472474" w:rsidP="00AC636C">
            <w:pPr>
              <w:spacing w:after="0" w:line="240" w:lineRule="auto"/>
              <w:jc w:val="right"/>
              <w:rPr>
                <w:rFonts w:eastAsia="Times New Roman"/>
                <w:color w:val="000000"/>
                <w:sz w:val="22"/>
                <w:szCs w:val="22"/>
              </w:rPr>
            </w:pPr>
            <w:r w:rsidRPr="0089594F">
              <w:rPr>
                <w:rFonts w:eastAsia="Times New Roman"/>
                <w:color w:val="000000"/>
                <w:sz w:val="22"/>
                <w:szCs w:val="22"/>
              </w:rPr>
              <w:t>4.96</w:t>
            </w:r>
          </w:p>
        </w:tc>
        <w:tc>
          <w:tcPr>
            <w:tcW w:w="1074"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1011B474"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double" w:sz="4" w:space="0" w:color="auto"/>
              <w:left w:val="nil"/>
              <w:bottom w:val="single" w:sz="4" w:space="0" w:color="auto"/>
              <w:right w:val="double" w:sz="4" w:space="0" w:color="auto"/>
            </w:tcBorders>
            <w:shd w:val="clear" w:color="auto" w:fill="auto"/>
            <w:noWrap/>
            <w:vAlign w:val="center"/>
            <w:hideMark/>
          </w:tcPr>
          <w:p w14:paraId="1244719A"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66C6E1E8"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double" w:sz="4" w:space="0" w:color="auto"/>
              <w:left w:val="nil"/>
              <w:bottom w:val="single" w:sz="4" w:space="0" w:color="auto"/>
              <w:right w:val="double" w:sz="4" w:space="0" w:color="auto"/>
            </w:tcBorders>
            <w:shd w:val="clear" w:color="auto" w:fill="auto"/>
            <w:noWrap/>
            <w:vAlign w:val="center"/>
            <w:hideMark/>
          </w:tcPr>
          <w:p w14:paraId="76D56DA0"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6A34D12F"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24B02649" w14:textId="77777777" w:rsidR="00472474" w:rsidRPr="0089594F" w:rsidRDefault="00472474" w:rsidP="00AC636C">
            <w:pPr>
              <w:spacing w:after="0" w:line="240" w:lineRule="auto"/>
              <w:ind w:left="162"/>
              <w:rPr>
                <w:rFonts w:eastAsia="Times New Roman"/>
                <w:color w:val="000000"/>
                <w:sz w:val="22"/>
                <w:szCs w:val="22"/>
              </w:rPr>
            </w:pPr>
            <w:r w:rsidRPr="0089594F">
              <w:rPr>
                <w:rFonts w:eastAsia="Times New Roman"/>
                <w:color w:val="000000"/>
                <w:sz w:val="22"/>
                <w:szCs w:val="22"/>
              </w:rPr>
              <w:t>Monthly count of Eat-in Delivery is 3 or 4</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14B97D3D" w14:textId="77777777" w:rsidR="00472474" w:rsidRPr="0089594F" w:rsidRDefault="00472474" w:rsidP="00AC636C">
            <w:pPr>
              <w:spacing w:after="0" w:line="240" w:lineRule="auto"/>
              <w:jc w:val="right"/>
              <w:rPr>
                <w:rFonts w:eastAsia="Times New Roman"/>
                <w:color w:val="000000"/>
                <w:sz w:val="22"/>
                <w:szCs w:val="22"/>
              </w:rPr>
            </w:pPr>
            <w:r w:rsidRPr="0089594F">
              <w:rPr>
                <w:rFonts w:eastAsia="Times New Roman"/>
                <w:color w:val="000000"/>
                <w:sz w:val="22"/>
                <w:szCs w:val="22"/>
              </w:rPr>
              <w:t>0.956</w:t>
            </w:r>
          </w:p>
        </w:tc>
        <w:tc>
          <w:tcPr>
            <w:tcW w:w="1074" w:type="dxa"/>
            <w:tcBorders>
              <w:top w:val="nil"/>
              <w:left w:val="nil"/>
              <w:bottom w:val="single" w:sz="4" w:space="0" w:color="auto"/>
              <w:right w:val="double" w:sz="4" w:space="0" w:color="auto"/>
            </w:tcBorders>
            <w:shd w:val="clear" w:color="auto" w:fill="auto"/>
            <w:noWrap/>
            <w:vAlign w:val="center"/>
            <w:hideMark/>
          </w:tcPr>
          <w:p w14:paraId="2B0641E9" w14:textId="77777777" w:rsidR="00472474" w:rsidRPr="0089594F" w:rsidRDefault="00472474" w:rsidP="00AC636C">
            <w:pPr>
              <w:spacing w:after="0" w:line="240" w:lineRule="auto"/>
              <w:jc w:val="right"/>
              <w:rPr>
                <w:rFonts w:eastAsia="Times New Roman"/>
                <w:color w:val="000000"/>
                <w:sz w:val="22"/>
                <w:szCs w:val="22"/>
              </w:rPr>
            </w:pPr>
            <w:r w:rsidRPr="0089594F">
              <w:rPr>
                <w:rFonts w:eastAsia="Times New Roman"/>
                <w:color w:val="000000"/>
                <w:sz w:val="22"/>
                <w:szCs w:val="22"/>
              </w:rPr>
              <w:t>5.19</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2A1B5CB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76BFABF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32362A3B"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62FEF61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3634C7AA"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0749F4AF" w14:textId="77777777" w:rsidR="00472474" w:rsidRPr="0089594F" w:rsidRDefault="00472474" w:rsidP="00AC636C">
            <w:pPr>
              <w:spacing w:after="0" w:line="240" w:lineRule="auto"/>
              <w:ind w:left="162"/>
              <w:rPr>
                <w:rFonts w:eastAsia="Times New Roman"/>
                <w:color w:val="000000"/>
                <w:sz w:val="22"/>
                <w:szCs w:val="22"/>
              </w:rPr>
            </w:pPr>
            <w:r w:rsidRPr="0089594F">
              <w:rPr>
                <w:rFonts w:eastAsia="Times New Roman"/>
                <w:color w:val="000000"/>
                <w:sz w:val="22"/>
                <w:szCs w:val="22"/>
              </w:rPr>
              <w:t>Monthly count of Eat-in Delivery is 5 or 6</w:t>
            </w:r>
          </w:p>
        </w:tc>
        <w:tc>
          <w:tcPr>
            <w:tcW w:w="1073" w:type="dxa"/>
            <w:tcBorders>
              <w:top w:val="nil"/>
              <w:left w:val="double" w:sz="4" w:space="0" w:color="auto"/>
              <w:bottom w:val="single" w:sz="4" w:space="0" w:color="auto"/>
              <w:right w:val="single" w:sz="4" w:space="0" w:color="auto"/>
            </w:tcBorders>
            <w:shd w:val="clear" w:color="auto" w:fill="auto"/>
            <w:noWrap/>
            <w:vAlign w:val="center"/>
            <w:hideMark/>
          </w:tcPr>
          <w:p w14:paraId="3B3C93AC" w14:textId="77777777" w:rsidR="00472474" w:rsidRPr="0089594F" w:rsidRDefault="00472474" w:rsidP="00AC636C">
            <w:pPr>
              <w:spacing w:after="0" w:line="240" w:lineRule="auto"/>
              <w:jc w:val="right"/>
              <w:rPr>
                <w:rFonts w:eastAsia="Times New Roman"/>
                <w:color w:val="000000"/>
                <w:sz w:val="22"/>
                <w:szCs w:val="22"/>
              </w:rPr>
            </w:pPr>
            <w:r w:rsidRPr="0089594F">
              <w:rPr>
                <w:rFonts w:eastAsia="Times New Roman"/>
                <w:color w:val="000000"/>
                <w:sz w:val="22"/>
                <w:szCs w:val="22"/>
              </w:rPr>
              <w:t>1.331</w:t>
            </w:r>
          </w:p>
        </w:tc>
        <w:tc>
          <w:tcPr>
            <w:tcW w:w="1074" w:type="dxa"/>
            <w:tcBorders>
              <w:top w:val="nil"/>
              <w:left w:val="nil"/>
              <w:bottom w:val="single" w:sz="4" w:space="0" w:color="auto"/>
              <w:right w:val="double" w:sz="4" w:space="0" w:color="auto"/>
            </w:tcBorders>
            <w:shd w:val="clear" w:color="auto" w:fill="auto"/>
            <w:noWrap/>
            <w:vAlign w:val="center"/>
            <w:hideMark/>
          </w:tcPr>
          <w:p w14:paraId="1DFA0CDF" w14:textId="77777777" w:rsidR="00472474" w:rsidRPr="0089594F" w:rsidRDefault="00472474" w:rsidP="00AC636C">
            <w:pPr>
              <w:spacing w:after="0" w:line="240" w:lineRule="auto"/>
              <w:jc w:val="right"/>
              <w:rPr>
                <w:rFonts w:eastAsia="Times New Roman"/>
                <w:color w:val="000000"/>
                <w:sz w:val="22"/>
                <w:szCs w:val="22"/>
              </w:rPr>
            </w:pPr>
            <w:r w:rsidRPr="0089594F">
              <w:rPr>
                <w:rFonts w:eastAsia="Times New Roman"/>
                <w:color w:val="000000"/>
                <w:sz w:val="22"/>
                <w:szCs w:val="22"/>
              </w:rPr>
              <w:t>5.49</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1CCC8342"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6CD42FF3"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hideMark/>
          </w:tcPr>
          <w:p w14:paraId="2340673A"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hideMark/>
          </w:tcPr>
          <w:p w14:paraId="78C4EFE9"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5A7F3355"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tcPr>
          <w:p w14:paraId="21DC8EB7" w14:textId="77777777" w:rsidR="00472474" w:rsidRPr="0089594F" w:rsidRDefault="00472474" w:rsidP="00AC636C">
            <w:pPr>
              <w:spacing w:after="0" w:line="240" w:lineRule="auto"/>
              <w:ind w:left="162"/>
              <w:rPr>
                <w:rFonts w:eastAsia="Times New Roman"/>
                <w:color w:val="000000"/>
                <w:sz w:val="22"/>
                <w:szCs w:val="22"/>
              </w:rPr>
            </w:pPr>
            <w:r w:rsidRPr="0089594F">
              <w:rPr>
                <w:rFonts w:eastAsia="Times New Roman"/>
                <w:color w:val="000000"/>
                <w:sz w:val="22"/>
                <w:szCs w:val="22"/>
              </w:rPr>
              <w:t>Monthly count of Eat-in Delivery</w:t>
            </w:r>
          </w:p>
        </w:tc>
        <w:tc>
          <w:tcPr>
            <w:tcW w:w="1073" w:type="dxa"/>
            <w:tcBorders>
              <w:top w:val="nil"/>
              <w:left w:val="double" w:sz="4" w:space="0" w:color="auto"/>
              <w:bottom w:val="single" w:sz="4" w:space="0" w:color="auto"/>
              <w:right w:val="single" w:sz="4" w:space="0" w:color="auto"/>
            </w:tcBorders>
            <w:shd w:val="clear" w:color="auto" w:fill="auto"/>
            <w:noWrap/>
            <w:vAlign w:val="center"/>
          </w:tcPr>
          <w:p w14:paraId="255BC0AC" w14:textId="77777777" w:rsidR="00472474" w:rsidRPr="0089594F" w:rsidRDefault="00472474" w:rsidP="00AC636C">
            <w:pPr>
              <w:spacing w:after="0" w:line="240" w:lineRule="auto"/>
              <w:jc w:val="right"/>
              <w:rPr>
                <w:rFonts w:eastAsia="Times New Roman"/>
                <w:color w:val="000000"/>
                <w:sz w:val="22"/>
                <w:szCs w:val="22"/>
              </w:rPr>
            </w:pPr>
            <w:r w:rsidRPr="0089594F">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tcPr>
          <w:p w14:paraId="4BFB572F" w14:textId="77777777" w:rsidR="00472474" w:rsidRPr="0089594F" w:rsidRDefault="00472474" w:rsidP="00AC636C">
            <w:pPr>
              <w:spacing w:after="0" w:line="240" w:lineRule="auto"/>
              <w:jc w:val="right"/>
              <w:rPr>
                <w:rFonts w:eastAsia="Times New Roman"/>
                <w:color w:val="000000"/>
                <w:sz w:val="22"/>
                <w:szCs w:val="22"/>
              </w:rPr>
            </w:pPr>
            <w:r w:rsidRPr="0089594F">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tcPr>
          <w:p w14:paraId="044C719B"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color w:val="000000"/>
                <w:sz w:val="22"/>
                <w:szCs w:val="22"/>
              </w:rPr>
              <w:t>-1.879</w:t>
            </w:r>
          </w:p>
        </w:tc>
        <w:tc>
          <w:tcPr>
            <w:tcW w:w="1074" w:type="dxa"/>
            <w:tcBorders>
              <w:top w:val="nil"/>
              <w:left w:val="nil"/>
              <w:bottom w:val="single" w:sz="4" w:space="0" w:color="auto"/>
              <w:right w:val="double" w:sz="4" w:space="0" w:color="auto"/>
            </w:tcBorders>
            <w:shd w:val="clear" w:color="auto" w:fill="auto"/>
            <w:noWrap/>
            <w:vAlign w:val="center"/>
          </w:tcPr>
          <w:p w14:paraId="03AEFE63"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color w:val="000000"/>
                <w:sz w:val="22"/>
                <w:szCs w:val="22"/>
              </w:rPr>
              <w:t>-2.60</w:t>
            </w:r>
          </w:p>
        </w:tc>
        <w:tc>
          <w:tcPr>
            <w:tcW w:w="1074" w:type="dxa"/>
            <w:tcBorders>
              <w:top w:val="nil"/>
              <w:left w:val="double" w:sz="4" w:space="0" w:color="auto"/>
              <w:bottom w:val="single" w:sz="4" w:space="0" w:color="auto"/>
              <w:right w:val="single" w:sz="4" w:space="0" w:color="auto"/>
            </w:tcBorders>
            <w:shd w:val="clear" w:color="auto" w:fill="auto"/>
            <w:noWrap/>
            <w:vAlign w:val="center"/>
          </w:tcPr>
          <w:p w14:paraId="6B61BC7B"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tcPr>
          <w:p w14:paraId="1F88B472"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0C5F926F"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tcPr>
          <w:p w14:paraId="5CE12D60" w14:textId="77777777" w:rsidR="00472474" w:rsidRDefault="00472474" w:rsidP="00AC636C">
            <w:pPr>
              <w:spacing w:after="0" w:line="240" w:lineRule="auto"/>
              <w:ind w:left="162"/>
              <w:rPr>
                <w:rFonts w:eastAsia="Times New Roman"/>
                <w:color w:val="000000"/>
                <w:sz w:val="22"/>
                <w:szCs w:val="22"/>
              </w:rPr>
            </w:pPr>
            <w:r>
              <w:rPr>
                <w:rFonts w:eastAsia="Times New Roman"/>
                <w:color w:val="000000"/>
                <w:sz w:val="22"/>
                <w:szCs w:val="22"/>
              </w:rPr>
              <w:t>Monthly count of</w:t>
            </w:r>
            <w:r w:rsidRPr="007D6A50">
              <w:rPr>
                <w:rFonts w:eastAsia="Times New Roman"/>
                <w:color w:val="000000"/>
                <w:sz w:val="22"/>
                <w:szCs w:val="22"/>
              </w:rPr>
              <w:t xml:space="preserve"> Eat-out is between 1 or 4</w:t>
            </w:r>
          </w:p>
        </w:tc>
        <w:tc>
          <w:tcPr>
            <w:tcW w:w="1073" w:type="dxa"/>
            <w:tcBorders>
              <w:top w:val="nil"/>
              <w:left w:val="double" w:sz="4" w:space="0" w:color="auto"/>
              <w:bottom w:val="single" w:sz="4" w:space="0" w:color="auto"/>
              <w:right w:val="single" w:sz="4" w:space="0" w:color="auto"/>
            </w:tcBorders>
            <w:shd w:val="clear" w:color="auto" w:fill="auto"/>
            <w:noWrap/>
            <w:vAlign w:val="center"/>
          </w:tcPr>
          <w:p w14:paraId="4596B27D"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tcPr>
          <w:p w14:paraId="414A2D7E"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tcPr>
          <w:p w14:paraId="55C00A92"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color w:val="000000"/>
                <w:sz w:val="22"/>
                <w:szCs w:val="22"/>
              </w:rPr>
              <w:t>-0.292</w:t>
            </w:r>
          </w:p>
        </w:tc>
        <w:tc>
          <w:tcPr>
            <w:tcW w:w="1074" w:type="dxa"/>
            <w:tcBorders>
              <w:top w:val="nil"/>
              <w:left w:val="nil"/>
              <w:bottom w:val="single" w:sz="4" w:space="0" w:color="auto"/>
              <w:right w:val="double" w:sz="4" w:space="0" w:color="auto"/>
            </w:tcBorders>
            <w:shd w:val="clear" w:color="auto" w:fill="auto"/>
            <w:noWrap/>
            <w:vAlign w:val="center"/>
          </w:tcPr>
          <w:p w14:paraId="43626E09"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color w:val="000000"/>
                <w:sz w:val="22"/>
                <w:szCs w:val="22"/>
              </w:rPr>
              <w:t>-1.95</w:t>
            </w:r>
          </w:p>
        </w:tc>
        <w:tc>
          <w:tcPr>
            <w:tcW w:w="1074" w:type="dxa"/>
            <w:tcBorders>
              <w:top w:val="nil"/>
              <w:left w:val="double" w:sz="4" w:space="0" w:color="auto"/>
              <w:bottom w:val="single" w:sz="4" w:space="0" w:color="auto"/>
              <w:right w:val="single" w:sz="4" w:space="0" w:color="auto"/>
            </w:tcBorders>
            <w:shd w:val="clear" w:color="auto" w:fill="auto"/>
            <w:noWrap/>
            <w:vAlign w:val="center"/>
          </w:tcPr>
          <w:p w14:paraId="322437CC"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tcPr>
          <w:p w14:paraId="327D4F7F"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2909CF8D"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tcPr>
          <w:p w14:paraId="498150E4" w14:textId="77777777" w:rsidR="00472474" w:rsidRDefault="00472474" w:rsidP="00AC636C">
            <w:pPr>
              <w:spacing w:after="0" w:line="240" w:lineRule="auto"/>
              <w:ind w:left="162"/>
              <w:rPr>
                <w:rFonts w:eastAsia="Times New Roman"/>
                <w:color w:val="000000"/>
                <w:sz w:val="22"/>
                <w:szCs w:val="22"/>
              </w:rPr>
            </w:pPr>
            <w:r>
              <w:rPr>
                <w:rFonts w:eastAsia="Times New Roman"/>
                <w:color w:val="000000"/>
                <w:sz w:val="22"/>
                <w:szCs w:val="22"/>
              </w:rPr>
              <w:t>Monthly count of</w:t>
            </w:r>
            <w:r w:rsidRPr="007D6A50">
              <w:rPr>
                <w:rFonts w:eastAsia="Times New Roman"/>
                <w:color w:val="000000"/>
                <w:sz w:val="22"/>
                <w:szCs w:val="22"/>
              </w:rPr>
              <w:t xml:space="preserve"> Eat-out is between 5 or 8</w:t>
            </w:r>
          </w:p>
        </w:tc>
        <w:tc>
          <w:tcPr>
            <w:tcW w:w="1073" w:type="dxa"/>
            <w:tcBorders>
              <w:top w:val="nil"/>
              <w:left w:val="double" w:sz="4" w:space="0" w:color="auto"/>
              <w:bottom w:val="single" w:sz="4" w:space="0" w:color="auto"/>
              <w:right w:val="single" w:sz="4" w:space="0" w:color="auto"/>
            </w:tcBorders>
            <w:shd w:val="clear" w:color="auto" w:fill="auto"/>
            <w:noWrap/>
            <w:vAlign w:val="center"/>
          </w:tcPr>
          <w:p w14:paraId="010906E2"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tcPr>
          <w:p w14:paraId="5259CD97"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single" w:sz="4" w:space="0" w:color="auto"/>
              <w:right w:val="single" w:sz="4" w:space="0" w:color="auto"/>
            </w:tcBorders>
            <w:shd w:val="clear" w:color="auto" w:fill="auto"/>
            <w:noWrap/>
            <w:vAlign w:val="center"/>
          </w:tcPr>
          <w:p w14:paraId="5A30EA41"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color w:val="000000"/>
                <w:sz w:val="22"/>
                <w:szCs w:val="22"/>
              </w:rPr>
              <w:t>-0.443</w:t>
            </w:r>
          </w:p>
        </w:tc>
        <w:tc>
          <w:tcPr>
            <w:tcW w:w="1074" w:type="dxa"/>
            <w:tcBorders>
              <w:top w:val="nil"/>
              <w:left w:val="nil"/>
              <w:bottom w:val="single" w:sz="4" w:space="0" w:color="auto"/>
              <w:right w:val="double" w:sz="4" w:space="0" w:color="auto"/>
            </w:tcBorders>
            <w:shd w:val="clear" w:color="auto" w:fill="auto"/>
            <w:noWrap/>
            <w:vAlign w:val="center"/>
          </w:tcPr>
          <w:p w14:paraId="2197A119"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color w:val="000000"/>
                <w:sz w:val="22"/>
                <w:szCs w:val="22"/>
              </w:rPr>
              <w:t>-1.87</w:t>
            </w:r>
          </w:p>
        </w:tc>
        <w:tc>
          <w:tcPr>
            <w:tcW w:w="1074" w:type="dxa"/>
            <w:tcBorders>
              <w:top w:val="nil"/>
              <w:left w:val="double" w:sz="4" w:space="0" w:color="auto"/>
              <w:bottom w:val="single" w:sz="4" w:space="0" w:color="auto"/>
              <w:right w:val="single" w:sz="4" w:space="0" w:color="auto"/>
            </w:tcBorders>
            <w:shd w:val="clear" w:color="auto" w:fill="auto"/>
            <w:noWrap/>
            <w:vAlign w:val="center"/>
          </w:tcPr>
          <w:p w14:paraId="510BFB9F"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single" w:sz="4" w:space="0" w:color="auto"/>
              <w:right w:val="double" w:sz="4" w:space="0" w:color="auto"/>
            </w:tcBorders>
            <w:shd w:val="clear" w:color="auto" w:fill="auto"/>
            <w:noWrap/>
            <w:vAlign w:val="center"/>
          </w:tcPr>
          <w:p w14:paraId="53C0DDCC"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0C20437B" w14:textId="77777777" w:rsidTr="00472474">
        <w:trPr>
          <w:trHeight w:val="288"/>
        </w:trPr>
        <w:tc>
          <w:tcPr>
            <w:tcW w:w="2907" w:type="dxa"/>
            <w:tcBorders>
              <w:top w:val="nil"/>
              <w:left w:val="double" w:sz="4" w:space="0" w:color="auto"/>
              <w:bottom w:val="double" w:sz="4" w:space="0" w:color="auto"/>
              <w:right w:val="double" w:sz="4" w:space="0" w:color="auto"/>
            </w:tcBorders>
            <w:shd w:val="clear" w:color="auto" w:fill="auto"/>
            <w:noWrap/>
            <w:vAlign w:val="center"/>
          </w:tcPr>
          <w:p w14:paraId="786C1209" w14:textId="77777777" w:rsidR="00472474" w:rsidRDefault="00472474" w:rsidP="00AC636C">
            <w:pPr>
              <w:spacing w:after="0" w:line="240" w:lineRule="auto"/>
              <w:ind w:left="162"/>
              <w:rPr>
                <w:rFonts w:eastAsia="Times New Roman"/>
                <w:color w:val="000000"/>
                <w:sz w:val="22"/>
                <w:szCs w:val="22"/>
              </w:rPr>
            </w:pPr>
            <w:r>
              <w:rPr>
                <w:rFonts w:eastAsia="Times New Roman"/>
                <w:color w:val="000000"/>
                <w:sz w:val="22"/>
                <w:szCs w:val="22"/>
              </w:rPr>
              <w:t>Monthly count of</w:t>
            </w:r>
            <w:r w:rsidRPr="007D6A50">
              <w:rPr>
                <w:rFonts w:eastAsia="Times New Roman"/>
                <w:color w:val="000000"/>
                <w:sz w:val="22"/>
                <w:szCs w:val="22"/>
              </w:rPr>
              <w:t xml:space="preserve"> Eat-out is 9 or 10</w:t>
            </w:r>
          </w:p>
        </w:tc>
        <w:tc>
          <w:tcPr>
            <w:tcW w:w="1073" w:type="dxa"/>
            <w:tcBorders>
              <w:top w:val="nil"/>
              <w:left w:val="double" w:sz="4" w:space="0" w:color="auto"/>
              <w:bottom w:val="double" w:sz="4" w:space="0" w:color="auto"/>
              <w:right w:val="single" w:sz="4" w:space="0" w:color="auto"/>
            </w:tcBorders>
            <w:shd w:val="clear" w:color="auto" w:fill="auto"/>
            <w:noWrap/>
            <w:vAlign w:val="center"/>
          </w:tcPr>
          <w:p w14:paraId="64FCDDD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double" w:sz="4" w:space="0" w:color="auto"/>
              <w:right w:val="double" w:sz="4" w:space="0" w:color="auto"/>
            </w:tcBorders>
            <w:shd w:val="clear" w:color="auto" w:fill="auto"/>
            <w:noWrap/>
            <w:vAlign w:val="center"/>
          </w:tcPr>
          <w:p w14:paraId="53D7D45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nil"/>
              <w:left w:val="double" w:sz="4" w:space="0" w:color="auto"/>
              <w:bottom w:val="double" w:sz="4" w:space="0" w:color="auto"/>
              <w:right w:val="single" w:sz="4" w:space="0" w:color="auto"/>
            </w:tcBorders>
            <w:shd w:val="clear" w:color="auto" w:fill="auto"/>
            <w:noWrap/>
            <w:vAlign w:val="center"/>
          </w:tcPr>
          <w:p w14:paraId="19F97615"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color w:val="000000"/>
                <w:sz w:val="22"/>
                <w:szCs w:val="22"/>
              </w:rPr>
              <w:t>-0.788</w:t>
            </w:r>
          </w:p>
        </w:tc>
        <w:tc>
          <w:tcPr>
            <w:tcW w:w="1074" w:type="dxa"/>
            <w:tcBorders>
              <w:top w:val="nil"/>
              <w:left w:val="nil"/>
              <w:bottom w:val="double" w:sz="4" w:space="0" w:color="auto"/>
              <w:right w:val="double" w:sz="4" w:space="0" w:color="auto"/>
            </w:tcBorders>
            <w:shd w:val="clear" w:color="auto" w:fill="auto"/>
            <w:noWrap/>
            <w:vAlign w:val="center"/>
          </w:tcPr>
          <w:p w14:paraId="1233B5C2"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color w:val="000000"/>
                <w:sz w:val="22"/>
                <w:szCs w:val="22"/>
              </w:rPr>
              <w:t>-2.37</w:t>
            </w:r>
          </w:p>
        </w:tc>
        <w:tc>
          <w:tcPr>
            <w:tcW w:w="1074" w:type="dxa"/>
            <w:tcBorders>
              <w:top w:val="nil"/>
              <w:left w:val="double" w:sz="4" w:space="0" w:color="auto"/>
              <w:bottom w:val="double" w:sz="4" w:space="0" w:color="auto"/>
              <w:right w:val="single" w:sz="4" w:space="0" w:color="auto"/>
            </w:tcBorders>
            <w:shd w:val="clear" w:color="auto" w:fill="auto"/>
            <w:noWrap/>
            <w:vAlign w:val="center"/>
          </w:tcPr>
          <w:p w14:paraId="64D09ACE"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c>
          <w:tcPr>
            <w:tcW w:w="1074" w:type="dxa"/>
            <w:tcBorders>
              <w:top w:val="nil"/>
              <w:left w:val="nil"/>
              <w:bottom w:val="double" w:sz="4" w:space="0" w:color="auto"/>
              <w:right w:val="double" w:sz="4" w:space="0" w:color="auto"/>
            </w:tcBorders>
            <w:shd w:val="clear" w:color="auto" w:fill="auto"/>
            <w:noWrap/>
            <w:vAlign w:val="center"/>
          </w:tcPr>
          <w:p w14:paraId="31CFCE0B" w14:textId="77777777" w:rsidR="00472474" w:rsidRPr="007D6A50" w:rsidRDefault="00472474" w:rsidP="00AC636C">
            <w:pPr>
              <w:spacing w:after="0" w:line="240" w:lineRule="auto"/>
              <w:jc w:val="right"/>
              <w:rPr>
                <w:rFonts w:eastAsia="Times New Roman"/>
                <w:b/>
                <w:bCs/>
                <w:color w:val="000000"/>
                <w:sz w:val="22"/>
                <w:szCs w:val="22"/>
              </w:rPr>
            </w:pPr>
            <w:r w:rsidRPr="007D6A50">
              <w:rPr>
                <w:rFonts w:eastAsia="Times New Roman"/>
                <w:b/>
                <w:bCs/>
                <w:color w:val="000000"/>
                <w:sz w:val="22"/>
                <w:szCs w:val="22"/>
              </w:rPr>
              <w:t xml:space="preserve"> --</w:t>
            </w:r>
          </w:p>
        </w:tc>
      </w:tr>
      <w:tr w:rsidR="00472474" w:rsidRPr="007D6A50" w14:paraId="69DD98AF" w14:textId="77777777" w:rsidTr="00472474">
        <w:trPr>
          <w:trHeight w:val="288"/>
        </w:trPr>
        <w:tc>
          <w:tcPr>
            <w:tcW w:w="9350" w:type="dxa"/>
            <w:gridSpan w:val="7"/>
            <w:tcBorders>
              <w:top w:val="double" w:sz="4" w:space="0" w:color="auto"/>
              <w:left w:val="double" w:sz="4" w:space="0" w:color="auto"/>
              <w:bottom w:val="double" w:sz="4" w:space="0" w:color="auto"/>
              <w:right w:val="double" w:sz="4" w:space="0" w:color="auto"/>
            </w:tcBorders>
            <w:shd w:val="clear" w:color="auto" w:fill="auto"/>
            <w:vAlign w:val="center"/>
            <w:hideMark/>
          </w:tcPr>
          <w:p w14:paraId="4CC98419" w14:textId="77777777" w:rsidR="00472474" w:rsidRPr="007D6A50" w:rsidRDefault="00472474" w:rsidP="00AC636C">
            <w:pPr>
              <w:spacing w:after="0" w:line="240" w:lineRule="auto"/>
              <w:rPr>
                <w:rFonts w:eastAsia="Times New Roman"/>
                <w:b/>
                <w:bCs/>
                <w:color w:val="000000"/>
                <w:sz w:val="22"/>
                <w:szCs w:val="22"/>
              </w:rPr>
            </w:pPr>
            <w:r w:rsidRPr="007D6A50">
              <w:rPr>
                <w:rFonts w:eastAsia="Times New Roman"/>
                <w:b/>
                <w:bCs/>
                <w:color w:val="000000"/>
                <w:sz w:val="22"/>
                <w:szCs w:val="22"/>
              </w:rPr>
              <w:t>Correlation Terms</w:t>
            </w:r>
          </w:p>
        </w:tc>
      </w:tr>
      <w:tr w:rsidR="00472474" w:rsidRPr="007D6A50" w14:paraId="735F62CE" w14:textId="77777777" w:rsidTr="00472474">
        <w:trPr>
          <w:trHeight w:val="288"/>
        </w:trPr>
        <w:tc>
          <w:tcPr>
            <w:tcW w:w="2907"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5375719" w14:textId="77777777" w:rsidR="00472474" w:rsidRPr="007D6A50" w:rsidRDefault="00472474" w:rsidP="00AC636C">
            <w:pPr>
              <w:spacing w:after="0" w:line="240" w:lineRule="auto"/>
              <w:ind w:left="162"/>
              <w:rPr>
                <w:rFonts w:eastAsia="Times New Roman"/>
                <w:color w:val="000000"/>
                <w:sz w:val="22"/>
                <w:szCs w:val="22"/>
              </w:rPr>
            </w:pPr>
            <w:r w:rsidRPr="007D6A50">
              <w:rPr>
                <w:rFonts w:eastAsia="Times New Roman"/>
                <w:color w:val="000000"/>
                <w:sz w:val="22"/>
                <w:szCs w:val="22"/>
              </w:rPr>
              <w:t>Eat-out</w:t>
            </w:r>
          </w:p>
        </w:tc>
        <w:tc>
          <w:tcPr>
            <w:tcW w:w="107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67155F01"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1.000 </w:t>
            </w:r>
          </w:p>
        </w:tc>
        <w:tc>
          <w:tcPr>
            <w:tcW w:w="1074" w:type="dxa"/>
            <w:tcBorders>
              <w:top w:val="double" w:sz="4" w:space="0" w:color="auto"/>
              <w:left w:val="nil"/>
              <w:bottom w:val="single" w:sz="4" w:space="0" w:color="auto"/>
              <w:right w:val="double" w:sz="4" w:space="0" w:color="auto"/>
            </w:tcBorders>
            <w:shd w:val="clear" w:color="auto" w:fill="auto"/>
            <w:vAlign w:val="center"/>
          </w:tcPr>
          <w:p w14:paraId="39EA8C32" w14:textId="77777777" w:rsidR="00472474" w:rsidRPr="00D366FA" w:rsidRDefault="00472474" w:rsidP="00AC636C">
            <w:pPr>
              <w:spacing w:after="0" w:line="240" w:lineRule="auto"/>
              <w:jc w:val="right"/>
              <w:rPr>
                <w:rFonts w:eastAsia="Times New Roman"/>
                <w:b/>
                <w:color w:val="000000"/>
                <w:sz w:val="22"/>
                <w:szCs w:val="22"/>
              </w:rPr>
            </w:pPr>
            <w:r w:rsidRPr="00D366FA">
              <w:rPr>
                <w:rFonts w:eastAsia="Times New Roman"/>
                <w:b/>
                <w:color w:val="000000"/>
                <w:sz w:val="22"/>
                <w:szCs w:val="22"/>
              </w:rPr>
              <w:t>--</w:t>
            </w:r>
          </w:p>
        </w:tc>
        <w:tc>
          <w:tcPr>
            <w:tcW w:w="1074" w:type="dxa"/>
            <w:tcBorders>
              <w:top w:val="double" w:sz="4" w:space="0" w:color="auto"/>
              <w:left w:val="double" w:sz="4" w:space="0" w:color="auto"/>
              <w:bottom w:val="single" w:sz="4" w:space="0" w:color="auto"/>
              <w:right w:val="single" w:sz="4" w:space="0" w:color="auto"/>
            </w:tcBorders>
            <w:shd w:val="clear" w:color="auto" w:fill="auto"/>
            <w:vAlign w:val="center"/>
          </w:tcPr>
          <w:p w14:paraId="7611240A" w14:textId="77777777" w:rsidR="00472474" w:rsidRPr="00D366FA" w:rsidRDefault="00472474" w:rsidP="00AC636C">
            <w:pPr>
              <w:spacing w:after="0" w:line="240" w:lineRule="auto"/>
              <w:jc w:val="right"/>
              <w:rPr>
                <w:rFonts w:eastAsia="Times New Roman"/>
                <w:b/>
                <w:color w:val="000000"/>
                <w:sz w:val="22"/>
                <w:szCs w:val="22"/>
              </w:rPr>
            </w:pPr>
            <w:r w:rsidRPr="00D366FA">
              <w:rPr>
                <w:rFonts w:eastAsia="Times New Roman"/>
                <w:b/>
                <w:bCs/>
                <w:color w:val="000000"/>
                <w:sz w:val="22"/>
                <w:szCs w:val="22"/>
              </w:rPr>
              <w:t xml:space="preserve"> --</w:t>
            </w:r>
          </w:p>
        </w:tc>
        <w:tc>
          <w:tcPr>
            <w:tcW w:w="1074" w:type="dxa"/>
            <w:tcBorders>
              <w:top w:val="double" w:sz="4" w:space="0" w:color="auto"/>
              <w:left w:val="nil"/>
              <w:bottom w:val="single" w:sz="4" w:space="0" w:color="auto"/>
              <w:right w:val="double" w:sz="4" w:space="0" w:color="auto"/>
            </w:tcBorders>
            <w:shd w:val="clear" w:color="auto" w:fill="auto"/>
            <w:vAlign w:val="center"/>
          </w:tcPr>
          <w:p w14:paraId="0AA0979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double" w:sz="4" w:space="0" w:color="auto"/>
              <w:left w:val="double" w:sz="4" w:space="0" w:color="auto"/>
              <w:bottom w:val="single" w:sz="4" w:space="0" w:color="auto"/>
              <w:right w:val="single" w:sz="4" w:space="0" w:color="auto"/>
            </w:tcBorders>
            <w:shd w:val="clear" w:color="auto" w:fill="auto"/>
            <w:vAlign w:val="center"/>
          </w:tcPr>
          <w:p w14:paraId="4DE40406"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double" w:sz="4" w:space="0" w:color="auto"/>
              <w:left w:val="nil"/>
              <w:bottom w:val="single" w:sz="4" w:space="0" w:color="auto"/>
              <w:right w:val="double" w:sz="4" w:space="0" w:color="auto"/>
            </w:tcBorders>
            <w:shd w:val="clear" w:color="auto" w:fill="auto"/>
            <w:vAlign w:val="center"/>
          </w:tcPr>
          <w:p w14:paraId="3F7B2C4D"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r>
      <w:tr w:rsidR="00472474" w:rsidRPr="007D6A50" w14:paraId="0D4153FF" w14:textId="77777777" w:rsidTr="00472474">
        <w:trPr>
          <w:trHeight w:val="288"/>
        </w:trPr>
        <w:tc>
          <w:tcPr>
            <w:tcW w:w="2907" w:type="dxa"/>
            <w:tcBorders>
              <w:top w:val="nil"/>
              <w:left w:val="double" w:sz="4" w:space="0" w:color="auto"/>
              <w:bottom w:val="single" w:sz="4" w:space="0" w:color="auto"/>
              <w:right w:val="double" w:sz="4" w:space="0" w:color="auto"/>
            </w:tcBorders>
            <w:shd w:val="clear" w:color="auto" w:fill="auto"/>
            <w:noWrap/>
            <w:vAlign w:val="center"/>
            <w:hideMark/>
          </w:tcPr>
          <w:p w14:paraId="2D5E7B10" w14:textId="77777777" w:rsidR="00472474" w:rsidRPr="007D6A50" w:rsidRDefault="00472474" w:rsidP="00AC636C">
            <w:pPr>
              <w:spacing w:after="0" w:line="240" w:lineRule="auto"/>
              <w:ind w:left="162"/>
              <w:rPr>
                <w:rFonts w:eastAsia="Times New Roman"/>
                <w:color w:val="000000"/>
                <w:sz w:val="22"/>
                <w:szCs w:val="22"/>
              </w:rPr>
            </w:pPr>
            <w:r>
              <w:rPr>
                <w:rFonts w:eastAsia="Times New Roman"/>
                <w:color w:val="000000"/>
                <w:sz w:val="22"/>
                <w:szCs w:val="22"/>
              </w:rPr>
              <w:t xml:space="preserve">Eat-in </w:t>
            </w:r>
            <w:r w:rsidRPr="007D6A50">
              <w:rPr>
                <w:rFonts w:eastAsia="Times New Roman"/>
                <w:color w:val="000000"/>
                <w:sz w:val="22"/>
                <w:szCs w:val="22"/>
              </w:rPr>
              <w:t>Takeout</w:t>
            </w:r>
          </w:p>
        </w:tc>
        <w:tc>
          <w:tcPr>
            <w:tcW w:w="107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CA3E2F7"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-0.051</w:t>
            </w:r>
          </w:p>
          <w:p w14:paraId="5646E283" w14:textId="77777777" w:rsidR="00472474" w:rsidRPr="007D6A50" w:rsidRDefault="00472474" w:rsidP="00AC636C">
            <w:pPr>
              <w:spacing w:after="0" w:line="240" w:lineRule="auto"/>
              <w:jc w:val="right"/>
              <w:rPr>
                <w:rFonts w:eastAsia="Times New Roman"/>
                <w:color w:val="000000"/>
                <w:sz w:val="22"/>
                <w:szCs w:val="22"/>
              </w:rPr>
            </w:pPr>
          </w:p>
        </w:tc>
        <w:tc>
          <w:tcPr>
            <w:tcW w:w="1074" w:type="dxa"/>
            <w:tcBorders>
              <w:top w:val="single" w:sz="4" w:space="0" w:color="auto"/>
              <w:left w:val="nil"/>
              <w:bottom w:val="single" w:sz="4" w:space="0" w:color="auto"/>
              <w:right w:val="double" w:sz="4" w:space="0" w:color="auto"/>
            </w:tcBorders>
            <w:shd w:val="clear" w:color="auto" w:fill="auto"/>
            <w:vAlign w:val="center"/>
          </w:tcPr>
          <w:p w14:paraId="786CB20C"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-0.19</w:t>
            </w:r>
          </w:p>
        </w:tc>
        <w:tc>
          <w:tcPr>
            <w:tcW w:w="1074" w:type="dxa"/>
            <w:tcBorders>
              <w:top w:val="single" w:sz="4" w:space="0" w:color="auto"/>
              <w:left w:val="double" w:sz="4" w:space="0" w:color="auto"/>
              <w:bottom w:val="single" w:sz="4" w:space="0" w:color="auto"/>
              <w:right w:val="single" w:sz="4" w:space="0" w:color="auto"/>
            </w:tcBorders>
            <w:shd w:val="clear" w:color="auto" w:fill="auto"/>
            <w:vAlign w:val="center"/>
          </w:tcPr>
          <w:p w14:paraId="7CF77D3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1.000</w:t>
            </w:r>
          </w:p>
        </w:tc>
        <w:tc>
          <w:tcPr>
            <w:tcW w:w="1074" w:type="dxa"/>
            <w:tcBorders>
              <w:top w:val="single" w:sz="4" w:space="0" w:color="auto"/>
              <w:left w:val="nil"/>
              <w:bottom w:val="single" w:sz="4" w:space="0" w:color="auto"/>
              <w:right w:val="double" w:sz="4" w:space="0" w:color="auto"/>
            </w:tcBorders>
            <w:shd w:val="clear" w:color="auto" w:fill="auto"/>
            <w:vAlign w:val="center"/>
          </w:tcPr>
          <w:p w14:paraId="3D8C187A"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single" w:sz="4" w:space="0" w:color="auto"/>
              <w:left w:val="double" w:sz="4" w:space="0" w:color="auto"/>
              <w:bottom w:val="single" w:sz="4" w:space="0" w:color="auto"/>
              <w:right w:val="single" w:sz="4" w:space="0" w:color="auto"/>
            </w:tcBorders>
            <w:shd w:val="clear" w:color="auto" w:fill="auto"/>
            <w:vAlign w:val="center"/>
          </w:tcPr>
          <w:p w14:paraId="4293C448"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c>
          <w:tcPr>
            <w:tcW w:w="1074" w:type="dxa"/>
            <w:tcBorders>
              <w:top w:val="single" w:sz="4" w:space="0" w:color="auto"/>
              <w:left w:val="nil"/>
              <w:bottom w:val="single" w:sz="4" w:space="0" w:color="auto"/>
              <w:right w:val="double" w:sz="4" w:space="0" w:color="auto"/>
            </w:tcBorders>
            <w:shd w:val="clear" w:color="auto" w:fill="auto"/>
            <w:vAlign w:val="center"/>
          </w:tcPr>
          <w:p w14:paraId="39DDCE55"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 xml:space="preserve"> --</w:t>
            </w:r>
          </w:p>
        </w:tc>
      </w:tr>
      <w:tr w:rsidR="00472474" w:rsidRPr="007D6A50" w14:paraId="24260ABB" w14:textId="77777777" w:rsidTr="00472474">
        <w:trPr>
          <w:trHeight w:val="288"/>
        </w:trPr>
        <w:tc>
          <w:tcPr>
            <w:tcW w:w="2907"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1E400B32" w14:textId="77777777" w:rsidR="00472474" w:rsidRPr="007D6A50" w:rsidRDefault="00472474" w:rsidP="00AC636C">
            <w:pPr>
              <w:spacing w:after="0" w:line="240" w:lineRule="auto"/>
              <w:ind w:left="162"/>
              <w:rPr>
                <w:rFonts w:eastAsia="Times New Roman"/>
                <w:color w:val="000000"/>
                <w:sz w:val="22"/>
                <w:szCs w:val="22"/>
              </w:rPr>
            </w:pPr>
            <w:r>
              <w:rPr>
                <w:rFonts w:eastAsia="Times New Roman"/>
                <w:color w:val="000000"/>
                <w:sz w:val="22"/>
                <w:szCs w:val="22"/>
              </w:rPr>
              <w:t xml:space="preserve">Eat-in </w:t>
            </w:r>
            <w:r w:rsidRPr="007D6A50">
              <w:rPr>
                <w:rFonts w:eastAsia="Times New Roman"/>
                <w:color w:val="000000"/>
                <w:sz w:val="22"/>
                <w:szCs w:val="22"/>
              </w:rPr>
              <w:t>Delivery</w:t>
            </w:r>
          </w:p>
        </w:tc>
        <w:tc>
          <w:tcPr>
            <w:tcW w:w="1073"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19FA416D"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-0.535</w:t>
            </w:r>
          </w:p>
        </w:tc>
        <w:tc>
          <w:tcPr>
            <w:tcW w:w="1074" w:type="dxa"/>
            <w:tcBorders>
              <w:top w:val="single" w:sz="4" w:space="0" w:color="auto"/>
              <w:left w:val="nil"/>
              <w:bottom w:val="double" w:sz="4" w:space="0" w:color="auto"/>
              <w:right w:val="double" w:sz="4" w:space="0" w:color="auto"/>
            </w:tcBorders>
            <w:shd w:val="clear" w:color="auto" w:fill="auto"/>
            <w:vAlign w:val="center"/>
          </w:tcPr>
          <w:p w14:paraId="30ACB848"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-2.25</w:t>
            </w:r>
          </w:p>
        </w:tc>
        <w:tc>
          <w:tcPr>
            <w:tcW w:w="1074" w:type="dxa"/>
            <w:tcBorders>
              <w:top w:val="single" w:sz="4" w:space="0" w:color="auto"/>
              <w:left w:val="double" w:sz="4" w:space="0" w:color="auto"/>
              <w:bottom w:val="double" w:sz="4" w:space="0" w:color="auto"/>
              <w:right w:val="single" w:sz="4" w:space="0" w:color="auto"/>
            </w:tcBorders>
            <w:shd w:val="clear" w:color="auto" w:fill="auto"/>
            <w:vAlign w:val="center"/>
          </w:tcPr>
          <w:p w14:paraId="6D267925" w14:textId="77777777" w:rsidR="00472474" w:rsidRPr="007D6A50" w:rsidRDefault="00472474" w:rsidP="00AC636C">
            <w:pPr>
              <w:spacing w:after="0" w:line="240" w:lineRule="auto"/>
              <w:jc w:val="right"/>
              <w:rPr>
                <w:rFonts w:eastAsia="Times New Roman"/>
                <w:color w:val="000000"/>
                <w:sz w:val="22"/>
                <w:szCs w:val="22"/>
              </w:rPr>
            </w:pPr>
            <w:r w:rsidRPr="00442309">
              <w:rPr>
                <w:rFonts w:eastAsia="Times New Roman"/>
                <w:color w:val="000000"/>
                <w:sz w:val="22"/>
                <w:szCs w:val="22"/>
              </w:rPr>
              <w:t>0.411</w:t>
            </w:r>
          </w:p>
        </w:tc>
        <w:tc>
          <w:tcPr>
            <w:tcW w:w="1074" w:type="dxa"/>
            <w:tcBorders>
              <w:top w:val="single" w:sz="4" w:space="0" w:color="auto"/>
              <w:left w:val="nil"/>
              <w:bottom w:val="double" w:sz="4" w:space="0" w:color="auto"/>
              <w:right w:val="double" w:sz="4" w:space="0" w:color="auto"/>
            </w:tcBorders>
            <w:shd w:val="clear" w:color="auto" w:fill="auto"/>
            <w:vAlign w:val="center"/>
          </w:tcPr>
          <w:p w14:paraId="78027C38"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1.28</w:t>
            </w:r>
          </w:p>
        </w:tc>
        <w:tc>
          <w:tcPr>
            <w:tcW w:w="1074" w:type="dxa"/>
            <w:tcBorders>
              <w:top w:val="single" w:sz="4" w:space="0" w:color="auto"/>
              <w:left w:val="double" w:sz="4" w:space="0" w:color="auto"/>
              <w:bottom w:val="double" w:sz="4" w:space="0" w:color="auto"/>
              <w:right w:val="single" w:sz="4" w:space="0" w:color="auto"/>
            </w:tcBorders>
            <w:shd w:val="clear" w:color="auto" w:fill="auto"/>
            <w:vAlign w:val="center"/>
          </w:tcPr>
          <w:p w14:paraId="1264733F"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color w:val="000000"/>
                <w:sz w:val="22"/>
                <w:szCs w:val="22"/>
              </w:rPr>
              <w:t>1.000</w:t>
            </w:r>
          </w:p>
        </w:tc>
        <w:tc>
          <w:tcPr>
            <w:tcW w:w="1074" w:type="dxa"/>
            <w:tcBorders>
              <w:top w:val="single" w:sz="4" w:space="0" w:color="auto"/>
              <w:left w:val="nil"/>
              <w:bottom w:val="double" w:sz="4" w:space="0" w:color="auto"/>
              <w:right w:val="double" w:sz="4" w:space="0" w:color="auto"/>
            </w:tcBorders>
            <w:shd w:val="clear" w:color="auto" w:fill="auto"/>
            <w:vAlign w:val="center"/>
          </w:tcPr>
          <w:p w14:paraId="32A5F7F4" w14:textId="77777777" w:rsidR="00472474" w:rsidRPr="007D6A50" w:rsidRDefault="00472474" w:rsidP="00AC636C">
            <w:pPr>
              <w:spacing w:after="0" w:line="240" w:lineRule="auto"/>
              <w:jc w:val="right"/>
              <w:rPr>
                <w:rFonts w:eastAsia="Times New Roman"/>
                <w:color w:val="000000"/>
                <w:sz w:val="22"/>
                <w:szCs w:val="22"/>
              </w:rPr>
            </w:pPr>
            <w:r w:rsidRPr="007D6A50">
              <w:rPr>
                <w:rFonts w:eastAsia="Times New Roman"/>
                <w:b/>
                <w:bCs/>
                <w:color w:val="000000"/>
                <w:sz w:val="22"/>
                <w:szCs w:val="22"/>
              </w:rPr>
              <w:t>--</w:t>
            </w:r>
          </w:p>
        </w:tc>
      </w:tr>
      <w:bookmarkEnd w:id="68"/>
    </w:tbl>
    <w:p w14:paraId="5EEE84ED" w14:textId="5AC5EAEF" w:rsidR="00472474" w:rsidRDefault="00472474" w:rsidP="00472474">
      <w:pPr>
        <w:tabs>
          <w:tab w:val="right" w:pos="630"/>
        </w:tabs>
        <w:spacing w:after="0" w:line="240" w:lineRule="auto"/>
      </w:pPr>
    </w:p>
    <w:p w14:paraId="75D2C623" w14:textId="32081B76" w:rsidR="00472474" w:rsidRDefault="00472474" w:rsidP="00472474">
      <w:pPr>
        <w:tabs>
          <w:tab w:val="right" w:pos="630"/>
        </w:tabs>
        <w:spacing w:after="0" w:line="240" w:lineRule="auto"/>
      </w:pPr>
    </w:p>
    <w:p w14:paraId="61155D65" w14:textId="77777777" w:rsidR="00472474" w:rsidRDefault="00472474" w:rsidP="00472474">
      <w:pPr>
        <w:spacing w:after="0" w:line="276" w:lineRule="auto"/>
        <w:jc w:val="both"/>
      </w:pPr>
    </w:p>
    <w:p w14:paraId="51B03A7D" w14:textId="77777777" w:rsidR="00472474" w:rsidRDefault="00472474">
      <w:pPr>
        <w:rPr>
          <w:b/>
          <w:iCs/>
          <w:color w:val="000000" w:themeColor="text1"/>
        </w:rPr>
      </w:pPr>
      <w:r>
        <w:br w:type="page"/>
      </w:r>
    </w:p>
    <w:p w14:paraId="0BACE84D" w14:textId="0EA6DA7E" w:rsidR="00472474" w:rsidRDefault="00472474" w:rsidP="000E1B51">
      <w:pPr>
        <w:pStyle w:val="Caption"/>
        <w:spacing w:after="120"/>
      </w:pPr>
      <w:r w:rsidRPr="002C5F6C">
        <w:rPr>
          <w:sz w:val="24"/>
          <w:szCs w:val="24"/>
        </w:rPr>
        <w:lastRenderedPageBreak/>
        <w:t xml:space="preserve">Table </w:t>
      </w:r>
      <w:r>
        <w:rPr>
          <w:sz w:val="24"/>
          <w:szCs w:val="24"/>
        </w:rPr>
        <w:t>4</w:t>
      </w:r>
      <w:r w:rsidRPr="002C5F6C">
        <w:rPr>
          <w:sz w:val="24"/>
          <w:szCs w:val="24"/>
        </w:rPr>
        <w:t>. Goodness-of-</w:t>
      </w:r>
      <w:r w:rsidR="000E1B51">
        <w:rPr>
          <w:sz w:val="24"/>
          <w:szCs w:val="24"/>
        </w:rPr>
        <w:t>f</w:t>
      </w:r>
      <w:r w:rsidRPr="002C5F6C">
        <w:rPr>
          <w:sz w:val="24"/>
          <w:szCs w:val="24"/>
        </w:rPr>
        <w:t xml:space="preserve">it </w:t>
      </w:r>
      <w:r w:rsidR="000E1B51">
        <w:rPr>
          <w:sz w:val="24"/>
          <w:szCs w:val="24"/>
        </w:rPr>
        <w:t>s</w:t>
      </w:r>
      <w:r w:rsidRPr="002C5F6C">
        <w:rPr>
          <w:sz w:val="24"/>
          <w:szCs w:val="24"/>
        </w:rPr>
        <w:t>tatistics</w:t>
      </w:r>
    </w:p>
    <w:tbl>
      <w:tblPr>
        <w:tblW w:w="9355" w:type="dxa"/>
        <w:tblInd w:w="-5" w:type="dxa"/>
        <w:tblLook w:val="04A0" w:firstRow="1" w:lastRow="0" w:firstColumn="1" w:lastColumn="0" w:noHBand="0" w:noVBand="1"/>
      </w:tblPr>
      <w:tblGrid>
        <w:gridCol w:w="1080"/>
        <w:gridCol w:w="1077"/>
        <w:gridCol w:w="1083"/>
        <w:gridCol w:w="1790"/>
        <w:gridCol w:w="2250"/>
        <w:gridCol w:w="2075"/>
      </w:tblGrid>
      <w:tr w:rsidR="00472474" w:rsidRPr="000E1B51" w14:paraId="6461A5F1" w14:textId="77777777" w:rsidTr="0077577E">
        <w:trPr>
          <w:trHeight w:val="288"/>
        </w:trPr>
        <w:tc>
          <w:tcPr>
            <w:tcW w:w="5030" w:type="dxa"/>
            <w:gridSpan w:val="4"/>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03588813" w14:textId="77777777" w:rsidR="00472474" w:rsidRPr="000E1B51" w:rsidRDefault="00472474" w:rsidP="0077577E">
            <w:pPr>
              <w:spacing w:after="0" w:line="240" w:lineRule="auto"/>
              <w:rPr>
                <w:rFonts w:eastAsia="Times New Roman"/>
                <w:b/>
                <w:bCs/>
                <w:color w:val="000000"/>
                <w:sz w:val="23"/>
                <w:szCs w:val="23"/>
              </w:rPr>
            </w:pPr>
            <w:r w:rsidRPr="000E1B51">
              <w:rPr>
                <w:sz w:val="23"/>
                <w:szCs w:val="23"/>
              </w:rPr>
              <w:br w:type="page"/>
            </w:r>
            <w:r w:rsidRPr="000E1B51">
              <w:rPr>
                <w:rFonts w:eastAsia="Times New Roman"/>
                <w:b/>
                <w:bCs/>
                <w:color w:val="000000"/>
                <w:sz w:val="23"/>
                <w:szCs w:val="23"/>
              </w:rPr>
              <w:t>Metric</w:t>
            </w:r>
          </w:p>
        </w:tc>
        <w:tc>
          <w:tcPr>
            <w:tcW w:w="2250" w:type="dxa"/>
            <w:tcBorders>
              <w:top w:val="double" w:sz="4" w:space="0" w:color="auto"/>
              <w:left w:val="nil"/>
              <w:bottom w:val="double" w:sz="4" w:space="0" w:color="auto"/>
              <w:right w:val="single" w:sz="4" w:space="0" w:color="auto"/>
            </w:tcBorders>
            <w:shd w:val="clear" w:color="auto" w:fill="auto"/>
            <w:noWrap/>
            <w:vAlign w:val="center"/>
            <w:hideMark/>
          </w:tcPr>
          <w:p w14:paraId="7668F9EB" w14:textId="77777777" w:rsidR="00472474" w:rsidRPr="000E1B51" w:rsidRDefault="00472474" w:rsidP="00AC636C">
            <w:pPr>
              <w:spacing w:after="0" w:line="240" w:lineRule="auto"/>
              <w:jc w:val="center"/>
              <w:rPr>
                <w:rFonts w:eastAsia="Times New Roman"/>
                <w:b/>
                <w:bCs/>
                <w:color w:val="000000"/>
                <w:sz w:val="23"/>
                <w:szCs w:val="23"/>
              </w:rPr>
            </w:pPr>
            <w:r w:rsidRPr="000E1B51">
              <w:rPr>
                <w:rFonts w:eastAsia="Times New Roman"/>
                <w:b/>
                <w:bCs/>
                <w:color w:val="000000"/>
                <w:sz w:val="23"/>
                <w:szCs w:val="23"/>
              </w:rPr>
              <w:t>Proposed Joint model</w:t>
            </w:r>
          </w:p>
        </w:tc>
        <w:tc>
          <w:tcPr>
            <w:tcW w:w="2075" w:type="dxa"/>
            <w:tcBorders>
              <w:top w:val="double" w:sz="4" w:space="0" w:color="auto"/>
              <w:left w:val="nil"/>
              <w:bottom w:val="double" w:sz="4" w:space="0" w:color="auto"/>
              <w:right w:val="double" w:sz="4" w:space="0" w:color="auto"/>
            </w:tcBorders>
            <w:shd w:val="clear" w:color="auto" w:fill="auto"/>
            <w:noWrap/>
            <w:vAlign w:val="center"/>
            <w:hideMark/>
          </w:tcPr>
          <w:p w14:paraId="3448B557" w14:textId="77777777" w:rsidR="00472474" w:rsidRPr="000E1B51" w:rsidRDefault="00472474" w:rsidP="00AC636C">
            <w:pPr>
              <w:spacing w:after="0" w:line="240" w:lineRule="auto"/>
              <w:jc w:val="center"/>
              <w:rPr>
                <w:rFonts w:eastAsia="Times New Roman"/>
                <w:b/>
                <w:bCs/>
                <w:color w:val="000000"/>
                <w:sz w:val="23"/>
                <w:szCs w:val="23"/>
              </w:rPr>
            </w:pPr>
            <w:r w:rsidRPr="000E1B51">
              <w:rPr>
                <w:rFonts w:eastAsia="Times New Roman"/>
                <w:b/>
                <w:bCs/>
                <w:color w:val="000000"/>
                <w:sz w:val="23"/>
                <w:szCs w:val="23"/>
              </w:rPr>
              <w:t>Independent model</w:t>
            </w:r>
          </w:p>
        </w:tc>
      </w:tr>
      <w:tr w:rsidR="00472474" w:rsidRPr="000E1B51" w14:paraId="45751A32" w14:textId="77777777" w:rsidTr="000E1B51">
        <w:trPr>
          <w:trHeight w:val="288"/>
        </w:trPr>
        <w:tc>
          <w:tcPr>
            <w:tcW w:w="9355" w:type="dxa"/>
            <w:gridSpan w:val="6"/>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127F881" w14:textId="77777777" w:rsidR="00472474" w:rsidRPr="000E1B51" w:rsidRDefault="00472474" w:rsidP="00AC636C">
            <w:pPr>
              <w:spacing w:after="0" w:line="240" w:lineRule="auto"/>
              <w:rPr>
                <w:rFonts w:eastAsia="Times New Roman"/>
                <w:b/>
                <w:bCs/>
                <w:i/>
                <w:color w:val="000000"/>
                <w:sz w:val="23"/>
                <w:szCs w:val="23"/>
              </w:rPr>
            </w:pPr>
            <w:r w:rsidRPr="000E1B51">
              <w:rPr>
                <w:rFonts w:eastAsia="Times New Roman"/>
                <w:b/>
                <w:bCs/>
                <w:i/>
                <w:color w:val="000000"/>
                <w:sz w:val="23"/>
                <w:szCs w:val="23"/>
              </w:rPr>
              <w:t>Disaggregate fit measures</w:t>
            </w:r>
          </w:p>
        </w:tc>
      </w:tr>
      <w:tr w:rsidR="00472474" w:rsidRPr="000E1B51" w14:paraId="33D1BA78" w14:textId="77777777" w:rsidTr="000E1B51">
        <w:trPr>
          <w:trHeight w:val="288"/>
        </w:trPr>
        <w:tc>
          <w:tcPr>
            <w:tcW w:w="5030" w:type="dxa"/>
            <w:gridSpan w:val="4"/>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387AC5E2" w14:textId="70CBA575" w:rsidR="00472474" w:rsidRPr="000E1B51" w:rsidRDefault="00472474" w:rsidP="00AC636C">
            <w:pPr>
              <w:spacing w:after="0" w:line="240" w:lineRule="auto"/>
              <w:rPr>
                <w:rFonts w:eastAsia="Times New Roman"/>
                <w:color w:val="000000"/>
                <w:sz w:val="23"/>
                <w:szCs w:val="23"/>
              </w:rPr>
            </w:pPr>
            <w:r w:rsidRPr="000E1B51">
              <w:rPr>
                <w:rFonts w:eastAsia="Times New Roman"/>
                <w:color w:val="000000"/>
                <w:sz w:val="23"/>
                <w:szCs w:val="23"/>
              </w:rPr>
              <w:t xml:space="preserve">Log </w:t>
            </w:r>
            <w:r w:rsidR="000E1B51" w:rsidRPr="000E1B51">
              <w:rPr>
                <w:rFonts w:eastAsia="Times New Roman"/>
                <w:color w:val="000000"/>
                <w:sz w:val="23"/>
                <w:szCs w:val="23"/>
              </w:rPr>
              <w:t>l</w:t>
            </w:r>
            <w:r w:rsidRPr="000E1B51">
              <w:rPr>
                <w:rFonts w:eastAsia="Times New Roman"/>
                <w:color w:val="000000"/>
                <w:sz w:val="23"/>
                <w:szCs w:val="23"/>
              </w:rPr>
              <w:t>ikelihood at convergence</w:t>
            </w:r>
          </w:p>
        </w:tc>
        <w:tc>
          <w:tcPr>
            <w:tcW w:w="2250" w:type="dxa"/>
            <w:tcBorders>
              <w:top w:val="nil"/>
              <w:left w:val="nil"/>
              <w:bottom w:val="single" w:sz="4" w:space="0" w:color="auto"/>
              <w:right w:val="single" w:sz="4" w:space="0" w:color="auto"/>
            </w:tcBorders>
            <w:shd w:val="clear" w:color="auto" w:fill="auto"/>
            <w:noWrap/>
            <w:vAlign w:val="center"/>
            <w:hideMark/>
          </w:tcPr>
          <w:p w14:paraId="59064126"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-4892.16</w:t>
            </w:r>
          </w:p>
        </w:tc>
        <w:tc>
          <w:tcPr>
            <w:tcW w:w="2075" w:type="dxa"/>
            <w:tcBorders>
              <w:top w:val="nil"/>
              <w:left w:val="nil"/>
              <w:bottom w:val="single" w:sz="4" w:space="0" w:color="auto"/>
              <w:right w:val="double" w:sz="4" w:space="0" w:color="auto"/>
            </w:tcBorders>
            <w:shd w:val="clear" w:color="auto" w:fill="auto"/>
            <w:noWrap/>
            <w:vAlign w:val="center"/>
            <w:hideMark/>
          </w:tcPr>
          <w:p w14:paraId="5FFE24AC"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-4914.55</w:t>
            </w:r>
          </w:p>
        </w:tc>
      </w:tr>
      <w:tr w:rsidR="00472474" w:rsidRPr="000E1B51" w14:paraId="697AE7B7" w14:textId="77777777" w:rsidTr="000E1B51">
        <w:trPr>
          <w:trHeight w:val="288"/>
        </w:trPr>
        <w:tc>
          <w:tcPr>
            <w:tcW w:w="5030" w:type="dxa"/>
            <w:gridSpan w:val="4"/>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0FEB5B39" w14:textId="77777777" w:rsidR="00472474" w:rsidRPr="000E1B51" w:rsidRDefault="00472474" w:rsidP="00AC636C">
            <w:pPr>
              <w:spacing w:after="0" w:line="240" w:lineRule="auto"/>
              <w:rPr>
                <w:rFonts w:eastAsia="Times New Roman"/>
                <w:color w:val="000000"/>
                <w:sz w:val="23"/>
                <w:szCs w:val="23"/>
              </w:rPr>
            </w:pPr>
            <w:r w:rsidRPr="000E1B51">
              <w:rPr>
                <w:rFonts w:eastAsia="Times New Roman"/>
                <w:color w:val="000000"/>
                <w:sz w:val="23"/>
                <w:szCs w:val="23"/>
              </w:rPr>
              <w:t>Number of non-constant parameters</w:t>
            </w:r>
          </w:p>
        </w:tc>
        <w:tc>
          <w:tcPr>
            <w:tcW w:w="2250" w:type="dxa"/>
            <w:tcBorders>
              <w:top w:val="nil"/>
              <w:left w:val="nil"/>
              <w:bottom w:val="single" w:sz="4" w:space="0" w:color="auto"/>
              <w:right w:val="single" w:sz="4" w:space="0" w:color="auto"/>
            </w:tcBorders>
            <w:shd w:val="clear" w:color="auto" w:fill="auto"/>
            <w:noWrap/>
            <w:vAlign w:val="center"/>
            <w:hideMark/>
          </w:tcPr>
          <w:p w14:paraId="53175413"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44</w:t>
            </w:r>
          </w:p>
        </w:tc>
        <w:tc>
          <w:tcPr>
            <w:tcW w:w="2075" w:type="dxa"/>
            <w:tcBorders>
              <w:top w:val="nil"/>
              <w:left w:val="nil"/>
              <w:bottom w:val="single" w:sz="4" w:space="0" w:color="auto"/>
              <w:right w:val="double" w:sz="4" w:space="0" w:color="auto"/>
            </w:tcBorders>
            <w:shd w:val="clear" w:color="auto" w:fill="auto"/>
            <w:noWrap/>
            <w:vAlign w:val="center"/>
            <w:hideMark/>
          </w:tcPr>
          <w:p w14:paraId="410149D9"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34</w:t>
            </w:r>
          </w:p>
        </w:tc>
      </w:tr>
      <w:tr w:rsidR="00472474" w:rsidRPr="000E1B51" w14:paraId="00AFD00D" w14:textId="77777777" w:rsidTr="000E1B51">
        <w:trPr>
          <w:trHeight w:val="288"/>
        </w:trPr>
        <w:tc>
          <w:tcPr>
            <w:tcW w:w="5030" w:type="dxa"/>
            <w:gridSpan w:val="4"/>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2B18482D" w14:textId="7EF17FD8" w:rsidR="00472474" w:rsidRPr="000E1B51" w:rsidRDefault="00472474" w:rsidP="00AC636C">
            <w:pPr>
              <w:spacing w:after="0" w:line="240" w:lineRule="auto"/>
              <w:rPr>
                <w:rFonts w:eastAsia="Times New Roman"/>
                <w:color w:val="000000"/>
                <w:sz w:val="23"/>
                <w:szCs w:val="23"/>
              </w:rPr>
            </w:pPr>
            <w:r w:rsidRPr="000E1B51">
              <w:rPr>
                <w:rFonts w:eastAsia="Times New Roman"/>
                <w:color w:val="000000"/>
                <w:sz w:val="23"/>
                <w:szCs w:val="23"/>
              </w:rPr>
              <w:t xml:space="preserve">Log </w:t>
            </w:r>
            <w:r w:rsidR="000E1B51" w:rsidRPr="000E1B51">
              <w:rPr>
                <w:rFonts w:eastAsia="Times New Roman"/>
                <w:color w:val="000000"/>
                <w:sz w:val="23"/>
                <w:szCs w:val="23"/>
              </w:rPr>
              <w:t>l</w:t>
            </w:r>
            <w:r w:rsidRPr="000E1B51">
              <w:rPr>
                <w:rFonts w:eastAsia="Times New Roman"/>
                <w:color w:val="000000"/>
                <w:sz w:val="23"/>
                <w:szCs w:val="23"/>
              </w:rPr>
              <w:t xml:space="preserve">ikelihood at constants-only </w:t>
            </w:r>
          </w:p>
        </w:tc>
        <w:tc>
          <w:tcPr>
            <w:tcW w:w="2250" w:type="dxa"/>
            <w:tcBorders>
              <w:top w:val="nil"/>
              <w:left w:val="nil"/>
              <w:bottom w:val="single" w:sz="4" w:space="0" w:color="auto"/>
              <w:right w:val="single" w:sz="4" w:space="0" w:color="auto"/>
            </w:tcBorders>
            <w:shd w:val="clear" w:color="auto" w:fill="auto"/>
            <w:noWrap/>
            <w:vAlign w:val="center"/>
            <w:hideMark/>
          </w:tcPr>
          <w:p w14:paraId="5D95A104"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-5119.30</w:t>
            </w:r>
          </w:p>
        </w:tc>
        <w:tc>
          <w:tcPr>
            <w:tcW w:w="2075" w:type="dxa"/>
            <w:tcBorders>
              <w:top w:val="nil"/>
              <w:left w:val="nil"/>
              <w:bottom w:val="single" w:sz="4" w:space="0" w:color="auto"/>
              <w:right w:val="double" w:sz="4" w:space="0" w:color="auto"/>
            </w:tcBorders>
            <w:shd w:val="clear" w:color="auto" w:fill="auto"/>
            <w:noWrap/>
            <w:vAlign w:val="center"/>
            <w:hideMark/>
          </w:tcPr>
          <w:p w14:paraId="504EF8E9"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-5119.30</w:t>
            </w:r>
          </w:p>
        </w:tc>
      </w:tr>
      <w:tr w:rsidR="00472474" w:rsidRPr="000E1B51" w14:paraId="148F18A3" w14:textId="77777777" w:rsidTr="000E1B51">
        <w:trPr>
          <w:trHeight w:val="288"/>
        </w:trPr>
        <w:tc>
          <w:tcPr>
            <w:tcW w:w="5030" w:type="dxa"/>
            <w:gridSpan w:val="4"/>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3CD282F" w14:textId="77777777" w:rsidR="00472474" w:rsidRPr="000E1B51" w:rsidRDefault="00472474" w:rsidP="00AC636C">
            <w:pPr>
              <w:spacing w:after="0" w:line="240" w:lineRule="auto"/>
              <w:rPr>
                <w:rFonts w:eastAsia="Times New Roman"/>
                <w:color w:val="000000"/>
                <w:sz w:val="23"/>
                <w:szCs w:val="23"/>
              </w:rPr>
            </w:pPr>
            <w:r w:rsidRPr="000E1B51">
              <w:rPr>
                <w:rFonts w:eastAsia="Times New Roman"/>
                <w:color w:val="000000"/>
                <w:sz w:val="23"/>
                <w:szCs w:val="23"/>
              </w:rPr>
              <w:t>Adjusted rho-squared value</w:t>
            </w:r>
          </w:p>
        </w:tc>
        <w:tc>
          <w:tcPr>
            <w:tcW w:w="2250" w:type="dxa"/>
            <w:tcBorders>
              <w:top w:val="nil"/>
              <w:left w:val="nil"/>
              <w:bottom w:val="single" w:sz="4" w:space="0" w:color="auto"/>
              <w:right w:val="single" w:sz="4" w:space="0" w:color="auto"/>
            </w:tcBorders>
            <w:shd w:val="clear" w:color="auto" w:fill="auto"/>
            <w:noWrap/>
            <w:vAlign w:val="center"/>
            <w:hideMark/>
          </w:tcPr>
          <w:p w14:paraId="208B8C63"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0.0358</w:t>
            </w:r>
          </w:p>
        </w:tc>
        <w:tc>
          <w:tcPr>
            <w:tcW w:w="2075" w:type="dxa"/>
            <w:tcBorders>
              <w:top w:val="nil"/>
              <w:left w:val="nil"/>
              <w:bottom w:val="single" w:sz="4" w:space="0" w:color="auto"/>
              <w:right w:val="double" w:sz="4" w:space="0" w:color="auto"/>
            </w:tcBorders>
            <w:shd w:val="clear" w:color="auto" w:fill="auto"/>
            <w:noWrap/>
            <w:vAlign w:val="center"/>
            <w:hideMark/>
          </w:tcPr>
          <w:p w14:paraId="249573FB"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0.0334</w:t>
            </w:r>
          </w:p>
        </w:tc>
      </w:tr>
      <w:tr w:rsidR="00472474" w:rsidRPr="000E1B51" w14:paraId="73768E77" w14:textId="77777777" w:rsidTr="000E1B51">
        <w:trPr>
          <w:trHeight w:val="288"/>
        </w:trPr>
        <w:tc>
          <w:tcPr>
            <w:tcW w:w="5030" w:type="dxa"/>
            <w:gridSpan w:val="4"/>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0B0DE62" w14:textId="77777777" w:rsidR="00472474" w:rsidRPr="000E1B51" w:rsidRDefault="00472474" w:rsidP="00AC636C">
            <w:pPr>
              <w:spacing w:after="0" w:line="240" w:lineRule="auto"/>
              <w:rPr>
                <w:rFonts w:eastAsia="Times New Roman"/>
                <w:color w:val="000000"/>
                <w:sz w:val="23"/>
                <w:szCs w:val="23"/>
              </w:rPr>
            </w:pPr>
            <w:r w:rsidRPr="000E1B51">
              <w:rPr>
                <w:rFonts w:eastAsia="Times New Roman"/>
                <w:color w:val="000000"/>
                <w:sz w:val="23"/>
                <w:szCs w:val="23"/>
              </w:rPr>
              <w:t>Average probability of correct prediction</w:t>
            </w:r>
          </w:p>
        </w:tc>
        <w:tc>
          <w:tcPr>
            <w:tcW w:w="2250" w:type="dxa"/>
            <w:tcBorders>
              <w:top w:val="nil"/>
              <w:left w:val="nil"/>
              <w:bottom w:val="single" w:sz="4" w:space="0" w:color="auto"/>
              <w:right w:val="single" w:sz="4" w:space="0" w:color="auto"/>
            </w:tcBorders>
            <w:shd w:val="clear" w:color="auto" w:fill="auto"/>
            <w:noWrap/>
            <w:vAlign w:val="center"/>
            <w:hideMark/>
          </w:tcPr>
          <w:p w14:paraId="2C504625"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0.0357</w:t>
            </w:r>
          </w:p>
        </w:tc>
        <w:tc>
          <w:tcPr>
            <w:tcW w:w="2075" w:type="dxa"/>
            <w:tcBorders>
              <w:top w:val="nil"/>
              <w:left w:val="nil"/>
              <w:bottom w:val="single" w:sz="4" w:space="0" w:color="auto"/>
              <w:right w:val="double" w:sz="4" w:space="0" w:color="auto"/>
            </w:tcBorders>
            <w:shd w:val="clear" w:color="auto" w:fill="auto"/>
            <w:noWrap/>
            <w:vAlign w:val="center"/>
            <w:hideMark/>
          </w:tcPr>
          <w:p w14:paraId="1E9FCC8A" w14:textId="77777777" w:rsidR="00472474" w:rsidRPr="000E1B51" w:rsidRDefault="00472474" w:rsidP="00AC636C">
            <w:pPr>
              <w:spacing w:after="0" w:line="240" w:lineRule="auto"/>
              <w:jc w:val="right"/>
              <w:rPr>
                <w:rFonts w:eastAsia="Times New Roman"/>
                <w:color w:val="000000"/>
                <w:sz w:val="23"/>
                <w:szCs w:val="23"/>
              </w:rPr>
            </w:pPr>
            <w:r w:rsidRPr="000E1B51">
              <w:rPr>
                <w:rFonts w:eastAsia="Times New Roman"/>
                <w:color w:val="000000"/>
                <w:sz w:val="23"/>
                <w:szCs w:val="23"/>
              </w:rPr>
              <w:t>0.0355</w:t>
            </w:r>
          </w:p>
        </w:tc>
      </w:tr>
      <w:tr w:rsidR="00472474" w:rsidRPr="000E1B51" w14:paraId="6748ED23" w14:textId="77777777" w:rsidTr="000E1B51">
        <w:trPr>
          <w:trHeight w:val="288"/>
        </w:trPr>
        <w:tc>
          <w:tcPr>
            <w:tcW w:w="5030" w:type="dxa"/>
            <w:gridSpan w:val="4"/>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26445E3F" w14:textId="77777777" w:rsidR="00472474" w:rsidRPr="000E1B51" w:rsidRDefault="00472474" w:rsidP="000E1B51">
            <w:pPr>
              <w:spacing w:after="0" w:line="240" w:lineRule="auto"/>
              <w:rPr>
                <w:rFonts w:eastAsia="Times New Roman"/>
                <w:color w:val="000000"/>
                <w:sz w:val="23"/>
                <w:szCs w:val="23"/>
              </w:rPr>
            </w:pPr>
            <w:r w:rsidRPr="000E1B51">
              <w:rPr>
                <w:rFonts w:eastAsia="Times New Roman"/>
                <w:color w:val="000000"/>
                <w:sz w:val="23"/>
                <w:szCs w:val="23"/>
              </w:rPr>
              <w:t>Likelihood ratio test: Joint vs Independent model</w:t>
            </w:r>
          </w:p>
        </w:tc>
        <w:tc>
          <w:tcPr>
            <w:tcW w:w="4325" w:type="dxa"/>
            <w:gridSpan w:val="2"/>
            <w:tcBorders>
              <w:top w:val="single" w:sz="4" w:space="0" w:color="auto"/>
              <w:left w:val="nil"/>
              <w:bottom w:val="double" w:sz="4" w:space="0" w:color="auto"/>
              <w:right w:val="double" w:sz="4" w:space="0" w:color="auto"/>
            </w:tcBorders>
            <w:shd w:val="clear" w:color="auto" w:fill="auto"/>
            <w:noWrap/>
            <w:vAlign w:val="center"/>
            <w:hideMark/>
          </w:tcPr>
          <w:p w14:paraId="27E069D6" w14:textId="284651BC" w:rsidR="00472474" w:rsidRPr="000E1B51" w:rsidRDefault="00472474" w:rsidP="00AC636C">
            <w:pPr>
              <w:spacing w:after="0" w:line="240" w:lineRule="auto"/>
              <w:jc w:val="center"/>
              <w:rPr>
                <w:rFonts w:eastAsia="Times New Roman"/>
                <w:color w:val="000000"/>
                <w:sz w:val="23"/>
                <w:szCs w:val="23"/>
              </w:rPr>
            </w:pPr>
            <w:r w:rsidRPr="000E1B51">
              <w:rPr>
                <w:sz w:val="23"/>
                <w:szCs w:val="23"/>
              </w:rPr>
              <w:t xml:space="preserve">LR = 44.78&gt; </w:t>
            </w:r>
            <m:oMath>
              <m:sSubSup>
                <m:sSubSupPr>
                  <m:ctrlPr>
                    <w:rPr>
                      <w:rFonts w:ascii="Cambria Math" w:hAnsi="Cambria Math"/>
                      <w:i/>
                      <w:sz w:val="23"/>
                      <w:szCs w:val="23"/>
                    </w:rPr>
                  </m:ctrlPr>
                </m:sSubSupPr>
                <m:e>
                  <m:r>
                    <w:rPr>
                      <w:rFonts w:ascii="Cambria Math" w:hAnsi="Cambria Math"/>
                      <w:sz w:val="23"/>
                      <w:szCs w:val="23"/>
                    </w:rPr>
                    <m:t>χ</m:t>
                  </m:r>
                </m:e>
                <m:sub>
                  <m:r>
                    <w:rPr>
                      <w:rFonts w:ascii="Cambria Math" w:hAnsi="Cambria Math"/>
                      <w:sz w:val="23"/>
                      <w:szCs w:val="23"/>
                    </w:rPr>
                    <m:t>(10,0.05)</m:t>
                  </m:r>
                </m:sub>
                <m:sup>
                  <m:r>
                    <w:rPr>
                      <w:rFonts w:ascii="Cambria Math" w:hAnsi="Cambria Math"/>
                      <w:sz w:val="23"/>
                      <w:szCs w:val="23"/>
                    </w:rPr>
                    <m:t>2</m:t>
                  </m:r>
                </m:sup>
              </m:sSubSup>
              <m:r>
                <w:rPr>
                  <w:rFonts w:ascii="Cambria Math" w:hAnsi="Cambria Math"/>
                  <w:sz w:val="23"/>
                  <w:szCs w:val="23"/>
                </w:rPr>
                <m:t>=18.31</m:t>
              </m:r>
            </m:oMath>
          </w:p>
        </w:tc>
      </w:tr>
      <w:tr w:rsidR="00472474" w:rsidRPr="000E1B51" w14:paraId="79821C59" w14:textId="77777777" w:rsidTr="000E1B51">
        <w:trPr>
          <w:trHeight w:val="288"/>
        </w:trPr>
        <w:tc>
          <w:tcPr>
            <w:tcW w:w="9355" w:type="dxa"/>
            <w:gridSpan w:val="6"/>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6E98DDCE" w14:textId="77777777" w:rsidR="00472474" w:rsidRPr="000E1B51" w:rsidRDefault="00472474" w:rsidP="00AC636C">
            <w:pPr>
              <w:spacing w:after="0" w:line="240" w:lineRule="auto"/>
              <w:jc w:val="center"/>
              <w:rPr>
                <w:rFonts w:eastAsia="Times New Roman"/>
                <w:b/>
                <w:bCs/>
                <w:color w:val="000000"/>
                <w:sz w:val="23"/>
                <w:szCs w:val="23"/>
              </w:rPr>
            </w:pPr>
            <w:r w:rsidRPr="000E1B51">
              <w:rPr>
                <w:rFonts w:eastAsia="Times New Roman"/>
                <w:b/>
                <w:bCs/>
                <w:color w:val="000000"/>
                <w:sz w:val="23"/>
                <w:szCs w:val="23"/>
              </w:rPr>
              <w:t>Aggregate fit measures</w:t>
            </w:r>
          </w:p>
        </w:tc>
      </w:tr>
      <w:tr w:rsidR="00472474" w:rsidRPr="000E1B51" w14:paraId="1CAAC06F" w14:textId="77777777" w:rsidTr="000E1B51">
        <w:trPr>
          <w:trHeight w:val="288"/>
        </w:trPr>
        <w:tc>
          <w:tcPr>
            <w:tcW w:w="3240" w:type="dxa"/>
            <w:gridSpan w:val="3"/>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0F866D8F" w14:textId="77777777" w:rsidR="00472474" w:rsidRPr="000E1B51" w:rsidRDefault="00472474" w:rsidP="00AC636C">
            <w:pPr>
              <w:spacing w:after="0" w:line="240" w:lineRule="auto"/>
              <w:jc w:val="center"/>
              <w:rPr>
                <w:rFonts w:eastAsia="Times New Roman"/>
                <w:b/>
                <w:color w:val="000000"/>
                <w:sz w:val="23"/>
                <w:szCs w:val="23"/>
              </w:rPr>
            </w:pPr>
            <w:r w:rsidRPr="000E1B51">
              <w:rPr>
                <w:rFonts w:eastAsia="Times New Roman"/>
                <w:b/>
                <w:color w:val="000000"/>
                <w:sz w:val="23"/>
                <w:szCs w:val="23"/>
              </w:rPr>
              <w:t>Combination counts</w:t>
            </w:r>
          </w:p>
        </w:tc>
        <w:tc>
          <w:tcPr>
            <w:tcW w:w="1790" w:type="dxa"/>
            <w:vMerge w:val="restart"/>
            <w:tcBorders>
              <w:top w:val="double" w:sz="4" w:space="0" w:color="auto"/>
              <w:left w:val="nil"/>
              <w:right w:val="single" w:sz="4" w:space="0" w:color="auto"/>
            </w:tcBorders>
            <w:shd w:val="clear" w:color="auto" w:fill="auto"/>
            <w:noWrap/>
            <w:vAlign w:val="center"/>
            <w:hideMark/>
          </w:tcPr>
          <w:p w14:paraId="3325B7BB" w14:textId="77777777" w:rsidR="00472474" w:rsidRPr="000E1B51" w:rsidRDefault="00472474" w:rsidP="00AC636C">
            <w:pPr>
              <w:spacing w:after="0" w:line="240" w:lineRule="auto"/>
              <w:jc w:val="center"/>
              <w:rPr>
                <w:rFonts w:eastAsia="Times New Roman"/>
                <w:b/>
                <w:color w:val="000000"/>
                <w:sz w:val="23"/>
                <w:szCs w:val="23"/>
              </w:rPr>
            </w:pPr>
            <w:r w:rsidRPr="000E1B51">
              <w:rPr>
                <w:rFonts w:eastAsia="Times New Roman"/>
                <w:b/>
                <w:color w:val="000000"/>
                <w:sz w:val="23"/>
                <w:szCs w:val="23"/>
              </w:rPr>
              <w:t>Observed count</w:t>
            </w:r>
          </w:p>
        </w:tc>
        <w:tc>
          <w:tcPr>
            <w:tcW w:w="2250" w:type="dxa"/>
            <w:vMerge w:val="restart"/>
            <w:tcBorders>
              <w:top w:val="double" w:sz="4" w:space="0" w:color="auto"/>
              <w:left w:val="nil"/>
              <w:right w:val="single" w:sz="4" w:space="0" w:color="auto"/>
            </w:tcBorders>
            <w:shd w:val="clear" w:color="auto" w:fill="auto"/>
            <w:noWrap/>
            <w:vAlign w:val="center"/>
            <w:hideMark/>
          </w:tcPr>
          <w:p w14:paraId="546EBA5D" w14:textId="77777777" w:rsidR="00472474" w:rsidRDefault="00472474" w:rsidP="00AC636C">
            <w:pPr>
              <w:spacing w:after="0" w:line="240" w:lineRule="auto"/>
              <w:jc w:val="center"/>
              <w:rPr>
                <w:rFonts w:eastAsia="Times New Roman"/>
                <w:b/>
                <w:color w:val="000000"/>
                <w:sz w:val="23"/>
                <w:szCs w:val="23"/>
              </w:rPr>
            </w:pPr>
            <w:r w:rsidRPr="000E1B51">
              <w:rPr>
                <w:rFonts w:eastAsia="Times New Roman"/>
                <w:b/>
                <w:color w:val="000000"/>
                <w:sz w:val="23"/>
                <w:szCs w:val="23"/>
              </w:rPr>
              <w:t>Predicted count</w:t>
            </w:r>
          </w:p>
          <w:p w14:paraId="49063DED" w14:textId="7F9272CE" w:rsidR="001A04BC" w:rsidRPr="000E1B51" w:rsidRDefault="001A04BC" w:rsidP="00AC636C">
            <w:pPr>
              <w:spacing w:after="0" w:line="240" w:lineRule="auto"/>
              <w:jc w:val="center"/>
              <w:rPr>
                <w:rFonts w:eastAsia="Times New Roman"/>
                <w:b/>
                <w:color w:val="000000"/>
                <w:sz w:val="23"/>
                <w:szCs w:val="23"/>
              </w:rPr>
            </w:pPr>
            <w:r>
              <w:rPr>
                <w:rFonts w:eastAsia="Times New Roman"/>
                <w:b/>
                <w:color w:val="000000"/>
                <w:sz w:val="23"/>
                <w:szCs w:val="23"/>
              </w:rPr>
              <w:t>Joint Model</w:t>
            </w:r>
          </w:p>
        </w:tc>
        <w:tc>
          <w:tcPr>
            <w:tcW w:w="2075" w:type="dxa"/>
            <w:vMerge w:val="restart"/>
            <w:tcBorders>
              <w:top w:val="double" w:sz="4" w:space="0" w:color="auto"/>
              <w:left w:val="nil"/>
              <w:right w:val="double" w:sz="4" w:space="0" w:color="auto"/>
            </w:tcBorders>
            <w:shd w:val="clear" w:color="auto" w:fill="auto"/>
            <w:noWrap/>
            <w:vAlign w:val="center"/>
            <w:hideMark/>
          </w:tcPr>
          <w:p w14:paraId="54ADC5D3" w14:textId="77777777" w:rsidR="00472474" w:rsidRDefault="00472474" w:rsidP="00AC636C">
            <w:pPr>
              <w:spacing w:after="0" w:line="240" w:lineRule="auto"/>
              <w:jc w:val="center"/>
              <w:rPr>
                <w:rFonts w:eastAsia="Times New Roman"/>
                <w:b/>
                <w:color w:val="000000"/>
                <w:sz w:val="23"/>
                <w:szCs w:val="23"/>
              </w:rPr>
            </w:pPr>
            <w:r w:rsidRPr="000E1B51">
              <w:rPr>
                <w:rFonts w:eastAsia="Times New Roman"/>
                <w:b/>
                <w:color w:val="000000"/>
                <w:sz w:val="23"/>
                <w:szCs w:val="23"/>
              </w:rPr>
              <w:t>Predicted count</w:t>
            </w:r>
          </w:p>
          <w:p w14:paraId="0F828165" w14:textId="1E143131" w:rsidR="001A04BC" w:rsidRPr="000E1B51" w:rsidRDefault="001A04BC" w:rsidP="00AC636C">
            <w:pPr>
              <w:spacing w:after="0" w:line="240" w:lineRule="auto"/>
              <w:jc w:val="center"/>
              <w:rPr>
                <w:rFonts w:eastAsia="Times New Roman"/>
                <w:b/>
                <w:color w:val="000000"/>
                <w:sz w:val="23"/>
                <w:szCs w:val="23"/>
              </w:rPr>
            </w:pPr>
            <w:r>
              <w:rPr>
                <w:rFonts w:eastAsia="Times New Roman"/>
                <w:b/>
                <w:color w:val="000000"/>
                <w:sz w:val="23"/>
                <w:szCs w:val="23"/>
              </w:rPr>
              <w:t>Independent Model</w:t>
            </w:r>
          </w:p>
        </w:tc>
      </w:tr>
      <w:tr w:rsidR="00472474" w:rsidRPr="000E1B51" w14:paraId="3F91B453" w14:textId="77777777" w:rsidTr="000E1B51">
        <w:trPr>
          <w:trHeight w:val="288"/>
        </w:trPr>
        <w:tc>
          <w:tcPr>
            <w:tcW w:w="1080" w:type="dxa"/>
            <w:tcBorders>
              <w:top w:val="nil"/>
              <w:left w:val="double" w:sz="4" w:space="0" w:color="auto"/>
              <w:bottom w:val="double" w:sz="4" w:space="0" w:color="auto"/>
              <w:right w:val="single" w:sz="4" w:space="0" w:color="auto"/>
            </w:tcBorders>
            <w:shd w:val="clear" w:color="auto" w:fill="auto"/>
            <w:noWrap/>
            <w:vAlign w:val="bottom"/>
            <w:hideMark/>
          </w:tcPr>
          <w:p w14:paraId="5DA51367" w14:textId="77777777" w:rsidR="00472474" w:rsidRPr="000E1B51" w:rsidRDefault="00472474" w:rsidP="00AC636C">
            <w:pPr>
              <w:spacing w:after="0" w:line="240" w:lineRule="auto"/>
              <w:jc w:val="center"/>
              <w:rPr>
                <w:rFonts w:eastAsia="Times New Roman"/>
                <w:b/>
                <w:color w:val="000000"/>
                <w:sz w:val="23"/>
                <w:szCs w:val="23"/>
              </w:rPr>
            </w:pPr>
            <w:r w:rsidRPr="000E1B51">
              <w:rPr>
                <w:rFonts w:eastAsia="Times New Roman"/>
                <w:b/>
                <w:color w:val="000000"/>
                <w:sz w:val="23"/>
                <w:szCs w:val="23"/>
              </w:rPr>
              <w:t>Eat-out</w:t>
            </w:r>
          </w:p>
        </w:tc>
        <w:tc>
          <w:tcPr>
            <w:tcW w:w="1077" w:type="dxa"/>
            <w:tcBorders>
              <w:top w:val="nil"/>
              <w:left w:val="single" w:sz="4" w:space="0" w:color="auto"/>
              <w:bottom w:val="double" w:sz="4" w:space="0" w:color="auto"/>
              <w:right w:val="single" w:sz="4" w:space="0" w:color="auto"/>
            </w:tcBorders>
            <w:shd w:val="clear" w:color="auto" w:fill="auto"/>
            <w:vAlign w:val="bottom"/>
          </w:tcPr>
          <w:p w14:paraId="20E62F49" w14:textId="77777777" w:rsidR="00472474" w:rsidRPr="000E1B51" w:rsidRDefault="00472474" w:rsidP="00AC636C">
            <w:pPr>
              <w:spacing w:after="0" w:line="240" w:lineRule="auto"/>
              <w:jc w:val="center"/>
              <w:rPr>
                <w:rFonts w:eastAsia="Times New Roman"/>
                <w:b/>
                <w:color w:val="000000"/>
                <w:sz w:val="23"/>
                <w:szCs w:val="23"/>
              </w:rPr>
            </w:pPr>
            <w:r w:rsidRPr="000E1B51">
              <w:rPr>
                <w:rFonts w:eastAsia="Times New Roman"/>
                <w:b/>
                <w:color w:val="000000"/>
                <w:sz w:val="23"/>
                <w:szCs w:val="23"/>
              </w:rPr>
              <w:t>Eat-in Takeout</w:t>
            </w:r>
          </w:p>
        </w:tc>
        <w:tc>
          <w:tcPr>
            <w:tcW w:w="1083" w:type="dxa"/>
            <w:tcBorders>
              <w:top w:val="nil"/>
              <w:left w:val="single" w:sz="4" w:space="0" w:color="auto"/>
              <w:bottom w:val="double" w:sz="4" w:space="0" w:color="auto"/>
              <w:right w:val="single" w:sz="4" w:space="0" w:color="auto"/>
            </w:tcBorders>
            <w:shd w:val="clear" w:color="auto" w:fill="auto"/>
            <w:vAlign w:val="bottom"/>
          </w:tcPr>
          <w:p w14:paraId="39B0C755" w14:textId="77777777" w:rsidR="00472474" w:rsidRPr="000E1B51" w:rsidRDefault="00472474" w:rsidP="00AC636C">
            <w:pPr>
              <w:spacing w:after="0" w:line="240" w:lineRule="auto"/>
              <w:jc w:val="center"/>
              <w:rPr>
                <w:rFonts w:eastAsia="Times New Roman"/>
                <w:b/>
                <w:color w:val="000000"/>
                <w:sz w:val="23"/>
                <w:szCs w:val="23"/>
              </w:rPr>
            </w:pPr>
            <w:r w:rsidRPr="000E1B51">
              <w:rPr>
                <w:rFonts w:eastAsia="Times New Roman"/>
                <w:b/>
                <w:color w:val="000000"/>
                <w:sz w:val="23"/>
                <w:szCs w:val="23"/>
              </w:rPr>
              <w:t>Eat-in Delivery</w:t>
            </w:r>
          </w:p>
        </w:tc>
        <w:tc>
          <w:tcPr>
            <w:tcW w:w="1790" w:type="dxa"/>
            <w:vMerge/>
            <w:tcBorders>
              <w:left w:val="nil"/>
              <w:bottom w:val="double" w:sz="4" w:space="0" w:color="auto"/>
              <w:right w:val="single" w:sz="4" w:space="0" w:color="auto"/>
            </w:tcBorders>
            <w:shd w:val="clear" w:color="auto" w:fill="auto"/>
            <w:noWrap/>
            <w:vAlign w:val="bottom"/>
            <w:hideMark/>
          </w:tcPr>
          <w:p w14:paraId="4DDBCA1D" w14:textId="77777777" w:rsidR="00472474" w:rsidRPr="000E1B51" w:rsidRDefault="00472474" w:rsidP="00AC636C">
            <w:pPr>
              <w:spacing w:after="0" w:line="240" w:lineRule="auto"/>
              <w:rPr>
                <w:rFonts w:eastAsia="Times New Roman"/>
                <w:b/>
                <w:color w:val="000000"/>
                <w:sz w:val="23"/>
                <w:szCs w:val="23"/>
              </w:rPr>
            </w:pPr>
          </w:p>
        </w:tc>
        <w:tc>
          <w:tcPr>
            <w:tcW w:w="2250" w:type="dxa"/>
            <w:vMerge/>
            <w:tcBorders>
              <w:left w:val="nil"/>
              <w:bottom w:val="double" w:sz="4" w:space="0" w:color="auto"/>
              <w:right w:val="single" w:sz="4" w:space="0" w:color="auto"/>
            </w:tcBorders>
            <w:shd w:val="clear" w:color="auto" w:fill="auto"/>
            <w:noWrap/>
            <w:vAlign w:val="bottom"/>
            <w:hideMark/>
          </w:tcPr>
          <w:p w14:paraId="03E5AA42" w14:textId="77777777" w:rsidR="00472474" w:rsidRPr="000E1B51" w:rsidRDefault="00472474" w:rsidP="00AC636C">
            <w:pPr>
              <w:spacing w:after="0" w:line="240" w:lineRule="auto"/>
              <w:rPr>
                <w:rFonts w:eastAsia="Times New Roman"/>
                <w:b/>
                <w:color w:val="000000"/>
                <w:sz w:val="23"/>
                <w:szCs w:val="23"/>
              </w:rPr>
            </w:pPr>
          </w:p>
        </w:tc>
        <w:tc>
          <w:tcPr>
            <w:tcW w:w="2075" w:type="dxa"/>
            <w:vMerge/>
            <w:tcBorders>
              <w:left w:val="nil"/>
              <w:bottom w:val="double" w:sz="4" w:space="0" w:color="auto"/>
              <w:right w:val="double" w:sz="4" w:space="0" w:color="auto"/>
            </w:tcBorders>
            <w:shd w:val="clear" w:color="auto" w:fill="auto"/>
            <w:noWrap/>
            <w:vAlign w:val="bottom"/>
            <w:hideMark/>
          </w:tcPr>
          <w:p w14:paraId="1CC152C9" w14:textId="77777777" w:rsidR="00472474" w:rsidRPr="000E1B51" w:rsidRDefault="00472474" w:rsidP="00AC636C">
            <w:pPr>
              <w:spacing w:after="0" w:line="240" w:lineRule="auto"/>
              <w:rPr>
                <w:rFonts w:eastAsia="Times New Roman"/>
                <w:b/>
                <w:color w:val="000000"/>
                <w:sz w:val="23"/>
                <w:szCs w:val="23"/>
              </w:rPr>
            </w:pPr>
          </w:p>
        </w:tc>
      </w:tr>
      <w:tr w:rsidR="00472474" w:rsidRPr="000E1B51" w14:paraId="5ABEA2C6" w14:textId="77777777" w:rsidTr="000E1B51">
        <w:trPr>
          <w:trHeight w:val="288"/>
        </w:trPr>
        <w:tc>
          <w:tcPr>
            <w:tcW w:w="108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3BF9CAF"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77" w:type="dxa"/>
            <w:tcBorders>
              <w:top w:val="double" w:sz="4" w:space="0" w:color="auto"/>
              <w:left w:val="single" w:sz="4" w:space="0" w:color="auto"/>
              <w:bottom w:val="single" w:sz="4" w:space="0" w:color="auto"/>
              <w:right w:val="single" w:sz="4" w:space="0" w:color="auto"/>
            </w:tcBorders>
            <w:shd w:val="clear" w:color="auto" w:fill="auto"/>
            <w:vAlign w:val="center"/>
          </w:tcPr>
          <w:p w14:paraId="78EAB8D1"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83" w:type="dxa"/>
            <w:tcBorders>
              <w:top w:val="double" w:sz="4" w:space="0" w:color="auto"/>
              <w:left w:val="single" w:sz="4" w:space="0" w:color="auto"/>
              <w:bottom w:val="single" w:sz="4" w:space="0" w:color="auto"/>
              <w:right w:val="single" w:sz="4" w:space="0" w:color="auto"/>
            </w:tcBorders>
            <w:shd w:val="clear" w:color="auto" w:fill="auto"/>
            <w:vAlign w:val="center"/>
          </w:tcPr>
          <w:p w14:paraId="5FC1228F"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790" w:type="dxa"/>
            <w:tcBorders>
              <w:top w:val="double" w:sz="4" w:space="0" w:color="auto"/>
              <w:left w:val="nil"/>
              <w:bottom w:val="single" w:sz="4" w:space="0" w:color="auto"/>
              <w:right w:val="single" w:sz="4" w:space="0" w:color="auto"/>
            </w:tcBorders>
            <w:shd w:val="clear" w:color="auto" w:fill="auto"/>
            <w:noWrap/>
            <w:vAlign w:val="center"/>
            <w:hideMark/>
          </w:tcPr>
          <w:p w14:paraId="0F57B2E0"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105</w:t>
            </w:r>
          </w:p>
        </w:tc>
        <w:tc>
          <w:tcPr>
            <w:tcW w:w="2250" w:type="dxa"/>
            <w:tcBorders>
              <w:top w:val="double" w:sz="4" w:space="0" w:color="auto"/>
              <w:left w:val="nil"/>
              <w:bottom w:val="single" w:sz="4" w:space="0" w:color="auto"/>
              <w:right w:val="single" w:sz="4" w:space="0" w:color="auto"/>
            </w:tcBorders>
            <w:shd w:val="clear" w:color="auto" w:fill="auto"/>
            <w:noWrap/>
            <w:vAlign w:val="center"/>
            <w:hideMark/>
          </w:tcPr>
          <w:p w14:paraId="3275F692"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108</w:t>
            </w:r>
          </w:p>
        </w:tc>
        <w:tc>
          <w:tcPr>
            <w:tcW w:w="2075" w:type="dxa"/>
            <w:tcBorders>
              <w:top w:val="double" w:sz="4" w:space="0" w:color="auto"/>
              <w:left w:val="nil"/>
              <w:bottom w:val="single" w:sz="4" w:space="0" w:color="auto"/>
              <w:right w:val="double" w:sz="4" w:space="0" w:color="auto"/>
            </w:tcBorders>
            <w:shd w:val="clear" w:color="auto" w:fill="auto"/>
            <w:noWrap/>
            <w:vAlign w:val="center"/>
            <w:hideMark/>
          </w:tcPr>
          <w:p w14:paraId="7281058B"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119</w:t>
            </w:r>
          </w:p>
        </w:tc>
      </w:tr>
      <w:tr w:rsidR="00472474" w:rsidRPr="000E1B51" w14:paraId="39452276"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5E777ABE"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77" w:type="dxa"/>
            <w:tcBorders>
              <w:top w:val="nil"/>
              <w:left w:val="single" w:sz="4" w:space="0" w:color="auto"/>
              <w:bottom w:val="single" w:sz="4" w:space="0" w:color="auto"/>
              <w:right w:val="single" w:sz="4" w:space="0" w:color="auto"/>
            </w:tcBorders>
            <w:shd w:val="clear" w:color="auto" w:fill="auto"/>
            <w:vAlign w:val="center"/>
          </w:tcPr>
          <w:p w14:paraId="28ACABAF"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83" w:type="dxa"/>
            <w:tcBorders>
              <w:top w:val="nil"/>
              <w:left w:val="single" w:sz="4" w:space="0" w:color="auto"/>
              <w:bottom w:val="single" w:sz="4" w:space="0" w:color="auto"/>
              <w:right w:val="single" w:sz="4" w:space="0" w:color="auto"/>
            </w:tcBorders>
            <w:shd w:val="clear" w:color="auto" w:fill="auto"/>
            <w:vAlign w:val="center"/>
          </w:tcPr>
          <w:p w14:paraId="03431831"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790" w:type="dxa"/>
            <w:tcBorders>
              <w:top w:val="nil"/>
              <w:left w:val="nil"/>
              <w:bottom w:val="single" w:sz="4" w:space="0" w:color="auto"/>
              <w:right w:val="single" w:sz="4" w:space="0" w:color="auto"/>
            </w:tcBorders>
            <w:shd w:val="clear" w:color="auto" w:fill="auto"/>
            <w:noWrap/>
            <w:vAlign w:val="center"/>
            <w:hideMark/>
          </w:tcPr>
          <w:p w14:paraId="4003CB72"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33</w:t>
            </w:r>
          </w:p>
        </w:tc>
        <w:tc>
          <w:tcPr>
            <w:tcW w:w="2250" w:type="dxa"/>
            <w:tcBorders>
              <w:top w:val="nil"/>
              <w:left w:val="nil"/>
              <w:bottom w:val="single" w:sz="4" w:space="0" w:color="auto"/>
              <w:right w:val="single" w:sz="4" w:space="0" w:color="auto"/>
            </w:tcBorders>
            <w:shd w:val="clear" w:color="auto" w:fill="auto"/>
            <w:noWrap/>
            <w:vAlign w:val="center"/>
            <w:hideMark/>
          </w:tcPr>
          <w:p w14:paraId="6CA09E5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38</w:t>
            </w:r>
          </w:p>
        </w:tc>
        <w:tc>
          <w:tcPr>
            <w:tcW w:w="2075" w:type="dxa"/>
            <w:tcBorders>
              <w:top w:val="nil"/>
              <w:left w:val="nil"/>
              <w:bottom w:val="single" w:sz="4" w:space="0" w:color="auto"/>
              <w:right w:val="double" w:sz="4" w:space="0" w:color="auto"/>
            </w:tcBorders>
            <w:shd w:val="clear" w:color="auto" w:fill="auto"/>
            <w:noWrap/>
            <w:vAlign w:val="center"/>
            <w:hideMark/>
          </w:tcPr>
          <w:p w14:paraId="68E877B4"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43</w:t>
            </w:r>
          </w:p>
        </w:tc>
      </w:tr>
      <w:tr w:rsidR="00472474" w:rsidRPr="000E1B51" w14:paraId="1706EE7D"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2C47DC30"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77" w:type="dxa"/>
            <w:tcBorders>
              <w:top w:val="nil"/>
              <w:left w:val="single" w:sz="4" w:space="0" w:color="auto"/>
              <w:bottom w:val="single" w:sz="4" w:space="0" w:color="auto"/>
              <w:right w:val="single" w:sz="4" w:space="0" w:color="auto"/>
            </w:tcBorders>
            <w:shd w:val="clear" w:color="auto" w:fill="auto"/>
            <w:vAlign w:val="center"/>
          </w:tcPr>
          <w:p w14:paraId="5BD6F6AD"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83" w:type="dxa"/>
            <w:tcBorders>
              <w:top w:val="nil"/>
              <w:left w:val="single" w:sz="4" w:space="0" w:color="auto"/>
              <w:bottom w:val="single" w:sz="4" w:space="0" w:color="auto"/>
              <w:right w:val="single" w:sz="4" w:space="0" w:color="auto"/>
            </w:tcBorders>
            <w:shd w:val="clear" w:color="auto" w:fill="auto"/>
            <w:vAlign w:val="center"/>
          </w:tcPr>
          <w:p w14:paraId="60C2317F"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790" w:type="dxa"/>
            <w:tcBorders>
              <w:top w:val="nil"/>
              <w:left w:val="nil"/>
              <w:bottom w:val="single" w:sz="4" w:space="0" w:color="auto"/>
              <w:right w:val="single" w:sz="4" w:space="0" w:color="auto"/>
            </w:tcBorders>
            <w:shd w:val="clear" w:color="auto" w:fill="auto"/>
            <w:noWrap/>
            <w:vAlign w:val="center"/>
            <w:hideMark/>
          </w:tcPr>
          <w:p w14:paraId="14F1CF7F"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45</w:t>
            </w:r>
          </w:p>
        </w:tc>
        <w:tc>
          <w:tcPr>
            <w:tcW w:w="2250" w:type="dxa"/>
            <w:tcBorders>
              <w:top w:val="nil"/>
              <w:left w:val="nil"/>
              <w:bottom w:val="single" w:sz="4" w:space="0" w:color="auto"/>
              <w:right w:val="single" w:sz="4" w:space="0" w:color="auto"/>
            </w:tcBorders>
            <w:shd w:val="clear" w:color="auto" w:fill="auto"/>
            <w:noWrap/>
            <w:vAlign w:val="center"/>
            <w:hideMark/>
          </w:tcPr>
          <w:p w14:paraId="1BB2065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33</w:t>
            </w:r>
          </w:p>
        </w:tc>
        <w:tc>
          <w:tcPr>
            <w:tcW w:w="2075" w:type="dxa"/>
            <w:tcBorders>
              <w:top w:val="nil"/>
              <w:left w:val="nil"/>
              <w:bottom w:val="single" w:sz="4" w:space="0" w:color="auto"/>
              <w:right w:val="double" w:sz="4" w:space="0" w:color="auto"/>
            </w:tcBorders>
            <w:shd w:val="clear" w:color="auto" w:fill="auto"/>
            <w:noWrap/>
            <w:vAlign w:val="center"/>
            <w:hideMark/>
          </w:tcPr>
          <w:p w14:paraId="17AB05B7"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31</w:t>
            </w:r>
          </w:p>
        </w:tc>
      </w:tr>
      <w:tr w:rsidR="00472474" w:rsidRPr="000E1B51" w14:paraId="6C5B21FC"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7FF7DCF1"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77" w:type="dxa"/>
            <w:tcBorders>
              <w:top w:val="nil"/>
              <w:left w:val="single" w:sz="4" w:space="0" w:color="auto"/>
              <w:bottom w:val="single" w:sz="4" w:space="0" w:color="auto"/>
              <w:right w:val="single" w:sz="4" w:space="0" w:color="auto"/>
            </w:tcBorders>
            <w:shd w:val="clear" w:color="auto" w:fill="auto"/>
            <w:vAlign w:val="center"/>
          </w:tcPr>
          <w:p w14:paraId="62E3F7D8"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083" w:type="dxa"/>
            <w:tcBorders>
              <w:top w:val="nil"/>
              <w:left w:val="single" w:sz="4" w:space="0" w:color="auto"/>
              <w:bottom w:val="single" w:sz="4" w:space="0" w:color="auto"/>
              <w:right w:val="single" w:sz="4" w:space="0" w:color="auto"/>
            </w:tcBorders>
            <w:shd w:val="clear" w:color="auto" w:fill="auto"/>
            <w:vAlign w:val="center"/>
          </w:tcPr>
          <w:p w14:paraId="5EA801B1"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790" w:type="dxa"/>
            <w:tcBorders>
              <w:top w:val="nil"/>
              <w:left w:val="nil"/>
              <w:bottom w:val="single" w:sz="4" w:space="0" w:color="auto"/>
              <w:right w:val="single" w:sz="4" w:space="0" w:color="auto"/>
            </w:tcBorders>
            <w:shd w:val="clear" w:color="auto" w:fill="auto"/>
            <w:noWrap/>
            <w:vAlign w:val="center"/>
            <w:hideMark/>
          </w:tcPr>
          <w:p w14:paraId="6E55D68A"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22</w:t>
            </w:r>
          </w:p>
        </w:tc>
        <w:tc>
          <w:tcPr>
            <w:tcW w:w="2250" w:type="dxa"/>
            <w:tcBorders>
              <w:top w:val="nil"/>
              <w:left w:val="nil"/>
              <w:bottom w:val="single" w:sz="4" w:space="0" w:color="auto"/>
              <w:right w:val="single" w:sz="4" w:space="0" w:color="auto"/>
            </w:tcBorders>
            <w:shd w:val="clear" w:color="auto" w:fill="auto"/>
            <w:noWrap/>
            <w:vAlign w:val="center"/>
            <w:hideMark/>
          </w:tcPr>
          <w:p w14:paraId="6E1453E8"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32</w:t>
            </w:r>
          </w:p>
        </w:tc>
        <w:tc>
          <w:tcPr>
            <w:tcW w:w="2075" w:type="dxa"/>
            <w:tcBorders>
              <w:top w:val="nil"/>
              <w:left w:val="nil"/>
              <w:bottom w:val="single" w:sz="4" w:space="0" w:color="auto"/>
              <w:right w:val="double" w:sz="4" w:space="0" w:color="auto"/>
            </w:tcBorders>
            <w:shd w:val="clear" w:color="auto" w:fill="auto"/>
            <w:noWrap/>
            <w:vAlign w:val="center"/>
            <w:hideMark/>
          </w:tcPr>
          <w:p w14:paraId="1CE3DB27"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28</w:t>
            </w:r>
          </w:p>
        </w:tc>
      </w:tr>
      <w:tr w:rsidR="00472474" w:rsidRPr="000E1B51" w14:paraId="600FA1FA"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7F33B0F0"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77" w:type="dxa"/>
            <w:tcBorders>
              <w:top w:val="nil"/>
              <w:left w:val="single" w:sz="4" w:space="0" w:color="auto"/>
              <w:bottom w:val="single" w:sz="4" w:space="0" w:color="auto"/>
              <w:right w:val="single" w:sz="4" w:space="0" w:color="auto"/>
            </w:tcBorders>
            <w:shd w:val="clear" w:color="auto" w:fill="auto"/>
            <w:vAlign w:val="center"/>
          </w:tcPr>
          <w:p w14:paraId="7D17D2B5"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083" w:type="dxa"/>
            <w:tcBorders>
              <w:top w:val="nil"/>
              <w:left w:val="single" w:sz="4" w:space="0" w:color="auto"/>
              <w:bottom w:val="single" w:sz="4" w:space="0" w:color="auto"/>
              <w:right w:val="single" w:sz="4" w:space="0" w:color="auto"/>
            </w:tcBorders>
            <w:shd w:val="clear" w:color="auto" w:fill="auto"/>
            <w:vAlign w:val="center"/>
          </w:tcPr>
          <w:p w14:paraId="15FB5CC6"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790" w:type="dxa"/>
            <w:tcBorders>
              <w:top w:val="nil"/>
              <w:left w:val="nil"/>
              <w:bottom w:val="single" w:sz="4" w:space="0" w:color="auto"/>
              <w:right w:val="single" w:sz="4" w:space="0" w:color="auto"/>
            </w:tcBorders>
            <w:shd w:val="clear" w:color="auto" w:fill="auto"/>
            <w:noWrap/>
            <w:vAlign w:val="center"/>
            <w:hideMark/>
          </w:tcPr>
          <w:p w14:paraId="6722C483"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12</w:t>
            </w:r>
          </w:p>
        </w:tc>
        <w:tc>
          <w:tcPr>
            <w:tcW w:w="2250" w:type="dxa"/>
            <w:tcBorders>
              <w:top w:val="nil"/>
              <w:left w:val="nil"/>
              <w:bottom w:val="single" w:sz="4" w:space="0" w:color="auto"/>
              <w:right w:val="single" w:sz="4" w:space="0" w:color="auto"/>
            </w:tcBorders>
            <w:shd w:val="clear" w:color="auto" w:fill="auto"/>
            <w:noWrap/>
            <w:vAlign w:val="center"/>
            <w:hideMark/>
          </w:tcPr>
          <w:p w14:paraId="3BD9B25A"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14</w:t>
            </w:r>
          </w:p>
        </w:tc>
        <w:tc>
          <w:tcPr>
            <w:tcW w:w="2075" w:type="dxa"/>
            <w:tcBorders>
              <w:top w:val="nil"/>
              <w:left w:val="nil"/>
              <w:bottom w:val="single" w:sz="4" w:space="0" w:color="auto"/>
              <w:right w:val="double" w:sz="4" w:space="0" w:color="auto"/>
            </w:tcBorders>
            <w:shd w:val="clear" w:color="auto" w:fill="auto"/>
            <w:noWrap/>
            <w:vAlign w:val="center"/>
            <w:hideMark/>
          </w:tcPr>
          <w:p w14:paraId="299BFB97"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13</w:t>
            </w:r>
          </w:p>
        </w:tc>
      </w:tr>
      <w:tr w:rsidR="00472474" w:rsidRPr="000E1B51" w14:paraId="384B53CD"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52C5D0A8"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77" w:type="dxa"/>
            <w:tcBorders>
              <w:top w:val="nil"/>
              <w:left w:val="single" w:sz="4" w:space="0" w:color="auto"/>
              <w:bottom w:val="single" w:sz="4" w:space="0" w:color="auto"/>
              <w:right w:val="single" w:sz="4" w:space="0" w:color="auto"/>
            </w:tcBorders>
            <w:shd w:val="clear" w:color="auto" w:fill="auto"/>
            <w:vAlign w:val="center"/>
          </w:tcPr>
          <w:p w14:paraId="09E298E6"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083" w:type="dxa"/>
            <w:tcBorders>
              <w:top w:val="nil"/>
              <w:left w:val="single" w:sz="4" w:space="0" w:color="auto"/>
              <w:bottom w:val="single" w:sz="4" w:space="0" w:color="auto"/>
              <w:right w:val="single" w:sz="4" w:space="0" w:color="auto"/>
            </w:tcBorders>
            <w:shd w:val="clear" w:color="auto" w:fill="auto"/>
            <w:vAlign w:val="center"/>
          </w:tcPr>
          <w:p w14:paraId="55105731"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790" w:type="dxa"/>
            <w:tcBorders>
              <w:top w:val="nil"/>
              <w:left w:val="nil"/>
              <w:bottom w:val="single" w:sz="4" w:space="0" w:color="auto"/>
              <w:right w:val="single" w:sz="4" w:space="0" w:color="auto"/>
            </w:tcBorders>
            <w:shd w:val="clear" w:color="auto" w:fill="auto"/>
            <w:noWrap/>
            <w:vAlign w:val="center"/>
            <w:hideMark/>
          </w:tcPr>
          <w:p w14:paraId="6EEDD002"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13</w:t>
            </w:r>
          </w:p>
        </w:tc>
        <w:tc>
          <w:tcPr>
            <w:tcW w:w="2250" w:type="dxa"/>
            <w:tcBorders>
              <w:top w:val="nil"/>
              <w:left w:val="nil"/>
              <w:bottom w:val="single" w:sz="4" w:space="0" w:color="auto"/>
              <w:right w:val="single" w:sz="4" w:space="0" w:color="auto"/>
            </w:tcBorders>
            <w:shd w:val="clear" w:color="auto" w:fill="auto"/>
            <w:noWrap/>
            <w:vAlign w:val="center"/>
            <w:hideMark/>
          </w:tcPr>
          <w:p w14:paraId="3451DB6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12</w:t>
            </w:r>
          </w:p>
        </w:tc>
        <w:tc>
          <w:tcPr>
            <w:tcW w:w="2075" w:type="dxa"/>
            <w:tcBorders>
              <w:top w:val="nil"/>
              <w:left w:val="nil"/>
              <w:bottom w:val="single" w:sz="4" w:space="0" w:color="auto"/>
              <w:right w:val="double" w:sz="4" w:space="0" w:color="auto"/>
            </w:tcBorders>
            <w:shd w:val="clear" w:color="auto" w:fill="auto"/>
            <w:noWrap/>
            <w:vAlign w:val="center"/>
            <w:hideMark/>
          </w:tcPr>
          <w:p w14:paraId="435BEACB"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11</w:t>
            </w:r>
          </w:p>
        </w:tc>
      </w:tr>
      <w:tr w:rsidR="00472474" w:rsidRPr="000E1B51" w14:paraId="4F2F712D"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3CDAA216"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77" w:type="dxa"/>
            <w:tcBorders>
              <w:top w:val="nil"/>
              <w:left w:val="single" w:sz="4" w:space="0" w:color="auto"/>
              <w:bottom w:val="single" w:sz="4" w:space="0" w:color="auto"/>
              <w:right w:val="single" w:sz="4" w:space="0" w:color="auto"/>
            </w:tcBorders>
            <w:shd w:val="clear" w:color="auto" w:fill="auto"/>
            <w:vAlign w:val="center"/>
          </w:tcPr>
          <w:p w14:paraId="2A88EBD4"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083" w:type="dxa"/>
            <w:tcBorders>
              <w:top w:val="nil"/>
              <w:left w:val="single" w:sz="4" w:space="0" w:color="auto"/>
              <w:bottom w:val="single" w:sz="4" w:space="0" w:color="auto"/>
              <w:right w:val="single" w:sz="4" w:space="0" w:color="auto"/>
            </w:tcBorders>
            <w:shd w:val="clear" w:color="auto" w:fill="auto"/>
            <w:vAlign w:val="center"/>
          </w:tcPr>
          <w:p w14:paraId="61CBE294"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790" w:type="dxa"/>
            <w:tcBorders>
              <w:top w:val="nil"/>
              <w:left w:val="nil"/>
              <w:bottom w:val="single" w:sz="4" w:space="0" w:color="auto"/>
              <w:right w:val="single" w:sz="4" w:space="0" w:color="auto"/>
            </w:tcBorders>
            <w:shd w:val="clear" w:color="auto" w:fill="auto"/>
            <w:noWrap/>
            <w:vAlign w:val="center"/>
            <w:hideMark/>
          </w:tcPr>
          <w:p w14:paraId="65C03B4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36</w:t>
            </w:r>
          </w:p>
        </w:tc>
        <w:tc>
          <w:tcPr>
            <w:tcW w:w="2250" w:type="dxa"/>
            <w:tcBorders>
              <w:top w:val="nil"/>
              <w:left w:val="nil"/>
              <w:bottom w:val="single" w:sz="4" w:space="0" w:color="auto"/>
              <w:right w:val="single" w:sz="4" w:space="0" w:color="auto"/>
            </w:tcBorders>
            <w:shd w:val="clear" w:color="auto" w:fill="auto"/>
            <w:noWrap/>
            <w:vAlign w:val="center"/>
            <w:hideMark/>
          </w:tcPr>
          <w:p w14:paraId="1AAFFCA0"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25</w:t>
            </w:r>
          </w:p>
        </w:tc>
        <w:tc>
          <w:tcPr>
            <w:tcW w:w="2075" w:type="dxa"/>
            <w:tcBorders>
              <w:top w:val="nil"/>
              <w:left w:val="nil"/>
              <w:bottom w:val="single" w:sz="4" w:space="0" w:color="auto"/>
              <w:right w:val="double" w:sz="4" w:space="0" w:color="auto"/>
            </w:tcBorders>
            <w:shd w:val="clear" w:color="auto" w:fill="auto"/>
            <w:noWrap/>
            <w:vAlign w:val="center"/>
            <w:hideMark/>
          </w:tcPr>
          <w:p w14:paraId="6C7B3F11"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19</w:t>
            </w:r>
          </w:p>
        </w:tc>
      </w:tr>
      <w:tr w:rsidR="00472474" w:rsidRPr="000E1B51" w14:paraId="3A4035AC"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6A15AAE1"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77" w:type="dxa"/>
            <w:tcBorders>
              <w:top w:val="nil"/>
              <w:left w:val="single" w:sz="4" w:space="0" w:color="auto"/>
              <w:bottom w:val="single" w:sz="4" w:space="0" w:color="auto"/>
              <w:right w:val="single" w:sz="4" w:space="0" w:color="auto"/>
            </w:tcBorders>
            <w:shd w:val="clear" w:color="auto" w:fill="auto"/>
            <w:vAlign w:val="center"/>
          </w:tcPr>
          <w:p w14:paraId="5C496A47"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083" w:type="dxa"/>
            <w:tcBorders>
              <w:top w:val="nil"/>
              <w:left w:val="single" w:sz="4" w:space="0" w:color="auto"/>
              <w:bottom w:val="single" w:sz="4" w:space="0" w:color="auto"/>
              <w:right w:val="single" w:sz="4" w:space="0" w:color="auto"/>
            </w:tcBorders>
            <w:shd w:val="clear" w:color="auto" w:fill="auto"/>
            <w:vAlign w:val="center"/>
          </w:tcPr>
          <w:p w14:paraId="077F1F41"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790" w:type="dxa"/>
            <w:tcBorders>
              <w:top w:val="nil"/>
              <w:left w:val="nil"/>
              <w:bottom w:val="single" w:sz="4" w:space="0" w:color="auto"/>
              <w:right w:val="single" w:sz="4" w:space="0" w:color="auto"/>
            </w:tcBorders>
            <w:shd w:val="clear" w:color="auto" w:fill="auto"/>
            <w:noWrap/>
            <w:vAlign w:val="center"/>
            <w:hideMark/>
          </w:tcPr>
          <w:p w14:paraId="32DEC4F3"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9</w:t>
            </w:r>
          </w:p>
        </w:tc>
        <w:tc>
          <w:tcPr>
            <w:tcW w:w="2250" w:type="dxa"/>
            <w:tcBorders>
              <w:top w:val="nil"/>
              <w:left w:val="nil"/>
              <w:bottom w:val="single" w:sz="4" w:space="0" w:color="auto"/>
              <w:right w:val="single" w:sz="4" w:space="0" w:color="auto"/>
            </w:tcBorders>
            <w:shd w:val="clear" w:color="auto" w:fill="auto"/>
            <w:noWrap/>
            <w:vAlign w:val="center"/>
            <w:hideMark/>
          </w:tcPr>
          <w:p w14:paraId="27366AE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12</w:t>
            </w:r>
          </w:p>
        </w:tc>
        <w:tc>
          <w:tcPr>
            <w:tcW w:w="2075" w:type="dxa"/>
            <w:tcBorders>
              <w:top w:val="nil"/>
              <w:left w:val="nil"/>
              <w:bottom w:val="single" w:sz="4" w:space="0" w:color="auto"/>
              <w:right w:val="double" w:sz="4" w:space="0" w:color="auto"/>
            </w:tcBorders>
            <w:shd w:val="clear" w:color="auto" w:fill="auto"/>
            <w:noWrap/>
            <w:vAlign w:val="center"/>
            <w:hideMark/>
          </w:tcPr>
          <w:p w14:paraId="6DB0FF54"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10</w:t>
            </w:r>
          </w:p>
        </w:tc>
      </w:tr>
      <w:tr w:rsidR="00472474" w:rsidRPr="000E1B51" w14:paraId="6CCDD7AD"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4C57E093"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77" w:type="dxa"/>
            <w:tcBorders>
              <w:top w:val="nil"/>
              <w:left w:val="single" w:sz="4" w:space="0" w:color="auto"/>
              <w:bottom w:val="single" w:sz="4" w:space="0" w:color="auto"/>
              <w:right w:val="single" w:sz="4" w:space="0" w:color="auto"/>
            </w:tcBorders>
            <w:shd w:val="clear" w:color="auto" w:fill="auto"/>
            <w:vAlign w:val="center"/>
          </w:tcPr>
          <w:p w14:paraId="624F401E"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083" w:type="dxa"/>
            <w:tcBorders>
              <w:top w:val="nil"/>
              <w:left w:val="single" w:sz="4" w:space="0" w:color="auto"/>
              <w:bottom w:val="single" w:sz="4" w:space="0" w:color="auto"/>
              <w:right w:val="single" w:sz="4" w:space="0" w:color="auto"/>
            </w:tcBorders>
            <w:shd w:val="clear" w:color="auto" w:fill="auto"/>
            <w:vAlign w:val="center"/>
          </w:tcPr>
          <w:p w14:paraId="155B9B23"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790" w:type="dxa"/>
            <w:tcBorders>
              <w:top w:val="nil"/>
              <w:left w:val="nil"/>
              <w:bottom w:val="single" w:sz="4" w:space="0" w:color="auto"/>
              <w:right w:val="single" w:sz="4" w:space="0" w:color="auto"/>
            </w:tcBorders>
            <w:shd w:val="clear" w:color="auto" w:fill="auto"/>
            <w:noWrap/>
            <w:vAlign w:val="center"/>
            <w:hideMark/>
          </w:tcPr>
          <w:p w14:paraId="765B5831"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8</w:t>
            </w:r>
          </w:p>
        </w:tc>
        <w:tc>
          <w:tcPr>
            <w:tcW w:w="2250" w:type="dxa"/>
            <w:tcBorders>
              <w:top w:val="nil"/>
              <w:left w:val="nil"/>
              <w:bottom w:val="single" w:sz="4" w:space="0" w:color="auto"/>
              <w:right w:val="single" w:sz="4" w:space="0" w:color="auto"/>
            </w:tcBorders>
            <w:shd w:val="clear" w:color="auto" w:fill="auto"/>
            <w:noWrap/>
            <w:vAlign w:val="center"/>
            <w:hideMark/>
          </w:tcPr>
          <w:p w14:paraId="29533EC5"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10</w:t>
            </w:r>
          </w:p>
        </w:tc>
        <w:tc>
          <w:tcPr>
            <w:tcW w:w="2075" w:type="dxa"/>
            <w:tcBorders>
              <w:top w:val="nil"/>
              <w:left w:val="nil"/>
              <w:bottom w:val="single" w:sz="4" w:space="0" w:color="auto"/>
              <w:right w:val="double" w:sz="4" w:space="0" w:color="auto"/>
            </w:tcBorders>
            <w:shd w:val="clear" w:color="auto" w:fill="auto"/>
            <w:noWrap/>
            <w:vAlign w:val="center"/>
            <w:hideMark/>
          </w:tcPr>
          <w:p w14:paraId="799BE5DA"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9</w:t>
            </w:r>
          </w:p>
        </w:tc>
      </w:tr>
      <w:tr w:rsidR="00472474" w:rsidRPr="000E1B51" w14:paraId="26617087"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2FD7EEE0"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1-3</w:t>
            </w:r>
          </w:p>
        </w:tc>
        <w:tc>
          <w:tcPr>
            <w:tcW w:w="1077" w:type="dxa"/>
            <w:tcBorders>
              <w:top w:val="nil"/>
              <w:left w:val="single" w:sz="4" w:space="0" w:color="auto"/>
              <w:bottom w:val="single" w:sz="4" w:space="0" w:color="auto"/>
              <w:right w:val="single" w:sz="4" w:space="0" w:color="auto"/>
            </w:tcBorders>
            <w:shd w:val="clear" w:color="auto" w:fill="auto"/>
            <w:vAlign w:val="center"/>
          </w:tcPr>
          <w:p w14:paraId="09F3D7ED"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83" w:type="dxa"/>
            <w:tcBorders>
              <w:top w:val="nil"/>
              <w:left w:val="single" w:sz="4" w:space="0" w:color="auto"/>
              <w:bottom w:val="single" w:sz="4" w:space="0" w:color="auto"/>
              <w:right w:val="single" w:sz="4" w:space="0" w:color="auto"/>
            </w:tcBorders>
            <w:shd w:val="clear" w:color="auto" w:fill="auto"/>
            <w:vAlign w:val="center"/>
          </w:tcPr>
          <w:p w14:paraId="6AAF5CB0"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790" w:type="dxa"/>
            <w:tcBorders>
              <w:top w:val="nil"/>
              <w:left w:val="nil"/>
              <w:bottom w:val="single" w:sz="4" w:space="0" w:color="auto"/>
              <w:right w:val="single" w:sz="4" w:space="0" w:color="auto"/>
            </w:tcBorders>
            <w:shd w:val="clear" w:color="auto" w:fill="auto"/>
            <w:noWrap/>
            <w:vAlign w:val="center"/>
            <w:hideMark/>
          </w:tcPr>
          <w:p w14:paraId="6483B19D"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147</w:t>
            </w:r>
          </w:p>
        </w:tc>
        <w:tc>
          <w:tcPr>
            <w:tcW w:w="2250" w:type="dxa"/>
            <w:tcBorders>
              <w:top w:val="nil"/>
              <w:left w:val="nil"/>
              <w:bottom w:val="single" w:sz="4" w:space="0" w:color="auto"/>
              <w:right w:val="single" w:sz="4" w:space="0" w:color="auto"/>
            </w:tcBorders>
            <w:shd w:val="clear" w:color="auto" w:fill="auto"/>
            <w:noWrap/>
            <w:vAlign w:val="center"/>
            <w:hideMark/>
          </w:tcPr>
          <w:p w14:paraId="2B41C088"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150</w:t>
            </w:r>
          </w:p>
        </w:tc>
        <w:tc>
          <w:tcPr>
            <w:tcW w:w="2075" w:type="dxa"/>
            <w:tcBorders>
              <w:top w:val="nil"/>
              <w:left w:val="nil"/>
              <w:bottom w:val="single" w:sz="4" w:space="0" w:color="auto"/>
              <w:right w:val="double" w:sz="4" w:space="0" w:color="auto"/>
            </w:tcBorders>
            <w:shd w:val="clear" w:color="auto" w:fill="auto"/>
            <w:noWrap/>
            <w:vAlign w:val="center"/>
            <w:hideMark/>
          </w:tcPr>
          <w:p w14:paraId="1483FBD9"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153</w:t>
            </w:r>
          </w:p>
        </w:tc>
      </w:tr>
      <w:tr w:rsidR="00472474" w:rsidRPr="000E1B51" w14:paraId="625B4BAD"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0326A378"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1-3</w:t>
            </w:r>
          </w:p>
        </w:tc>
        <w:tc>
          <w:tcPr>
            <w:tcW w:w="1077" w:type="dxa"/>
            <w:tcBorders>
              <w:top w:val="nil"/>
              <w:left w:val="single" w:sz="4" w:space="0" w:color="auto"/>
              <w:bottom w:val="single" w:sz="4" w:space="0" w:color="auto"/>
              <w:right w:val="single" w:sz="4" w:space="0" w:color="auto"/>
            </w:tcBorders>
            <w:shd w:val="clear" w:color="auto" w:fill="auto"/>
            <w:vAlign w:val="center"/>
          </w:tcPr>
          <w:p w14:paraId="7C59DD73"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83" w:type="dxa"/>
            <w:tcBorders>
              <w:top w:val="nil"/>
              <w:left w:val="single" w:sz="4" w:space="0" w:color="auto"/>
              <w:bottom w:val="single" w:sz="4" w:space="0" w:color="auto"/>
              <w:right w:val="single" w:sz="4" w:space="0" w:color="auto"/>
            </w:tcBorders>
            <w:shd w:val="clear" w:color="auto" w:fill="auto"/>
            <w:vAlign w:val="center"/>
          </w:tcPr>
          <w:p w14:paraId="1E918117"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790" w:type="dxa"/>
            <w:tcBorders>
              <w:top w:val="nil"/>
              <w:left w:val="nil"/>
              <w:bottom w:val="single" w:sz="4" w:space="0" w:color="auto"/>
              <w:right w:val="single" w:sz="4" w:space="0" w:color="auto"/>
            </w:tcBorders>
            <w:shd w:val="clear" w:color="auto" w:fill="auto"/>
            <w:noWrap/>
            <w:vAlign w:val="center"/>
            <w:hideMark/>
          </w:tcPr>
          <w:p w14:paraId="4F120095"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58</w:t>
            </w:r>
          </w:p>
        </w:tc>
        <w:tc>
          <w:tcPr>
            <w:tcW w:w="2250" w:type="dxa"/>
            <w:tcBorders>
              <w:top w:val="nil"/>
              <w:left w:val="nil"/>
              <w:bottom w:val="single" w:sz="4" w:space="0" w:color="auto"/>
              <w:right w:val="single" w:sz="4" w:space="0" w:color="auto"/>
            </w:tcBorders>
            <w:shd w:val="clear" w:color="auto" w:fill="auto"/>
            <w:noWrap/>
            <w:vAlign w:val="center"/>
            <w:hideMark/>
          </w:tcPr>
          <w:p w14:paraId="00AD3AEF"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57</w:t>
            </w:r>
          </w:p>
        </w:tc>
        <w:tc>
          <w:tcPr>
            <w:tcW w:w="2075" w:type="dxa"/>
            <w:tcBorders>
              <w:top w:val="nil"/>
              <w:left w:val="nil"/>
              <w:bottom w:val="single" w:sz="4" w:space="0" w:color="auto"/>
              <w:right w:val="double" w:sz="4" w:space="0" w:color="auto"/>
            </w:tcBorders>
            <w:shd w:val="clear" w:color="auto" w:fill="auto"/>
            <w:noWrap/>
            <w:vAlign w:val="center"/>
            <w:hideMark/>
          </w:tcPr>
          <w:p w14:paraId="10BA9E65"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58</w:t>
            </w:r>
          </w:p>
        </w:tc>
      </w:tr>
      <w:tr w:rsidR="00472474" w:rsidRPr="000E1B51" w14:paraId="0ADB61F7"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63732006"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1-3</w:t>
            </w:r>
          </w:p>
        </w:tc>
        <w:tc>
          <w:tcPr>
            <w:tcW w:w="1077" w:type="dxa"/>
            <w:tcBorders>
              <w:top w:val="nil"/>
              <w:left w:val="single" w:sz="4" w:space="0" w:color="auto"/>
              <w:bottom w:val="single" w:sz="4" w:space="0" w:color="auto"/>
              <w:right w:val="single" w:sz="4" w:space="0" w:color="auto"/>
            </w:tcBorders>
            <w:shd w:val="clear" w:color="auto" w:fill="auto"/>
            <w:vAlign w:val="center"/>
          </w:tcPr>
          <w:p w14:paraId="52A06530"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83" w:type="dxa"/>
            <w:tcBorders>
              <w:top w:val="nil"/>
              <w:left w:val="single" w:sz="4" w:space="0" w:color="auto"/>
              <w:bottom w:val="single" w:sz="4" w:space="0" w:color="auto"/>
              <w:right w:val="single" w:sz="4" w:space="0" w:color="auto"/>
            </w:tcBorders>
            <w:shd w:val="clear" w:color="auto" w:fill="auto"/>
            <w:vAlign w:val="center"/>
          </w:tcPr>
          <w:p w14:paraId="6E56C890"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790" w:type="dxa"/>
            <w:tcBorders>
              <w:top w:val="nil"/>
              <w:left w:val="nil"/>
              <w:bottom w:val="single" w:sz="4" w:space="0" w:color="auto"/>
              <w:right w:val="single" w:sz="4" w:space="0" w:color="auto"/>
            </w:tcBorders>
            <w:shd w:val="clear" w:color="auto" w:fill="auto"/>
            <w:noWrap/>
            <w:vAlign w:val="center"/>
            <w:hideMark/>
          </w:tcPr>
          <w:p w14:paraId="12592C42"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32</w:t>
            </w:r>
          </w:p>
        </w:tc>
        <w:tc>
          <w:tcPr>
            <w:tcW w:w="2250" w:type="dxa"/>
            <w:tcBorders>
              <w:top w:val="nil"/>
              <w:left w:val="nil"/>
              <w:bottom w:val="single" w:sz="4" w:space="0" w:color="auto"/>
              <w:right w:val="single" w:sz="4" w:space="0" w:color="auto"/>
            </w:tcBorders>
            <w:shd w:val="clear" w:color="auto" w:fill="auto"/>
            <w:noWrap/>
            <w:vAlign w:val="center"/>
            <w:hideMark/>
          </w:tcPr>
          <w:p w14:paraId="0203A1D8"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48</w:t>
            </w:r>
          </w:p>
        </w:tc>
        <w:tc>
          <w:tcPr>
            <w:tcW w:w="2075" w:type="dxa"/>
            <w:tcBorders>
              <w:top w:val="nil"/>
              <w:left w:val="nil"/>
              <w:bottom w:val="single" w:sz="4" w:space="0" w:color="auto"/>
              <w:right w:val="double" w:sz="4" w:space="0" w:color="auto"/>
            </w:tcBorders>
            <w:shd w:val="clear" w:color="auto" w:fill="auto"/>
            <w:noWrap/>
            <w:vAlign w:val="center"/>
            <w:hideMark/>
          </w:tcPr>
          <w:p w14:paraId="606481FB"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43</w:t>
            </w:r>
          </w:p>
        </w:tc>
      </w:tr>
      <w:tr w:rsidR="00472474" w:rsidRPr="000E1B51" w14:paraId="784101FC"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3A275B8C" w14:textId="0EAB7FB4"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1-3</w:t>
            </w:r>
          </w:p>
        </w:tc>
        <w:tc>
          <w:tcPr>
            <w:tcW w:w="1077" w:type="dxa"/>
            <w:tcBorders>
              <w:top w:val="nil"/>
              <w:left w:val="single" w:sz="4" w:space="0" w:color="auto"/>
              <w:bottom w:val="single" w:sz="4" w:space="0" w:color="auto"/>
              <w:right w:val="single" w:sz="4" w:space="0" w:color="auto"/>
            </w:tcBorders>
            <w:shd w:val="clear" w:color="auto" w:fill="auto"/>
            <w:vAlign w:val="center"/>
          </w:tcPr>
          <w:p w14:paraId="12EFD1DE"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083" w:type="dxa"/>
            <w:tcBorders>
              <w:top w:val="nil"/>
              <w:left w:val="single" w:sz="4" w:space="0" w:color="auto"/>
              <w:bottom w:val="single" w:sz="4" w:space="0" w:color="auto"/>
              <w:right w:val="single" w:sz="4" w:space="0" w:color="auto"/>
            </w:tcBorders>
            <w:shd w:val="clear" w:color="auto" w:fill="auto"/>
            <w:vAlign w:val="center"/>
          </w:tcPr>
          <w:p w14:paraId="1552FA7B"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790" w:type="dxa"/>
            <w:tcBorders>
              <w:top w:val="nil"/>
              <w:left w:val="nil"/>
              <w:bottom w:val="single" w:sz="4" w:space="0" w:color="auto"/>
              <w:right w:val="single" w:sz="4" w:space="0" w:color="auto"/>
            </w:tcBorders>
            <w:shd w:val="clear" w:color="auto" w:fill="auto"/>
            <w:noWrap/>
            <w:vAlign w:val="center"/>
            <w:hideMark/>
          </w:tcPr>
          <w:p w14:paraId="2B600971"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38</w:t>
            </w:r>
          </w:p>
        </w:tc>
        <w:tc>
          <w:tcPr>
            <w:tcW w:w="2250" w:type="dxa"/>
            <w:tcBorders>
              <w:top w:val="nil"/>
              <w:left w:val="nil"/>
              <w:bottom w:val="single" w:sz="4" w:space="0" w:color="auto"/>
              <w:right w:val="single" w:sz="4" w:space="0" w:color="auto"/>
            </w:tcBorders>
            <w:shd w:val="clear" w:color="auto" w:fill="auto"/>
            <w:noWrap/>
            <w:vAlign w:val="center"/>
            <w:hideMark/>
          </w:tcPr>
          <w:p w14:paraId="1E56F5D7"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37</w:t>
            </w:r>
          </w:p>
        </w:tc>
        <w:tc>
          <w:tcPr>
            <w:tcW w:w="2075" w:type="dxa"/>
            <w:tcBorders>
              <w:top w:val="nil"/>
              <w:left w:val="nil"/>
              <w:bottom w:val="single" w:sz="4" w:space="0" w:color="auto"/>
              <w:right w:val="double" w:sz="4" w:space="0" w:color="auto"/>
            </w:tcBorders>
            <w:shd w:val="clear" w:color="auto" w:fill="auto"/>
            <w:noWrap/>
            <w:vAlign w:val="center"/>
            <w:hideMark/>
          </w:tcPr>
          <w:p w14:paraId="0921FF04"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38</w:t>
            </w:r>
          </w:p>
        </w:tc>
      </w:tr>
      <w:tr w:rsidR="00472474" w:rsidRPr="000E1B51" w14:paraId="2BA4069B"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70F60FF6"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1-3</w:t>
            </w:r>
          </w:p>
        </w:tc>
        <w:tc>
          <w:tcPr>
            <w:tcW w:w="1077" w:type="dxa"/>
            <w:tcBorders>
              <w:top w:val="nil"/>
              <w:left w:val="single" w:sz="4" w:space="0" w:color="auto"/>
              <w:bottom w:val="single" w:sz="4" w:space="0" w:color="auto"/>
              <w:right w:val="single" w:sz="4" w:space="0" w:color="auto"/>
            </w:tcBorders>
            <w:shd w:val="clear" w:color="auto" w:fill="auto"/>
            <w:vAlign w:val="center"/>
          </w:tcPr>
          <w:p w14:paraId="2ACF5478"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083" w:type="dxa"/>
            <w:tcBorders>
              <w:top w:val="nil"/>
              <w:left w:val="single" w:sz="4" w:space="0" w:color="auto"/>
              <w:bottom w:val="single" w:sz="4" w:space="0" w:color="auto"/>
              <w:right w:val="single" w:sz="4" w:space="0" w:color="auto"/>
            </w:tcBorders>
            <w:shd w:val="clear" w:color="auto" w:fill="auto"/>
            <w:vAlign w:val="center"/>
          </w:tcPr>
          <w:p w14:paraId="6EE83C0F"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790" w:type="dxa"/>
            <w:tcBorders>
              <w:top w:val="nil"/>
              <w:left w:val="nil"/>
              <w:bottom w:val="single" w:sz="4" w:space="0" w:color="auto"/>
              <w:right w:val="single" w:sz="4" w:space="0" w:color="auto"/>
            </w:tcBorders>
            <w:shd w:val="clear" w:color="auto" w:fill="auto"/>
            <w:noWrap/>
            <w:vAlign w:val="center"/>
            <w:hideMark/>
          </w:tcPr>
          <w:p w14:paraId="5E54FBB1"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34</w:t>
            </w:r>
          </w:p>
        </w:tc>
        <w:tc>
          <w:tcPr>
            <w:tcW w:w="2250" w:type="dxa"/>
            <w:tcBorders>
              <w:top w:val="nil"/>
              <w:left w:val="nil"/>
              <w:bottom w:val="single" w:sz="4" w:space="0" w:color="auto"/>
              <w:right w:val="single" w:sz="4" w:space="0" w:color="auto"/>
            </w:tcBorders>
            <w:shd w:val="clear" w:color="auto" w:fill="auto"/>
            <w:noWrap/>
            <w:vAlign w:val="center"/>
            <w:hideMark/>
          </w:tcPr>
          <w:p w14:paraId="7D489308"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20</w:t>
            </w:r>
          </w:p>
        </w:tc>
        <w:tc>
          <w:tcPr>
            <w:tcW w:w="2075" w:type="dxa"/>
            <w:tcBorders>
              <w:top w:val="nil"/>
              <w:left w:val="nil"/>
              <w:bottom w:val="single" w:sz="4" w:space="0" w:color="auto"/>
              <w:right w:val="double" w:sz="4" w:space="0" w:color="auto"/>
            </w:tcBorders>
            <w:shd w:val="clear" w:color="auto" w:fill="auto"/>
            <w:noWrap/>
            <w:vAlign w:val="center"/>
            <w:hideMark/>
          </w:tcPr>
          <w:p w14:paraId="643DA306"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18</w:t>
            </w:r>
          </w:p>
        </w:tc>
      </w:tr>
      <w:tr w:rsidR="00472474" w:rsidRPr="000E1B51" w14:paraId="53E03B90"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4E9E3197"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1-3</w:t>
            </w:r>
          </w:p>
        </w:tc>
        <w:tc>
          <w:tcPr>
            <w:tcW w:w="1077" w:type="dxa"/>
            <w:tcBorders>
              <w:top w:val="nil"/>
              <w:left w:val="single" w:sz="4" w:space="0" w:color="auto"/>
              <w:bottom w:val="single" w:sz="4" w:space="0" w:color="auto"/>
              <w:right w:val="single" w:sz="4" w:space="0" w:color="auto"/>
            </w:tcBorders>
            <w:shd w:val="clear" w:color="auto" w:fill="auto"/>
            <w:vAlign w:val="center"/>
          </w:tcPr>
          <w:p w14:paraId="25E13A0F"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083" w:type="dxa"/>
            <w:tcBorders>
              <w:top w:val="nil"/>
              <w:left w:val="single" w:sz="4" w:space="0" w:color="auto"/>
              <w:bottom w:val="single" w:sz="4" w:space="0" w:color="auto"/>
              <w:right w:val="single" w:sz="4" w:space="0" w:color="auto"/>
            </w:tcBorders>
            <w:shd w:val="clear" w:color="auto" w:fill="auto"/>
            <w:vAlign w:val="center"/>
          </w:tcPr>
          <w:p w14:paraId="4C7D20DF"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790" w:type="dxa"/>
            <w:tcBorders>
              <w:top w:val="nil"/>
              <w:left w:val="nil"/>
              <w:bottom w:val="single" w:sz="4" w:space="0" w:color="auto"/>
              <w:right w:val="single" w:sz="4" w:space="0" w:color="auto"/>
            </w:tcBorders>
            <w:shd w:val="clear" w:color="auto" w:fill="auto"/>
            <w:noWrap/>
            <w:vAlign w:val="center"/>
            <w:hideMark/>
          </w:tcPr>
          <w:p w14:paraId="7762F987"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17</w:t>
            </w:r>
          </w:p>
        </w:tc>
        <w:tc>
          <w:tcPr>
            <w:tcW w:w="2250" w:type="dxa"/>
            <w:tcBorders>
              <w:top w:val="nil"/>
              <w:left w:val="nil"/>
              <w:bottom w:val="single" w:sz="4" w:space="0" w:color="auto"/>
              <w:right w:val="single" w:sz="4" w:space="0" w:color="auto"/>
            </w:tcBorders>
            <w:shd w:val="clear" w:color="auto" w:fill="auto"/>
            <w:noWrap/>
            <w:vAlign w:val="center"/>
            <w:hideMark/>
          </w:tcPr>
          <w:p w14:paraId="2B0BAD2D"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15</w:t>
            </w:r>
          </w:p>
        </w:tc>
        <w:tc>
          <w:tcPr>
            <w:tcW w:w="2075" w:type="dxa"/>
            <w:tcBorders>
              <w:top w:val="nil"/>
              <w:left w:val="nil"/>
              <w:bottom w:val="single" w:sz="4" w:space="0" w:color="auto"/>
              <w:right w:val="double" w:sz="4" w:space="0" w:color="auto"/>
            </w:tcBorders>
            <w:shd w:val="clear" w:color="auto" w:fill="auto"/>
            <w:noWrap/>
            <w:vAlign w:val="center"/>
            <w:hideMark/>
          </w:tcPr>
          <w:p w14:paraId="79FF5802"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16</w:t>
            </w:r>
          </w:p>
        </w:tc>
      </w:tr>
      <w:tr w:rsidR="00472474" w:rsidRPr="000E1B51" w14:paraId="5869A80D"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5C59E072"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1-3</w:t>
            </w:r>
          </w:p>
        </w:tc>
        <w:tc>
          <w:tcPr>
            <w:tcW w:w="1077" w:type="dxa"/>
            <w:tcBorders>
              <w:top w:val="nil"/>
              <w:left w:val="single" w:sz="4" w:space="0" w:color="auto"/>
              <w:bottom w:val="single" w:sz="4" w:space="0" w:color="auto"/>
              <w:right w:val="single" w:sz="4" w:space="0" w:color="auto"/>
            </w:tcBorders>
            <w:shd w:val="clear" w:color="auto" w:fill="auto"/>
            <w:vAlign w:val="center"/>
          </w:tcPr>
          <w:p w14:paraId="7F046D25"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083" w:type="dxa"/>
            <w:tcBorders>
              <w:top w:val="nil"/>
              <w:left w:val="single" w:sz="4" w:space="0" w:color="auto"/>
              <w:bottom w:val="single" w:sz="4" w:space="0" w:color="auto"/>
              <w:right w:val="single" w:sz="4" w:space="0" w:color="auto"/>
            </w:tcBorders>
            <w:shd w:val="clear" w:color="auto" w:fill="auto"/>
            <w:vAlign w:val="center"/>
          </w:tcPr>
          <w:p w14:paraId="67DC2EAF"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790" w:type="dxa"/>
            <w:tcBorders>
              <w:top w:val="nil"/>
              <w:left w:val="nil"/>
              <w:bottom w:val="single" w:sz="4" w:space="0" w:color="auto"/>
              <w:right w:val="single" w:sz="4" w:space="0" w:color="auto"/>
            </w:tcBorders>
            <w:shd w:val="clear" w:color="auto" w:fill="auto"/>
            <w:noWrap/>
            <w:vAlign w:val="center"/>
            <w:hideMark/>
          </w:tcPr>
          <w:p w14:paraId="04F7CE5D"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24</w:t>
            </w:r>
          </w:p>
        </w:tc>
        <w:tc>
          <w:tcPr>
            <w:tcW w:w="2250" w:type="dxa"/>
            <w:tcBorders>
              <w:top w:val="nil"/>
              <w:left w:val="nil"/>
              <w:bottom w:val="single" w:sz="4" w:space="0" w:color="auto"/>
              <w:right w:val="single" w:sz="4" w:space="0" w:color="auto"/>
            </w:tcBorders>
            <w:shd w:val="clear" w:color="auto" w:fill="auto"/>
            <w:noWrap/>
            <w:vAlign w:val="center"/>
            <w:hideMark/>
          </w:tcPr>
          <w:p w14:paraId="31B470A5"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25</w:t>
            </w:r>
          </w:p>
        </w:tc>
        <w:tc>
          <w:tcPr>
            <w:tcW w:w="2075" w:type="dxa"/>
            <w:tcBorders>
              <w:top w:val="nil"/>
              <w:left w:val="nil"/>
              <w:bottom w:val="single" w:sz="4" w:space="0" w:color="auto"/>
              <w:right w:val="double" w:sz="4" w:space="0" w:color="auto"/>
            </w:tcBorders>
            <w:shd w:val="clear" w:color="auto" w:fill="auto"/>
            <w:noWrap/>
            <w:vAlign w:val="center"/>
            <w:hideMark/>
          </w:tcPr>
          <w:p w14:paraId="72523FE2"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26</w:t>
            </w:r>
          </w:p>
        </w:tc>
      </w:tr>
      <w:tr w:rsidR="00472474" w:rsidRPr="000E1B51" w14:paraId="08CAF808"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6860EABD"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1-3</w:t>
            </w:r>
          </w:p>
        </w:tc>
        <w:tc>
          <w:tcPr>
            <w:tcW w:w="1077" w:type="dxa"/>
            <w:tcBorders>
              <w:top w:val="nil"/>
              <w:left w:val="single" w:sz="4" w:space="0" w:color="auto"/>
              <w:bottom w:val="single" w:sz="4" w:space="0" w:color="auto"/>
              <w:right w:val="single" w:sz="4" w:space="0" w:color="auto"/>
            </w:tcBorders>
            <w:shd w:val="clear" w:color="auto" w:fill="auto"/>
            <w:vAlign w:val="center"/>
          </w:tcPr>
          <w:p w14:paraId="691A43B4"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083" w:type="dxa"/>
            <w:tcBorders>
              <w:top w:val="nil"/>
              <w:left w:val="single" w:sz="4" w:space="0" w:color="auto"/>
              <w:bottom w:val="single" w:sz="4" w:space="0" w:color="auto"/>
              <w:right w:val="single" w:sz="4" w:space="0" w:color="auto"/>
            </w:tcBorders>
            <w:shd w:val="clear" w:color="auto" w:fill="auto"/>
            <w:vAlign w:val="center"/>
          </w:tcPr>
          <w:p w14:paraId="2FA43193"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790" w:type="dxa"/>
            <w:tcBorders>
              <w:top w:val="nil"/>
              <w:left w:val="nil"/>
              <w:bottom w:val="single" w:sz="4" w:space="0" w:color="auto"/>
              <w:right w:val="single" w:sz="4" w:space="0" w:color="auto"/>
            </w:tcBorders>
            <w:shd w:val="clear" w:color="auto" w:fill="auto"/>
            <w:noWrap/>
            <w:vAlign w:val="center"/>
            <w:hideMark/>
          </w:tcPr>
          <w:p w14:paraId="490E9E6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9</w:t>
            </w:r>
          </w:p>
        </w:tc>
        <w:tc>
          <w:tcPr>
            <w:tcW w:w="2250" w:type="dxa"/>
            <w:tcBorders>
              <w:top w:val="nil"/>
              <w:left w:val="nil"/>
              <w:bottom w:val="single" w:sz="4" w:space="0" w:color="auto"/>
              <w:right w:val="single" w:sz="4" w:space="0" w:color="auto"/>
            </w:tcBorders>
            <w:shd w:val="clear" w:color="auto" w:fill="auto"/>
            <w:noWrap/>
            <w:vAlign w:val="center"/>
            <w:hideMark/>
          </w:tcPr>
          <w:p w14:paraId="50E0CD7B"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15</w:t>
            </w:r>
          </w:p>
        </w:tc>
        <w:tc>
          <w:tcPr>
            <w:tcW w:w="2075" w:type="dxa"/>
            <w:tcBorders>
              <w:top w:val="nil"/>
              <w:left w:val="nil"/>
              <w:bottom w:val="single" w:sz="4" w:space="0" w:color="auto"/>
              <w:right w:val="double" w:sz="4" w:space="0" w:color="auto"/>
            </w:tcBorders>
            <w:shd w:val="clear" w:color="auto" w:fill="auto"/>
            <w:noWrap/>
            <w:vAlign w:val="center"/>
            <w:hideMark/>
          </w:tcPr>
          <w:p w14:paraId="5B37DA9F"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14</w:t>
            </w:r>
          </w:p>
        </w:tc>
      </w:tr>
      <w:tr w:rsidR="00472474" w:rsidRPr="000E1B51" w14:paraId="412C1757"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6D99FE74"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1-3</w:t>
            </w:r>
          </w:p>
        </w:tc>
        <w:tc>
          <w:tcPr>
            <w:tcW w:w="1077" w:type="dxa"/>
            <w:tcBorders>
              <w:top w:val="nil"/>
              <w:left w:val="single" w:sz="4" w:space="0" w:color="auto"/>
              <w:bottom w:val="single" w:sz="4" w:space="0" w:color="auto"/>
              <w:right w:val="single" w:sz="4" w:space="0" w:color="auto"/>
            </w:tcBorders>
            <w:shd w:val="clear" w:color="auto" w:fill="auto"/>
            <w:vAlign w:val="center"/>
          </w:tcPr>
          <w:p w14:paraId="47C3A725"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083" w:type="dxa"/>
            <w:tcBorders>
              <w:top w:val="nil"/>
              <w:left w:val="single" w:sz="4" w:space="0" w:color="auto"/>
              <w:bottom w:val="single" w:sz="4" w:space="0" w:color="auto"/>
              <w:right w:val="single" w:sz="4" w:space="0" w:color="auto"/>
            </w:tcBorders>
            <w:shd w:val="clear" w:color="auto" w:fill="auto"/>
            <w:vAlign w:val="center"/>
          </w:tcPr>
          <w:p w14:paraId="37F00BC9"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790" w:type="dxa"/>
            <w:tcBorders>
              <w:top w:val="nil"/>
              <w:left w:val="nil"/>
              <w:bottom w:val="single" w:sz="4" w:space="0" w:color="auto"/>
              <w:right w:val="single" w:sz="4" w:space="0" w:color="auto"/>
            </w:tcBorders>
            <w:shd w:val="clear" w:color="auto" w:fill="auto"/>
            <w:noWrap/>
            <w:vAlign w:val="center"/>
            <w:hideMark/>
          </w:tcPr>
          <w:p w14:paraId="0F00F397"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20</w:t>
            </w:r>
          </w:p>
        </w:tc>
        <w:tc>
          <w:tcPr>
            <w:tcW w:w="2250" w:type="dxa"/>
            <w:tcBorders>
              <w:top w:val="nil"/>
              <w:left w:val="nil"/>
              <w:bottom w:val="single" w:sz="4" w:space="0" w:color="auto"/>
              <w:right w:val="single" w:sz="4" w:space="0" w:color="auto"/>
            </w:tcBorders>
            <w:shd w:val="clear" w:color="auto" w:fill="auto"/>
            <w:noWrap/>
            <w:vAlign w:val="center"/>
            <w:hideMark/>
          </w:tcPr>
          <w:p w14:paraId="328DABF7"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11</w:t>
            </w:r>
          </w:p>
        </w:tc>
        <w:tc>
          <w:tcPr>
            <w:tcW w:w="2075" w:type="dxa"/>
            <w:tcBorders>
              <w:top w:val="nil"/>
              <w:left w:val="nil"/>
              <w:bottom w:val="single" w:sz="4" w:space="0" w:color="auto"/>
              <w:right w:val="double" w:sz="4" w:space="0" w:color="auto"/>
            </w:tcBorders>
            <w:shd w:val="clear" w:color="auto" w:fill="auto"/>
            <w:noWrap/>
            <w:vAlign w:val="center"/>
            <w:hideMark/>
          </w:tcPr>
          <w:p w14:paraId="000B00D8"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13</w:t>
            </w:r>
          </w:p>
        </w:tc>
      </w:tr>
      <w:tr w:rsidR="00472474" w:rsidRPr="000E1B51" w14:paraId="1C3387B2"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53883946"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&gt;3</w:t>
            </w:r>
          </w:p>
        </w:tc>
        <w:tc>
          <w:tcPr>
            <w:tcW w:w="1077" w:type="dxa"/>
            <w:tcBorders>
              <w:top w:val="nil"/>
              <w:left w:val="single" w:sz="4" w:space="0" w:color="auto"/>
              <w:bottom w:val="single" w:sz="4" w:space="0" w:color="auto"/>
              <w:right w:val="single" w:sz="4" w:space="0" w:color="auto"/>
            </w:tcBorders>
            <w:shd w:val="clear" w:color="auto" w:fill="auto"/>
            <w:vAlign w:val="center"/>
          </w:tcPr>
          <w:p w14:paraId="2C0A23A6"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83" w:type="dxa"/>
            <w:tcBorders>
              <w:top w:val="nil"/>
              <w:left w:val="single" w:sz="4" w:space="0" w:color="auto"/>
              <w:bottom w:val="single" w:sz="4" w:space="0" w:color="auto"/>
              <w:right w:val="single" w:sz="4" w:space="0" w:color="auto"/>
            </w:tcBorders>
            <w:shd w:val="clear" w:color="auto" w:fill="auto"/>
            <w:vAlign w:val="center"/>
          </w:tcPr>
          <w:p w14:paraId="1C065C64"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790" w:type="dxa"/>
            <w:tcBorders>
              <w:top w:val="nil"/>
              <w:left w:val="nil"/>
              <w:bottom w:val="single" w:sz="4" w:space="0" w:color="auto"/>
              <w:right w:val="single" w:sz="4" w:space="0" w:color="auto"/>
            </w:tcBorders>
            <w:shd w:val="clear" w:color="auto" w:fill="auto"/>
            <w:noWrap/>
            <w:vAlign w:val="center"/>
            <w:hideMark/>
          </w:tcPr>
          <w:p w14:paraId="3B132DF0"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193</w:t>
            </w:r>
          </w:p>
        </w:tc>
        <w:tc>
          <w:tcPr>
            <w:tcW w:w="2250" w:type="dxa"/>
            <w:tcBorders>
              <w:top w:val="nil"/>
              <w:left w:val="nil"/>
              <w:bottom w:val="single" w:sz="4" w:space="0" w:color="auto"/>
              <w:right w:val="single" w:sz="4" w:space="0" w:color="auto"/>
            </w:tcBorders>
            <w:shd w:val="clear" w:color="auto" w:fill="auto"/>
            <w:noWrap/>
            <w:vAlign w:val="center"/>
            <w:hideMark/>
          </w:tcPr>
          <w:p w14:paraId="69D62035"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186</w:t>
            </w:r>
          </w:p>
        </w:tc>
        <w:tc>
          <w:tcPr>
            <w:tcW w:w="2075" w:type="dxa"/>
            <w:tcBorders>
              <w:top w:val="nil"/>
              <w:left w:val="nil"/>
              <w:bottom w:val="single" w:sz="4" w:space="0" w:color="auto"/>
              <w:right w:val="double" w:sz="4" w:space="0" w:color="auto"/>
            </w:tcBorders>
            <w:shd w:val="clear" w:color="auto" w:fill="auto"/>
            <w:noWrap/>
            <w:vAlign w:val="center"/>
            <w:hideMark/>
          </w:tcPr>
          <w:p w14:paraId="569E9128"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167</w:t>
            </w:r>
          </w:p>
        </w:tc>
      </w:tr>
      <w:tr w:rsidR="00472474" w:rsidRPr="000E1B51" w14:paraId="6A481377"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7FE97B2C"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&gt;3</w:t>
            </w:r>
          </w:p>
        </w:tc>
        <w:tc>
          <w:tcPr>
            <w:tcW w:w="1077" w:type="dxa"/>
            <w:tcBorders>
              <w:top w:val="nil"/>
              <w:left w:val="single" w:sz="4" w:space="0" w:color="auto"/>
              <w:bottom w:val="single" w:sz="4" w:space="0" w:color="auto"/>
              <w:right w:val="single" w:sz="4" w:space="0" w:color="auto"/>
            </w:tcBorders>
            <w:shd w:val="clear" w:color="auto" w:fill="auto"/>
            <w:vAlign w:val="center"/>
          </w:tcPr>
          <w:p w14:paraId="3B273A13"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83" w:type="dxa"/>
            <w:tcBorders>
              <w:top w:val="nil"/>
              <w:left w:val="single" w:sz="4" w:space="0" w:color="auto"/>
              <w:bottom w:val="single" w:sz="4" w:space="0" w:color="auto"/>
              <w:right w:val="single" w:sz="4" w:space="0" w:color="auto"/>
            </w:tcBorders>
            <w:shd w:val="clear" w:color="auto" w:fill="auto"/>
            <w:vAlign w:val="center"/>
          </w:tcPr>
          <w:p w14:paraId="6AEBC4BD"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790" w:type="dxa"/>
            <w:tcBorders>
              <w:top w:val="nil"/>
              <w:left w:val="nil"/>
              <w:bottom w:val="single" w:sz="4" w:space="0" w:color="auto"/>
              <w:right w:val="single" w:sz="4" w:space="0" w:color="auto"/>
            </w:tcBorders>
            <w:shd w:val="clear" w:color="auto" w:fill="auto"/>
            <w:noWrap/>
            <w:vAlign w:val="center"/>
            <w:hideMark/>
          </w:tcPr>
          <w:p w14:paraId="71E77EB1"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68</w:t>
            </w:r>
          </w:p>
        </w:tc>
        <w:tc>
          <w:tcPr>
            <w:tcW w:w="2250" w:type="dxa"/>
            <w:tcBorders>
              <w:top w:val="nil"/>
              <w:left w:val="nil"/>
              <w:bottom w:val="single" w:sz="4" w:space="0" w:color="auto"/>
              <w:right w:val="single" w:sz="4" w:space="0" w:color="auto"/>
            </w:tcBorders>
            <w:shd w:val="clear" w:color="auto" w:fill="auto"/>
            <w:noWrap/>
            <w:vAlign w:val="center"/>
            <w:hideMark/>
          </w:tcPr>
          <w:p w14:paraId="58F44C34"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63</w:t>
            </w:r>
          </w:p>
        </w:tc>
        <w:tc>
          <w:tcPr>
            <w:tcW w:w="2075" w:type="dxa"/>
            <w:tcBorders>
              <w:top w:val="nil"/>
              <w:left w:val="nil"/>
              <w:bottom w:val="single" w:sz="4" w:space="0" w:color="auto"/>
              <w:right w:val="double" w:sz="4" w:space="0" w:color="auto"/>
            </w:tcBorders>
            <w:shd w:val="clear" w:color="auto" w:fill="auto"/>
            <w:noWrap/>
            <w:vAlign w:val="center"/>
            <w:hideMark/>
          </w:tcPr>
          <w:p w14:paraId="2F1C4321"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67</w:t>
            </w:r>
          </w:p>
        </w:tc>
      </w:tr>
      <w:tr w:rsidR="00472474" w:rsidRPr="000E1B51" w14:paraId="170CFB90"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6A1FAB32"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&gt;3</w:t>
            </w:r>
          </w:p>
        </w:tc>
        <w:tc>
          <w:tcPr>
            <w:tcW w:w="1077" w:type="dxa"/>
            <w:tcBorders>
              <w:top w:val="nil"/>
              <w:left w:val="single" w:sz="4" w:space="0" w:color="auto"/>
              <w:bottom w:val="single" w:sz="4" w:space="0" w:color="auto"/>
              <w:right w:val="single" w:sz="4" w:space="0" w:color="auto"/>
            </w:tcBorders>
            <w:shd w:val="clear" w:color="auto" w:fill="auto"/>
            <w:vAlign w:val="center"/>
          </w:tcPr>
          <w:p w14:paraId="5BF79DBD"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083" w:type="dxa"/>
            <w:tcBorders>
              <w:top w:val="nil"/>
              <w:left w:val="single" w:sz="4" w:space="0" w:color="auto"/>
              <w:bottom w:val="single" w:sz="4" w:space="0" w:color="auto"/>
              <w:right w:val="single" w:sz="4" w:space="0" w:color="auto"/>
            </w:tcBorders>
            <w:shd w:val="clear" w:color="auto" w:fill="auto"/>
            <w:vAlign w:val="center"/>
          </w:tcPr>
          <w:p w14:paraId="456B502C"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790" w:type="dxa"/>
            <w:tcBorders>
              <w:top w:val="nil"/>
              <w:left w:val="nil"/>
              <w:bottom w:val="single" w:sz="4" w:space="0" w:color="auto"/>
              <w:right w:val="single" w:sz="4" w:space="0" w:color="auto"/>
            </w:tcBorders>
            <w:shd w:val="clear" w:color="auto" w:fill="auto"/>
            <w:noWrap/>
            <w:vAlign w:val="center"/>
            <w:hideMark/>
          </w:tcPr>
          <w:p w14:paraId="40EF9322"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49</w:t>
            </w:r>
          </w:p>
        </w:tc>
        <w:tc>
          <w:tcPr>
            <w:tcW w:w="2250" w:type="dxa"/>
            <w:tcBorders>
              <w:top w:val="nil"/>
              <w:left w:val="nil"/>
              <w:bottom w:val="single" w:sz="4" w:space="0" w:color="auto"/>
              <w:right w:val="single" w:sz="4" w:space="0" w:color="auto"/>
            </w:tcBorders>
            <w:shd w:val="clear" w:color="auto" w:fill="auto"/>
            <w:noWrap/>
            <w:vAlign w:val="center"/>
            <w:hideMark/>
          </w:tcPr>
          <w:p w14:paraId="41EC4F73"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51</w:t>
            </w:r>
          </w:p>
        </w:tc>
        <w:tc>
          <w:tcPr>
            <w:tcW w:w="2075" w:type="dxa"/>
            <w:tcBorders>
              <w:top w:val="nil"/>
              <w:left w:val="nil"/>
              <w:bottom w:val="single" w:sz="4" w:space="0" w:color="auto"/>
              <w:right w:val="double" w:sz="4" w:space="0" w:color="auto"/>
            </w:tcBorders>
            <w:shd w:val="clear" w:color="auto" w:fill="auto"/>
            <w:noWrap/>
            <w:vAlign w:val="center"/>
            <w:hideMark/>
          </w:tcPr>
          <w:p w14:paraId="21B0CF4A"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51</w:t>
            </w:r>
          </w:p>
        </w:tc>
      </w:tr>
      <w:tr w:rsidR="00472474" w:rsidRPr="000E1B51" w14:paraId="5F29203B"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681B8732"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&gt;3</w:t>
            </w:r>
          </w:p>
        </w:tc>
        <w:tc>
          <w:tcPr>
            <w:tcW w:w="1077" w:type="dxa"/>
            <w:tcBorders>
              <w:top w:val="nil"/>
              <w:left w:val="single" w:sz="4" w:space="0" w:color="auto"/>
              <w:bottom w:val="single" w:sz="4" w:space="0" w:color="auto"/>
              <w:right w:val="single" w:sz="4" w:space="0" w:color="auto"/>
            </w:tcBorders>
            <w:shd w:val="clear" w:color="auto" w:fill="auto"/>
            <w:vAlign w:val="center"/>
          </w:tcPr>
          <w:p w14:paraId="031E78BD"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083" w:type="dxa"/>
            <w:tcBorders>
              <w:top w:val="nil"/>
              <w:left w:val="single" w:sz="4" w:space="0" w:color="auto"/>
              <w:bottom w:val="single" w:sz="4" w:space="0" w:color="auto"/>
              <w:right w:val="single" w:sz="4" w:space="0" w:color="auto"/>
            </w:tcBorders>
            <w:shd w:val="clear" w:color="auto" w:fill="auto"/>
            <w:vAlign w:val="center"/>
          </w:tcPr>
          <w:p w14:paraId="430A8988"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790" w:type="dxa"/>
            <w:tcBorders>
              <w:top w:val="nil"/>
              <w:left w:val="nil"/>
              <w:bottom w:val="single" w:sz="4" w:space="0" w:color="auto"/>
              <w:right w:val="single" w:sz="4" w:space="0" w:color="auto"/>
            </w:tcBorders>
            <w:shd w:val="clear" w:color="auto" w:fill="auto"/>
            <w:noWrap/>
            <w:vAlign w:val="center"/>
            <w:hideMark/>
          </w:tcPr>
          <w:p w14:paraId="064AF9F5"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29</w:t>
            </w:r>
          </w:p>
        </w:tc>
        <w:tc>
          <w:tcPr>
            <w:tcW w:w="2250" w:type="dxa"/>
            <w:tcBorders>
              <w:top w:val="nil"/>
              <w:left w:val="nil"/>
              <w:bottom w:val="single" w:sz="4" w:space="0" w:color="auto"/>
              <w:right w:val="single" w:sz="4" w:space="0" w:color="auto"/>
            </w:tcBorders>
            <w:shd w:val="clear" w:color="auto" w:fill="auto"/>
            <w:noWrap/>
            <w:vAlign w:val="center"/>
            <w:hideMark/>
          </w:tcPr>
          <w:p w14:paraId="0563E46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38</w:t>
            </w:r>
          </w:p>
        </w:tc>
        <w:tc>
          <w:tcPr>
            <w:tcW w:w="2075" w:type="dxa"/>
            <w:tcBorders>
              <w:top w:val="nil"/>
              <w:left w:val="nil"/>
              <w:bottom w:val="single" w:sz="4" w:space="0" w:color="auto"/>
              <w:right w:val="double" w:sz="4" w:space="0" w:color="auto"/>
            </w:tcBorders>
            <w:shd w:val="clear" w:color="auto" w:fill="auto"/>
            <w:noWrap/>
            <w:vAlign w:val="center"/>
            <w:hideMark/>
          </w:tcPr>
          <w:p w14:paraId="643EFAD1"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43</w:t>
            </w:r>
          </w:p>
        </w:tc>
      </w:tr>
      <w:tr w:rsidR="00472474" w:rsidRPr="000E1B51" w14:paraId="630D9D00"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47C65E63"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&gt;3</w:t>
            </w:r>
          </w:p>
        </w:tc>
        <w:tc>
          <w:tcPr>
            <w:tcW w:w="1077" w:type="dxa"/>
            <w:tcBorders>
              <w:top w:val="nil"/>
              <w:left w:val="single" w:sz="4" w:space="0" w:color="auto"/>
              <w:bottom w:val="single" w:sz="4" w:space="0" w:color="auto"/>
              <w:right w:val="single" w:sz="4" w:space="0" w:color="auto"/>
            </w:tcBorders>
            <w:shd w:val="clear" w:color="auto" w:fill="auto"/>
            <w:vAlign w:val="center"/>
          </w:tcPr>
          <w:p w14:paraId="201FC579"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083" w:type="dxa"/>
            <w:tcBorders>
              <w:top w:val="nil"/>
              <w:left w:val="single" w:sz="4" w:space="0" w:color="auto"/>
              <w:bottom w:val="single" w:sz="4" w:space="0" w:color="auto"/>
              <w:right w:val="single" w:sz="4" w:space="0" w:color="auto"/>
            </w:tcBorders>
            <w:shd w:val="clear" w:color="auto" w:fill="auto"/>
            <w:vAlign w:val="center"/>
          </w:tcPr>
          <w:p w14:paraId="7DE76DB3"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790" w:type="dxa"/>
            <w:tcBorders>
              <w:top w:val="nil"/>
              <w:left w:val="nil"/>
              <w:bottom w:val="single" w:sz="4" w:space="0" w:color="auto"/>
              <w:right w:val="single" w:sz="4" w:space="0" w:color="auto"/>
            </w:tcBorders>
            <w:shd w:val="clear" w:color="auto" w:fill="auto"/>
            <w:noWrap/>
            <w:vAlign w:val="center"/>
            <w:hideMark/>
          </w:tcPr>
          <w:p w14:paraId="32685574"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27</w:t>
            </w:r>
          </w:p>
        </w:tc>
        <w:tc>
          <w:tcPr>
            <w:tcW w:w="2250" w:type="dxa"/>
            <w:tcBorders>
              <w:top w:val="nil"/>
              <w:left w:val="nil"/>
              <w:bottom w:val="single" w:sz="4" w:space="0" w:color="auto"/>
              <w:right w:val="single" w:sz="4" w:space="0" w:color="auto"/>
            </w:tcBorders>
            <w:shd w:val="clear" w:color="auto" w:fill="auto"/>
            <w:noWrap/>
            <w:vAlign w:val="center"/>
            <w:hideMark/>
          </w:tcPr>
          <w:p w14:paraId="67A30C7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22</w:t>
            </w:r>
          </w:p>
        </w:tc>
        <w:tc>
          <w:tcPr>
            <w:tcW w:w="2075" w:type="dxa"/>
            <w:tcBorders>
              <w:top w:val="nil"/>
              <w:left w:val="nil"/>
              <w:bottom w:val="single" w:sz="4" w:space="0" w:color="auto"/>
              <w:right w:val="double" w:sz="4" w:space="0" w:color="auto"/>
            </w:tcBorders>
            <w:shd w:val="clear" w:color="auto" w:fill="auto"/>
            <w:noWrap/>
            <w:vAlign w:val="center"/>
            <w:hideMark/>
          </w:tcPr>
          <w:p w14:paraId="7523374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21</w:t>
            </w:r>
          </w:p>
        </w:tc>
      </w:tr>
      <w:tr w:rsidR="00472474" w:rsidRPr="000E1B51" w14:paraId="2A328ACD"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1C4CF7F9"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&gt;3</w:t>
            </w:r>
          </w:p>
        </w:tc>
        <w:tc>
          <w:tcPr>
            <w:tcW w:w="1077" w:type="dxa"/>
            <w:tcBorders>
              <w:top w:val="nil"/>
              <w:left w:val="single" w:sz="4" w:space="0" w:color="auto"/>
              <w:bottom w:val="single" w:sz="4" w:space="0" w:color="auto"/>
              <w:right w:val="single" w:sz="4" w:space="0" w:color="auto"/>
            </w:tcBorders>
            <w:shd w:val="clear" w:color="auto" w:fill="auto"/>
            <w:vAlign w:val="center"/>
          </w:tcPr>
          <w:p w14:paraId="4FD1BF4F"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083" w:type="dxa"/>
            <w:tcBorders>
              <w:top w:val="nil"/>
              <w:left w:val="single" w:sz="4" w:space="0" w:color="auto"/>
              <w:bottom w:val="single" w:sz="4" w:space="0" w:color="auto"/>
              <w:right w:val="single" w:sz="4" w:space="0" w:color="auto"/>
            </w:tcBorders>
            <w:shd w:val="clear" w:color="auto" w:fill="auto"/>
            <w:vAlign w:val="center"/>
          </w:tcPr>
          <w:p w14:paraId="3CA507DA"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790" w:type="dxa"/>
            <w:tcBorders>
              <w:top w:val="nil"/>
              <w:left w:val="nil"/>
              <w:bottom w:val="single" w:sz="4" w:space="0" w:color="auto"/>
              <w:right w:val="single" w:sz="4" w:space="0" w:color="auto"/>
            </w:tcBorders>
            <w:shd w:val="clear" w:color="auto" w:fill="auto"/>
            <w:noWrap/>
            <w:vAlign w:val="center"/>
            <w:hideMark/>
          </w:tcPr>
          <w:p w14:paraId="222AFAFB"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15</w:t>
            </w:r>
          </w:p>
        </w:tc>
        <w:tc>
          <w:tcPr>
            <w:tcW w:w="2250" w:type="dxa"/>
            <w:tcBorders>
              <w:top w:val="nil"/>
              <w:left w:val="nil"/>
              <w:bottom w:val="single" w:sz="4" w:space="0" w:color="auto"/>
              <w:right w:val="single" w:sz="4" w:space="0" w:color="auto"/>
            </w:tcBorders>
            <w:shd w:val="clear" w:color="auto" w:fill="auto"/>
            <w:noWrap/>
            <w:vAlign w:val="center"/>
            <w:hideMark/>
          </w:tcPr>
          <w:p w14:paraId="65EB3F48"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16</w:t>
            </w:r>
          </w:p>
        </w:tc>
        <w:tc>
          <w:tcPr>
            <w:tcW w:w="2075" w:type="dxa"/>
            <w:tcBorders>
              <w:top w:val="nil"/>
              <w:left w:val="nil"/>
              <w:bottom w:val="single" w:sz="4" w:space="0" w:color="auto"/>
              <w:right w:val="double" w:sz="4" w:space="0" w:color="auto"/>
            </w:tcBorders>
            <w:shd w:val="clear" w:color="auto" w:fill="auto"/>
            <w:noWrap/>
            <w:vAlign w:val="center"/>
            <w:hideMark/>
          </w:tcPr>
          <w:p w14:paraId="0CE78DAB"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19</w:t>
            </w:r>
          </w:p>
        </w:tc>
      </w:tr>
      <w:tr w:rsidR="00472474" w:rsidRPr="000E1B51" w14:paraId="3421A52D"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70039E5B"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&gt;3</w:t>
            </w:r>
          </w:p>
        </w:tc>
        <w:tc>
          <w:tcPr>
            <w:tcW w:w="1077" w:type="dxa"/>
            <w:tcBorders>
              <w:top w:val="nil"/>
              <w:left w:val="single" w:sz="4" w:space="0" w:color="auto"/>
              <w:bottom w:val="single" w:sz="4" w:space="0" w:color="auto"/>
              <w:right w:val="single" w:sz="4" w:space="0" w:color="auto"/>
            </w:tcBorders>
            <w:shd w:val="clear" w:color="auto" w:fill="auto"/>
            <w:vAlign w:val="center"/>
          </w:tcPr>
          <w:p w14:paraId="55DEF8A0"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083" w:type="dxa"/>
            <w:tcBorders>
              <w:top w:val="nil"/>
              <w:left w:val="single" w:sz="4" w:space="0" w:color="auto"/>
              <w:bottom w:val="single" w:sz="4" w:space="0" w:color="auto"/>
              <w:right w:val="single" w:sz="4" w:space="0" w:color="auto"/>
            </w:tcBorders>
            <w:shd w:val="clear" w:color="auto" w:fill="auto"/>
            <w:vAlign w:val="center"/>
          </w:tcPr>
          <w:p w14:paraId="65F4FDCC"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0</w:t>
            </w:r>
          </w:p>
        </w:tc>
        <w:tc>
          <w:tcPr>
            <w:tcW w:w="1790" w:type="dxa"/>
            <w:tcBorders>
              <w:top w:val="nil"/>
              <w:left w:val="nil"/>
              <w:bottom w:val="single" w:sz="4" w:space="0" w:color="auto"/>
              <w:right w:val="single" w:sz="4" w:space="0" w:color="auto"/>
            </w:tcBorders>
            <w:shd w:val="clear" w:color="auto" w:fill="auto"/>
            <w:noWrap/>
            <w:vAlign w:val="center"/>
            <w:hideMark/>
          </w:tcPr>
          <w:p w14:paraId="02B955A0"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29</w:t>
            </w:r>
          </w:p>
        </w:tc>
        <w:tc>
          <w:tcPr>
            <w:tcW w:w="2250" w:type="dxa"/>
            <w:tcBorders>
              <w:top w:val="nil"/>
              <w:left w:val="nil"/>
              <w:bottom w:val="single" w:sz="4" w:space="0" w:color="auto"/>
              <w:right w:val="single" w:sz="4" w:space="0" w:color="auto"/>
            </w:tcBorders>
            <w:shd w:val="clear" w:color="auto" w:fill="auto"/>
            <w:noWrap/>
            <w:vAlign w:val="center"/>
            <w:hideMark/>
          </w:tcPr>
          <w:p w14:paraId="1B169ECA"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25</w:t>
            </w:r>
          </w:p>
        </w:tc>
        <w:tc>
          <w:tcPr>
            <w:tcW w:w="2075" w:type="dxa"/>
            <w:tcBorders>
              <w:top w:val="nil"/>
              <w:left w:val="nil"/>
              <w:bottom w:val="single" w:sz="4" w:space="0" w:color="auto"/>
              <w:right w:val="double" w:sz="4" w:space="0" w:color="auto"/>
            </w:tcBorders>
            <w:shd w:val="clear" w:color="auto" w:fill="auto"/>
            <w:noWrap/>
            <w:vAlign w:val="center"/>
            <w:hideMark/>
          </w:tcPr>
          <w:p w14:paraId="4DD65FAF"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30</w:t>
            </w:r>
          </w:p>
        </w:tc>
      </w:tr>
      <w:tr w:rsidR="00472474" w:rsidRPr="000E1B51" w14:paraId="702C4BF3" w14:textId="77777777" w:rsidTr="000E1B51">
        <w:trPr>
          <w:trHeight w:val="288"/>
        </w:trPr>
        <w:tc>
          <w:tcPr>
            <w:tcW w:w="1080" w:type="dxa"/>
            <w:tcBorders>
              <w:top w:val="nil"/>
              <w:left w:val="double" w:sz="4" w:space="0" w:color="auto"/>
              <w:bottom w:val="single" w:sz="4" w:space="0" w:color="auto"/>
              <w:right w:val="single" w:sz="4" w:space="0" w:color="auto"/>
            </w:tcBorders>
            <w:shd w:val="clear" w:color="auto" w:fill="auto"/>
            <w:noWrap/>
            <w:vAlign w:val="center"/>
          </w:tcPr>
          <w:p w14:paraId="09CA78B5"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&gt;3</w:t>
            </w:r>
          </w:p>
        </w:tc>
        <w:tc>
          <w:tcPr>
            <w:tcW w:w="1077" w:type="dxa"/>
            <w:tcBorders>
              <w:top w:val="nil"/>
              <w:left w:val="single" w:sz="4" w:space="0" w:color="auto"/>
              <w:bottom w:val="single" w:sz="4" w:space="0" w:color="auto"/>
              <w:right w:val="single" w:sz="4" w:space="0" w:color="auto"/>
            </w:tcBorders>
            <w:shd w:val="clear" w:color="auto" w:fill="auto"/>
            <w:vAlign w:val="center"/>
          </w:tcPr>
          <w:p w14:paraId="37856490"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083" w:type="dxa"/>
            <w:tcBorders>
              <w:top w:val="nil"/>
              <w:left w:val="single" w:sz="4" w:space="0" w:color="auto"/>
              <w:bottom w:val="single" w:sz="4" w:space="0" w:color="auto"/>
              <w:right w:val="single" w:sz="4" w:space="0" w:color="auto"/>
            </w:tcBorders>
            <w:shd w:val="clear" w:color="auto" w:fill="auto"/>
            <w:vAlign w:val="center"/>
          </w:tcPr>
          <w:p w14:paraId="136FB39E"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1-2</w:t>
            </w:r>
          </w:p>
        </w:tc>
        <w:tc>
          <w:tcPr>
            <w:tcW w:w="1790" w:type="dxa"/>
            <w:tcBorders>
              <w:top w:val="nil"/>
              <w:left w:val="nil"/>
              <w:bottom w:val="single" w:sz="4" w:space="0" w:color="auto"/>
              <w:right w:val="single" w:sz="4" w:space="0" w:color="auto"/>
            </w:tcBorders>
            <w:shd w:val="clear" w:color="auto" w:fill="auto"/>
            <w:noWrap/>
            <w:vAlign w:val="center"/>
            <w:hideMark/>
          </w:tcPr>
          <w:p w14:paraId="3F4A7CEE"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10</w:t>
            </w:r>
          </w:p>
        </w:tc>
        <w:tc>
          <w:tcPr>
            <w:tcW w:w="2250" w:type="dxa"/>
            <w:tcBorders>
              <w:top w:val="nil"/>
              <w:left w:val="nil"/>
              <w:bottom w:val="single" w:sz="4" w:space="0" w:color="auto"/>
              <w:right w:val="single" w:sz="4" w:space="0" w:color="auto"/>
            </w:tcBorders>
            <w:shd w:val="clear" w:color="auto" w:fill="auto"/>
            <w:noWrap/>
            <w:vAlign w:val="center"/>
            <w:hideMark/>
          </w:tcPr>
          <w:p w14:paraId="27A789B5"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17</w:t>
            </w:r>
          </w:p>
        </w:tc>
        <w:tc>
          <w:tcPr>
            <w:tcW w:w="2075" w:type="dxa"/>
            <w:tcBorders>
              <w:top w:val="nil"/>
              <w:left w:val="nil"/>
              <w:bottom w:val="single" w:sz="4" w:space="0" w:color="auto"/>
              <w:right w:val="double" w:sz="4" w:space="0" w:color="auto"/>
            </w:tcBorders>
            <w:shd w:val="clear" w:color="auto" w:fill="auto"/>
            <w:noWrap/>
            <w:vAlign w:val="center"/>
            <w:hideMark/>
          </w:tcPr>
          <w:p w14:paraId="615AB706"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16</w:t>
            </w:r>
          </w:p>
        </w:tc>
      </w:tr>
      <w:tr w:rsidR="00472474" w:rsidRPr="000E1B51" w14:paraId="4DBF0FCE" w14:textId="77777777" w:rsidTr="000E1B51">
        <w:trPr>
          <w:trHeight w:val="288"/>
        </w:trPr>
        <w:tc>
          <w:tcPr>
            <w:tcW w:w="1080" w:type="dxa"/>
            <w:tcBorders>
              <w:top w:val="nil"/>
              <w:left w:val="double" w:sz="4" w:space="0" w:color="auto"/>
              <w:bottom w:val="double" w:sz="4" w:space="0" w:color="auto"/>
              <w:right w:val="single" w:sz="4" w:space="0" w:color="auto"/>
            </w:tcBorders>
            <w:shd w:val="clear" w:color="auto" w:fill="auto"/>
            <w:noWrap/>
            <w:vAlign w:val="center"/>
          </w:tcPr>
          <w:p w14:paraId="6E6AA342"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&gt;3</w:t>
            </w:r>
          </w:p>
        </w:tc>
        <w:tc>
          <w:tcPr>
            <w:tcW w:w="1077" w:type="dxa"/>
            <w:tcBorders>
              <w:top w:val="nil"/>
              <w:left w:val="single" w:sz="4" w:space="0" w:color="auto"/>
              <w:bottom w:val="double" w:sz="4" w:space="0" w:color="auto"/>
              <w:right w:val="single" w:sz="4" w:space="0" w:color="auto"/>
            </w:tcBorders>
            <w:shd w:val="clear" w:color="auto" w:fill="auto"/>
            <w:vAlign w:val="center"/>
          </w:tcPr>
          <w:p w14:paraId="0C061018"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083" w:type="dxa"/>
            <w:tcBorders>
              <w:top w:val="nil"/>
              <w:left w:val="single" w:sz="4" w:space="0" w:color="auto"/>
              <w:bottom w:val="double" w:sz="4" w:space="0" w:color="auto"/>
              <w:right w:val="single" w:sz="4" w:space="0" w:color="auto"/>
            </w:tcBorders>
            <w:shd w:val="clear" w:color="auto" w:fill="auto"/>
            <w:vAlign w:val="center"/>
          </w:tcPr>
          <w:p w14:paraId="5FA41899" w14:textId="77777777" w:rsidR="00472474" w:rsidRPr="000E1B51" w:rsidRDefault="00472474" w:rsidP="000E1B51">
            <w:pPr>
              <w:spacing w:after="0" w:line="240" w:lineRule="auto"/>
              <w:jc w:val="center"/>
              <w:rPr>
                <w:rFonts w:eastAsia="Times New Roman"/>
                <w:color w:val="000000"/>
                <w:sz w:val="23"/>
                <w:szCs w:val="23"/>
              </w:rPr>
            </w:pPr>
            <w:r w:rsidRPr="000E1B51">
              <w:rPr>
                <w:rFonts w:eastAsia="Times New Roman"/>
                <w:color w:val="000000"/>
                <w:sz w:val="23"/>
                <w:szCs w:val="23"/>
              </w:rPr>
              <w:t>&gt;2</w:t>
            </w:r>
          </w:p>
        </w:tc>
        <w:tc>
          <w:tcPr>
            <w:tcW w:w="1790" w:type="dxa"/>
            <w:tcBorders>
              <w:top w:val="nil"/>
              <w:left w:val="nil"/>
              <w:bottom w:val="double" w:sz="4" w:space="0" w:color="auto"/>
              <w:right w:val="single" w:sz="4" w:space="0" w:color="auto"/>
            </w:tcBorders>
            <w:shd w:val="clear" w:color="auto" w:fill="auto"/>
            <w:noWrap/>
            <w:vAlign w:val="center"/>
            <w:hideMark/>
          </w:tcPr>
          <w:p w14:paraId="3550820B"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10</w:t>
            </w:r>
          </w:p>
        </w:tc>
        <w:tc>
          <w:tcPr>
            <w:tcW w:w="2250" w:type="dxa"/>
            <w:tcBorders>
              <w:top w:val="nil"/>
              <w:left w:val="nil"/>
              <w:bottom w:val="double" w:sz="4" w:space="0" w:color="auto"/>
              <w:right w:val="single" w:sz="4" w:space="0" w:color="auto"/>
            </w:tcBorders>
            <w:shd w:val="clear" w:color="auto" w:fill="auto"/>
            <w:noWrap/>
            <w:vAlign w:val="center"/>
            <w:hideMark/>
          </w:tcPr>
          <w:p w14:paraId="6C99BF61"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12</w:t>
            </w:r>
          </w:p>
        </w:tc>
        <w:tc>
          <w:tcPr>
            <w:tcW w:w="2075" w:type="dxa"/>
            <w:tcBorders>
              <w:top w:val="nil"/>
              <w:left w:val="nil"/>
              <w:bottom w:val="double" w:sz="4" w:space="0" w:color="auto"/>
              <w:right w:val="double" w:sz="4" w:space="0" w:color="auto"/>
            </w:tcBorders>
            <w:shd w:val="clear" w:color="auto" w:fill="auto"/>
            <w:noWrap/>
            <w:vAlign w:val="center"/>
            <w:hideMark/>
          </w:tcPr>
          <w:p w14:paraId="614FCED8" w14:textId="77777777" w:rsidR="00472474" w:rsidRPr="000E1B51" w:rsidRDefault="00472474" w:rsidP="000E1B51">
            <w:pPr>
              <w:spacing w:after="0" w:line="240" w:lineRule="auto"/>
              <w:jc w:val="right"/>
              <w:rPr>
                <w:rFonts w:eastAsia="Times New Roman"/>
                <w:color w:val="000000"/>
                <w:sz w:val="23"/>
                <w:szCs w:val="23"/>
              </w:rPr>
            </w:pPr>
            <w:r w:rsidRPr="000E1B51">
              <w:rPr>
                <w:rFonts w:eastAsia="Times New Roman"/>
                <w:color w:val="000000"/>
                <w:sz w:val="23"/>
                <w:szCs w:val="23"/>
              </w:rPr>
              <w:t>16</w:t>
            </w:r>
          </w:p>
        </w:tc>
      </w:tr>
      <w:tr w:rsidR="00472474" w:rsidRPr="000E1B51" w14:paraId="56019993" w14:textId="77777777" w:rsidTr="0077577E">
        <w:trPr>
          <w:trHeight w:val="288"/>
        </w:trPr>
        <w:tc>
          <w:tcPr>
            <w:tcW w:w="5030" w:type="dxa"/>
            <w:gridSpan w:val="4"/>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35CE3BC9" w14:textId="77777777" w:rsidR="00472474" w:rsidRPr="000E1B51" w:rsidRDefault="00472474" w:rsidP="0077577E">
            <w:pPr>
              <w:spacing w:after="0" w:line="240" w:lineRule="auto"/>
              <w:rPr>
                <w:rFonts w:eastAsia="Times New Roman"/>
                <w:b/>
                <w:color w:val="000000"/>
                <w:sz w:val="23"/>
                <w:szCs w:val="23"/>
              </w:rPr>
            </w:pPr>
            <w:r w:rsidRPr="000E1B51">
              <w:rPr>
                <w:rFonts w:eastAsia="Times New Roman"/>
                <w:b/>
                <w:color w:val="000000"/>
                <w:sz w:val="23"/>
                <w:szCs w:val="23"/>
              </w:rPr>
              <w:t>Weighted Absolute Percentage Error (WAPE)</w:t>
            </w:r>
          </w:p>
        </w:tc>
        <w:tc>
          <w:tcPr>
            <w:tcW w:w="2250" w:type="dxa"/>
            <w:tcBorders>
              <w:top w:val="double" w:sz="4" w:space="0" w:color="auto"/>
              <w:left w:val="nil"/>
              <w:bottom w:val="double" w:sz="4" w:space="0" w:color="auto"/>
              <w:right w:val="single" w:sz="4" w:space="0" w:color="auto"/>
            </w:tcBorders>
            <w:shd w:val="clear" w:color="auto" w:fill="auto"/>
            <w:noWrap/>
            <w:vAlign w:val="center"/>
            <w:hideMark/>
          </w:tcPr>
          <w:p w14:paraId="43D861B7" w14:textId="77777777" w:rsidR="00472474" w:rsidRPr="000E1B51" w:rsidRDefault="00472474" w:rsidP="0077577E">
            <w:pPr>
              <w:spacing w:after="0" w:line="240" w:lineRule="auto"/>
              <w:jc w:val="right"/>
              <w:rPr>
                <w:rFonts w:eastAsia="Times New Roman"/>
                <w:b/>
                <w:color w:val="000000"/>
                <w:sz w:val="23"/>
                <w:szCs w:val="23"/>
              </w:rPr>
            </w:pPr>
            <w:r w:rsidRPr="000E1B51">
              <w:rPr>
                <w:rFonts w:eastAsia="Times New Roman"/>
                <w:b/>
                <w:color w:val="000000"/>
                <w:sz w:val="23"/>
                <w:szCs w:val="23"/>
              </w:rPr>
              <w:t>13.19%</w:t>
            </w:r>
          </w:p>
        </w:tc>
        <w:tc>
          <w:tcPr>
            <w:tcW w:w="2075" w:type="dxa"/>
            <w:tcBorders>
              <w:top w:val="double" w:sz="4" w:space="0" w:color="auto"/>
              <w:left w:val="nil"/>
              <w:bottom w:val="double" w:sz="4" w:space="0" w:color="auto"/>
              <w:right w:val="double" w:sz="4" w:space="0" w:color="auto"/>
            </w:tcBorders>
            <w:shd w:val="clear" w:color="auto" w:fill="auto"/>
            <w:noWrap/>
            <w:vAlign w:val="center"/>
            <w:hideMark/>
          </w:tcPr>
          <w:p w14:paraId="5F297F32" w14:textId="77777777" w:rsidR="00472474" w:rsidRPr="000E1B51" w:rsidRDefault="00472474" w:rsidP="0077577E">
            <w:pPr>
              <w:spacing w:after="0" w:line="240" w:lineRule="auto"/>
              <w:jc w:val="right"/>
              <w:rPr>
                <w:rFonts w:eastAsia="Times New Roman"/>
                <w:b/>
                <w:color w:val="000000"/>
                <w:sz w:val="23"/>
                <w:szCs w:val="23"/>
              </w:rPr>
            </w:pPr>
            <w:r w:rsidRPr="000E1B51">
              <w:rPr>
                <w:rFonts w:eastAsia="Times New Roman"/>
                <w:b/>
                <w:color w:val="000000"/>
                <w:sz w:val="23"/>
                <w:szCs w:val="23"/>
              </w:rPr>
              <w:t>16.62%</w:t>
            </w:r>
          </w:p>
        </w:tc>
      </w:tr>
    </w:tbl>
    <w:p w14:paraId="3ED32C69" w14:textId="24423BDA" w:rsidR="000E1B51" w:rsidRDefault="000E1B51" w:rsidP="00472474">
      <w:pPr>
        <w:tabs>
          <w:tab w:val="right" w:pos="630"/>
        </w:tabs>
        <w:spacing w:after="0" w:line="240" w:lineRule="auto"/>
      </w:pPr>
    </w:p>
    <w:p w14:paraId="0B7BC31A" w14:textId="77777777" w:rsidR="000E1B51" w:rsidRDefault="000E1B51" w:rsidP="00472474">
      <w:pPr>
        <w:tabs>
          <w:tab w:val="right" w:pos="630"/>
        </w:tabs>
        <w:spacing w:after="0" w:line="240" w:lineRule="auto"/>
        <w:sectPr w:rsidR="000E1B51" w:rsidSect="0021102F">
          <w:footerReference w:type="default" r:id="rId166"/>
          <w:pgSz w:w="12240" w:h="15840"/>
          <w:pgMar w:top="1440" w:right="1440" w:bottom="1440" w:left="1440" w:header="720" w:footer="720" w:gutter="0"/>
          <w:pgNumType w:start="1"/>
          <w:cols w:space="720"/>
          <w:docGrid w:linePitch="360"/>
        </w:sectPr>
      </w:pPr>
    </w:p>
    <w:p w14:paraId="6E2ED3BB" w14:textId="77777777" w:rsidR="00554351" w:rsidRDefault="00554351" w:rsidP="002F1DC9">
      <w:pPr>
        <w:pStyle w:val="Caption"/>
        <w:spacing w:after="120"/>
        <w:jc w:val="both"/>
        <w:rPr>
          <w:sz w:val="24"/>
          <w:szCs w:val="24"/>
        </w:rPr>
      </w:pPr>
      <w:bookmarkStart w:id="69" w:name="_Ref105425997"/>
    </w:p>
    <w:p w14:paraId="77E56C13" w14:textId="77777777" w:rsidR="00554351" w:rsidRDefault="00554351" w:rsidP="002F1DC9">
      <w:pPr>
        <w:pStyle w:val="Caption"/>
        <w:spacing w:after="120"/>
        <w:jc w:val="both"/>
        <w:rPr>
          <w:sz w:val="24"/>
          <w:szCs w:val="24"/>
        </w:rPr>
      </w:pPr>
    </w:p>
    <w:p w14:paraId="635C9076" w14:textId="11A113D4" w:rsidR="00690FC1" w:rsidRPr="002C5F6C" w:rsidRDefault="00FA08E0" w:rsidP="00F968E0">
      <w:pPr>
        <w:pStyle w:val="Caption"/>
        <w:jc w:val="both"/>
        <w:rPr>
          <w:sz w:val="24"/>
          <w:szCs w:val="24"/>
        </w:rPr>
      </w:pPr>
      <w:r>
        <w:rPr>
          <w:sz w:val="24"/>
          <w:szCs w:val="24"/>
        </w:rPr>
        <w:t>Table 5</w:t>
      </w:r>
      <w:r w:rsidR="00690FC1" w:rsidRPr="002C5F6C">
        <w:rPr>
          <w:sz w:val="24"/>
          <w:szCs w:val="24"/>
        </w:rPr>
        <w:t xml:space="preserve">. </w:t>
      </w:r>
      <w:r w:rsidR="00690FC1" w:rsidRPr="00690FC1">
        <w:rPr>
          <w:sz w:val="24"/>
          <w:szCs w:val="24"/>
        </w:rPr>
        <w:t xml:space="preserve">Aggregate and disaggregate measures of fit </w:t>
      </w:r>
      <w:r w:rsidR="005C0348" w:rsidRPr="005C0348">
        <w:rPr>
          <w:sz w:val="24"/>
          <w:szCs w:val="24"/>
        </w:rPr>
        <w:t>on various market segment</w:t>
      </w:r>
      <w:r w:rsidR="007722AE">
        <w:rPr>
          <w:sz w:val="24"/>
          <w:szCs w:val="24"/>
        </w:rPr>
        <w:t>s</w:t>
      </w:r>
      <w:r w:rsidR="005C0348" w:rsidRPr="005C0348">
        <w:rPr>
          <w:sz w:val="24"/>
          <w:szCs w:val="24"/>
        </w:rPr>
        <w:t xml:space="preserve"> of the estimation</w:t>
      </w:r>
      <w:r w:rsidR="005C0348">
        <w:rPr>
          <w:sz w:val="24"/>
          <w:szCs w:val="24"/>
        </w:rPr>
        <w:t xml:space="preserve"> </w:t>
      </w:r>
      <w:r w:rsidR="00690FC1" w:rsidRPr="00690FC1">
        <w:rPr>
          <w:sz w:val="24"/>
          <w:szCs w:val="24"/>
        </w:rPr>
        <w:t>sample</w:t>
      </w:r>
    </w:p>
    <w:tbl>
      <w:tblPr>
        <w:tblW w:w="5056" w:type="pct"/>
        <w:tblBorders>
          <w:top w:val="double" w:sz="4" w:space="0" w:color="auto"/>
          <w:left w:val="double" w:sz="4" w:space="0" w:color="auto"/>
          <w:bottom w:val="double" w:sz="4" w:space="0" w:color="auto"/>
          <w:right w:val="double" w:sz="4" w:space="0" w:color="auto"/>
        </w:tblBorders>
        <w:tblLayout w:type="fixed"/>
        <w:tblCellMar>
          <w:left w:w="58" w:type="dxa"/>
          <w:right w:w="58" w:type="dxa"/>
        </w:tblCellMar>
        <w:tblLook w:val="04A0" w:firstRow="1" w:lastRow="0" w:firstColumn="1" w:lastColumn="0" w:noHBand="0" w:noVBand="1"/>
      </w:tblPr>
      <w:tblGrid>
        <w:gridCol w:w="2766"/>
        <w:gridCol w:w="1695"/>
        <w:gridCol w:w="24"/>
        <w:gridCol w:w="65"/>
        <w:gridCol w:w="1736"/>
        <w:gridCol w:w="1561"/>
        <w:gridCol w:w="71"/>
        <w:gridCol w:w="99"/>
        <w:gridCol w:w="1687"/>
        <w:gridCol w:w="1535"/>
        <w:gridCol w:w="118"/>
        <w:gridCol w:w="34"/>
        <w:gridCol w:w="1684"/>
      </w:tblGrid>
      <w:tr w:rsidR="004E3AAC" w:rsidRPr="00A20811" w14:paraId="3E6BBEF7" w14:textId="77777777" w:rsidTr="002D1FA2">
        <w:trPr>
          <w:trHeight w:val="432"/>
        </w:trPr>
        <w:tc>
          <w:tcPr>
            <w:tcW w:w="1058" w:type="pct"/>
            <w:tcBorders>
              <w:top w:val="double" w:sz="4" w:space="0" w:color="auto"/>
              <w:bottom w:val="double" w:sz="4" w:space="0" w:color="auto"/>
              <w:right w:val="double" w:sz="4" w:space="0" w:color="auto"/>
            </w:tcBorders>
            <w:shd w:val="clear" w:color="auto" w:fill="auto"/>
            <w:noWrap/>
            <w:vAlign w:val="center"/>
            <w:hideMark/>
          </w:tcPr>
          <w:p w14:paraId="2D72C11F" w14:textId="77777777" w:rsidR="004E3AAC" w:rsidRPr="000A3079" w:rsidRDefault="004E3AAC" w:rsidP="00C6188A">
            <w:pPr>
              <w:spacing w:after="0" w:line="240" w:lineRule="auto"/>
              <w:jc w:val="center"/>
              <w:rPr>
                <w:rFonts w:eastAsia="Times New Roman"/>
                <w:b/>
                <w:sz w:val="22"/>
                <w:szCs w:val="22"/>
              </w:rPr>
            </w:pPr>
            <w:r w:rsidRPr="00A20811">
              <w:rPr>
                <w:rFonts w:eastAsia="Times New Roman"/>
                <w:b/>
                <w:sz w:val="22"/>
                <w:szCs w:val="22"/>
              </w:rPr>
              <w:t>Market Segment</w:t>
            </w:r>
          </w:p>
        </w:tc>
        <w:tc>
          <w:tcPr>
            <w:tcW w:w="1346" w:type="pct"/>
            <w:gridSpan w:val="4"/>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6677B22" w14:textId="77777777" w:rsidR="004E3AAC" w:rsidRPr="000A3079" w:rsidRDefault="004E3AAC" w:rsidP="00C6188A">
            <w:pPr>
              <w:spacing w:after="0" w:line="240" w:lineRule="auto"/>
              <w:jc w:val="center"/>
              <w:rPr>
                <w:rFonts w:eastAsia="Times New Roman"/>
                <w:b/>
                <w:color w:val="000000"/>
                <w:sz w:val="22"/>
                <w:szCs w:val="22"/>
              </w:rPr>
            </w:pPr>
            <w:r w:rsidRPr="000A3079">
              <w:rPr>
                <w:rFonts w:eastAsia="Times New Roman"/>
                <w:b/>
                <w:color w:val="000000"/>
                <w:sz w:val="22"/>
                <w:szCs w:val="22"/>
              </w:rPr>
              <w:t>Gender: Female</w:t>
            </w:r>
          </w:p>
        </w:tc>
        <w:tc>
          <w:tcPr>
            <w:tcW w:w="1307" w:type="pct"/>
            <w:gridSpan w:val="4"/>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6AEB9C05" w14:textId="0AB23688" w:rsidR="004E3AAC" w:rsidRPr="000A3079" w:rsidRDefault="004E3AAC" w:rsidP="00C6188A">
            <w:pPr>
              <w:spacing w:after="0" w:line="240" w:lineRule="auto"/>
              <w:jc w:val="center"/>
              <w:rPr>
                <w:rFonts w:eastAsia="Times New Roman"/>
                <w:b/>
                <w:color w:val="000000"/>
                <w:sz w:val="22"/>
                <w:szCs w:val="22"/>
              </w:rPr>
            </w:pPr>
            <w:r w:rsidRPr="000A3079">
              <w:rPr>
                <w:rFonts w:eastAsia="Times New Roman"/>
                <w:b/>
                <w:color w:val="000000"/>
                <w:sz w:val="22"/>
                <w:szCs w:val="22"/>
              </w:rPr>
              <w:t>Age:</w:t>
            </w:r>
            <w:r w:rsidR="00A700CB">
              <w:rPr>
                <w:rFonts w:eastAsia="Times New Roman"/>
                <w:b/>
                <w:color w:val="000000"/>
                <w:sz w:val="22"/>
                <w:szCs w:val="22"/>
              </w:rPr>
              <w:t xml:space="preserve"> Over</w:t>
            </w:r>
            <w:r w:rsidRPr="000A3079">
              <w:rPr>
                <w:rFonts w:eastAsia="Times New Roman"/>
                <w:b/>
                <w:color w:val="000000"/>
                <w:sz w:val="22"/>
                <w:szCs w:val="22"/>
              </w:rPr>
              <w:t xml:space="preserve"> 50 years</w:t>
            </w:r>
          </w:p>
        </w:tc>
        <w:tc>
          <w:tcPr>
            <w:tcW w:w="1289" w:type="pct"/>
            <w:gridSpan w:val="4"/>
            <w:tcBorders>
              <w:top w:val="double" w:sz="4" w:space="0" w:color="auto"/>
              <w:left w:val="single" w:sz="4" w:space="0" w:color="auto"/>
              <w:bottom w:val="double" w:sz="4" w:space="0" w:color="auto"/>
            </w:tcBorders>
            <w:shd w:val="clear" w:color="auto" w:fill="auto"/>
            <w:noWrap/>
            <w:vAlign w:val="center"/>
            <w:hideMark/>
          </w:tcPr>
          <w:p w14:paraId="6BCD4F65" w14:textId="77777777" w:rsidR="004E3AAC" w:rsidRPr="000A3079" w:rsidRDefault="004E3AAC" w:rsidP="00C6188A">
            <w:pPr>
              <w:spacing w:after="0" w:line="240" w:lineRule="auto"/>
              <w:jc w:val="center"/>
              <w:rPr>
                <w:rFonts w:eastAsia="Times New Roman"/>
                <w:b/>
                <w:color w:val="000000"/>
                <w:sz w:val="22"/>
                <w:szCs w:val="22"/>
              </w:rPr>
            </w:pPr>
            <w:r w:rsidRPr="000A3079">
              <w:rPr>
                <w:rFonts w:eastAsia="Times New Roman"/>
                <w:b/>
                <w:color w:val="000000"/>
                <w:sz w:val="22"/>
                <w:szCs w:val="22"/>
              </w:rPr>
              <w:t>Race: White</w:t>
            </w:r>
          </w:p>
        </w:tc>
      </w:tr>
      <w:tr w:rsidR="004E3AAC" w:rsidRPr="00A20811" w14:paraId="6FF7803B" w14:textId="77777777" w:rsidTr="00381210">
        <w:trPr>
          <w:trHeight w:val="288"/>
        </w:trPr>
        <w:tc>
          <w:tcPr>
            <w:tcW w:w="1058" w:type="pct"/>
            <w:tcBorders>
              <w:top w:val="double" w:sz="4" w:space="0" w:color="auto"/>
              <w:bottom w:val="double" w:sz="4" w:space="0" w:color="auto"/>
              <w:right w:val="double" w:sz="4" w:space="0" w:color="auto"/>
            </w:tcBorders>
            <w:shd w:val="clear" w:color="auto" w:fill="auto"/>
            <w:noWrap/>
            <w:vAlign w:val="center"/>
            <w:hideMark/>
          </w:tcPr>
          <w:p w14:paraId="4689EB83" w14:textId="77777777" w:rsidR="004E3AAC" w:rsidRPr="000A3079" w:rsidRDefault="004E3AAC" w:rsidP="00C6188A">
            <w:pPr>
              <w:spacing w:after="0" w:line="240" w:lineRule="auto"/>
              <w:jc w:val="center"/>
              <w:rPr>
                <w:rFonts w:eastAsia="Times New Roman"/>
                <w:b/>
                <w:color w:val="000000"/>
                <w:sz w:val="22"/>
                <w:szCs w:val="22"/>
              </w:rPr>
            </w:pPr>
            <w:r w:rsidRPr="00A20811">
              <w:rPr>
                <w:rFonts w:eastAsia="Times New Roman"/>
                <w:b/>
                <w:color w:val="000000"/>
                <w:sz w:val="22"/>
                <w:szCs w:val="22"/>
              </w:rPr>
              <w:t>Measures of Fit</w:t>
            </w:r>
          </w:p>
        </w:tc>
        <w:tc>
          <w:tcPr>
            <w:tcW w:w="648" w:type="pct"/>
            <w:tcBorders>
              <w:top w:val="double" w:sz="4" w:space="0" w:color="auto"/>
              <w:left w:val="double" w:sz="4" w:space="0" w:color="auto"/>
              <w:bottom w:val="double" w:sz="4" w:space="0" w:color="auto"/>
            </w:tcBorders>
            <w:shd w:val="clear" w:color="auto" w:fill="auto"/>
            <w:noWrap/>
            <w:vAlign w:val="center"/>
            <w:hideMark/>
          </w:tcPr>
          <w:p w14:paraId="341CDC01" w14:textId="77777777" w:rsidR="004E3AAC" w:rsidRPr="000A3079" w:rsidRDefault="004E3AAC" w:rsidP="00C6188A">
            <w:pPr>
              <w:spacing w:after="0" w:line="240" w:lineRule="auto"/>
              <w:jc w:val="center"/>
              <w:rPr>
                <w:rFonts w:eastAsia="Times New Roman"/>
                <w:b/>
                <w:color w:val="000000"/>
                <w:sz w:val="22"/>
                <w:szCs w:val="22"/>
              </w:rPr>
            </w:pPr>
            <w:r w:rsidRPr="000A3079">
              <w:rPr>
                <w:rFonts w:eastAsia="Times New Roman"/>
                <w:b/>
                <w:color w:val="000000"/>
                <w:sz w:val="22"/>
                <w:szCs w:val="22"/>
              </w:rPr>
              <w:t>Joint Model</w:t>
            </w:r>
          </w:p>
        </w:tc>
        <w:tc>
          <w:tcPr>
            <w:tcW w:w="698" w:type="pct"/>
            <w:gridSpan w:val="3"/>
            <w:tcBorders>
              <w:top w:val="double" w:sz="4" w:space="0" w:color="auto"/>
              <w:bottom w:val="double" w:sz="4" w:space="0" w:color="auto"/>
              <w:right w:val="single" w:sz="4" w:space="0" w:color="auto"/>
            </w:tcBorders>
            <w:shd w:val="clear" w:color="auto" w:fill="auto"/>
            <w:noWrap/>
            <w:vAlign w:val="center"/>
            <w:hideMark/>
          </w:tcPr>
          <w:p w14:paraId="5230DCEB" w14:textId="77777777" w:rsidR="004E3AAC" w:rsidRPr="000A3079" w:rsidRDefault="004E3AAC" w:rsidP="00C6188A">
            <w:pPr>
              <w:spacing w:after="0" w:line="240" w:lineRule="auto"/>
              <w:jc w:val="center"/>
              <w:rPr>
                <w:rFonts w:eastAsia="Times New Roman"/>
                <w:b/>
                <w:color w:val="000000"/>
                <w:sz w:val="22"/>
                <w:szCs w:val="22"/>
              </w:rPr>
            </w:pPr>
            <w:r w:rsidRPr="000A3079">
              <w:rPr>
                <w:rFonts w:eastAsia="Times New Roman"/>
                <w:b/>
                <w:color w:val="000000"/>
                <w:sz w:val="22"/>
                <w:szCs w:val="22"/>
              </w:rPr>
              <w:t>Independent Model</w:t>
            </w:r>
          </w:p>
        </w:tc>
        <w:tc>
          <w:tcPr>
            <w:tcW w:w="597" w:type="pct"/>
            <w:tcBorders>
              <w:top w:val="double" w:sz="4" w:space="0" w:color="auto"/>
              <w:left w:val="single" w:sz="4" w:space="0" w:color="auto"/>
              <w:bottom w:val="double" w:sz="4" w:space="0" w:color="auto"/>
            </w:tcBorders>
            <w:shd w:val="clear" w:color="auto" w:fill="auto"/>
            <w:noWrap/>
            <w:vAlign w:val="center"/>
            <w:hideMark/>
          </w:tcPr>
          <w:p w14:paraId="3797F2F2" w14:textId="77777777" w:rsidR="004E3AAC" w:rsidRPr="000A3079" w:rsidRDefault="004E3AAC" w:rsidP="00C6188A">
            <w:pPr>
              <w:spacing w:after="0" w:line="240" w:lineRule="auto"/>
              <w:jc w:val="center"/>
              <w:rPr>
                <w:rFonts w:eastAsia="Times New Roman"/>
                <w:b/>
                <w:color w:val="000000"/>
                <w:sz w:val="22"/>
                <w:szCs w:val="22"/>
              </w:rPr>
            </w:pPr>
            <w:r w:rsidRPr="000A3079">
              <w:rPr>
                <w:rFonts w:eastAsia="Times New Roman"/>
                <w:b/>
                <w:color w:val="000000"/>
                <w:sz w:val="22"/>
                <w:szCs w:val="22"/>
              </w:rPr>
              <w:t>Joint Model</w:t>
            </w:r>
          </w:p>
        </w:tc>
        <w:tc>
          <w:tcPr>
            <w:tcW w:w="710" w:type="pct"/>
            <w:gridSpan w:val="3"/>
            <w:tcBorders>
              <w:top w:val="double" w:sz="4" w:space="0" w:color="auto"/>
              <w:bottom w:val="double" w:sz="4" w:space="0" w:color="auto"/>
              <w:right w:val="single" w:sz="4" w:space="0" w:color="auto"/>
            </w:tcBorders>
            <w:shd w:val="clear" w:color="auto" w:fill="auto"/>
            <w:noWrap/>
            <w:vAlign w:val="center"/>
            <w:hideMark/>
          </w:tcPr>
          <w:p w14:paraId="5B500401" w14:textId="77777777" w:rsidR="004E3AAC" w:rsidRPr="000A3079" w:rsidRDefault="004E3AAC" w:rsidP="00C6188A">
            <w:pPr>
              <w:spacing w:after="0" w:line="240" w:lineRule="auto"/>
              <w:jc w:val="center"/>
              <w:rPr>
                <w:rFonts w:eastAsia="Times New Roman"/>
                <w:b/>
                <w:color w:val="000000"/>
                <w:sz w:val="22"/>
                <w:szCs w:val="22"/>
              </w:rPr>
            </w:pPr>
            <w:r w:rsidRPr="000A3079">
              <w:rPr>
                <w:rFonts w:eastAsia="Times New Roman"/>
                <w:b/>
                <w:color w:val="000000"/>
                <w:sz w:val="22"/>
                <w:szCs w:val="22"/>
              </w:rPr>
              <w:t>Independent Model</w:t>
            </w:r>
          </w:p>
        </w:tc>
        <w:tc>
          <w:tcPr>
            <w:tcW w:w="587" w:type="pct"/>
            <w:tcBorders>
              <w:top w:val="double" w:sz="4" w:space="0" w:color="auto"/>
              <w:left w:val="single" w:sz="4" w:space="0" w:color="auto"/>
              <w:bottom w:val="double" w:sz="4" w:space="0" w:color="auto"/>
            </w:tcBorders>
            <w:shd w:val="clear" w:color="auto" w:fill="auto"/>
            <w:noWrap/>
            <w:vAlign w:val="center"/>
            <w:hideMark/>
          </w:tcPr>
          <w:p w14:paraId="27B68F41" w14:textId="77777777" w:rsidR="004E3AAC" w:rsidRPr="000A3079" w:rsidRDefault="004E3AAC" w:rsidP="00C6188A">
            <w:pPr>
              <w:spacing w:after="0" w:line="240" w:lineRule="auto"/>
              <w:jc w:val="center"/>
              <w:rPr>
                <w:rFonts w:eastAsia="Times New Roman"/>
                <w:b/>
                <w:color w:val="000000"/>
                <w:sz w:val="22"/>
                <w:szCs w:val="22"/>
              </w:rPr>
            </w:pPr>
            <w:r w:rsidRPr="000A3079">
              <w:rPr>
                <w:rFonts w:eastAsia="Times New Roman"/>
                <w:b/>
                <w:color w:val="000000"/>
                <w:sz w:val="22"/>
                <w:szCs w:val="22"/>
              </w:rPr>
              <w:t>Joint Model</w:t>
            </w:r>
          </w:p>
        </w:tc>
        <w:tc>
          <w:tcPr>
            <w:tcW w:w="702" w:type="pct"/>
            <w:gridSpan w:val="3"/>
            <w:tcBorders>
              <w:top w:val="double" w:sz="4" w:space="0" w:color="auto"/>
              <w:bottom w:val="double" w:sz="4" w:space="0" w:color="auto"/>
            </w:tcBorders>
            <w:shd w:val="clear" w:color="auto" w:fill="auto"/>
            <w:noWrap/>
            <w:vAlign w:val="center"/>
            <w:hideMark/>
          </w:tcPr>
          <w:p w14:paraId="21A271E1" w14:textId="77777777" w:rsidR="004E3AAC" w:rsidRPr="000A3079" w:rsidRDefault="004E3AAC" w:rsidP="00C6188A">
            <w:pPr>
              <w:spacing w:after="0" w:line="240" w:lineRule="auto"/>
              <w:jc w:val="center"/>
              <w:rPr>
                <w:rFonts w:eastAsia="Times New Roman"/>
                <w:b/>
                <w:color w:val="000000"/>
                <w:sz w:val="22"/>
                <w:szCs w:val="22"/>
              </w:rPr>
            </w:pPr>
            <w:r w:rsidRPr="000A3079">
              <w:rPr>
                <w:rFonts w:eastAsia="Times New Roman"/>
                <w:b/>
                <w:color w:val="000000"/>
                <w:sz w:val="22"/>
                <w:szCs w:val="22"/>
              </w:rPr>
              <w:t>Independent Model</w:t>
            </w:r>
          </w:p>
        </w:tc>
      </w:tr>
      <w:tr w:rsidR="004E3AAC" w:rsidRPr="00A20811" w14:paraId="2FB6FF32" w14:textId="77777777" w:rsidTr="002F1DC9">
        <w:trPr>
          <w:trHeight w:val="432"/>
        </w:trPr>
        <w:tc>
          <w:tcPr>
            <w:tcW w:w="1058" w:type="pct"/>
            <w:tcBorders>
              <w:top w:val="single" w:sz="4" w:space="0" w:color="auto"/>
              <w:bottom w:val="single" w:sz="4" w:space="0" w:color="auto"/>
              <w:right w:val="double" w:sz="4" w:space="0" w:color="auto"/>
            </w:tcBorders>
            <w:shd w:val="clear" w:color="auto" w:fill="auto"/>
            <w:noWrap/>
            <w:vAlign w:val="center"/>
            <w:hideMark/>
          </w:tcPr>
          <w:p w14:paraId="23DFD366" w14:textId="788D7183" w:rsidR="004E3AAC" w:rsidRPr="000A3079" w:rsidRDefault="004E3AAC" w:rsidP="00C6188A">
            <w:pPr>
              <w:spacing w:after="0" w:line="240" w:lineRule="auto"/>
              <w:rPr>
                <w:rFonts w:eastAsia="Times New Roman"/>
                <w:b/>
                <w:color w:val="000000"/>
                <w:sz w:val="22"/>
                <w:szCs w:val="22"/>
              </w:rPr>
            </w:pPr>
            <w:r w:rsidRPr="000A3079">
              <w:rPr>
                <w:rFonts w:eastAsia="Times New Roman"/>
                <w:b/>
                <w:color w:val="000000"/>
                <w:sz w:val="22"/>
                <w:szCs w:val="22"/>
              </w:rPr>
              <w:t xml:space="preserve">Number of </w:t>
            </w:r>
            <w:r w:rsidR="00FA08E0">
              <w:rPr>
                <w:rFonts w:eastAsia="Times New Roman"/>
                <w:b/>
                <w:color w:val="000000"/>
                <w:sz w:val="22"/>
                <w:szCs w:val="22"/>
              </w:rPr>
              <w:t>o</w:t>
            </w:r>
            <w:r w:rsidRPr="000A3079">
              <w:rPr>
                <w:rFonts w:eastAsia="Times New Roman"/>
                <w:b/>
                <w:color w:val="000000"/>
                <w:sz w:val="22"/>
                <w:szCs w:val="22"/>
              </w:rPr>
              <w:t>bservations</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CBDC7B8"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626</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3CB9C"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675</w:t>
            </w:r>
          </w:p>
        </w:tc>
        <w:tc>
          <w:tcPr>
            <w:tcW w:w="1289" w:type="pct"/>
            <w:gridSpan w:val="4"/>
            <w:tcBorders>
              <w:top w:val="single" w:sz="4" w:space="0" w:color="auto"/>
              <w:left w:val="single" w:sz="4" w:space="0" w:color="auto"/>
              <w:bottom w:val="single" w:sz="4" w:space="0" w:color="auto"/>
            </w:tcBorders>
            <w:shd w:val="clear" w:color="auto" w:fill="auto"/>
            <w:noWrap/>
            <w:vAlign w:val="center"/>
            <w:hideMark/>
          </w:tcPr>
          <w:p w14:paraId="61C723D8"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944</w:t>
            </w:r>
          </w:p>
        </w:tc>
      </w:tr>
      <w:tr w:rsidR="004E3AAC" w:rsidRPr="00A20811" w14:paraId="3A673A40" w14:textId="77777777" w:rsidTr="002F1DC9">
        <w:trPr>
          <w:trHeight w:val="432"/>
        </w:trPr>
        <w:tc>
          <w:tcPr>
            <w:tcW w:w="1058" w:type="pct"/>
            <w:tcBorders>
              <w:top w:val="single" w:sz="4" w:space="0" w:color="auto"/>
              <w:bottom w:val="single" w:sz="4" w:space="0" w:color="auto"/>
              <w:right w:val="double" w:sz="4" w:space="0" w:color="auto"/>
            </w:tcBorders>
            <w:shd w:val="clear" w:color="auto" w:fill="auto"/>
            <w:noWrap/>
            <w:vAlign w:val="center"/>
            <w:hideMark/>
          </w:tcPr>
          <w:p w14:paraId="1A68DFF5" w14:textId="77777777" w:rsidR="004E3AAC" w:rsidRPr="000A3079" w:rsidRDefault="004E3AAC" w:rsidP="00C6188A">
            <w:pPr>
              <w:spacing w:after="0" w:line="240" w:lineRule="auto"/>
              <w:rPr>
                <w:rFonts w:eastAsia="Times New Roman"/>
                <w:b/>
                <w:color w:val="000000"/>
                <w:sz w:val="22"/>
                <w:szCs w:val="22"/>
              </w:rPr>
            </w:pPr>
            <w:r w:rsidRPr="000A3079">
              <w:rPr>
                <w:rFonts w:eastAsia="Times New Roman"/>
                <w:b/>
                <w:color w:val="000000"/>
                <w:sz w:val="22"/>
                <w:szCs w:val="22"/>
              </w:rPr>
              <w:t>Mean log-likelihood</w:t>
            </w:r>
          </w:p>
        </w:tc>
        <w:tc>
          <w:tcPr>
            <w:tcW w:w="648" w:type="pct"/>
            <w:tcBorders>
              <w:top w:val="single" w:sz="4" w:space="0" w:color="auto"/>
              <w:left w:val="double" w:sz="4" w:space="0" w:color="auto"/>
              <w:bottom w:val="single" w:sz="4" w:space="0" w:color="auto"/>
            </w:tcBorders>
            <w:shd w:val="clear" w:color="auto" w:fill="auto"/>
            <w:noWrap/>
            <w:vAlign w:val="center"/>
            <w:hideMark/>
          </w:tcPr>
          <w:p w14:paraId="446475B9"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-2853.04</w:t>
            </w:r>
          </w:p>
        </w:tc>
        <w:tc>
          <w:tcPr>
            <w:tcW w:w="698" w:type="pct"/>
            <w:gridSpan w:val="3"/>
            <w:tcBorders>
              <w:top w:val="single" w:sz="4" w:space="0" w:color="auto"/>
              <w:bottom w:val="single" w:sz="4" w:space="0" w:color="auto"/>
              <w:right w:val="single" w:sz="4" w:space="0" w:color="auto"/>
            </w:tcBorders>
            <w:shd w:val="clear" w:color="auto" w:fill="auto"/>
            <w:noWrap/>
            <w:vAlign w:val="center"/>
            <w:hideMark/>
          </w:tcPr>
          <w:p w14:paraId="5D050B21"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-2865.40</w:t>
            </w:r>
          </w:p>
        </w:tc>
        <w:tc>
          <w:tcPr>
            <w:tcW w:w="597" w:type="pct"/>
            <w:tcBorders>
              <w:top w:val="single" w:sz="4" w:space="0" w:color="auto"/>
              <w:left w:val="single" w:sz="4" w:space="0" w:color="auto"/>
              <w:bottom w:val="single" w:sz="4" w:space="0" w:color="auto"/>
            </w:tcBorders>
            <w:shd w:val="clear" w:color="auto" w:fill="auto"/>
            <w:noWrap/>
            <w:vAlign w:val="center"/>
            <w:hideMark/>
          </w:tcPr>
          <w:p w14:paraId="2588D16C"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-2860.29</w:t>
            </w:r>
          </w:p>
        </w:tc>
        <w:tc>
          <w:tcPr>
            <w:tcW w:w="710" w:type="pct"/>
            <w:gridSpan w:val="3"/>
            <w:tcBorders>
              <w:bottom w:val="single" w:sz="4" w:space="0" w:color="auto"/>
              <w:right w:val="single" w:sz="4" w:space="0" w:color="auto"/>
            </w:tcBorders>
            <w:shd w:val="clear" w:color="auto" w:fill="auto"/>
            <w:noWrap/>
            <w:vAlign w:val="center"/>
            <w:hideMark/>
          </w:tcPr>
          <w:p w14:paraId="0CD6ED4F"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-2870.66</w:t>
            </w:r>
          </w:p>
        </w:tc>
        <w:tc>
          <w:tcPr>
            <w:tcW w:w="587" w:type="pct"/>
            <w:tcBorders>
              <w:top w:val="single" w:sz="4" w:space="0" w:color="auto"/>
              <w:left w:val="single" w:sz="4" w:space="0" w:color="auto"/>
              <w:bottom w:val="single" w:sz="4" w:space="0" w:color="auto"/>
            </w:tcBorders>
            <w:shd w:val="clear" w:color="auto" w:fill="auto"/>
            <w:noWrap/>
            <w:vAlign w:val="center"/>
            <w:hideMark/>
          </w:tcPr>
          <w:p w14:paraId="2C5AB7B5"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-4241.46</w:t>
            </w:r>
          </w:p>
        </w:tc>
        <w:tc>
          <w:tcPr>
            <w:tcW w:w="702" w:type="pct"/>
            <w:gridSpan w:val="3"/>
            <w:tcBorders>
              <w:top w:val="single" w:sz="4" w:space="0" w:color="auto"/>
            </w:tcBorders>
            <w:shd w:val="clear" w:color="auto" w:fill="auto"/>
            <w:noWrap/>
            <w:vAlign w:val="center"/>
            <w:hideMark/>
          </w:tcPr>
          <w:p w14:paraId="2F466396"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-4255.1</w:t>
            </w:r>
            <w:r w:rsidRPr="00A20811">
              <w:rPr>
                <w:rFonts w:eastAsia="Times New Roman"/>
                <w:color w:val="000000"/>
                <w:sz w:val="22"/>
                <w:szCs w:val="22"/>
              </w:rPr>
              <w:t>0</w:t>
            </w:r>
          </w:p>
        </w:tc>
      </w:tr>
      <w:tr w:rsidR="004E3AAC" w:rsidRPr="00A20811" w14:paraId="18018808" w14:textId="77777777" w:rsidTr="002F1DC9">
        <w:trPr>
          <w:trHeight w:val="432"/>
        </w:trPr>
        <w:tc>
          <w:tcPr>
            <w:tcW w:w="1058" w:type="pct"/>
            <w:tcBorders>
              <w:top w:val="single" w:sz="4" w:space="0" w:color="auto"/>
              <w:bottom w:val="single" w:sz="4" w:space="0" w:color="auto"/>
              <w:right w:val="double" w:sz="4" w:space="0" w:color="auto"/>
            </w:tcBorders>
            <w:shd w:val="clear" w:color="auto" w:fill="auto"/>
            <w:noWrap/>
            <w:vAlign w:val="center"/>
            <w:hideMark/>
          </w:tcPr>
          <w:p w14:paraId="25326B0A" w14:textId="4784E3BE" w:rsidR="004E3AAC" w:rsidRPr="000A3079" w:rsidRDefault="00554351" w:rsidP="00C6188A">
            <w:pPr>
              <w:spacing w:after="0" w:line="240" w:lineRule="auto"/>
              <w:rPr>
                <w:rFonts w:eastAsia="Times New Roman"/>
                <w:b/>
                <w:color w:val="000000"/>
                <w:sz w:val="22"/>
                <w:szCs w:val="22"/>
              </w:rPr>
            </w:pPr>
            <w:r>
              <w:rPr>
                <w:rFonts w:eastAsia="Times New Roman"/>
                <w:b/>
                <w:color w:val="000000"/>
                <w:sz w:val="22"/>
                <w:szCs w:val="22"/>
              </w:rPr>
              <w:t xml:space="preserve">Informal </w:t>
            </w:r>
            <w:r w:rsidR="00A700CB">
              <w:rPr>
                <w:rFonts w:eastAsia="Times New Roman"/>
                <w:b/>
                <w:color w:val="000000"/>
                <w:sz w:val="22"/>
                <w:szCs w:val="22"/>
              </w:rPr>
              <w:t>p</w:t>
            </w:r>
            <w:r w:rsidR="004E3AAC" w:rsidRPr="000A3079">
              <w:rPr>
                <w:rFonts w:eastAsia="Times New Roman"/>
                <w:b/>
                <w:color w:val="000000"/>
                <w:sz w:val="22"/>
                <w:szCs w:val="22"/>
              </w:rPr>
              <w:t>redictive likelihood ratio test</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A41248B"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24.71</w:t>
            </w:r>
            <w:r>
              <w:rPr>
                <w:rFonts w:eastAsia="Times New Roman"/>
                <w:color w:val="000000"/>
              </w:rPr>
              <w:t xml:space="preserve"> </w:t>
            </w:r>
            <w:r w:rsidRPr="000E1B51">
              <w:rPr>
                <w:sz w:val="23"/>
                <w:szCs w:val="23"/>
              </w:rPr>
              <w:t xml:space="preserve">&gt; </w:t>
            </w:r>
            <m:oMath>
              <m:sSubSup>
                <m:sSubSupPr>
                  <m:ctrlPr>
                    <w:rPr>
                      <w:rFonts w:ascii="Cambria Math" w:hAnsi="Cambria Math"/>
                      <w:i/>
                      <w:sz w:val="22"/>
                      <w:szCs w:val="23"/>
                    </w:rPr>
                  </m:ctrlPr>
                </m:sSubSupPr>
                <m:e>
                  <m:r>
                    <w:rPr>
                      <w:rFonts w:ascii="Cambria Math" w:hAnsi="Cambria Math"/>
                      <w:sz w:val="22"/>
                      <w:szCs w:val="23"/>
                    </w:rPr>
                    <m:t>χ</m:t>
                  </m:r>
                </m:e>
                <m:sub>
                  <m:r>
                    <w:rPr>
                      <w:rFonts w:ascii="Cambria Math" w:hAnsi="Cambria Math"/>
                      <w:sz w:val="22"/>
                      <w:szCs w:val="23"/>
                    </w:rPr>
                    <m:t>(10,0.05)</m:t>
                  </m:r>
                </m:sub>
                <m:sup>
                  <m:r>
                    <w:rPr>
                      <w:rFonts w:ascii="Cambria Math" w:hAnsi="Cambria Math"/>
                      <w:sz w:val="22"/>
                      <w:szCs w:val="23"/>
                    </w:rPr>
                    <m:t>2</m:t>
                  </m:r>
                </m:sup>
              </m:sSubSup>
            </m:oMath>
            <w:r>
              <w:rPr>
                <w:rFonts w:eastAsiaTheme="minorEastAsia"/>
                <w:sz w:val="23"/>
                <w:szCs w:val="23"/>
              </w:rPr>
              <w:t>=</w:t>
            </w:r>
            <w:r w:rsidRPr="00A20811">
              <w:rPr>
                <w:rFonts w:eastAsiaTheme="minorEastAsia"/>
                <w:sz w:val="22"/>
                <w:szCs w:val="23"/>
              </w:rPr>
              <w:t>18.36</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3AE07"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20.7</w:t>
            </w:r>
            <w:r>
              <w:rPr>
                <w:rFonts w:eastAsia="Times New Roman"/>
                <w:color w:val="000000"/>
              </w:rPr>
              <w:t xml:space="preserve">4 </w:t>
            </w:r>
            <w:r w:rsidRPr="000E1B51">
              <w:rPr>
                <w:sz w:val="23"/>
                <w:szCs w:val="23"/>
              </w:rPr>
              <w:t xml:space="preserve">&gt; </w:t>
            </w:r>
            <m:oMath>
              <m:sSubSup>
                <m:sSubSupPr>
                  <m:ctrlPr>
                    <w:rPr>
                      <w:rFonts w:ascii="Cambria Math" w:hAnsi="Cambria Math"/>
                      <w:i/>
                      <w:sz w:val="22"/>
                      <w:szCs w:val="23"/>
                    </w:rPr>
                  </m:ctrlPr>
                </m:sSubSupPr>
                <m:e>
                  <m:r>
                    <w:rPr>
                      <w:rFonts w:ascii="Cambria Math" w:hAnsi="Cambria Math"/>
                      <w:sz w:val="22"/>
                      <w:szCs w:val="23"/>
                    </w:rPr>
                    <m:t>χ</m:t>
                  </m:r>
                </m:e>
                <m:sub>
                  <m:r>
                    <w:rPr>
                      <w:rFonts w:ascii="Cambria Math" w:hAnsi="Cambria Math"/>
                      <w:sz w:val="22"/>
                      <w:szCs w:val="23"/>
                    </w:rPr>
                    <m:t>(10,0.05)</m:t>
                  </m:r>
                </m:sub>
                <m:sup>
                  <m:r>
                    <w:rPr>
                      <w:rFonts w:ascii="Cambria Math" w:hAnsi="Cambria Math"/>
                      <w:sz w:val="22"/>
                      <w:szCs w:val="23"/>
                    </w:rPr>
                    <m:t>2</m:t>
                  </m:r>
                </m:sup>
              </m:sSubSup>
            </m:oMath>
            <w:r>
              <w:rPr>
                <w:rFonts w:eastAsiaTheme="minorEastAsia"/>
                <w:sz w:val="23"/>
                <w:szCs w:val="23"/>
              </w:rPr>
              <w:t>=</w:t>
            </w:r>
            <w:r w:rsidRPr="00A20811">
              <w:rPr>
                <w:rFonts w:eastAsiaTheme="minorEastAsia"/>
                <w:sz w:val="22"/>
                <w:szCs w:val="23"/>
              </w:rPr>
              <w:t>18.36</w:t>
            </w:r>
          </w:p>
        </w:tc>
        <w:tc>
          <w:tcPr>
            <w:tcW w:w="1289" w:type="pct"/>
            <w:gridSpan w:val="4"/>
            <w:tcBorders>
              <w:top w:val="single" w:sz="4" w:space="0" w:color="auto"/>
              <w:left w:val="single" w:sz="4" w:space="0" w:color="auto"/>
              <w:bottom w:val="single" w:sz="4" w:space="0" w:color="auto"/>
            </w:tcBorders>
            <w:shd w:val="clear" w:color="auto" w:fill="auto"/>
            <w:noWrap/>
            <w:vAlign w:val="center"/>
            <w:hideMark/>
          </w:tcPr>
          <w:p w14:paraId="03D831F7" w14:textId="77777777" w:rsidR="004E3AAC" w:rsidRPr="000A3079" w:rsidRDefault="004E3AAC" w:rsidP="00C6188A">
            <w:pPr>
              <w:spacing w:after="0" w:line="240" w:lineRule="auto"/>
              <w:jc w:val="center"/>
              <w:rPr>
                <w:rFonts w:eastAsia="Times New Roman"/>
                <w:color w:val="000000"/>
                <w:sz w:val="22"/>
                <w:szCs w:val="22"/>
              </w:rPr>
            </w:pPr>
            <w:r w:rsidRPr="000A3079">
              <w:rPr>
                <w:rFonts w:eastAsia="Times New Roman"/>
                <w:color w:val="000000"/>
                <w:sz w:val="22"/>
                <w:szCs w:val="22"/>
              </w:rPr>
              <w:t>27.28</w:t>
            </w:r>
            <w:r>
              <w:rPr>
                <w:rFonts w:eastAsia="Times New Roman"/>
                <w:color w:val="000000"/>
              </w:rPr>
              <w:t xml:space="preserve"> </w:t>
            </w:r>
            <w:r w:rsidRPr="000E1B51">
              <w:rPr>
                <w:sz w:val="23"/>
                <w:szCs w:val="23"/>
              </w:rPr>
              <w:t xml:space="preserve">&gt; </w:t>
            </w:r>
            <m:oMath>
              <m:sSubSup>
                <m:sSubSupPr>
                  <m:ctrlPr>
                    <w:rPr>
                      <w:rFonts w:ascii="Cambria Math" w:hAnsi="Cambria Math"/>
                      <w:i/>
                      <w:sz w:val="22"/>
                      <w:szCs w:val="23"/>
                    </w:rPr>
                  </m:ctrlPr>
                </m:sSubSupPr>
                <m:e>
                  <m:r>
                    <w:rPr>
                      <w:rFonts w:ascii="Cambria Math" w:hAnsi="Cambria Math"/>
                      <w:sz w:val="22"/>
                      <w:szCs w:val="23"/>
                    </w:rPr>
                    <m:t>χ</m:t>
                  </m:r>
                </m:e>
                <m:sub>
                  <m:r>
                    <w:rPr>
                      <w:rFonts w:ascii="Cambria Math" w:hAnsi="Cambria Math"/>
                      <w:sz w:val="22"/>
                      <w:szCs w:val="23"/>
                    </w:rPr>
                    <m:t>(10,0.05)</m:t>
                  </m:r>
                </m:sub>
                <m:sup>
                  <m:r>
                    <w:rPr>
                      <w:rFonts w:ascii="Cambria Math" w:hAnsi="Cambria Math"/>
                      <w:sz w:val="22"/>
                      <w:szCs w:val="23"/>
                    </w:rPr>
                    <m:t>2</m:t>
                  </m:r>
                </m:sup>
              </m:sSubSup>
            </m:oMath>
            <w:r>
              <w:rPr>
                <w:rFonts w:eastAsiaTheme="minorEastAsia"/>
                <w:sz w:val="23"/>
                <w:szCs w:val="23"/>
              </w:rPr>
              <w:t>=</w:t>
            </w:r>
            <w:r w:rsidRPr="00A20811">
              <w:rPr>
                <w:rFonts w:eastAsiaTheme="minorEastAsia"/>
                <w:sz w:val="22"/>
                <w:szCs w:val="23"/>
              </w:rPr>
              <w:t>18.36</w:t>
            </w:r>
          </w:p>
        </w:tc>
      </w:tr>
      <w:tr w:rsidR="00A700CB" w:rsidRPr="00A20811" w14:paraId="4EB03D97" w14:textId="77777777" w:rsidTr="002F1DC9">
        <w:trPr>
          <w:trHeight w:val="432"/>
        </w:trPr>
        <w:tc>
          <w:tcPr>
            <w:tcW w:w="1058" w:type="pct"/>
            <w:tcBorders>
              <w:top w:val="single" w:sz="4" w:space="0" w:color="auto"/>
              <w:bottom w:val="double" w:sz="4" w:space="0" w:color="auto"/>
              <w:right w:val="double" w:sz="4" w:space="0" w:color="auto"/>
            </w:tcBorders>
            <w:shd w:val="clear" w:color="auto" w:fill="auto"/>
            <w:noWrap/>
            <w:vAlign w:val="center"/>
          </w:tcPr>
          <w:p w14:paraId="45C6F9A4" w14:textId="246E68F0" w:rsidR="00A700CB" w:rsidRDefault="00A700CB" w:rsidP="00A700CB">
            <w:pPr>
              <w:spacing w:after="0" w:line="240" w:lineRule="auto"/>
              <w:rPr>
                <w:rFonts w:eastAsia="Times New Roman"/>
                <w:b/>
                <w:color w:val="000000"/>
                <w:sz w:val="22"/>
                <w:szCs w:val="22"/>
              </w:rPr>
            </w:pPr>
            <w:r w:rsidRPr="000A3079">
              <w:rPr>
                <w:rFonts w:eastAsia="Times New Roman"/>
                <w:b/>
                <w:color w:val="000000"/>
                <w:sz w:val="22"/>
                <w:szCs w:val="22"/>
              </w:rPr>
              <w:t>WAPE</w:t>
            </w:r>
          </w:p>
        </w:tc>
        <w:tc>
          <w:tcPr>
            <w:tcW w:w="682" w:type="pct"/>
            <w:gridSpan w:val="3"/>
            <w:tcBorders>
              <w:top w:val="single" w:sz="4" w:space="0" w:color="auto"/>
              <w:left w:val="double" w:sz="4" w:space="0" w:color="auto"/>
              <w:bottom w:val="double" w:sz="4" w:space="0" w:color="auto"/>
              <w:right w:val="single" w:sz="4" w:space="0" w:color="FFFFFF" w:themeColor="background1"/>
            </w:tcBorders>
            <w:shd w:val="clear" w:color="auto" w:fill="auto"/>
            <w:noWrap/>
            <w:vAlign w:val="center"/>
          </w:tcPr>
          <w:p w14:paraId="62E6C1B0" w14:textId="3ABC8060"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20.10%</w:t>
            </w:r>
          </w:p>
        </w:tc>
        <w:tc>
          <w:tcPr>
            <w:tcW w:w="664" w:type="pct"/>
            <w:tcBorders>
              <w:top w:val="single" w:sz="4" w:space="0" w:color="auto"/>
              <w:left w:val="single" w:sz="4" w:space="0" w:color="FFFFFF" w:themeColor="background1"/>
              <w:bottom w:val="double" w:sz="4" w:space="0" w:color="auto"/>
              <w:right w:val="single" w:sz="4" w:space="0" w:color="auto"/>
            </w:tcBorders>
            <w:shd w:val="clear" w:color="auto" w:fill="auto"/>
            <w:vAlign w:val="center"/>
          </w:tcPr>
          <w:p w14:paraId="7D63DBBF" w14:textId="6C95BDC3"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23.70%</w:t>
            </w:r>
          </w:p>
        </w:tc>
        <w:tc>
          <w:tcPr>
            <w:tcW w:w="662" w:type="pct"/>
            <w:gridSpan w:val="3"/>
            <w:tcBorders>
              <w:top w:val="single" w:sz="4" w:space="0" w:color="auto"/>
              <w:left w:val="single" w:sz="4" w:space="0" w:color="auto"/>
              <w:bottom w:val="double" w:sz="4" w:space="0" w:color="auto"/>
              <w:right w:val="single" w:sz="4" w:space="0" w:color="FFFFFF" w:themeColor="background1"/>
            </w:tcBorders>
            <w:shd w:val="clear" w:color="auto" w:fill="auto"/>
            <w:noWrap/>
            <w:vAlign w:val="center"/>
          </w:tcPr>
          <w:p w14:paraId="13ADCF18" w14:textId="479DC85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26.46%</w:t>
            </w:r>
          </w:p>
        </w:tc>
        <w:tc>
          <w:tcPr>
            <w:tcW w:w="645" w:type="pct"/>
            <w:tcBorders>
              <w:top w:val="single" w:sz="4" w:space="0" w:color="auto"/>
              <w:left w:val="single" w:sz="4" w:space="0" w:color="FFFFFF" w:themeColor="background1"/>
              <w:bottom w:val="double" w:sz="4" w:space="0" w:color="auto"/>
              <w:right w:val="single" w:sz="4" w:space="0" w:color="auto"/>
            </w:tcBorders>
            <w:shd w:val="clear" w:color="auto" w:fill="auto"/>
            <w:vAlign w:val="center"/>
          </w:tcPr>
          <w:p w14:paraId="7AF2200D" w14:textId="0B1B9E08"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27.29%</w:t>
            </w:r>
          </w:p>
        </w:tc>
        <w:tc>
          <w:tcPr>
            <w:tcW w:w="645" w:type="pct"/>
            <w:gridSpan w:val="3"/>
            <w:tcBorders>
              <w:top w:val="single" w:sz="4" w:space="0" w:color="auto"/>
              <w:left w:val="single" w:sz="4" w:space="0" w:color="auto"/>
              <w:bottom w:val="double" w:sz="4" w:space="0" w:color="auto"/>
              <w:right w:val="single" w:sz="4" w:space="0" w:color="FFFFFF" w:themeColor="background1"/>
            </w:tcBorders>
            <w:shd w:val="clear" w:color="auto" w:fill="auto"/>
            <w:noWrap/>
            <w:vAlign w:val="center"/>
          </w:tcPr>
          <w:p w14:paraId="642F2E77" w14:textId="3D8A4603"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12.05%</w:t>
            </w:r>
          </w:p>
        </w:tc>
        <w:tc>
          <w:tcPr>
            <w:tcW w:w="644" w:type="pct"/>
            <w:tcBorders>
              <w:top w:val="single" w:sz="4" w:space="0" w:color="auto"/>
              <w:left w:val="single" w:sz="4" w:space="0" w:color="FFFFFF" w:themeColor="background1"/>
              <w:bottom w:val="double" w:sz="4" w:space="0" w:color="auto"/>
            </w:tcBorders>
            <w:shd w:val="clear" w:color="auto" w:fill="auto"/>
            <w:vAlign w:val="center"/>
          </w:tcPr>
          <w:p w14:paraId="35C481B1" w14:textId="7CACC843"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16.07%</w:t>
            </w:r>
          </w:p>
        </w:tc>
      </w:tr>
      <w:tr w:rsidR="00A700CB" w:rsidRPr="00A20811" w14:paraId="723293E8" w14:textId="77777777" w:rsidTr="002F1DC9">
        <w:trPr>
          <w:trHeight w:val="432"/>
        </w:trPr>
        <w:tc>
          <w:tcPr>
            <w:tcW w:w="5000" w:type="pct"/>
            <w:gridSpan w:val="13"/>
            <w:tcBorders>
              <w:bottom w:val="double" w:sz="4" w:space="0" w:color="auto"/>
            </w:tcBorders>
            <w:shd w:val="clear" w:color="auto" w:fill="auto"/>
            <w:noWrap/>
            <w:vAlign w:val="center"/>
          </w:tcPr>
          <w:p w14:paraId="0DCC5055" w14:textId="77777777" w:rsidR="00A700CB" w:rsidRPr="000A3079" w:rsidRDefault="00A700CB" w:rsidP="00A700CB">
            <w:pPr>
              <w:spacing w:after="0" w:line="240" w:lineRule="auto"/>
              <w:rPr>
                <w:rFonts w:eastAsia="Times New Roman"/>
                <w:color w:val="000000"/>
              </w:rPr>
            </w:pPr>
          </w:p>
        </w:tc>
      </w:tr>
      <w:tr w:rsidR="00A700CB" w:rsidRPr="00A20811" w14:paraId="58C8241C" w14:textId="77777777" w:rsidTr="002F1DC9">
        <w:trPr>
          <w:trHeight w:val="432"/>
        </w:trPr>
        <w:tc>
          <w:tcPr>
            <w:tcW w:w="1058" w:type="pct"/>
            <w:tcBorders>
              <w:top w:val="double" w:sz="4" w:space="0" w:color="auto"/>
              <w:bottom w:val="double" w:sz="4" w:space="0" w:color="auto"/>
              <w:right w:val="double" w:sz="4" w:space="0" w:color="auto"/>
            </w:tcBorders>
            <w:shd w:val="clear" w:color="auto" w:fill="auto"/>
            <w:noWrap/>
            <w:vAlign w:val="center"/>
            <w:hideMark/>
          </w:tcPr>
          <w:p w14:paraId="196132FB" w14:textId="77777777" w:rsidR="00A700CB" w:rsidRPr="000A3079" w:rsidRDefault="00A700CB" w:rsidP="002F1DC9">
            <w:pPr>
              <w:spacing w:after="0" w:line="240" w:lineRule="auto"/>
              <w:jc w:val="center"/>
              <w:rPr>
                <w:rFonts w:eastAsia="Times New Roman"/>
                <w:b/>
                <w:sz w:val="22"/>
                <w:szCs w:val="22"/>
              </w:rPr>
            </w:pPr>
            <w:r w:rsidRPr="00A20811">
              <w:rPr>
                <w:rFonts w:eastAsia="Times New Roman"/>
                <w:b/>
                <w:sz w:val="22"/>
                <w:szCs w:val="22"/>
              </w:rPr>
              <w:t>Market Segment</w:t>
            </w:r>
          </w:p>
        </w:tc>
        <w:tc>
          <w:tcPr>
            <w:tcW w:w="1346" w:type="pct"/>
            <w:gridSpan w:val="4"/>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40ED78DC" w14:textId="77777777" w:rsidR="00A700CB" w:rsidRPr="000A3079" w:rsidRDefault="00A700CB" w:rsidP="00A700CB">
            <w:pPr>
              <w:spacing w:after="0" w:line="240" w:lineRule="auto"/>
              <w:jc w:val="center"/>
              <w:rPr>
                <w:rFonts w:eastAsia="Times New Roman"/>
                <w:b/>
                <w:color w:val="000000"/>
                <w:sz w:val="22"/>
                <w:szCs w:val="22"/>
              </w:rPr>
            </w:pPr>
            <w:r w:rsidRPr="000A3079">
              <w:rPr>
                <w:rFonts w:eastAsia="Times New Roman"/>
                <w:b/>
                <w:color w:val="000000"/>
                <w:sz w:val="22"/>
                <w:szCs w:val="22"/>
              </w:rPr>
              <w:t>Income: Over $100,000</w:t>
            </w:r>
          </w:p>
        </w:tc>
        <w:tc>
          <w:tcPr>
            <w:tcW w:w="1307" w:type="pct"/>
            <w:gridSpan w:val="4"/>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71427A2B" w14:textId="77777777" w:rsidR="00A700CB" w:rsidRPr="000A3079" w:rsidRDefault="00A700CB" w:rsidP="00A700CB">
            <w:pPr>
              <w:spacing w:after="0" w:line="240" w:lineRule="auto"/>
              <w:jc w:val="center"/>
              <w:rPr>
                <w:rFonts w:eastAsia="Times New Roman"/>
                <w:b/>
                <w:color w:val="000000"/>
                <w:sz w:val="22"/>
                <w:szCs w:val="22"/>
              </w:rPr>
            </w:pPr>
            <w:r w:rsidRPr="000A3079">
              <w:rPr>
                <w:rFonts w:eastAsia="Times New Roman"/>
                <w:b/>
                <w:color w:val="000000"/>
                <w:sz w:val="22"/>
                <w:szCs w:val="22"/>
              </w:rPr>
              <w:t>Household structure: No Children</w:t>
            </w:r>
          </w:p>
        </w:tc>
        <w:tc>
          <w:tcPr>
            <w:tcW w:w="1289" w:type="pct"/>
            <w:gridSpan w:val="4"/>
            <w:tcBorders>
              <w:top w:val="double" w:sz="4" w:space="0" w:color="auto"/>
              <w:left w:val="single" w:sz="4" w:space="0" w:color="auto"/>
              <w:bottom w:val="double" w:sz="4" w:space="0" w:color="auto"/>
            </w:tcBorders>
            <w:shd w:val="clear" w:color="auto" w:fill="auto"/>
            <w:noWrap/>
            <w:vAlign w:val="center"/>
            <w:hideMark/>
          </w:tcPr>
          <w:p w14:paraId="1E55B331" w14:textId="77777777" w:rsidR="00A700CB" w:rsidRPr="000A3079" w:rsidRDefault="00A700CB" w:rsidP="00A700CB">
            <w:pPr>
              <w:spacing w:after="0" w:line="240" w:lineRule="auto"/>
              <w:jc w:val="center"/>
              <w:rPr>
                <w:rFonts w:eastAsia="Times New Roman"/>
                <w:b/>
                <w:color w:val="000000"/>
                <w:sz w:val="22"/>
                <w:szCs w:val="22"/>
              </w:rPr>
            </w:pPr>
            <w:r w:rsidRPr="000A3079">
              <w:rPr>
                <w:rFonts w:eastAsia="Times New Roman"/>
                <w:b/>
                <w:color w:val="000000"/>
                <w:sz w:val="22"/>
                <w:szCs w:val="22"/>
              </w:rPr>
              <w:t>Residence: Not Urban</w:t>
            </w:r>
          </w:p>
        </w:tc>
      </w:tr>
      <w:tr w:rsidR="00A700CB" w:rsidRPr="00A20811" w14:paraId="2D56CEF6" w14:textId="77777777" w:rsidTr="002F1DC9">
        <w:trPr>
          <w:trHeight w:val="432"/>
        </w:trPr>
        <w:tc>
          <w:tcPr>
            <w:tcW w:w="1058" w:type="pct"/>
            <w:tcBorders>
              <w:top w:val="double" w:sz="4" w:space="0" w:color="auto"/>
              <w:bottom w:val="double" w:sz="4" w:space="0" w:color="auto"/>
              <w:right w:val="double" w:sz="4" w:space="0" w:color="auto"/>
            </w:tcBorders>
            <w:shd w:val="clear" w:color="auto" w:fill="auto"/>
            <w:noWrap/>
            <w:vAlign w:val="center"/>
          </w:tcPr>
          <w:p w14:paraId="111E20B0" w14:textId="77777777" w:rsidR="00A700CB" w:rsidRPr="000A3079" w:rsidRDefault="00A700CB" w:rsidP="002F1DC9">
            <w:pPr>
              <w:spacing w:after="0" w:line="240" w:lineRule="auto"/>
              <w:jc w:val="center"/>
              <w:rPr>
                <w:rFonts w:eastAsia="Times New Roman"/>
                <w:b/>
                <w:color w:val="000000"/>
                <w:sz w:val="22"/>
                <w:szCs w:val="22"/>
              </w:rPr>
            </w:pPr>
            <w:r w:rsidRPr="00A20811">
              <w:rPr>
                <w:rFonts w:eastAsia="Times New Roman"/>
                <w:b/>
                <w:color w:val="000000"/>
                <w:sz w:val="22"/>
                <w:szCs w:val="22"/>
              </w:rPr>
              <w:t>Measures of Fit</w:t>
            </w:r>
          </w:p>
        </w:tc>
        <w:tc>
          <w:tcPr>
            <w:tcW w:w="648" w:type="pct"/>
            <w:tcBorders>
              <w:top w:val="double" w:sz="4" w:space="0" w:color="auto"/>
              <w:left w:val="double" w:sz="4" w:space="0" w:color="auto"/>
              <w:bottom w:val="double" w:sz="4" w:space="0" w:color="auto"/>
            </w:tcBorders>
            <w:shd w:val="clear" w:color="auto" w:fill="auto"/>
            <w:noWrap/>
            <w:vAlign w:val="center"/>
            <w:hideMark/>
          </w:tcPr>
          <w:p w14:paraId="4BD8C399" w14:textId="77777777" w:rsidR="00A700CB" w:rsidRPr="000A3079" w:rsidRDefault="00A700CB" w:rsidP="00A700CB">
            <w:pPr>
              <w:spacing w:after="0" w:line="240" w:lineRule="auto"/>
              <w:jc w:val="center"/>
              <w:rPr>
                <w:rFonts w:eastAsia="Times New Roman"/>
                <w:b/>
                <w:color w:val="000000"/>
                <w:sz w:val="22"/>
                <w:szCs w:val="22"/>
              </w:rPr>
            </w:pPr>
            <w:r w:rsidRPr="000A3079">
              <w:rPr>
                <w:rFonts w:eastAsia="Times New Roman"/>
                <w:b/>
                <w:color w:val="000000"/>
                <w:sz w:val="22"/>
                <w:szCs w:val="22"/>
              </w:rPr>
              <w:t>Joint Model</w:t>
            </w:r>
          </w:p>
        </w:tc>
        <w:tc>
          <w:tcPr>
            <w:tcW w:w="698" w:type="pct"/>
            <w:gridSpan w:val="3"/>
            <w:tcBorders>
              <w:top w:val="double" w:sz="4" w:space="0" w:color="auto"/>
              <w:bottom w:val="double" w:sz="4" w:space="0" w:color="auto"/>
              <w:right w:val="single" w:sz="4" w:space="0" w:color="auto"/>
            </w:tcBorders>
            <w:shd w:val="clear" w:color="auto" w:fill="auto"/>
            <w:noWrap/>
            <w:vAlign w:val="center"/>
            <w:hideMark/>
          </w:tcPr>
          <w:p w14:paraId="55D49F3F" w14:textId="77777777" w:rsidR="00A700CB" w:rsidRPr="000A3079" w:rsidRDefault="00A700CB" w:rsidP="00A700CB">
            <w:pPr>
              <w:spacing w:after="0" w:line="240" w:lineRule="auto"/>
              <w:jc w:val="center"/>
              <w:rPr>
                <w:rFonts w:eastAsia="Times New Roman"/>
                <w:b/>
                <w:color w:val="000000"/>
                <w:sz w:val="22"/>
                <w:szCs w:val="22"/>
              </w:rPr>
            </w:pPr>
            <w:r w:rsidRPr="000A3079">
              <w:rPr>
                <w:rFonts w:eastAsia="Times New Roman"/>
                <w:b/>
                <w:color w:val="000000"/>
                <w:sz w:val="22"/>
                <w:szCs w:val="22"/>
              </w:rPr>
              <w:t>Independent Model</w:t>
            </w:r>
          </w:p>
        </w:tc>
        <w:tc>
          <w:tcPr>
            <w:tcW w:w="597" w:type="pct"/>
            <w:tcBorders>
              <w:top w:val="double" w:sz="4" w:space="0" w:color="auto"/>
              <w:left w:val="single" w:sz="4" w:space="0" w:color="auto"/>
              <w:bottom w:val="double" w:sz="4" w:space="0" w:color="auto"/>
            </w:tcBorders>
            <w:shd w:val="clear" w:color="auto" w:fill="auto"/>
            <w:noWrap/>
            <w:vAlign w:val="center"/>
            <w:hideMark/>
          </w:tcPr>
          <w:p w14:paraId="58EE057C" w14:textId="77777777" w:rsidR="00A700CB" w:rsidRPr="000A3079" w:rsidRDefault="00A700CB" w:rsidP="00A700CB">
            <w:pPr>
              <w:spacing w:after="0" w:line="240" w:lineRule="auto"/>
              <w:jc w:val="center"/>
              <w:rPr>
                <w:rFonts w:eastAsia="Times New Roman"/>
                <w:b/>
                <w:color w:val="000000"/>
                <w:sz w:val="22"/>
                <w:szCs w:val="22"/>
              </w:rPr>
            </w:pPr>
            <w:r w:rsidRPr="000A3079">
              <w:rPr>
                <w:rFonts w:eastAsia="Times New Roman"/>
                <w:b/>
                <w:color w:val="000000"/>
                <w:sz w:val="22"/>
                <w:szCs w:val="22"/>
              </w:rPr>
              <w:t>Joint Model</w:t>
            </w:r>
          </w:p>
        </w:tc>
        <w:tc>
          <w:tcPr>
            <w:tcW w:w="710" w:type="pct"/>
            <w:gridSpan w:val="3"/>
            <w:tcBorders>
              <w:top w:val="double" w:sz="4" w:space="0" w:color="auto"/>
              <w:bottom w:val="double" w:sz="4" w:space="0" w:color="auto"/>
              <w:right w:val="single" w:sz="4" w:space="0" w:color="auto"/>
            </w:tcBorders>
            <w:shd w:val="clear" w:color="auto" w:fill="auto"/>
            <w:noWrap/>
            <w:vAlign w:val="center"/>
            <w:hideMark/>
          </w:tcPr>
          <w:p w14:paraId="3E553878" w14:textId="77777777" w:rsidR="00A700CB" w:rsidRPr="000A3079" w:rsidRDefault="00A700CB" w:rsidP="00A700CB">
            <w:pPr>
              <w:spacing w:after="0" w:line="240" w:lineRule="auto"/>
              <w:jc w:val="center"/>
              <w:rPr>
                <w:rFonts w:eastAsia="Times New Roman"/>
                <w:b/>
                <w:color w:val="000000"/>
                <w:sz w:val="22"/>
                <w:szCs w:val="22"/>
              </w:rPr>
            </w:pPr>
            <w:r w:rsidRPr="000A3079">
              <w:rPr>
                <w:rFonts w:eastAsia="Times New Roman"/>
                <w:b/>
                <w:color w:val="000000"/>
                <w:sz w:val="22"/>
                <w:szCs w:val="22"/>
              </w:rPr>
              <w:t>Independent Model</w:t>
            </w:r>
          </w:p>
        </w:tc>
        <w:tc>
          <w:tcPr>
            <w:tcW w:w="587" w:type="pct"/>
            <w:tcBorders>
              <w:top w:val="double" w:sz="4" w:space="0" w:color="auto"/>
              <w:left w:val="single" w:sz="4" w:space="0" w:color="auto"/>
              <w:bottom w:val="double" w:sz="4" w:space="0" w:color="auto"/>
            </w:tcBorders>
            <w:shd w:val="clear" w:color="auto" w:fill="auto"/>
            <w:noWrap/>
            <w:vAlign w:val="center"/>
            <w:hideMark/>
          </w:tcPr>
          <w:p w14:paraId="666425F0" w14:textId="77777777" w:rsidR="00A700CB" w:rsidRPr="000A3079" w:rsidRDefault="00A700CB" w:rsidP="00A700CB">
            <w:pPr>
              <w:spacing w:after="0" w:line="240" w:lineRule="auto"/>
              <w:jc w:val="center"/>
              <w:rPr>
                <w:rFonts w:eastAsia="Times New Roman"/>
                <w:b/>
                <w:color w:val="000000"/>
                <w:sz w:val="22"/>
                <w:szCs w:val="22"/>
              </w:rPr>
            </w:pPr>
            <w:r w:rsidRPr="000A3079">
              <w:rPr>
                <w:rFonts w:eastAsia="Times New Roman"/>
                <w:b/>
                <w:color w:val="000000"/>
                <w:sz w:val="22"/>
                <w:szCs w:val="22"/>
              </w:rPr>
              <w:t>Joint Model</w:t>
            </w:r>
          </w:p>
        </w:tc>
        <w:tc>
          <w:tcPr>
            <w:tcW w:w="702" w:type="pct"/>
            <w:gridSpan w:val="3"/>
            <w:tcBorders>
              <w:top w:val="double" w:sz="4" w:space="0" w:color="auto"/>
              <w:bottom w:val="double" w:sz="4" w:space="0" w:color="auto"/>
            </w:tcBorders>
            <w:shd w:val="clear" w:color="auto" w:fill="auto"/>
            <w:noWrap/>
            <w:vAlign w:val="center"/>
            <w:hideMark/>
          </w:tcPr>
          <w:p w14:paraId="2B1059EE" w14:textId="77777777" w:rsidR="00A700CB" w:rsidRPr="000A3079" w:rsidRDefault="00A700CB" w:rsidP="00A700CB">
            <w:pPr>
              <w:spacing w:after="0" w:line="240" w:lineRule="auto"/>
              <w:jc w:val="center"/>
              <w:rPr>
                <w:rFonts w:eastAsia="Times New Roman"/>
                <w:b/>
                <w:color w:val="000000"/>
                <w:sz w:val="22"/>
                <w:szCs w:val="22"/>
              </w:rPr>
            </w:pPr>
            <w:r w:rsidRPr="000A3079">
              <w:rPr>
                <w:rFonts w:eastAsia="Times New Roman"/>
                <w:b/>
                <w:color w:val="000000"/>
                <w:sz w:val="22"/>
                <w:szCs w:val="22"/>
              </w:rPr>
              <w:t>Independent Model</w:t>
            </w:r>
          </w:p>
        </w:tc>
      </w:tr>
      <w:tr w:rsidR="00A700CB" w:rsidRPr="00A20811" w14:paraId="5EEC37C5" w14:textId="77777777" w:rsidTr="002F1DC9">
        <w:trPr>
          <w:trHeight w:val="432"/>
        </w:trPr>
        <w:tc>
          <w:tcPr>
            <w:tcW w:w="1058" w:type="pct"/>
            <w:tcBorders>
              <w:top w:val="single" w:sz="4" w:space="0" w:color="auto"/>
              <w:bottom w:val="single" w:sz="4" w:space="0" w:color="auto"/>
              <w:right w:val="double" w:sz="4" w:space="0" w:color="auto"/>
            </w:tcBorders>
            <w:shd w:val="clear" w:color="auto" w:fill="auto"/>
            <w:noWrap/>
            <w:vAlign w:val="center"/>
          </w:tcPr>
          <w:p w14:paraId="78F3EA68" w14:textId="649AF2FD" w:rsidR="00A700CB" w:rsidRPr="000A3079" w:rsidRDefault="00A700CB" w:rsidP="00A700CB">
            <w:pPr>
              <w:spacing w:after="0" w:line="240" w:lineRule="auto"/>
              <w:rPr>
                <w:rFonts w:eastAsia="Times New Roman"/>
                <w:b/>
                <w:color w:val="000000"/>
                <w:sz w:val="22"/>
                <w:szCs w:val="22"/>
              </w:rPr>
            </w:pPr>
            <w:r w:rsidRPr="000A3079">
              <w:rPr>
                <w:rFonts w:eastAsia="Times New Roman"/>
                <w:b/>
                <w:color w:val="000000"/>
                <w:sz w:val="22"/>
                <w:szCs w:val="22"/>
              </w:rPr>
              <w:t xml:space="preserve">Number of </w:t>
            </w:r>
            <w:r>
              <w:rPr>
                <w:rFonts w:eastAsia="Times New Roman"/>
                <w:b/>
                <w:color w:val="000000"/>
                <w:sz w:val="22"/>
                <w:szCs w:val="22"/>
              </w:rPr>
              <w:t>o</w:t>
            </w:r>
            <w:r w:rsidRPr="000A3079">
              <w:rPr>
                <w:rFonts w:eastAsia="Times New Roman"/>
                <w:b/>
                <w:color w:val="000000"/>
                <w:sz w:val="22"/>
                <w:szCs w:val="22"/>
              </w:rPr>
              <w:t>bservations</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074A1B9"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649</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56D1F7B"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679</w:t>
            </w:r>
          </w:p>
        </w:tc>
        <w:tc>
          <w:tcPr>
            <w:tcW w:w="1289" w:type="pct"/>
            <w:gridSpan w:val="4"/>
            <w:tcBorders>
              <w:top w:val="single" w:sz="4" w:space="0" w:color="auto"/>
              <w:left w:val="single" w:sz="4" w:space="0" w:color="auto"/>
            </w:tcBorders>
            <w:shd w:val="clear" w:color="auto" w:fill="auto"/>
            <w:noWrap/>
            <w:vAlign w:val="center"/>
          </w:tcPr>
          <w:p w14:paraId="565D9364"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836</w:t>
            </w:r>
          </w:p>
        </w:tc>
      </w:tr>
      <w:tr w:rsidR="00A700CB" w:rsidRPr="00A20811" w14:paraId="130BE307" w14:textId="77777777" w:rsidTr="002F1DC9">
        <w:trPr>
          <w:trHeight w:val="432"/>
        </w:trPr>
        <w:tc>
          <w:tcPr>
            <w:tcW w:w="1058" w:type="pct"/>
            <w:tcBorders>
              <w:top w:val="single" w:sz="4" w:space="0" w:color="auto"/>
              <w:bottom w:val="single" w:sz="4" w:space="0" w:color="auto"/>
              <w:right w:val="double" w:sz="4" w:space="0" w:color="auto"/>
            </w:tcBorders>
            <w:shd w:val="clear" w:color="auto" w:fill="auto"/>
            <w:noWrap/>
            <w:vAlign w:val="center"/>
          </w:tcPr>
          <w:p w14:paraId="2724759B" w14:textId="77777777" w:rsidR="00A700CB" w:rsidRPr="000A3079" w:rsidRDefault="00A700CB" w:rsidP="00A700CB">
            <w:pPr>
              <w:spacing w:after="0" w:line="240" w:lineRule="auto"/>
              <w:rPr>
                <w:rFonts w:eastAsia="Times New Roman"/>
                <w:b/>
                <w:color w:val="000000"/>
                <w:sz w:val="22"/>
                <w:szCs w:val="22"/>
              </w:rPr>
            </w:pPr>
            <w:r w:rsidRPr="000A3079">
              <w:rPr>
                <w:rFonts w:eastAsia="Times New Roman"/>
                <w:b/>
                <w:color w:val="000000"/>
                <w:sz w:val="22"/>
                <w:szCs w:val="22"/>
              </w:rPr>
              <w:t>Mean log-likelihood</w:t>
            </w:r>
          </w:p>
        </w:tc>
        <w:tc>
          <w:tcPr>
            <w:tcW w:w="648" w:type="pct"/>
            <w:tcBorders>
              <w:top w:val="single" w:sz="4" w:space="0" w:color="auto"/>
              <w:left w:val="double" w:sz="4" w:space="0" w:color="auto"/>
              <w:bottom w:val="single" w:sz="4" w:space="0" w:color="auto"/>
            </w:tcBorders>
            <w:shd w:val="clear" w:color="auto" w:fill="auto"/>
            <w:noWrap/>
            <w:vAlign w:val="center"/>
            <w:hideMark/>
          </w:tcPr>
          <w:p w14:paraId="3CC08A82"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-3020.14</w:t>
            </w:r>
          </w:p>
        </w:tc>
        <w:tc>
          <w:tcPr>
            <w:tcW w:w="698" w:type="pct"/>
            <w:gridSpan w:val="3"/>
            <w:tcBorders>
              <w:top w:val="single" w:sz="4" w:space="0" w:color="auto"/>
              <w:bottom w:val="single" w:sz="4" w:space="0" w:color="auto"/>
              <w:right w:val="single" w:sz="4" w:space="0" w:color="auto"/>
            </w:tcBorders>
            <w:shd w:val="clear" w:color="auto" w:fill="auto"/>
            <w:noWrap/>
            <w:vAlign w:val="center"/>
            <w:hideMark/>
          </w:tcPr>
          <w:p w14:paraId="418E76D7"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-3035.35</w:t>
            </w:r>
          </w:p>
        </w:tc>
        <w:tc>
          <w:tcPr>
            <w:tcW w:w="597" w:type="pct"/>
            <w:tcBorders>
              <w:top w:val="single" w:sz="4" w:space="0" w:color="auto"/>
              <w:left w:val="single" w:sz="4" w:space="0" w:color="auto"/>
              <w:bottom w:val="single" w:sz="4" w:space="0" w:color="auto"/>
            </w:tcBorders>
            <w:shd w:val="clear" w:color="auto" w:fill="auto"/>
            <w:noWrap/>
            <w:vAlign w:val="center"/>
          </w:tcPr>
          <w:p w14:paraId="1171F93D"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-2997.94</w:t>
            </w:r>
          </w:p>
        </w:tc>
        <w:tc>
          <w:tcPr>
            <w:tcW w:w="710" w:type="pct"/>
            <w:gridSpan w:val="3"/>
            <w:tcBorders>
              <w:top w:val="single" w:sz="4" w:space="0" w:color="auto"/>
              <w:bottom w:val="single" w:sz="4" w:space="0" w:color="auto"/>
              <w:right w:val="single" w:sz="4" w:space="0" w:color="auto"/>
            </w:tcBorders>
            <w:shd w:val="clear" w:color="auto" w:fill="auto"/>
            <w:noWrap/>
            <w:vAlign w:val="center"/>
          </w:tcPr>
          <w:p w14:paraId="5C73588C" w14:textId="77777777" w:rsidR="00A700CB" w:rsidRPr="000A3079" w:rsidRDefault="00A700CB" w:rsidP="00A700CB">
            <w:pPr>
              <w:spacing w:after="0" w:line="240" w:lineRule="auto"/>
              <w:jc w:val="center"/>
              <w:rPr>
                <w:rFonts w:eastAsia="Times New Roman"/>
                <w:color w:val="000000"/>
                <w:sz w:val="22"/>
                <w:szCs w:val="22"/>
              </w:rPr>
            </w:pPr>
            <w:r w:rsidRPr="00691F60">
              <w:rPr>
                <w:rFonts w:eastAsia="Times New Roman"/>
                <w:color w:val="000000"/>
              </w:rPr>
              <w:t>-3009.</w:t>
            </w:r>
            <w:r>
              <w:rPr>
                <w:rFonts w:eastAsia="Times New Roman"/>
                <w:color w:val="000000"/>
              </w:rPr>
              <w:t>30</w:t>
            </w:r>
          </w:p>
        </w:tc>
        <w:tc>
          <w:tcPr>
            <w:tcW w:w="587" w:type="pct"/>
            <w:tcBorders>
              <w:top w:val="single" w:sz="4" w:space="0" w:color="auto"/>
              <w:left w:val="single" w:sz="4" w:space="0" w:color="auto"/>
              <w:bottom w:val="single" w:sz="4" w:space="0" w:color="auto"/>
            </w:tcBorders>
            <w:shd w:val="clear" w:color="auto" w:fill="auto"/>
            <w:noWrap/>
            <w:vAlign w:val="center"/>
          </w:tcPr>
          <w:p w14:paraId="5018E653"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-3658.76</w:t>
            </w:r>
          </w:p>
        </w:tc>
        <w:tc>
          <w:tcPr>
            <w:tcW w:w="702" w:type="pct"/>
            <w:gridSpan w:val="3"/>
            <w:tcBorders>
              <w:top w:val="single" w:sz="4" w:space="0" w:color="auto"/>
              <w:bottom w:val="single" w:sz="4" w:space="0" w:color="auto"/>
            </w:tcBorders>
            <w:shd w:val="clear" w:color="auto" w:fill="auto"/>
            <w:noWrap/>
            <w:vAlign w:val="center"/>
          </w:tcPr>
          <w:p w14:paraId="6648D478"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-3676.7</w:t>
            </w:r>
            <w:r w:rsidRPr="00A20811">
              <w:rPr>
                <w:rFonts w:eastAsia="Times New Roman"/>
                <w:color w:val="000000"/>
                <w:sz w:val="22"/>
                <w:szCs w:val="22"/>
              </w:rPr>
              <w:t>2</w:t>
            </w:r>
          </w:p>
        </w:tc>
      </w:tr>
      <w:tr w:rsidR="00A700CB" w:rsidRPr="00A20811" w14:paraId="5E9538CA" w14:textId="77777777" w:rsidTr="002F1DC9">
        <w:trPr>
          <w:trHeight w:val="432"/>
        </w:trPr>
        <w:tc>
          <w:tcPr>
            <w:tcW w:w="1058" w:type="pct"/>
            <w:tcBorders>
              <w:top w:val="single" w:sz="4" w:space="0" w:color="auto"/>
              <w:bottom w:val="single" w:sz="4" w:space="0" w:color="auto"/>
              <w:right w:val="double" w:sz="4" w:space="0" w:color="auto"/>
            </w:tcBorders>
            <w:shd w:val="clear" w:color="auto" w:fill="auto"/>
            <w:noWrap/>
            <w:vAlign w:val="center"/>
            <w:hideMark/>
          </w:tcPr>
          <w:p w14:paraId="4A113871" w14:textId="5021B8DA" w:rsidR="00A700CB" w:rsidRPr="000A3079" w:rsidRDefault="00A700CB" w:rsidP="00A700CB">
            <w:pPr>
              <w:spacing w:after="0" w:line="240" w:lineRule="auto"/>
              <w:rPr>
                <w:rFonts w:eastAsia="Times New Roman"/>
                <w:b/>
                <w:color w:val="000000"/>
                <w:sz w:val="22"/>
                <w:szCs w:val="22"/>
              </w:rPr>
            </w:pPr>
            <w:r>
              <w:rPr>
                <w:rFonts w:eastAsia="Times New Roman"/>
                <w:b/>
                <w:color w:val="000000"/>
                <w:sz w:val="22"/>
                <w:szCs w:val="22"/>
              </w:rPr>
              <w:t>Informal p</w:t>
            </w:r>
            <w:r w:rsidRPr="000A3079">
              <w:rPr>
                <w:rFonts w:eastAsia="Times New Roman"/>
                <w:b/>
                <w:color w:val="000000"/>
                <w:sz w:val="22"/>
                <w:szCs w:val="22"/>
              </w:rPr>
              <w:t>redictive likelihood ratio test</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1AF2A09"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30.42</w:t>
            </w:r>
            <w:r>
              <w:rPr>
                <w:rFonts w:eastAsia="Times New Roman"/>
                <w:color w:val="000000"/>
              </w:rPr>
              <w:t xml:space="preserve"> </w:t>
            </w:r>
            <w:r w:rsidRPr="000E1B51">
              <w:rPr>
                <w:sz w:val="23"/>
                <w:szCs w:val="23"/>
              </w:rPr>
              <w:t xml:space="preserve">&gt; </w:t>
            </w:r>
            <m:oMath>
              <m:sSubSup>
                <m:sSubSupPr>
                  <m:ctrlPr>
                    <w:rPr>
                      <w:rFonts w:ascii="Cambria Math" w:hAnsi="Cambria Math"/>
                      <w:i/>
                      <w:sz w:val="22"/>
                      <w:szCs w:val="23"/>
                    </w:rPr>
                  </m:ctrlPr>
                </m:sSubSupPr>
                <m:e>
                  <m:r>
                    <w:rPr>
                      <w:rFonts w:ascii="Cambria Math" w:hAnsi="Cambria Math"/>
                      <w:sz w:val="22"/>
                      <w:szCs w:val="23"/>
                    </w:rPr>
                    <m:t>χ</m:t>
                  </m:r>
                </m:e>
                <m:sub>
                  <m:r>
                    <w:rPr>
                      <w:rFonts w:ascii="Cambria Math" w:hAnsi="Cambria Math"/>
                      <w:sz w:val="22"/>
                      <w:szCs w:val="23"/>
                    </w:rPr>
                    <m:t>(10,0.05)</m:t>
                  </m:r>
                </m:sub>
                <m:sup>
                  <m:r>
                    <w:rPr>
                      <w:rFonts w:ascii="Cambria Math" w:hAnsi="Cambria Math"/>
                      <w:sz w:val="22"/>
                      <w:szCs w:val="23"/>
                    </w:rPr>
                    <m:t>2</m:t>
                  </m:r>
                </m:sup>
              </m:sSubSup>
            </m:oMath>
            <w:r>
              <w:rPr>
                <w:rFonts w:eastAsiaTheme="minorEastAsia"/>
                <w:sz w:val="23"/>
                <w:szCs w:val="23"/>
              </w:rPr>
              <w:t>=</w:t>
            </w:r>
            <w:r w:rsidRPr="00A20811">
              <w:rPr>
                <w:rFonts w:eastAsiaTheme="minorEastAsia"/>
                <w:sz w:val="22"/>
                <w:szCs w:val="23"/>
              </w:rPr>
              <w:t>18.36</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7EC4CBA" w14:textId="77777777" w:rsidR="00A700CB" w:rsidRPr="000A3079" w:rsidRDefault="00A700CB" w:rsidP="00A700CB">
            <w:pPr>
              <w:spacing w:after="0" w:line="240" w:lineRule="auto"/>
              <w:jc w:val="center"/>
              <w:rPr>
                <w:rFonts w:eastAsia="Times New Roman"/>
                <w:color w:val="000000"/>
                <w:sz w:val="22"/>
                <w:szCs w:val="22"/>
              </w:rPr>
            </w:pPr>
            <w:r>
              <w:rPr>
                <w:rFonts w:eastAsia="Times New Roman"/>
                <w:color w:val="000000"/>
              </w:rPr>
              <w:t xml:space="preserve">22.71 </w:t>
            </w:r>
            <w:r w:rsidRPr="000E1B51">
              <w:rPr>
                <w:sz w:val="23"/>
                <w:szCs w:val="23"/>
              </w:rPr>
              <w:t xml:space="preserve">&gt; </w:t>
            </w:r>
            <m:oMath>
              <m:sSubSup>
                <m:sSubSupPr>
                  <m:ctrlPr>
                    <w:rPr>
                      <w:rFonts w:ascii="Cambria Math" w:hAnsi="Cambria Math"/>
                      <w:i/>
                      <w:sz w:val="22"/>
                      <w:szCs w:val="23"/>
                    </w:rPr>
                  </m:ctrlPr>
                </m:sSubSupPr>
                <m:e>
                  <m:r>
                    <w:rPr>
                      <w:rFonts w:ascii="Cambria Math" w:hAnsi="Cambria Math"/>
                      <w:sz w:val="22"/>
                      <w:szCs w:val="23"/>
                    </w:rPr>
                    <m:t>χ</m:t>
                  </m:r>
                </m:e>
                <m:sub>
                  <m:r>
                    <w:rPr>
                      <w:rFonts w:ascii="Cambria Math" w:hAnsi="Cambria Math"/>
                      <w:sz w:val="22"/>
                      <w:szCs w:val="23"/>
                    </w:rPr>
                    <m:t>(10,0.05)</m:t>
                  </m:r>
                </m:sub>
                <m:sup>
                  <m:r>
                    <w:rPr>
                      <w:rFonts w:ascii="Cambria Math" w:hAnsi="Cambria Math"/>
                      <w:sz w:val="22"/>
                      <w:szCs w:val="23"/>
                    </w:rPr>
                    <m:t>2</m:t>
                  </m:r>
                </m:sup>
              </m:sSubSup>
            </m:oMath>
            <w:r>
              <w:rPr>
                <w:rFonts w:eastAsiaTheme="minorEastAsia"/>
                <w:sz w:val="23"/>
                <w:szCs w:val="23"/>
              </w:rPr>
              <w:t>=</w:t>
            </w:r>
            <w:r w:rsidRPr="00A20811">
              <w:rPr>
                <w:rFonts w:eastAsiaTheme="minorEastAsia"/>
                <w:sz w:val="22"/>
                <w:szCs w:val="23"/>
              </w:rPr>
              <w:t>18.36</w:t>
            </w:r>
          </w:p>
        </w:tc>
        <w:tc>
          <w:tcPr>
            <w:tcW w:w="1289" w:type="pct"/>
            <w:gridSpan w:val="4"/>
            <w:tcBorders>
              <w:top w:val="single" w:sz="4" w:space="0" w:color="auto"/>
              <w:left w:val="single" w:sz="4" w:space="0" w:color="auto"/>
              <w:bottom w:val="single" w:sz="4" w:space="0" w:color="auto"/>
            </w:tcBorders>
            <w:shd w:val="clear" w:color="auto" w:fill="auto"/>
            <w:noWrap/>
            <w:vAlign w:val="center"/>
          </w:tcPr>
          <w:p w14:paraId="0F482A8E" w14:textId="77777777" w:rsidR="00A700CB" w:rsidRPr="000A3079" w:rsidRDefault="00A700CB" w:rsidP="00A700CB">
            <w:pPr>
              <w:spacing w:after="0" w:line="240" w:lineRule="auto"/>
              <w:jc w:val="center"/>
              <w:rPr>
                <w:rFonts w:eastAsia="Times New Roman"/>
                <w:color w:val="000000"/>
                <w:sz w:val="22"/>
                <w:szCs w:val="22"/>
              </w:rPr>
            </w:pPr>
            <w:r w:rsidRPr="000A3079">
              <w:rPr>
                <w:rFonts w:eastAsia="Times New Roman"/>
                <w:color w:val="000000"/>
                <w:sz w:val="22"/>
                <w:szCs w:val="22"/>
              </w:rPr>
              <w:t>35.91</w:t>
            </w:r>
            <w:r>
              <w:rPr>
                <w:rFonts w:eastAsia="Times New Roman"/>
                <w:color w:val="000000"/>
              </w:rPr>
              <w:t xml:space="preserve"> </w:t>
            </w:r>
            <w:r w:rsidRPr="000E1B51">
              <w:rPr>
                <w:sz w:val="23"/>
                <w:szCs w:val="23"/>
              </w:rPr>
              <w:t xml:space="preserve">&gt; </w:t>
            </w:r>
            <m:oMath>
              <m:sSubSup>
                <m:sSubSupPr>
                  <m:ctrlPr>
                    <w:rPr>
                      <w:rFonts w:ascii="Cambria Math" w:hAnsi="Cambria Math"/>
                      <w:i/>
                      <w:sz w:val="22"/>
                      <w:szCs w:val="23"/>
                    </w:rPr>
                  </m:ctrlPr>
                </m:sSubSupPr>
                <m:e>
                  <m:r>
                    <w:rPr>
                      <w:rFonts w:ascii="Cambria Math" w:hAnsi="Cambria Math"/>
                      <w:sz w:val="22"/>
                      <w:szCs w:val="23"/>
                    </w:rPr>
                    <m:t>χ</m:t>
                  </m:r>
                </m:e>
                <m:sub>
                  <m:r>
                    <w:rPr>
                      <w:rFonts w:ascii="Cambria Math" w:hAnsi="Cambria Math"/>
                      <w:sz w:val="22"/>
                      <w:szCs w:val="23"/>
                    </w:rPr>
                    <m:t>(10,0.05)</m:t>
                  </m:r>
                </m:sub>
                <m:sup>
                  <m:r>
                    <w:rPr>
                      <w:rFonts w:ascii="Cambria Math" w:hAnsi="Cambria Math"/>
                      <w:sz w:val="22"/>
                      <w:szCs w:val="23"/>
                    </w:rPr>
                    <m:t>2</m:t>
                  </m:r>
                </m:sup>
              </m:sSubSup>
            </m:oMath>
            <w:r>
              <w:rPr>
                <w:rFonts w:eastAsiaTheme="minorEastAsia"/>
                <w:sz w:val="23"/>
                <w:szCs w:val="23"/>
              </w:rPr>
              <w:t>=</w:t>
            </w:r>
            <w:r w:rsidRPr="00A20811">
              <w:rPr>
                <w:rFonts w:eastAsiaTheme="minorEastAsia"/>
                <w:sz w:val="22"/>
                <w:szCs w:val="23"/>
              </w:rPr>
              <w:t>18.36</w:t>
            </w:r>
          </w:p>
        </w:tc>
      </w:tr>
      <w:tr w:rsidR="00A700CB" w:rsidRPr="00A20811" w14:paraId="04AF5320" w14:textId="77777777" w:rsidTr="002F1DC9">
        <w:trPr>
          <w:trHeight w:val="432"/>
        </w:trPr>
        <w:tc>
          <w:tcPr>
            <w:tcW w:w="1058" w:type="pct"/>
            <w:tcBorders>
              <w:top w:val="single" w:sz="4" w:space="0" w:color="auto"/>
              <w:bottom w:val="double" w:sz="4" w:space="0" w:color="auto"/>
              <w:right w:val="double" w:sz="4" w:space="0" w:color="auto"/>
            </w:tcBorders>
            <w:shd w:val="clear" w:color="auto" w:fill="auto"/>
            <w:noWrap/>
            <w:vAlign w:val="center"/>
          </w:tcPr>
          <w:p w14:paraId="439FC7CE" w14:textId="47094C67" w:rsidR="00A700CB" w:rsidRDefault="00A700CB" w:rsidP="00A700CB">
            <w:pPr>
              <w:spacing w:after="0" w:line="240" w:lineRule="auto"/>
              <w:rPr>
                <w:rFonts w:eastAsia="Times New Roman"/>
                <w:b/>
                <w:color w:val="000000"/>
                <w:sz w:val="22"/>
                <w:szCs w:val="22"/>
              </w:rPr>
            </w:pPr>
            <w:r w:rsidRPr="000A3079">
              <w:rPr>
                <w:rFonts w:eastAsia="Times New Roman"/>
                <w:b/>
                <w:color w:val="000000"/>
                <w:sz w:val="22"/>
                <w:szCs w:val="22"/>
              </w:rPr>
              <w:t>WAPE</w:t>
            </w:r>
          </w:p>
        </w:tc>
        <w:tc>
          <w:tcPr>
            <w:tcW w:w="657" w:type="pct"/>
            <w:gridSpan w:val="2"/>
            <w:tcBorders>
              <w:top w:val="single" w:sz="4" w:space="0" w:color="auto"/>
              <w:left w:val="double" w:sz="4" w:space="0" w:color="auto"/>
              <w:right w:val="single" w:sz="4" w:space="0" w:color="FFFFFF" w:themeColor="background1"/>
            </w:tcBorders>
            <w:shd w:val="clear" w:color="auto" w:fill="auto"/>
            <w:noWrap/>
            <w:vAlign w:val="center"/>
          </w:tcPr>
          <w:p w14:paraId="74C5D9A1" w14:textId="4AC4DDD7" w:rsidR="00A700CB" w:rsidRPr="000A3079" w:rsidRDefault="00A700CB" w:rsidP="00A700CB">
            <w:pPr>
              <w:spacing w:after="0" w:line="240" w:lineRule="auto"/>
              <w:jc w:val="center"/>
              <w:rPr>
                <w:rFonts w:eastAsia="Times New Roman"/>
                <w:color w:val="000000"/>
                <w:sz w:val="22"/>
                <w:szCs w:val="22"/>
              </w:rPr>
            </w:pPr>
            <w:r w:rsidRPr="00A20811">
              <w:rPr>
                <w:color w:val="000000"/>
                <w:sz w:val="22"/>
                <w:szCs w:val="22"/>
              </w:rPr>
              <w:t>18.03%</w:t>
            </w:r>
          </w:p>
        </w:tc>
        <w:tc>
          <w:tcPr>
            <w:tcW w:w="689" w:type="pct"/>
            <w:gridSpan w:val="2"/>
            <w:tcBorders>
              <w:top w:val="single" w:sz="4" w:space="0" w:color="auto"/>
              <w:left w:val="single" w:sz="4" w:space="0" w:color="FFFFFF" w:themeColor="background1"/>
              <w:right w:val="single" w:sz="4" w:space="0" w:color="000000" w:themeColor="text1"/>
            </w:tcBorders>
            <w:shd w:val="clear" w:color="auto" w:fill="auto"/>
            <w:vAlign w:val="center"/>
          </w:tcPr>
          <w:p w14:paraId="653AF71D" w14:textId="7D7F5373" w:rsidR="00A700CB" w:rsidRPr="000A3079" w:rsidRDefault="00A700CB" w:rsidP="00A700CB">
            <w:pPr>
              <w:spacing w:after="0" w:line="240" w:lineRule="auto"/>
              <w:jc w:val="center"/>
              <w:rPr>
                <w:rFonts w:eastAsia="Times New Roman"/>
                <w:color w:val="000000"/>
                <w:sz w:val="22"/>
                <w:szCs w:val="22"/>
              </w:rPr>
            </w:pPr>
            <w:r w:rsidRPr="00A20811">
              <w:rPr>
                <w:color w:val="000000"/>
                <w:sz w:val="22"/>
                <w:szCs w:val="22"/>
              </w:rPr>
              <w:t>19.41%</w:t>
            </w:r>
          </w:p>
        </w:tc>
        <w:tc>
          <w:tcPr>
            <w:tcW w:w="624" w:type="pct"/>
            <w:gridSpan w:val="2"/>
            <w:tcBorders>
              <w:top w:val="single" w:sz="4" w:space="0" w:color="auto"/>
              <w:left w:val="single" w:sz="4" w:space="0" w:color="000000" w:themeColor="text1"/>
              <w:right w:val="single" w:sz="4" w:space="0" w:color="FFFFFF" w:themeColor="background1"/>
            </w:tcBorders>
            <w:shd w:val="clear" w:color="auto" w:fill="auto"/>
            <w:vAlign w:val="center"/>
          </w:tcPr>
          <w:p w14:paraId="2226F6AB" w14:textId="18B15485" w:rsidR="00A700CB" w:rsidRPr="000A3079" w:rsidRDefault="00A700CB" w:rsidP="00A700CB">
            <w:pPr>
              <w:spacing w:after="0" w:line="240" w:lineRule="auto"/>
              <w:jc w:val="center"/>
              <w:rPr>
                <w:rFonts w:eastAsia="Times New Roman"/>
                <w:color w:val="000000"/>
                <w:sz w:val="22"/>
                <w:szCs w:val="22"/>
              </w:rPr>
            </w:pPr>
            <w:r w:rsidRPr="00A20811">
              <w:rPr>
                <w:color w:val="000000"/>
                <w:sz w:val="22"/>
                <w:szCs w:val="22"/>
              </w:rPr>
              <w:t>18.00%</w:t>
            </w:r>
          </w:p>
        </w:tc>
        <w:tc>
          <w:tcPr>
            <w:tcW w:w="683" w:type="pct"/>
            <w:gridSpan w:val="2"/>
            <w:tcBorders>
              <w:top w:val="single" w:sz="4" w:space="0" w:color="auto"/>
              <w:left w:val="single" w:sz="4" w:space="0" w:color="FFFFFF" w:themeColor="background1"/>
              <w:right w:val="single" w:sz="4" w:space="0" w:color="000000" w:themeColor="text1"/>
            </w:tcBorders>
            <w:shd w:val="clear" w:color="auto" w:fill="auto"/>
            <w:vAlign w:val="center"/>
          </w:tcPr>
          <w:p w14:paraId="4BD1BD83" w14:textId="660441F7" w:rsidR="00A700CB" w:rsidRPr="000A3079" w:rsidRDefault="00A700CB" w:rsidP="00A700CB">
            <w:pPr>
              <w:spacing w:after="0" w:line="240" w:lineRule="auto"/>
              <w:jc w:val="center"/>
              <w:rPr>
                <w:rFonts w:eastAsia="Times New Roman"/>
                <w:color w:val="000000"/>
                <w:sz w:val="22"/>
                <w:szCs w:val="22"/>
              </w:rPr>
            </w:pPr>
            <w:r w:rsidRPr="00A20811">
              <w:rPr>
                <w:color w:val="000000"/>
                <w:sz w:val="22"/>
                <w:szCs w:val="22"/>
              </w:rPr>
              <w:t>19.75%</w:t>
            </w:r>
          </w:p>
        </w:tc>
        <w:tc>
          <w:tcPr>
            <w:tcW w:w="632" w:type="pct"/>
            <w:gridSpan w:val="2"/>
            <w:tcBorders>
              <w:top w:val="single" w:sz="4" w:space="0" w:color="auto"/>
              <w:left w:val="single" w:sz="4" w:space="0" w:color="000000" w:themeColor="text1"/>
              <w:right w:val="single" w:sz="4" w:space="0" w:color="FFFFFF" w:themeColor="background1"/>
            </w:tcBorders>
            <w:shd w:val="clear" w:color="auto" w:fill="auto"/>
            <w:vAlign w:val="center"/>
          </w:tcPr>
          <w:p w14:paraId="486017B1" w14:textId="4C637DCA" w:rsidR="00A700CB" w:rsidRPr="000A3079" w:rsidRDefault="00A700CB" w:rsidP="00A700CB">
            <w:pPr>
              <w:spacing w:after="0" w:line="240" w:lineRule="auto"/>
              <w:jc w:val="center"/>
              <w:rPr>
                <w:rFonts w:eastAsia="Times New Roman"/>
                <w:color w:val="000000"/>
                <w:sz w:val="22"/>
                <w:szCs w:val="22"/>
              </w:rPr>
            </w:pPr>
            <w:r w:rsidRPr="00A20811">
              <w:rPr>
                <w:color w:val="000000"/>
                <w:sz w:val="22"/>
                <w:szCs w:val="22"/>
              </w:rPr>
              <w:t>16.63%</w:t>
            </w:r>
          </w:p>
        </w:tc>
        <w:tc>
          <w:tcPr>
            <w:tcW w:w="657" w:type="pct"/>
            <w:gridSpan w:val="2"/>
            <w:tcBorders>
              <w:top w:val="single" w:sz="4" w:space="0" w:color="auto"/>
              <w:left w:val="single" w:sz="4" w:space="0" w:color="FFFFFF" w:themeColor="background1"/>
            </w:tcBorders>
            <w:shd w:val="clear" w:color="auto" w:fill="auto"/>
            <w:vAlign w:val="center"/>
          </w:tcPr>
          <w:p w14:paraId="3795B0E0" w14:textId="1FDD9F27" w:rsidR="00A700CB" w:rsidRPr="000A3079" w:rsidRDefault="00A700CB" w:rsidP="00A700CB">
            <w:pPr>
              <w:spacing w:after="0" w:line="240" w:lineRule="auto"/>
              <w:jc w:val="center"/>
              <w:rPr>
                <w:rFonts w:eastAsia="Times New Roman"/>
                <w:color w:val="000000"/>
                <w:sz w:val="22"/>
                <w:szCs w:val="22"/>
              </w:rPr>
            </w:pPr>
            <w:r w:rsidRPr="00A20811">
              <w:rPr>
                <w:color w:val="000000"/>
                <w:sz w:val="22"/>
                <w:szCs w:val="22"/>
              </w:rPr>
              <w:t>17.10%</w:t>
            </w:r>
          </w:p>
        </w:tc>
      </w:tr>
    </w:tbl>
    <w:p w14:paraId="226AAAA7" w14:textId="77777777" w:rsidR="00554351" w:rsidRDefault="00554351"/>
    <w:p w14:paraId="04DF9742" w14:textId="35C63116" w:rsidR="00690FC1" w:rsidRDefault="00690FC1">
      <w:pPr>
        <w:rPr>
          <w:b/>
          <w:iCs/>
          <w:color w:val="000000" w:themeColor="text1"/>
        </w:rPr>
      </w:pPr>
      <w:r>
        <w:br w:type="page"/>
      </w:r>
    </w:p>
    <w:bookmarkEnd w:id="69"/>
    <w:p w14:paraId="1A7E7411" w14:textId="3D822DCA" w:rsidR="000E1B51" w:rsidRPr="002C5F6C" w:rsidRDefault="00FA08E0" w:rsidP="00381210">
      <w:pPr>
        <w:pStyle w:val="Caption"/>
        <w:jc w:val="both"/>
        <w:rPr>
          <w:sz w:val="24"/>
          <w:szCs w:val="24"/>
        </w:rPr>
      </w:pPr>
      <w:r>
        <w:rPr>
          <w:sz w:val="24"/>
          <w:szCs w:val="24"/>
        </w:rPr>
        <w:lastRenderedPageBreak/>
        <w:t>Table 6</w:t>
      </w:r>
      <w:r w:rsidR="000E1B51" w:rsidRPr="002C5F6C">
        <w:rPr>
          <w:sz w:val="24"/>
          <w:szCs w:val="24"/>
        </w:rPr>
        <w:t>. Average Treatment Effect (ATE) for all endogenous variables</w:t>
      </w:r>
    </w:p>
    <w:tbl>
      <w:tblPr>
        <w:tblW w:w="13211" w:type="dxa"/>
        <w:tblLayout w:type="fixed"/>
        <w:tblCellMar>
          <w:left w:w="29" w:type="dxa"/>
          <w:right w:w="43" w:type="dxa"/>
        </w:tblCellMar>
        <w:tblLook w:val="04A0" w:firstRow="1" w:lastRow="0" w:firstColumn="1" w:lastColumn="0" w:noHBand="0" w:noVBand="1"/>
      </w:tblPr>
      <w:tblGrid>
        <w:gridCol w:w="1525"/>
        <w:gridCol w:w="1260"/>
        <w:gridCol w:w="1261"/>
        <w:gridCol w:w="836"/>
        <w:gridCol w:w="784"/>
        <w:gridCol w:w="810"/>
        <w:gridCol w:w="677"/>
        <w:gridCol w:w="757"/>
        <w:gridCol w:w="806"/>
        <w:gridCol w:w="820"/>
        <w:gridCol w:w="645"/>
        <w:gridCol w:w="757"/>
        <w:gridCol w:w="848"/>
        <w:gridCol w:w="810"/>
        <w:gridCol w:w="615"/>
      </w:tblGrid>
      <w:tr w:rsidR="000E1B51" w:rsidRPr="000E1B51" w14:paraId="27B01444" w14:textId="77777777" w:rsidTr="0077577E">
        <w:trPr>
          <w:trHeight w:val="274"/>
          <w:tblHeader/>
        </w:trPr>
        <w:tc>
          <w:tcPr>
            <w:tcW w:w="1525" w:type="dxa"/>
            <w:vMerge w:val="restart"/>
            <w:tcBorders>
              <w:top w:val="double" w:sz="4" w:space="0" w:color="auto"/>
              <w:left w:val="double" w:sz="4" w:space="0" w:color="auto"/>
              <w:bottom w:val="double" w:sz="4" w:space="0" w:color="auto"/>
              <w:right w:val="single" w:sz="4" w:space="0" w:color="auto"/>
            </w:tcBorders>
            <w:shd w:val="clear" w:color="auto" w:fill="auto"/>
            <w:noWrap/>
            <w:tcMar>
              <w:right w:w="29" w:type="dxa"/>
            </w:tcMar>
            <w:vAlign w:val="center"/>
            <w:hideMark/>
          </w:tcPr>
          <w:p w14:paraId="00377617" w14:textId="77777777" w:rsidR="000E1B51" w:rsidRPr="000E1B51" w:rsidRDefault="000E1B51" w:rsidP="0077577E">
            <w:pPr>
              <w:spacing w:after="0" w:line="240" w:lineRule="auto"/>
              <w:rPr>
                <w:rFonts w:eastAsia="Times New Roman"/>
                <w:b/>
                <w:bCs/>
                <w:color w:val="000000"/>
                <w:sz w:val="20"/>
                <w:szCs w:val="20"/>
              </w:rPr>
            </w:pPr>
            <w:r w:rsidRPr="000E1B51">
              <w:rPr>
                <w:rFonts w:eastAsia="Times New Roman"/>
                <w:b/>
                <w:bCs/>
                <w:color w:val="000000"/>
                <w:sz w:val="20"/>
                <w:szCs w:val="20"/>
              </w:rPr>
              <w:t>Variable</w:t>
            </w:r>
          </w:p>
        </w:tc>
        <w:tc>
          <w:tcPr>
            <w:tcW w:w="1260" w:type="dxa"/>
            <w:vMerge w:val="restart"/>
            <w:tcBorders>
              <w:top w:val="double" w:sz="4" w:space="0" w:color="auto"/>
              <w:left w:val="nil"/>
              <w:bottom w:val="double" w:sz="4" w:space="0" w:color="auto"/>
              <w:right w:val="single" w:sz="4" w:space="0" w:color="auto"/>
            </w:tcBorders>
            <w:shd w:val="clear" w:color="auto" w:fill="auto"/>
            <w:noWrap/>
            <w:tcMar>
              <w:right w:w="29" w:type="dxa"/>
            </w:tcMar>
            <w:vAlign w:val="center"/>
            <w:hideMark/>
          </w:tcPr>
          <w:p w14:paraId="6AB9EF86" w14:textId="77777777" w:rsidR="000E1B51" w:rsidRPr="000E1B51" w:rsidRDefault="000E1B51" w:rsidP="0077577E">
            <w:pPr>
              <w:spacing w:after="0" w:line="240" w:lineRule="auto"/>
              <w:rPr>
                <w:rFonts w:eastAsia="Times New Roman"/>
                <w:b/>
                <w:bCs/>
                <w:color w:val="000000"/>
                <w:sz w:val="20"/>
                <w:szCs w:val="20"/>
              </w:rPr>
            </w:pPr>
            <w:r w:rsidRPr="000E1B51">
              <w:rPr>
                <w:rFonts w:eastAsia="Times New Roman"/>
                <w:b/>
                <w:bCs/>
                <w:color w:val="000000"/>
                <w:sz w:val="20"/>
                <w:szCs w:val="20"/>
              </w:rPr>
              <w:t>Base Level</w:t>
            </w:r>
          </w:p>
        </w:tc>
        <w:tc>
          <w:tcPr>
            <w:tcW w:w="1261" w:type="dxa"/>
            <w:vMerge w:val="restart"/>
            <w:tcBorders>
              <w:top w:val="double" w:sz="4" w:space="0" w:color="auto"/>
              <w:left w:val="nil"/>
              <w:bottom w:val="double" w:sz="4" w:space="0" w:color="auto"/>
              <w:right w:val="double" w:sz="4" w:space="0" w:color="auto"/>
            </w:tcBorders>
            <w:shd w:val="clear" w:color="auto" w:fill="auto"/>
            <w:noWrap/>
            <w:tcMar>
              <w:right w:w="29" w:type="dxa"/>
            </w:tcMar>
            <w:vAlign w:val="center"/>
            <w:hideMark/>
          </w:tcPr>
          <w:p w14:paraId="7A26D719" w14:textId="77777777" w:rsidR="000E1B51" w:rsidRPr="000E1B51" w:rsidRDefault="000E1B51" w:rsidP="0077577E">
            <w:pPr>
              <w:spacing w:after="0" w:line="240" w:lineRule="auto"/>
              <w:rPr>
                <w:rFonts w:eastAsia="Times New Roman"/>
                <w:b/>
                <w:bCs/>
                <w:color w:val="000000"/>
                <w:sz w:val="20"/>
                <w:szCs w:val="20"/>
              </w:rPr>
            </w:pPr>
            <w:r w:rsidRPr="000E1B51">
              <w:rPr>
                <w:rFonts w:eastAsia="Times New Roman"/>
                <w:b/>
                <w:bCs/>
                <w:color w:val="000000"/>
                <w:sz w:val="20"/>
                <w:szCs w:val="20"/>
              </w:rPr>
              <w:t>Treatment Level</w:t>
            </w:r>
          </w:p>
        </w:tc>
        <w:tc>
          <w:tcPr>
            <w:tcW w:w="3107" w:type="dxa"/>
            <w:gridSpan w:val="4"/>
            <w:tcBorders>
              <w:top w:val="double" w:sz="4" w:space="0" w:color="auto"/>
              <w:left w:val="double" w:sz="4" w:space="0" w:color="auto"/>
              <w:bottom w:val="single" w:sz="4" w:space="0" w:color="auto"/>
              <w:right w:val="double" w:sz="4" w:space="0" w:color="auto"/>
            </w:tcBorders>
            <w:shd w:val="clear" w:color="auto" w:fill="auto"/>
            <w:noWrap/>
            <w:tcMar>
              <w:right w:w="29" w:type="dxa"/>
            </w:tcMar>
            <w:vAlign w:val="center"/>
            <w:hideMark/>
          </w:tcPr>
          <w:p w14:paraId="3F16C621"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Base level expected count</w:t>
            </w:r>
          </w:p>
        </w:tc>
        <w:tc>
          <w:tcPr>
            <w:tcW w:w="3028" w:type="dxa"/>
            <w:gridSpan w:val="4"/>
            <w:tcBorders>
              <w:top w:val="double" w:sz="4" w:space="0" w:color="auto"/>
              <w:left w:val="double" w:sz="4" w:space="0" w:color="auto"/>
              <w:bottom w:val="single" w:sz="4" w:space="0" w:color="auto"/>
              <w:right w:val="double" w:sz="4" w:space="0" w:color="auto"/>
            </w:tcBorders>
            <w:shd w:val="clear" w:color="auto" w:fill="auto"/>
            <w:noWrap/>
            <w:tcMar>
              <w:right w:w="29" w:type="dxa"/>
            </w:tcMar>
            <w:vAlign w:val="center"/>
            <w:hideMark/>
          </w:tcPr>
          <w:p w14:paraId="67BBB721"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Treatment level expected count</w:t>
            </w:r>
          </w:p>
        </w:tc>
        <w:tc>
          <w:tcPr>
            <w:tcW w:w="3029" w:type="dxa"/>
            <w:gridSpan w:val="4"/>
            <w:tcBorders>
              <w:top w:val="double" w:sz="4" w:space="0" w:color="auto"/>
              <w:left w:val="double" w:sz="4" w:space="0" w:color="auto"/>
              <w:bottom w:val="single" w:sz="4" w:space="0" w:color="auto"/>
              <w:right w:val="double" w:sz="4" w:space="0" w:color="auto"/>
            </w:tcBorders>
            <w:shd w:val="clear" w:color="auto" w:fill="auto"/>
            <w:noWrap/>
            <w:tcMar>
              <w:right w:w="29" w:type="dxa"/>
            </w:tcMar>
            <w:vAlign w:val="center"/>
            <w:hideMark/>
          </w:tcPr>
          <w:p w14:paraId="276D5058"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ATE (% shift)</w:t>
            </w:r>
          </w:p>
        </w:tc>
      </w:tr>
      <w:tr w:rsidR="000E1B51" w:rsidRPr="000E1B51" w14:paraId="4E09B8D8" w14:textId="77777777" w:rsidTr="0077577E">
        <w:trPr>
          <w:trHeight w:val="274"/>
          <w:tblHeader/>
        </w:trPr>
        <w:tc>
          <w:tcPr>
            <w:tcW w:w="1525" w:type="dxa"/>
            <w:vMerge/>
            <w:tcBorders>
              <w:top w:val="single" w:sz="4" w:space="0" w:color="auto"/>
              <w:left w:val="double" w:sz="4" w:space="0" w:color="auto"/>
              <w:bottom w:val="double" w:sz="4" w:space="0" w:color="auto"/>
              <w:right w:val="single" w:sz="4" w:space="0" w:color="auto"/>
            </w:tcBorders>
            <w:shd w:val="clear" w:color="auto" w:fill="auto"/>
            <w:tcMar>
              <w:right w:w="29" w:type="dxa"/>
            </w:tcMar>
            <w:vAlign w:val="center"/>
            <w:hideMark/>
          </w:tcPr>
          <w:p w14:paraId="29063571" w14:textId="77777777" w:rsidR="000E1B51" w:rsidRPr="000E1B51" w:rsidRDefault="000E1B51" w:rsidP="00AC636C">
            <w:pPr>
              <w:spacing w:after="0" w:line="240" w:lineRule="auto"/>
              <w:rPr>
                <w:rFonts w:eastAsia="Times New Roman"/>
                <w:b/>
                <w:bCs/>
                <w:color w:val="000000"/>
                <w:sz w:val="20"/>
                <w:szCs w:val="20"/>
              </w:rPr>
            </w:pPr>
          </w:p>
        </w:tc>
        <w:tc>
          <w:tcPr>
            <w:tcW w:w="1260" w:type="dxa"/>
            <w:vMerge/>
            <w:tcBorders>
              <w:top w:val="single" w:sz="4" w:space="0" w:color="auto"/>
              <w:left w:val="nil"/>
              <w:bottom w:val="double" w:sz="4" w:space="0" w:color="auto"/>
              <w:right w:val="single" w:sz="4" w:space="0" w:color="auto"/>
            </w:tcBorders>
            <w:shd w:val="clear" w:color="auto" w:fill="auto"/>
            <w:noWrap/>
            <w:tcMar>
              <w:right w:w="29" w:type="dxa"/>
            </w:tcMar>
            <w:vAlign w:val="center"/>
            <w:hideMark/>
          </w:tcPr>
          <w:p w14:paraId="6E3D077D" w14:textId="77777777" w:rsidR="000E1B51" w:rsidRPr="000E1B51" w:rsidRDefault="000E1B51" w:rsidP="00AC636C">
            <w:pPr>
              <w:spacing w:after="0" w:line="240" w:lineRule="auto"/>
              <w:rPr>
                <w:rFonts w:eastAsia="Times New Roman"/>
                <w:b/>
                <w:bCs/>
                <w:color w:val="000000"/>
                <w:sz w:val="20"/>
                <w:szCs w:val="20"/>
              </w:rPr>
            </w:pPr>
          </w:p>
        </w:tc>
        <w:tc>
          <w:tcPr>
            <w:tcW w:w="1261" w:type="dxa"/>
            <w:vMerge/>
            <w:tcBorders>
              <w:top w:val="single" w:sz="4" w:space="0" w:color="auto"/>
              <w:left w:val="nil"/>
              <w:bottom w:val="double" w:sz="4" w:space="0" w:color="auto"/>
              <w:right w:val="double" w:sz="4" w:space="0" w:color="auto"/>
            </w:tcBorders>
            <w:shd w:val="clear" w:color="auto" w:fill="auto"/>
            <w:noWrap/>
            <w:tcMar>
              <w:right w:w="29" w:type="dxa"/>
            </w:tcMar>
            <w:vAlign w:val="center"/>
            <w:hideMark/>
          </w:tcPr>
          <w:p w14:paraId="365545A4" w14:textId="77777777" w:rsidR="000E1B51" w:rsidRPr="000E1B51" w:rsidRDefault="000E1B51" w:rsidP="00AC636C">
            <w:pPr>
              <w:spacing w:after="0" w:line="240" w:lineRule="auto"/>
              <w:rPr>
                <w:rFonts w:eastAsia="Times New Roman"/>
                <w:b/>
                <w:bCs/>
                <w:color w:val="000000"/>
                <w:sz w:val="20"/>
                <w:szCs w:val="20"/>
              </w:rPr>
            </w:pPr>
          </w:p>
        </w:tc>
        <w:tc>
          <w:tcPr>
            <w:tcW w:w="2430" w:type="dxa"/>
            <w:gridSpan w:val="3"/>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005D688B" w14:textId="2CBA62BA"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N</w:t>
            </w:r>
            <w:r w:rsidR="009D141C">
              <w:rPr>
                <w:rFonts w:eastAsia="Times New Roman"/>
                <w:b/>
                <w:bCs/>
                <w:color w:val="000000"/>
                <w:sz w:val="20"/>
                <w:szCs w:val="20"/>
              </w:rPr>
              <w:t>HCM</w:t>
            </w:r>
          </w:p>
        </w:tc>
        <w:tc>
          <w:tcPr>
            <w:tcW w:w="677" w:type="dxa"/>
            <w:vMerge w:val="restart"/>
            <w:tcBorders>
              <w:top w:val="nil"/>
              <w:left w:val="nil"/>
              <w:bottom w:val="double" w:sz="4" w:space="0" w:color="auto"/>
              <w:right w:val="double" w:sz="4" w:space="0" w:color="auto"/>
            </w:tcBorders>
            <w:shd w:val="clear" w:color="auto" w:fill="auto"/>
            <w:noWrap/>
            <w:tcMar>
              <w:right w:w="29" w:type="dxa"/>
            </w:tcMar>
            <w:vAlign w:val="center"/>
            <w:hideMark/>
          </w:tcPr>
          <w:p w14:paraId="1A80464F" w14:textId="056A53B7" w:rsidR="000E1B51" w:rsidRPr="000E1B51" w:rsidRDefault="009D141C" w:rsidP="00AC636C">
            <w:pPr>
              <w:spacing w:after="0" w:line="240" w:lineRule="auto"/>
              <w:jc w:val="center"/>
              <w:rPr>
                <w:rFonts w:eastAsia="Times New Roman"/>
                <w:b/>
                <w:bCs/>
                <w:color w:val="000000"/>
                <w:sz w:val="20"/>
                <w:szCs w:val="20"/>
              </w:rPr>
            </w:pPr>
            <w:r>
              <w:rPr>
                <w:rFonts w:eastAsia="Times New Roman"/>
                <w:b/>
                <w:bCs/>
                <w:color w:val="000000"/>
                <w:sz w:val="20"/>
                <w:szCs w:val="20"/>
              </w:rPr>
              <w:t>HCM</w:t>
            </w:r>
          </w:p>
        </w:tc>
        <w:tc>
          <w:tcPr>
            <w:tcW w:w="2383" w:type="dxa"/>
            <w:gridSpan w:val="3"/>
            <w:tcBorders>
              <w:top w:val="nil"/>
              <w:left w:val="double" w:sz="4" w:space="0" w:color="auto"/>
              <w:right w:val="single" w:sz="4" w:space="0" w:color="auto"/>
            </w:tcBorders>
            <w:shd w:val="clear" w:color="auto" w:fill="auto"/>
            <w:noWrap/>
            <w:tcMar>
              <w:right w:w="29" w:type="dxa"/>
            </w:tcMar>
            <w:vAlign w:val="center"/>
            <w:hideMark/>
          </w:tcPr>
          <w:p w14:paraId="461605D0" w14:textId="5B1A344C"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N</w:t>
            </w:r>
            <w:r w:rsidR="009D141C">
              <w:rPr>
                <w:rFonts w:eastAsia="Times New Roman"/>
                <w:b/>
                <w:bCs/>
                <w:color w:val="000000"/>
                <w:sz w:val="20"/>
                <w:szCs w:val="20"/>
              </w:rPr>
              <w:t>HCM</w:t>
            </w:r>
          </w:p>
        </w:tc>
        <w:tc>
          <w:tcPr>
            <w:tcW w:w="645" w:type="dxa"/>
            <w:vMerge w:val="restart"/>
            <w:tcBorders>
              <w:top w:val="nil"/>
              <w:left w:val="nil"/>
              <w:bottom w:val="double" w:sz="4" w:space="0" w:color="auto"/>
              <w:right w:val="double" w:sz="4" w:space="0" w:color="auto"/>
            </w:tcBorders>
            <w:shd w:val="clear" w:color="auto" w:fill="auto"/>
            <w:noWrap/>
            <w:tcMar>
              <w:right w:w="29" w:type="dxa"/>
            </w:tcMar>
            <w:vAlign w:val="center"/>
            <w:hideMark/>
          </w:tcPr>
          <w:p w14:paraId="55E9DED9" w14:textId="175536E1" w:rsidR="000E1B51" w:rsidRPr="000E1B51" w:rsidRDefault="009D141C" w:rsidP="00AC636C">
            <w:pPr>
              <w:spacing w:after="0" w:line="240" w:lineRule="auto"/>
              <w:jc w:val="center"/>
              <w:rPr>
                <w:rFonts w:eastAsia="Times New Roman"/>
                <w:b/>
                <w:bCs/>
                <w:color w:val="000000"/>
                <w:sz w:val="20"/>
                <w:szCs w:val="20"/>
              </w:rPr>
            </w:pPr>
            <w:r>
              <w:rPr>
                <w:rFonts w:eastAsia="Times New Roman"/>
                <w:b/>
                <w:bCs/>
                <w:color w:val="000000"/>
                <w:sz w:val="20"/>
                <w:szCs w:val="20"/>
              </w:rPr>
              <w:t>HCM</w:t>
            </w:r>
          </w:p>
        </w:tc>
        <w:tc>
          <w:tcPr>
            <w:tcW w:w="2415" w:type="dxa"/>
            <w:gridSpan w:val="3"/>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08171888" w14:textId="3B272576"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N</w:t>
            </w:r>
            <w:r w:rsidR="009D141C">
              <w:rPr>
                <w:rFonts w:eastAsia="Times New Roman"/>
                <w:b/>
                <w:bCs/>
                <w:color w:val="000000"/>
                <w:sz w:val="20"/>
                <w:szCs w:val="20"/>
              </w:rPr>
              <w:t>HCM</w:t>
            </w:r>
          </w:p>
          <w:p w14:paraId="7914C9E2" w14:textId="77777777" w:rsidR="000E1B51" w:rsidRPr="000E1B51" w:rsidRDefault="000E1B51" w:rsidP="00AC636C">
            <w:pPr>
              <w:spacing w:after="0" w:line="240" w:lineRule="auto"/>
              <w:jc w:val="center"/>
              <w:rPr>
                <w:rFonts w:eastAsia="Times New Roman"/>
                <w:b/>
                <w:bCs/>
                <w:color w:val="000000"/>
                <w:sz w:val="20"/>
                <w:szCs w:val="20"/>
              </w:rPr>
            </w:pPr>
          </w:p>
        </w:tc>
        <w:tc>
          <w:tcPr>
            <w:tcW w:w="614" w:type="dxa"/>
            <w:vMerge w:val="restart"/>
            <w:tcBorders>
              <w:top w:val="nil"/>
              <w:left w:val="nil"/>
              <w:bottom w:val="double" w:sz="4" w:space="0" w:color="auto"/>
              <w:right w:val="double" w:sz="4" w:space="0" w:color="auto"/>
            </w:tcBorders>
            <w:shd w:val="clear" w:color="auto" w:fill="auto"/>
            <w:noWrap/>
            <w:tcMar>
              <w:right w:w="29" w:type="dxa"/>
            </w:tcMar>
            <w:vAlign w:val="center"/>
            <w:hideMark/>
          </w:tcPr>
          <w:p w14:paraId="2D91D0F3" w14:textId="67D503E5" w:rsidR="000E1B51" w:rsidRPr="000E1B51" w:rsidRDefault="009D141C" w:rsidP="00AC636C">
            <w:pPr>
              <w:spacing w:after="0" w:line="240" w:lineRule="auto"/>
              <w:jc w:val="center"/>
              <w:rPr>
                <w:rFonts w:eastAsia="Times New Roman"/>
                <w:b/>
                <w:bCs/>
                <w:color w:val="000000"/>
                <w:sz w:val="20"/>
                <w:szCs w:val="20"/>
              </w:rPr>
            </w:pPr>
            <w:r>
              <w:rPr>
                <w:rFonts w:eastAsia="Times New Roman"/>
                <w:b/>
                <w:bCs/>
                <w:color w:val="000000"/>
                <w:sz w:val="20"/>
                <w:szCs w:val="20"/>
              </w:rPr>
              <w:t>HCM</w:t>
            </w:r>
          </w:p>
        </w:tc>
      </w:tr>
      <w:tr w:rsidR="000E1B51" w:rsidRPr="000E1B51" w14:paraId="1B716905" w14:textId="77777777" w:rsidTr="0077577E">
        <w:trPr>
          <w:trHeight w:val="274"/>
          <w:tblHeader/>
        </w:trPr>
        <w:tc>
          <w:tcPr>
            <w:tcW w:w="1525" w:type="dxa"/>
            <w:vMerge/>
            <w:tcBorders>
              <w:top w:val="single" w:sz="4" w:space="0" w:color="auto"/>
              <w:left w:val="double" w:sz="4" w:space="0" w:color="auto"/>
              <w:bottom w:val="double" w:sz="4" w:space="0" w:color="auto"/>
              <w:right w:val="single" w:sz="4" w:space="0" w:color="auto"/>
            </w:tcBorders>
            <w:shd w:val="clear" w:color="auto" w:fill="auto"/>
            <w:tcMar>
              <w:right w:w="29" w:type="dxa"/>
            </w:tcMar>
            <w:vAlign w:val="center"/>
            <w:hideMark/>
          </w:tcPr>
          <w:p w14:paraId="660503A5" w14:textId="77777777" w:rsidR="000E1B51" w:rsidRPr="000E1B51" w:rsidRDefault="000E1B51" w:rsidP="00AC636C">
            <w:pPr>
              <w:spacing w:after="0" w:line="240" w:lineRule="auto"/>
              <w:rPr>
                <w:rFonts w:eastAsia="Times New Roman"/>
                <w:b/>
                <w:bCs/>
                <w:color w:val="000000"/>
                <w:sz w:val="20"/>
                <w:szCs w:val="20"/>
              </w:rPr>
            </w:pPr>
          </w:p>
        </w:tc>
        <w:tc>
          <w:tcPr>
            <w:tcW w:w="1260" w:type="dxa"/>
            <w:vMerge/>
            <w:tcBorders>
              <w:top w:val="single" w:sz="4" w:space="0" w:color="auto"/>
              <w:left w:val="nil"/>
              <w:bottom w:val="double" w:sz="4" w:space="0" w:color="auto"/>
              <w:right w:val="single" w:sz="4" w:space="0" w:color="auto"/>
            </w:tcBorders>
            <w:shd w:val="clear" w:color="auto" w:fill="auto"/>
            <w:noWrap/>
            <w:tcMar>
              <w:right w:w="29" w:type="dxa"/>
            </w:tcMar>
            <w:vAlign w:val="center"/>
            <w:hideMark/>
          </w:tcPr>
          <w:p w14:paraId="6969AE3A" w14:textId="77777777" w:rsidR="000E1B51" w:rsidRPr="000E1B51" w:rsidRDefault="000E1B51" w:rsidP="00AC636C">
            <w:pPr>
              <w:spacing w:after="0" w:line="240" w:lineRule="auto"/>
              <w:rPr>
                <w:rFonts w:eastAsia="Times New Roman"/>
                <w:b/>
                <w:bCs/>
                <w:color w:val="000000"/>
                <w:sz w:val="20"/>
                <w:szCs w:val="20"/>
              </w:rPr>
            </w:pPr>
          </w:p>
        </w:tc>
        <w:tc>
          <w:tcPr>
            <w:tcW w:w="1261" w:type="dxa"/>
            <w:vMerge/>
            <w:tcBorders>
              <w:top w:val="single" w:sz="4" w:space="0" w:color="auto"/>
              <w:left w:val="nil"/>
              <w:bottom w:val="double" w:sz="4" w:space="0" w:color="auto"/>
              <w:right w:val="double" w:sz="4" w:space="0" w:color="auto"/>
            </w:tcBorders>
            <w:shd w:val="clear" w:color="auto" w:fill="auto"/>
            <w:noWrap/>
            <w:tcMar>
              <w:right w:w="29" w:type="dxa"/>
            </w:tcMar>
            <w:vAlign w:val="center"/>
            <w:hideMark/>
          </w:tcPr>
          <w:p w14:paraId="164DC662" w14:textId="77777777" w:rsidR="000E1B51" w:rsidRPr="000E1B51" w:rsidRDefault="000E1B51" w:rsidP="00AC636C">
            <w:pPr>
              <w:spacing w:after="0" w:line="240" w:lineRule="auto"/>
              <w:rPr>
                <w:rFonts w:eastAsia="Times New Roman"/>
                <w:b/>
                <w:bCs/>
                <w:color w:val="000000"/>
                <w:sz w:val="20"/>
                <w:szCs w:val="20"/>
              </w:rPr>
            </w:pPr>
          </w:p>
        </w:tc>
        <w:tc>
          <w:tcPr>
            <w:tcW w:w="836" w:type="dxa"/>
            <w:tcBorders>
              <w:top w:val="single" w:sz="4" w:space="0" w:color="auto"/>
              <w:left w:val="double" w:sz="4" w:space="0" w:color="auto"/>
              <w:bottom w:val="double" w:sz="4" w:space="0" w:color="auto"/>
              <w:right w:val="single" w:sz="4" w:space="0" w:color="auto"/>
            </w:tcBorders>
            <w:shd w:val="clear" w:color="auto" w:fill="auto"/>
            <w:noWrap/>
            <w:tcMar>
              <w:right w:w="29" w:type="dxa"/>
            </w:tcMar>
            <w:vAlign w:val="center"/>
            <w:hideMark/>
          </w:tcPr>
          <w:p w14:paraId="40C052E0"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Eat-out</w:t>
            </w:r>
          </w:p>
        </w:tc>
        <w:tc>
          <w:tcPr>
            <w:tcW w:w="784" w:type="dxa"/>
            <w:tcBorders>
              <w:top w:val="single" w:sz="4" w:space="0" w:color="auto"/>
              <w:left w:val="nil"/>
              <w:bottom w:val="double" w:sz="4" w:space="0" w:color="auto"/>
              <w:right w:val="single" w:sz="4" w:space="0" w:color="auto"/>
            </w:tcBorders>
            <w:shd w:val="clear" w:color="auto" w:fill="auto"/>
            <w:noWrap/>
            <w:tcMar>
              <w:right w:w="29" w:type="dxa"/>
            </w:tcMar>
            <w:vAlign w:val="center"/>
            <w:hideMark/>
          </w:tcPr>
          <w:p w14:paraId="2D383AD6"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Eat-in Takeout</w:t>
            </w:r>
          </w:p>
        </w:tc>
        <w:tc>
          <w:tcPr>
            <w:tcW w:w="810" w:type="dxa"/>
            <w:tcBorders>
              <w:top w:val="single" w:sz="4" w:space="0" w:color="auto"/>
              <w:left w:val="nil"/>
              <w:bottom w:val="double" w:sz="4" w:space="0" w:color="auto"/>
              <w:right w:val="single" w:sz="4" w:space="0" w:color="auto"/>
            </w:tcBorders>
            <w:shd w:val="clear" w:color="auto" w:fill="auto"/>
            <w:noWrap/>
            <w:tcMar>
              <w:right w:w="29" w:type="dxa"/>
            </w:tcMar>
            <w:vAlign w:val="center"/>
            <w:hideMark/>
          </w:tcPr>
          <w:p w14:paraId="6135E6F3"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Eat-in Delivery</w:t>
            </w:r>
          </w:p>
        </w:tc>
        <w:tc>
          <w:tcPr>
            <w:tcW w:w="677" w:type="dxa"/>
            <w:vMerge/>
            <w:tcBorders>
              <w:left w:val="nil"/>
              <w:bottom w:val="double" w:sz="4" w:space="0" w:color="auto"/>
              <w:right w:val="double" w:sz="4" w:space="0" w:color="auto"/>
            </w:tcBorders>
            <w:shd w:val="clear" w:color="auto" w:fill="auto"/>
            <w:noWrap/>
            <w:tcMar>
              <w:right w:w="29" w:type="dxa"/>
            </w:tcMar>
            <w:vAlign w:val="center"/>
            <w:hideMark/>
          </w:tcPr>
          <w:p w14:paraId="6BE9F5DB" w14:textId="77777777" w:rsidR="000E1B51" w:rsidRPr="000E1B51" w:rsidRDefault="000E1B51" w:rsidP="00AC636C">
            <w:pPr>
              <w:spacing w:after="0" w:line="240" w:lineRule="auto"/>
              <w:rPr>
                <w:rFonts w:eastAsia="Times New Roman"/>
                <w:b/>
                <w:bCs/>
                <w:color w:val="000000"/>
                <w:sz w:val="20"/>
                <w:szCs w:val="20"/>
              </w:rPr>
            </w:pPr>
          </w:p>
        </w:tc>
        <w:tc>
          <w:tcPr>
            <w:tcW w:w="757" w:type="dxa"/>
            <w:tcBorders>
              <w:top w:val="single" w:sz="4" w:space="0" w:color="auto"/>
              <w:left w:val="double" w:sz="4" w:space="0" w:color="auto"/>
              <w:bottom w:val="double" w:sz="4" w:space="0" w:color="auto"/>
              <w:right w:val="double" w:sz="4" w:space="0" w:color="auto"/>
            </w:tcBorders>
            <w:shd w:val="clear" w:color="auto" w:fill="auto"/>
            <w:noWrap/>
            <w:tcMar>
              <w:right w:w="29" w:type="dxa"/>
            </w:tcMar>
            <w:vAlign w:val="center"/>
            <w:hideMark/>
          </w:tcPr>
          <w:p w14:paraId="0989BCE3"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Eat-out</w:t>
            </w:r>
          </w:p>
        </w:tc>
        <w:tc>
          <w:tcPr>
            <w:tcW w:w="806" w:type="dxa"/>
            <w:tcBorders>
              <w:top w:val="single" w:sz="4" w:space="0" w:color="auto"/>
              <w:left w:val="double" w:sz="4" w:space="0" w:color="auto"/>
              <w:bottom w:val="double" w:sz="4" w:space="0" w:color="auto"/>
              <w:right w:val="single" w:sz="4" w:space="0" w:color="auto"/>
            </w:tcBorders>
            <w:shd w:val="clear" w:color="auto" w:fill="auto"/>
            <w:noWrap/>
            <w:tcMar>
              <w:right w:w="29" w:type="dxa"/>
            </w:tcMar>
            <w:vAlign w:val="center"/>
            <w:hideMark/>
          </w:tcPr>
          <w:p w14:paraId="041FFA5B"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Eat-in Takeout</w:t>
            </w:r>
          </w:p>
        </w:tc>
        <w:tc>
          <w:tcPr>
            <w:tcW w:w="820" w:type="dxa"/>
            <w:tcBorders>
              <w:top w:val="single" w:sz="4" w:space="0" w:color="auto"/>
              <w:left w:val="nil"/>
              <w:bottom w:val="double" w:sz="4" w:space="0" w:color="auto"/>
              <w:right w:val="single" w:sz="4" w:space="0" w:color="auto"/>
            </w:tcBorders>
            <w:shd w:val="clear" w:color="auto" w:fill="auto"/>
            <w:noWrap/>
            <w:tcMar>
              <w:right w:w="29" w:type="dxa"/>
            </w:tcMar>
            <w:vAlign w:val="center"/>
            <w:hideMark/>
          </w:tcPr>
          <w:p w14:paraId="59D416C6"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Eat-in Delivery</w:t>
            </w:r>
          </w:p>
        </w:tc>
        <w:tc>
          <w:tcPr>
            <w:tcW w:w="645" w:type="dxa"/>
            <w:vMerge/>
            <w:tcBorders>
              <w:top w:val="single" w:sz="4" w:space="0" w:color="auto"/>
              <w:left w:val="nil"/>
              <w:bottom w:val="double" w:sz="4" w:space="0" w:color="auto"/>
              <w:right w:val="double" w:sz="4" w:space="0" w:color="auto"/>
            </w:tcBorders>
            <w:shd w:val="clear" w:color="auto" w:fill="auto"/>
            <w:noWrap/>
            <w:tcMar>
              <w:right w:w="29" w:type="dxa"/>
            </w:tcMar>
            <w:vAlign w:val="center"/>
            <w:hideMark/>
          </w:tcPr>
          <w:p w14:paraId="387AA018" w14:textId="77777777" w:rsidR="000E1B51" w:rsidRPr="000E1B51" w:rsidRDefault="000E1B51" w:rsidP="00AC636C">
            <w:pPr>
              <w:spacing w:after="0" w:line="240" w:lineRule="auto"/>
              <w:rPr>
                <w:rFonts w:eastAsia="Times New Roman"/>
                <w:b/>
                <w:bCs/>
                <w:color w:val="000000"/>
                <w:sz w:val="20"/>
                <w:szCs w:val="20"/>
              </w:rPr>
            </w:pPr>
          </w:p>
        </w:tc>
        <w:tc>
          <w:tcPr>
            <w:tcW w:w="757" w:type="dxa"/>
            <w:tcBorders>
              <w:top w:val="single" w:sz="4" w:space="0" w:color="auto"/>
              <w:left w:val="double" w:sz="4" w:space="0" w:color="auto"/>
              <w:bottom w:val="double" w:sz="4" w:space="0" w:color="auto"/>
              <w:right w:val="single" w:sz="4" w:space="0" w:color="auto"/>
            </w:tcBorders>
            <w:shd w:val="clear" w:color="auto" w:fill="auto"/>
            <w:noWrap/>
            <w:tcMar>
              <w:right w:w="29" w:type="dxa"/>
            </w:tcMar>
            <w:vAlign w:val="center"/>
            <w:hideMark/>
          </w:tcPr>
          <w:p w14:paraId="535C7D5A"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Eat-out</w:t>
            </w:r>
          </w:p>
        </w:tc>
        <w:tc>
          <w:tcPr>
            <w:tcW w:w="848" w:type="dxa"/>
            <w:tcBorders>
              <w:top w:val="single" w:sz="4" w:space="0" w:color="auto"/>
              <w:left w:val="nil"/>
              <w:bottom w:val="double" w:sz="4" w:space="0" w:color="auto"/>
              <w:right w:val="single" w:sz="4" w:space="0" w:color="auto"/>
            </w:tcBorders>
            <w:shd w:val="clear" w:color="auto" w:fill="auto"/>
            <w:noWrap/>
            <w:tcMar>
              <w:right w:w="29" w:type="dxa"/>
            </w:tcMar>
            <w:vAlign w:val="center"/>
            <w:hideMark/>
          </w:tcPr>
          <w:p w14:paraId="1E41CE39"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Eat-in Takeout</w:t>
            </w:r>
          </w:p>
        </w:tc>
        <w:tc>
          <w:tcPr>
            <w:tcW w:w="810" w:type="dxa"/>
            <w:tcBorders>
              <w:top w:val="single" w:sz="4" w:space="0" w:color="auto"/>
              <w:left w:val="nil"/>
              <w:bottom w:val="double" w:sz="4" w:space="0" w:color="auto"/>
              <w:right w:val="single" w:sz="4" w:space="0" w:color="auto"/>
            </w:tcBorders>
            <w:shd w:val="clear" w:color="auto" w:fill="auto"/>
            <w:noWrap/>
            <w:tcMar>
              <w:right w:w="29" w:type="dxa"/>
            </w:tcMar>
            <w:vAlign w:val="center"/>
            <w:hideMark/>
          </w:tcPr>
          <w:p w14:paraId="5D912318" w14:textId="77777777" w:rsidR="000E1B51" w:rsidRPr="000E1B51" w:rsidRDefault="000E1B51" w:rsidP="00AC636C">
            <w:pPr>
              <w:spacing w:after="0" w:line="240" w:lineRule="auto"/>
              <w:jc w:val="center"/>
              <w:rPr>
                <w:rFonts w:eastAsia="Times New Roman"/>
                <w:b/>
                <w:bCs/>
                <w:color w:val="000000"/>
                <w:sz w:val="20"/>
                <w:szCs w:val="20"/>
              </w:rPr>
            </w:pPr>
            <w:r w:rsidRPr="000E1B51">
              <w:rPr>
                <w:rFonts w:eastAsia="Times New Roman"/>
                <w:b/>
                <w:bCs/>
                <w:color w:val="000000"/>
                <w:sz w:val="20"/>
                <w:szCs w:val="20"/>
              </w:rPr>
              <w:t>Eat-in Delivery</w:t>
            </w:r>
          </w:p>
        </w:tc>
        <w:tc>
          <w:tcPr>
            <w:tcW w:w="614" w:type="dxa"/>
            <w:vMerge/>
            <w:tcBorders>
              <w:left w:val="nil"/>
              <w:bottom w:val="double" w:sz="4" w:space="0" w:color="auto"/>
              <w:right w:val="double" w:sz="4" w:space="0" w:color="auto"/>
            </w:tcBorders>
            <w:shd w:val="clear" w:color="auto" w:fill="auto"/>
            <w:noWrap/>
            <w:tcMar>
              <w:right w:w="29" w:type="dxa"/>
            </w:tcMar>
            <w:vAlign w:val="center"/>
            <w:hideMark/>
          </w:tcPr>
          <w:p w14:paraId="23FC2703" w14:textId="77777777" w:rsidR="000E1B51" w:rsidRPr="000E1B51" w:rsidRDefault="000E1B51" w:rsidP="00AC636C">
            <w:pPr>
              <w:spacing w:after="0" w:line="240" w:lineRule="auto"/>
              <w:rPr>
                <w:rFonts w:eastAsia="Times New Roman"/>
                <w:b/>
                <w:bCs/>
                <w:color w:val="000000"/>
                <w:sz w:val="20"/>
                <w:szCs w:val="20"/>
              </w:rPr>
            </w:pPr>
          </w:p>
        </w:tc>
      </w:tr>
      <w:tr w:rsidR="000E1B51" w:rsidRPr="000E1B51" w14:paraId="0F4C1C81" w14:textId="77777777" w:rsidTr="0077577E">
        <w:trPr>
          <w:trHeight w:val="274"/>
        </w:trPr>
        <w:tc>
          <w:tcPr>
            <w:tcW w:w="13211" w:type="dxa"/>
            <w:gridSpan w:val="15"/>
            <w:tcBorders>
              <w:top w:val="nil"/>
              <w:left w:val="double" w:sz="4" w:space="0" w:color="auto"/>
              <w:bottom w:val="double" w:sz="4" w:space="0" w:color="auto"/>
              <w:right w:val="double" w:sz="4" w:space="0" w:color="auto"/>
            </w:tcBorders>
            <w:shd w:val="clear" w:color="auto" w:fill="auto"/>
            <w:noWrap/>
            <w:tcMar>
              <w:right w:w="29" w:type="dxa"/>
            </w:tcMar>
            <w:vAlign w:val="center"/>
            <w:hideMark/>
          </w:tcPr>
          <w:p w14:paraId="68D6B0DE" w14:textId="77777777" w:rsidR="000E1B51" w:rsidRPr="000E1B51" w:rsidRDefault="000E1B51" w:rsidP="00AC636C">
            <w:pPr>
              <w:spacing w:after="0" w:line="240" w:lineRule="auto"/>
              <w:rPr>
                <w:rFonts w:eastAsia="Times New Roman"/>
                <w:b/>
                <w:bCs/>
                <w:color w:val="000000"/>
                <w:sz w:val="20"/>
                <w:szCs w:val="20"/>
              </w:rPr>
            </w:pPr>
            <w:r w:rsidRPr="000E1B51">
              <w:rPr>
                <w:rFonts w:eastAsia="Times New Roman"/>
                <w:b/>
                <w:bCs/>
                <w:color w:val="000000"/>
                <w:sz w:val="20"/>
                <w:szCs w:val="20"/>
              </w:rPr>
              <w:t>Exogenous Variables</w:t>
            </w:r>
          </w:p>
        </w:tc>
      </w:tr>
      <w:tr w:rsidR="000E1B51" w:rsidRPr="000E1B51" w14:paraId="4CF08F92" w14:textId="77777777" w:rsidTr="0077577E">
        <w:trPr>
          <w:trHeight w:val="274"/>
        </w:trPr>
        <w:tc>
          <w:tcPr>
            <w:tcW w:w="13211" w:type="dxa"/>
            <w:gridSpan w:val="15"/>
            <w:tcBorders>
              <w:top w:val="double" w:sz="4" w:space="0" w:color="auto"/>
              <w:left w:val="double" w:sz="4" w:space="0" w:color="auto"/>
              <w:bottom w:val="single" w:sz="4" w:space="0" w:color="auto"/>
              <w:right w:val="double" w:sz="4" w:space="0" w:color="auto"/>
            </w:tcBorders>
            <w:shd w:val="clear" w:color="auto" w:fill="auto"/>
            <w:noWrap/>
            <w:tcMar>
              <w:right w:w="29" w:type="dxa"/>
            </w:tcMar>
            <w:vAlign w:val="center"/>
            <w:hideMark/>
          </w:tcPr>
          <w:p w14:paraId="75EE2AE5" w14:textId="77777777" w:rsidR="000E1B51" w:rsidRPr="000E1B51" w:rsidRDefault="000E1B51" w:rsidP="00AC636C">
            <w:pPr>
              <w:spacing w:after="0" w:line="240" w:lineRule="auto"/>
              <w:rPr>
                <w:rFonts w:ascii="Calibri" w:eastAsia="Times New Roman" w:hAnsi="Calibri" w:cs="Calibri"/>
                <w:color w:val="000000"/>
                <w:sz w:val="20"/>
                <w:szCs w:val="20"/>
              </w:rPr>
            </w:pPr>
            <w:r w:rsidRPr="000E1B51">
              <w:rPr>
                <w:rFonts w:eastAsia="Times New Roman"/>
                <w:b/>
                <w:bCs/>
                <w:color w:val="000000"/>
                <w:sz w:val="20"/>
                <w:szCs w:val="20"/>
              </w:rPr>
              <w:t>Individual Demographics</w:t>
            </w:r>
          </w:p>
        </w:tc>
      </w:tr>
      <w:tr w:rsidR="000E1B51" w:rsidRPr="000E1B51" w14:paraId="6ADCFC2D"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43C0C1F5" w14:textId="77777777" w:rsidR="000E1B51" w:rsidRPr="000E1B51" w:rsidRDefault="000E1B51" w:rsidP="0077577E">
            <w:pPr>
              <w:spacing w:after="0" w:line="240" w:lineRule="auto"/>
              <w:ind w:right="64"/>
              <w:rPr>
                <w:rFonts w:eastAsia="Times New Roman"/>
                <w:color w:val="000000"/>
                <w:sz w:val="20"/>
                <w:szCs w:val="20"/>
              </w:rPr>
            </w:pPr>
            <w:r w:rsidRPr="000E1B51">
              <w:rPr>
                <w:rFonts w:eastAsia="Times New Roman"/>
                <w:color w:val="000000"/>
                <w:sz w:val="20"/>
                <w:szCs w:val="20"/>
              </w:rPr>
              <w:t>Single Female (no children)</w:t>
            </w: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54DDBFC0"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No</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5A120A3B"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Yes</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011F5F57"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3.72</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2B994148"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1.00</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316A353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1.09</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5289081D"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16.20</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6E092367"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3.35</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6FA006E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1.04</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69368A23"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1.09</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6C5E4B09"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16.52</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78718ECE"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-9.79</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37805C7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3.43</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5267FCC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0.00</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7A5A0775"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2.03</w:t>
            </w:r>
          </w:p>
        </w:tc>
      </w:tr>
      <w:tr w:rsidR="000E1B51" w:rsidRPr="000E1B51" w14:paraId="03E0C0DE"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3AC3411C"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Age</w:t>
            </w: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6FA5A543"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Less than 30 years</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40C1F03A"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More than 65 years</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6B29C8B2"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3.75</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3D053685"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1.31</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0C096EDA"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1.23</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60EE4F33"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15.72</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31614599"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3.58</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7BB7D1E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0.52</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55FC6428"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1.04</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4E9B3942"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16.86</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33F073F1"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-4.32</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2A9CABA9"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-59.94</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57723455"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-15.47</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534E74B9"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7.22</w:t>
            </w:r>
          </w:p>
        </w:tc>
      </w:tr>
      <w:tr w:rsidR="000E1B51" w:rsidRPr="000E1B51" w14:paraId="4AEEDF7F"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6053A816"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Race </w:t>
            </w: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046450FA"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White</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17833966"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Non-White</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203DC8D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3.34</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7D4E77DB"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0.93</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4658FCA7"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1.23</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5EE16251"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16.50</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07859A7E"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2.55</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2B8477D1"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1.11</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13F54E91"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0.91</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44D3C8A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17.43</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0BC55615"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-23.73</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2C842BF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19.11</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65965487"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-25.71</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53359DAD"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5.64</w:t>
            </w:r>
          </w:p>
        </w:tc>
      </w:tr>
      <w:tr w:rsidR="000E1B51" w:rsidRPr="000E1B51" w14:paraId="215D75D0"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4900E952"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Education level</w:t>
            </w: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4303D4FE"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Below graduate degree</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050EE4D3"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Graduate degree</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276D303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3.58</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22E0A034"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1.07</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1E6EB107"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1.18</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178A0D9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16.17</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26394975"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2.85</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7EC3C5E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0.84</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378CE652"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1.18</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336CADB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17.12</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6B51C5E2"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-20.22</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3B215EF8"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-21.17</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0A453148"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0.00</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1B803AD3"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5.87</w:t>
            </w:r>
          </w:p>
        </w:tc>
      </w:tr>
      <w:tr w:rsidR="000E1B51" w:rsidRPr="000E1B51" w14:paraId="7D9D25FA" w14:textId="77777777" w:rsidTr="0077577E">
        <w:trPr>
          <w:trHeight w:val="274"/>
        </w:trPr>
        <w:tc>
          <w:tcPr>
            <w:tcW w:w="13211" w:type="dxa"/>
            <w:gridSpan w:val="15"/>
            <w:tcBorders>
              <w:top w:val="nil"/>
              <w:left w:val="double" w:sz="4" w:space="0" w:color="auto"/>
              <w:bottom w:val="single" w:sz="4" w:space="0" w:color="auto"/>
              <w:right w:val="double" w:sz="4" w:space="0" w:color="auto"/>
            </w:tcBorders>
            <w:shd w:val="clear" w:color="auto" w:fill="auto"/>
            <w:noWrap/>
            <w:tcMar>
              <w:right w:w="29" w:type="dxa"/>
            </w:tcMar>
            <w:vAlign w:val="center"/>
            <w:hideMark/>
          </w:tcPr>
          <w:p w14:paraId="197D7924" w14:textId="77777777" w:rsidR="000E1B51" w:rsidRPr="000E1B51" w:rsidRDefault="000E1B51" w:rsidP="00AC636C">
            <w:pPr>
              <w:spacing w:after="0" w:line="240" w:lineRule="auto"/>
              <w:rPr>
                <w:rFonts w:ascii="Calibri" w:eastAsia="Times New Roman" w:hAnsi="Calibri" w:cs="Calibri"/>
                <w:color w:val="000000"/>
                <w:sz w:val="20"/>
                <w:szCs w:val="20"/>
              </w:rPr>
            </w:pPr>
            <w:r w:rsidRPr="000E1B51">
              <w:rPr>
                <w:rFonts w:eastAsia="Times New Roman"/>
                <w:b/>
                <w:bCs/>
                <w:color w:val="000000"/>
                <w:sz w:val="20"/>
                <w:szCs w:val="20"/>
              </w:rPr>
              <w:t>Household Characteristics</w:t>
            </w:r>
          </w:p>
        </w:tc>
      </w:tr>
      <w:tr w:rsidR="000E1B51" w:rsidRPr="000E1B51" w14:paraId="5E520B63"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10C6E81A"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Income</w:t>
            </w: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39C2DFB9"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Less than $100,000</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040D917B"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More than $100,000</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1792C3E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3.00</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7472FCF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0.78</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7A5F6D7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1.18</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39F7511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17.03</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5FED9CC4"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3.39</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39A3EFC2"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1.07</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6131B62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1.18</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4B26A7E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16.35</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250319D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12.85</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03020773"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37.38</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7FE473CE"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0.00</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7A3BAC68"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-3.98</w:t>
            </w:r>
          </w:p>
        </w:tc>
      </w:tr>
      <w:tr w:rsidR="000E1B51" w:rsidRPr="000E1B51" w14:paraId="433A6CE0"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0C8BCDAE" w14:textId="7E63D41B"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Vehicle ownership</w:t>
            </w: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6A5E3139"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Zero vehicles</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3A934D92"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Three or more vehicles</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4013A92A"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2.71</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4D4D82E7"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1.09</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31A3BF2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0.92</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71E9B9F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17.29</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2E9162A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4.05</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1A8158B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0.86</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6F341321"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1.27</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3BCEC5D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15.83</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06895FEB"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49.43</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5F31696D"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-21.30</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05A65723"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38.40</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596999B4"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-8.44</w:t>
            </w:r>
          </w:p>
        </w:tc>
      </w:tr>
      <w:tr w:rsidR="000E1B51" w:rsidRPr="000E1B51" w14:paraId="77B0A6D8"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336FA917" w14:textId="116831CF"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Joint family</w:t>
            </w: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5DB6976B"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No</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40DBC953"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Yes</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4AC74CBE"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3.34</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5AD7FBD3"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0.95</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2AE4AF9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1.18</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2230D07B"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16.53</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45BAC0F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2.38</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288AC6F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1.04</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6EFF9A6A"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1.18</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5ED3C68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17.39</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7D74D461"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-28.57</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0604802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9.78</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75B630C3"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0.00</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697990B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5.21</w:t>
            </w:r>
          </w:p>
        </w:tc>
      </w:tr>
      <w:tr w:rsidR="000E1B51" w:rsidRPr="000E1B51" w14:paraId="762F4EE4"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4EFDB6C9" w14:textId="1EAA2022"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Presence of children</w:t>
            </w: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765A22D8"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No</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7AF7B2E6"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Yes</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0B971A45"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3.72</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3ED76E28"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1.00</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69A9CAF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1.09</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31DD8A01"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16.20</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1B041B63"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2.75</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079B625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0.87</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6F1827A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1.34</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0CB6042B"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17.05</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3DCA98A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-26.05</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204EE688"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-13.26</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0DEEBB2A"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22.90</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1A8EDFE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5.26</w:t>
            </w:r>
          </w:p>
        </w:tc>
      </w:tr>
      <w:tr w:rsidR="000E1B51" w:rsidRPr="000E1B51" w14:paraId="6480CAC2" w14:textId="77777777" w:rsidTr="0077577E">
        <w:trPr>
          <w:trHeight w:val="274"/>
        </w:trPr>
        <w:tc>
          <w:tcPr>
            <w:tcW w:w="13211" w:type="dxa"/>
            <w:gridSpan w:val="15"/>
            <w:tcBorders>
              <w:top w:val="nil"/>
              <w:left w:val="double" w:sz="4" w:space="0" w:color="auto"/>
              <w:bottom w:val="single" w:sz="4" w:space="0" w:color="auto"/>
              <w:right w:val="double" w:sz="4" w:space="0" w:color="auto"/>
            </w:tcBorders>
            <w:shd w:val="clear" w:color="auto" w:fill="auto"/>
            <w:noWrap/>
            <w:tcMar>
              <w:right w:w="29" w:type="dxa"/>
            </w:tcMar>
            <w:vAlign w:val="center"/>
            <w:hideMark/>
          </w:tcPr>
          <w:p w14:paraId="0FF27BB7" w14:textId="77777777" w:rsidR="000E1B51" w:rsidRPr="000E1B51" w:rsidRDefault="000E1B51" w:rsidP="00AC636C">
            <w:pPr>
              <w:spacing w:after="0" w:line="240" w:lineRule="auto"/>
              <w:rPr>
                <w:rFonts w:ascii="Calibri" w:eastAsia="Times New Roman" w:hAnsi="Calibri" w:cs="Calibri"/>
                <w:color w:val="000000"/>
                <w:sz w:val="20"/>
                <w:szCs w:val="20"/>
              </w:rPr>
            </w:pPr>
            <w:r w:rsidRPr="000E1B51">
              <w:rPr>
                <w:rFonts w:eastAsia="Times New Roman"/>
                <w:b/>
                <w:bCs/>
                <w:color w:val="000000"/>
                <w:sz w:val="20"/>
                <w:szCs w:val="20"/>
              </w:rPr>
              <w:t>Employment Status/Job Characteristics</w:t>
            </w:r>
          </w:p>
        </w:tc>
      </w:tr>
      <w:tr w:rsidR="000E1B51" w:rsidRPr="000E1B51" w14:paraId="6C8EC661" w14:textId="77777777" w:rsidTr="0077577E">
        <w:trPr>
          <w:trHeight w:val="274"/>
        </w:trPr>
        <w:tc>
          <w:tcPr>
            <w:tcW w:w="1525" w:type="dxa"/>
            <w:vMerge w:val="restart"/>
            <w:tcBorders>
              <w:top w:val="nil"/>
              <w:left w:val="double" w:sz="4" w:space="0" w:color="auto"/>
              <w:bottom w:val="single" w:sz="4" w:space="0" w:color="auto"/>
              <w:right w:val="single" w:sz="4" w:space="0" w:color="auto"/>
            </w:tcBorders>
            <w:shd w:val="clear" w:color="auto" w:fill="auto"/>
            <w:tcMar>
              <w:right w:w="29" w:type="dxa"/>
            </w:tcMar>
            <w:vAlign w:val="center"/>
            <w:hideMark/>
          </w:tcPr>
          <w:p w14:paraId="3BEF65EB"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Employment status and workplace location</w:t>
            </w: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6A25C25C"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Unemployed</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459E2308" w14:textId="6CD52036"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Full</w:t>
            </w:r>
            <w:r w:rsidR="006670B2">
              <w:rPr>
                <w:rFonts w:eastAsia="Times New Roman"/>
                <w:color w:val="000000"/>
                <w:sz w:val="20"/>
                <w:szCs w:val="20"/>
              </w:rPr>
              <w:t xml:space="preserve"> </w:t>
            </w:r>
            <w:r w:rsidRPr="000E1B51">
              <w:rPr>
                <w:rFonts w:eastAsia="Times New Roman"/>
                <w:color w:val="000000"/>
                <w:sz w:val="20"/>
                <w:szCs w:val="20"/>
              </w:rPr>
              <w:t>time-22ers with no work from home</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5EB2BB0D"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2.29</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09BED71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0.72</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794D4585"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1.04</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2470EED0"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17.95</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1B865FD5"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3.96</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0D171FA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0.84</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4B2743FB"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1.04</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3C67D1F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16.16</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75EFE6F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73.26</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0F7DA9CB"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16.46</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62E78C9D"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0.00</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680A41E4"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-9.99</w:t>
            </w:r>
          </w:p>
        </w:tc>
      </w:tr>
      <w:tr w:rsidR="000E1B51" w:rsidRPr="000E1B51" w14:paraId="03BE1E46" w14:textId="77777777" w:rsidTr="0077577E">
        <w:trPr>
          <w:trHeight w:val="274"/>
        </w:trPr>
        <w:tc>
          <w:tcPr>
            <w:tcW w:w="1525" w:type="dxa"/>
            <w:vMerge/>
            <w:tcBorders>
              <w:top w:val="nil"/>
              <w:left w:val="double" w:sz="4" w:space="0" w:color="auto"/>
              <w:bottom w:val="single" w:sz="4" w:space="0" w:color="auto"/>
              <w:right w:val="single" w:sz="4" w:space="0" w:color="auto"/>
            </w:tcBorders>
            <w:shd w:val="clear" w:color="auto" w:fill="auto"/>
            <w:tcMar>
              <w:right w:w="29" w:type="dxa"/>
            </w:tcMar>
            <w:vAlign w:val="center"/>
            <w:hideMark/>
          </w:tcPr>
          <w:p w14:paraId="3C5D6F6C" w14:textId="77777777" w:rsidR="000E1B51" w:rsidRPr="000E1B51" w:rsidRDefault="000E1B51" w:rsidP="00AC636C">
            <w:pPr>
              <w:spacing w:after="0" w:line="240" w:lineRule="auto"/>
              <w:rPr>
                <w:rFonts w:eastAsia="Times New Roman"/>
                <w:color w:val="000000"/>
                <w:sz w:val="20"/>
                <w:szCs w:val="20"/>
              </w:rPr>
            </w:pPr>
          </w:p>
        </w:tc>
        <w:tc>
          <w:tcPr>
            <w:tcW w:w="1260" w:type="dxa"/>
            <w:tcBorders>
              <w:top w:val="nil"/>
              <w:left w:val="nil"/>
              <w:bottom w:val="single" w:sz="4" w:space="0" w:color="auto"/>
              <w:right w:val="single" w:sz="4" w:space="0" w:color="auto"/>
            </w:tcBorders>
            <w:shd w:val="clear" w:color="auto" w:fill="auto"/>
            <w:noWrap/>
            <w:tcMar>
              <w:right w:w="29" w:type="dxa"/>
            </w:tcMar>
            <w:vAlign w:val="center"/>
            <w:hideMark/>
          </w:tcPr>
          <w:p w14:paraId="6788698F"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Unemployed</w:t>
            </w:r>
          </w:p>
        </w:tc>
        <w:tc>
          <w:tcPr>
            <w:tcW w:w="1261" w:type="dxa"/>
            <w:tcBorders>
              <w:top w:val="nil"/>
              <w:left w:val="nil"/>
              <w:bottom w:val="single" w:sz="4" w:space="0" w:color="auto"/>
              <w:right w:val="double" w:sz="4" w:space="0" w:color="auto"/>
            </w:tcBorders>
            <w:shd w:val="clear" w:color="auto" w:fill="auto"/>
            <w:noWrap/>
            <w:tcMar>
              <w:right w:w="29" w:type="dxa"/>
            </w:tcMar>
            <w:vAlign w:val="center"/>
            <w:hideMark/>
          </w:tcPr>
          <w:p w14:paraId="77467F4B" w14:textId="3DE2944C"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Full</w:t>
            </w:r>
            <w:r w:rsidR="006670B2">
              <w:rPr>
                <w:rFonts w:eastAsia="Times New Roman"/>
                <w:color w:val="000000"/>
                <w:sz w:val="20"/>
                <w:szCs w:val="20"/>
              </w:rPr>
              <w:t xml:space="preserve"> </w:t>
            </w:r>
            <w:r w:rsidRPr="000E1B51">
              <w:rPr>
                <w:rFonts w:eastAsia="Times New Roman"/>
                <w:color w:val="000000"/>
                <w:sz w:val="20"/>
                <w:szCs w:val="20"/>
              </w:rPr>
              <w:t>time-22ers with 33% workdays from home</w:t>
            </w:r>
          </w:p>
        </w:tc>
        <w:tc>
          <w:tcPr>
            <w:tcW w:w="836"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668E531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2.29</w:t>
            </w:r>
          </w:p>
        </w:tc>
        <w:tc>
          <w:tcPr>
            <w:tcW w:w="784" w:type="dxa"/>
            <w:tcBorders>
              <w:top w:val="nil"/>
              <w:left w:val="nil"/>
              <w:bottom w:val="single" w:sz="4" w:space="0" w:color="auto"/>
              <w:right w:val="single" w:sz="4" w:space="0" w:color="auto"/>
            </w:tcBorders>
            <w:shd w:val="clear" w:color="auto" w:fill="auto"/>
            <w:noWrap/>
            <w:tcMar>
              <w:right w:w="29" w:type="dxa"/>
            </w:tcMar>
            <w:vAlign w:val="center"/>
            <w:hideMark/>
          </w:tcPr>
          <w:p w14:paraId="7D17448A"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0.72</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00AD6D81"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1.04</w:t>
            </w:r>
          </w:p>
        </w:tc>
        <w:tc>
          <w:tcPr>
            <w:tcW w:w="677" w:type="dxa"/>
            <w:tcBorders>
              <w:top w:val="nil"/>
              <w:left w:val="nil"/>
              <w:bottom w:val="single" w:sz="4" w:space="0" w:color="auto"/>
              <w:right w:val="double" w:sz="4" w:space="0" w:color="auto"/>
            </w:tcBorders>
            <w:shd w:val="clear" w:color="auto" w:fill="auto"/>
            <w:noWrap/>
            <w:tcMar>
              <w:right w:w="29" w:type="dxa"/>
            </w:tcMar>
            <w:vAlign w:val="center"/>
            <w:hideMark/>
          </w:tcPr>
          <w:p w14:paraId="184E9BA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17.95</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1AB5E21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3.45</w:t>
            </w:r>
          </w:p>
        </w:tc>
        <w:tc>
          <w:tcPr>
            <w:tcW w:w="806" w:type="dxa"/>
            <w:tcBorders>
              <w:top w:val="nil"/>
              <w:left w:val="single" w:sz="4" w:space="0" w:color="auto"/>
              <w:bottom w:val="single" w:sz="4" w:space="0" w:color="auto"/>
              <w:right w:val="single" w:sz="4" w:space="0" w:color="auto"/>
            </w:tcBorders>
            <w:shd w:val="clear" w:color="auto" w:fill="auto"/>
            <w:noWrap/>
            <w:tcMar>
              <w:right w:w="29" w:type="dxa"/>
            </w:tcMar>
            <w:vAlign w:val="center"/>
            <w:hideMark/>
          </w:tcPr>
          <w:p w14:paraId="4EB010FE"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0.97</w:t>
            </w:r>
          </w:p>
        </w:tc>
        <w:tc>
          <w:tcPr>
            <w:tcW w:w="820" w:type="dxa"/>
            <w:tcBorders>
              <w:top w:val="nil"/>
              <w:left w:val="nil"/>
              <w:bottom w:val="single" w:sz="4" w:space="0" w:color="auto"/>
              <w:right w:val="single" w:sz="4" w:space="0" w:color="auto"/>
            </w:tcBorders>
            <w:shd w:val="clear" w:color="auto" w:fill="auto"/>
            <w:noWrap/>
            <w:tcMar>
              <w:right w:w="29" w:type="dxa"/>
            </w:tcMar>
            <w:vAlign w:val="center"/>
            <w:hideMark/>
          </w:tcPr>
          <w:p w14:paraId="5388C709"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1.18</w:t>
            </w:r>
          </w:p>
        </w:tc>
        <w:tc>
          <w:tcPr>
            <w:tcW w:w="645" w:type="dxa"/>
            <w:tcBorders>
              <w:top w:val="nil"/>
              <w:left w:val="nil"/>
              <w:bottom w:val="single" w:sz="4" w:space="0" w:color="auto"/>
              <w:right w:val="double" w:sz="4" w:space="0" w:color="auto"/>
            </w:tcBorders>
            <w:shd w:val="clear" w:color="auto" w:fill="auto"/>
            <w:noWrap/>
            <w:tcMar>
              <w:right w:w="29" w:type="dxa"/>
            </w:tcMar>
            <w:vAlign w:val="center"/>
            <w:hideMark/>
          </w:tcPr>
          <w:p w14:paraId="414895DC"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16.40</w:t>
            </w:r>
          </w:p>
        </w:tc>
        <w:tc>
          <w:tcPr>
            <w:tcW w:w="757" w:type="dxa"/>
            <w:tcBorders>
              <w:top w:val="nil"/>
              <w:left w:val="double" w:sz="4" w:space="0" w:color="auto"/>
              <w:bottom w:val="single" w:sz="4" w:space="0" w:color="auto"/>
              <w:right w:val="single" w:sz="4" w:space="0" w:color="auto"/>
            </w:tcBorders>
            <w:shd w:val="clear" w:color="auto" w:fill="auto"/>
            <w:noWrap/>
            <w:tcMar>
              <w:right w:w="29" w:type="dxa"/>
            </w:tcMar>
            <w:vAlign w:val="center"/>
            <w:hideMark/>
          </w:tcPr>
          <w:p w14:paraId="18AA00DA"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50.90</w:t>
            </w:r>
          </w:p>
        </w:tc>
        <w:tc>
          <w:tcPr>
            <w:tcW w:w="848" w:type="dxa"/>
            <w:tcBorders>
              <w:top w:val="nil"/>
              <w:left w:val="nil"/>
              <w:bottom w:val="single" w:sz="4" w:space="0" w:color="auto"/>
              <w:right w:val="single" w:sz="4" w:space="0" w:color="auto"/>
            </w:tcBorders>
            <w:shd w:val="clear" w:color="auto" w:fill="auto"/>
            <w:noWrap/>
            <w:tcMar>
              <w:right w:w="29" w:type="dxa"/>
            </w:tcMar>
            <w:vAlign w:val="center"/>
            <w:hideMark/>
          </w:tcPr>
          <w:p w14:paraId="4CEF5C33"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34.58</w:t>
            </w:r>
          </w:p>
        </w:tc>
        <w:tc>
          <w:tcPr>
            <w:tcW w:w="810" w:type="dxa"/>
            <w:tcBorders>
              <w:top w:val="nil"/>
              <w:left w:val="nil"/>
              <w:bottom w:val="single" w:sz="4" w:space="0" w:color="auto"/>
              <w:right w:val="single" w:sz="4" w:space="0" w:color="auto"/>
            </w:tcBorders>
            <w:shd w:val="clear" w:color="auto" w:fill="auto"/>
            <w:noWrap/>
            <w:tcMar>
              <w:right w:w="29" w:type="dxa"/>
            </w:tcMar>
            <w:vAlign w:val="center"/>
            <w:hideMark/>
          </w:tcPr>
          <w:p w14:paraId="15B0E26D"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13.38</w:t>
            </w:r>
          </w:p>
        </w:tc>
        <w:tc>
          <w:tcPr>
            <w:tcW w:w="614" w:type="dxa"/>
            <w:tcBorders>
              <w:top w:val="nil"/>
              <w:left w:val="nil"/>
              <w:bottom w:val="single" w:sz="4" w:space="0" w:color="auto"/>
              <w:right w:val="double" w:sz="4" w:space="0" w:color="auto"/>
            </w:tcBorders>
            <w:shd w:val="clear" w:color="auto" w:fill="auto"/>
            <w:noWrap/>
            <w:tcMar>
              <w:right w:w="29" w:type="dxa"/>
            </w:tcMar>
            <w:vAlign w:val="center"/>
            <w:hideMark/>
          </w:tcPr>
          <w:p w14:paraId="3DEB3787"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-8.64</w:t>
            </w:r>
          </w:p>
        </w:tc>
      </w:tr>
      <w:tr w:rsidR="000E1B51" w:rsidRPr="000E1B51" w14:paraId="280632F4" w14:textId="77777777" w:rsidTr="0077577E">
        <w:trPr>
          <w:trHeight w:val="274"/>
        </w:trPr>
        <w:tc>
          <w:tcPr>
            <w:tcW w:w="1525" w:type="dxa"/>
            <w:vMerge/>
            <w:tcBorders>
              <w:top w:val="nil"/>
              <w:left w:val="double" w:sz="4" w:space="0" w:color="auto"/>
              <w:bottom w:val="double" w:sz="4" w:space="0" w:color="auto"/>
              <w:right w:val="single" w:sz="4" w:space="0" w:color="auto"/>
            </w:tcBorders>
            <w:shd w:val="clear" w:color="auto" w:fill="auto"/>
            <w:tcMar>
              <w:right w:w="29" w:type="dxa"/>
            </w:tcMar>
            <w:vAlign w:val="center"/>
            <w:hideMark/>
          </w:tcPr>
          <w:p w14:paraId="2F9C09F2" w14:textId="77777777" w:rsidR="000E1B51" w:rsidRPr="000E1B51" w:rsidRDefault="000E1B51" w:rsidP="00AC636C">
            <w:pPr>
              <w:spacing w:after="0" w:line="240" w:lineRule="auto"/>
              <w:rPr>
                <w:rFonts w:eastAsia="Times New Roman"/>
                <w:color w:val="000000"/>
                <w:sz w:val="20"/>
                <w:szCs w:val="20"/>
              </w:rPr>
            </w:pPr>
          </w:p>
        </w:tc>
        <w:tc>
          <w:tcPr>
            <w:tcW w:w="1260" w:type="dxa"/>
            <w:tcBorders>
              <w:top w:val="nil"/>
              <w:left w:val="nil"/>
              <w:bottom w:val="double" w:sz="4" w:space="0" w:color="auto"/>
              <w:right w:val="single" w:sz="4" w:space="0" w:color="auto"/>
            </w:tcBorders>
            <w:shd w:val="clear" w:color="auto" w:fill="auto"/>
            <w:noWrap/>
            <w:tcMar>
              <w:right w:w="29" w:type="dxa"/>
            </w:tcMar>
            <w:vAlign w:val="center"/>
            <w:hideMark/>
          </w:tcPr>
          <w:p w14:paraId="10364A54" w14:textId="77777777"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Unemployed</w:t>
            </w:r>
          </w:p>
        </w:tc>
        <w:tc>
          <w:tcPr>
            <w:tcW w:w="1261" w:type="dxa"/>
            <w:tcBorders>
              <w:top w:val="nil"/>
              <w:left w:val="nil"/>
              <w:bottom w:val="double" w:sz="4" w:space="0" w:color="auto"/>
              <w:right w:val="double" w:sz="4" w:space="0" w:color="auto"/>
            </w:tcBorders>
            <w:shd w:val="clear" w:color="auto" w:fill="auto"/>
            <w:noWrap/>
            <w:tcMar>
              <w:right w:w="29" w:type="dxa"/>
            </w:tcMar>
            <w:vAlign w:val="center"/>
            <w:hideMark/>
          </w:tcPr>
          <w:p w14:paraId="0DCE41F3" w14:textId="554154AA" w:rsidR="000E1B51" w:rsidRPr="000E1B51" w:rsidRDefault="000E1B51" w:rsidP="00AC636C">
            <w:pPr>
              <w:spacing w:after="0" w:line="240" w:lineRule="auto"/>
              <w:rPr>
                <w:rFonts w:eastAsia="Times New Roman"/>
                <w:color w:val="000000"/>
                <w:sz w:val="20"/>
                <w:szCs w:val="20"/>
              </w:rPr>
            </w:pPr>
            <w:r w:rsidRPr="000E1B51">
              <w:rPr>
                <w:rFonts w:eastAsia="Times New Roman"/>
                <w:color w:val="000000"/>
                <w:sz w:val="20"/>
                <w:szCs w:val="20"/>
              </w:rPr>
              <w:t>Full</w:t>
            </w:r>
            <w:r w:rsidR="006670B2">
              <w:rPr>
                <w:rFonts w:eastAsia="Times New Roman"/>
                <w:color w:val="000000"/>
                <w:sz w:val="20"/>
                <w:szCs w:val="20"/>
              </w:rPr>
              <w:t xml:space="preserve"> </w:t>
            </w:r>
            <w:r w:rsidRPr="000E1B51">
              <w:rPr>
                <w:rFonts w:eastAsia="Times New Roman"/>
                <w:color w:val="000000"/>
                <w:sz w:val="20"/>
                <w:szCs w:val="20"/>
              </w:rPr>
              <w:t>time-22ers with 66% workdays from home</w:t>
            </w:r>
          </w:p>
        </w:tc>
        <w:tc>
          <w:tcPr>
            <w:tcW w:w="836" w:type="dxa"/>
            <w:tcBorders>
              <w:top w:val="nil"/>
              <w:left w:val="double" w:sz="4" w:space="0" w:color="auto"/>
              <w:bottom w:val="double" w:sz="4" w:space="0" w:color="auto"/>
              <w:right w:val="single" w:sz="4" w:space="0" w:color="auto"/>
            </w:tcBorders>
            <w:shd w:val="clear" w:color="auto" w:fill="auto"/>
            <w:noWrap/>
            <w:tcMar>
              <w:right w:w="29" w:type="dxa"/>
            </w:tcMar>
            <w:vAlign w:val="center"/>
            <w:hideMark/>
          </w:tcPr>
          <w:p w14:paraId="3CC4BB0E"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2.29</w:t>
            </w:r>
          </w:p>
        </w:tc>
        <w:tc>
          <w:tcPr>
            <w:tcW w:w="784" w:type="dxa"/>
            <w:tcBorders>
              <w:top w:val="nil"/>
              <w:left w:val="nil"/>
              <w:bottom w:val="double" w:sz="4" w:space="0" w:color="auto"/>
              <w:right w:val="single" w:sz="4" w:space="0" w:color="auto"/>
            </w:tcBorders>
            <w:shd w:val="clear" w:color="auto" w:fill="auto"/>
            <w:noWrap/>
            <w:tcMar>
              <w:right w:w="29" w:type="dxa"/>
            </w:tcMar>
            <w:vAlign w:val="center"/>
            <w:hideMark/>
          </w:tcPr>
          <w:p w14:paraId="6248CF44"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0.72</w:t>
            </w:r>
          </w:p>
        </w:tc>
        <w:tc>
          <w:tcPr>
            <w:tcW w:w="810" w:type="dxa"/>
            <w:tcBorders>
              <w:top w:val="nil"/>
              <w:left w:val="nil"/>
              <w:bottom w:val="double" w:sz="4" w:space="0" w:color="auto"/>
              <w:right w:val="single" w:sz="4" w:space="0" w:color="auto"/>
            </w:tcBorders>
            <w:shd w:val="clear" w:color="auto" w:fill="auto"/>
            <w:noWrap/>
            <w:tcMar>
              <w:right w:w="29" w:type="dxa"/>
            </w:tcMar>
            <w:vAlign w:val="center"/>
            <w:hideMark/>
          </w:tcPr>
          <w:p w14:paraId="1E4452F9"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1.04</w:t>
            </w:r>
          </w:p>
        </w:tc>
        <w:tc>
          <w:tcPr>
            <w:tcW w:w="677" w:type="dxa"/>
            <w:tcBorders>
              <w:top w:val="nil"/>
              <w:left w:val="nil"/>
              <w:bottom w:val="double" w:sz="4" w:space="0" w:color="auto"/>
              <w:right w:val="double" w:sz="4" w:space="0" w:color="auto"/>
            </w:tcBorders>
            <w:shd w:val="clear" w:color="auto" w:fill="auto"/>
            <w:noWrap/>
            <w:tcMar>
              <w:right w:w="29" w:type="dxa"/>
            </w:tcMar>
            <w:vAlign w:val="center"/>
            <w:hideMark/>
          </w:tcPr>
          <w:p w14:paraId="3E2FEA2E"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17.95</w:t>
            </w:r>
          </w:p>
        </w:tc>
        <w:tc>
          <w:tcPr>
            <w:tcW w:w="757" w:type="dxa"/>
            <w:tcBorders>
              <w:top w:val="nil"/>
              <w:left w:val="double" w:sz="4" w:space="0" w:color="auto"/>
              <w:bottom w:val="double" w:sz="4" w:space="0" w:color="auto"/>
              <w:right w:val="single" w:sz="4" w:space="0" w:color="auto"/>
            </w:tcBorders>
            <w:shd w:val="clear" w:color="auto" w:fill="auto"/>
            <w:noWrap/>
            <w:tcMar>
              <w:right w:w="29" w:type="dxa"/>
            </w:tcMar>
            <w:vAlign w:val="center"/>
            <w:hideMark/>
          </w:tcPr>
          <w:p w14:paraId="4F37CABD"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2.97</w:t>
            </w:r>
          </w:p>
        </w:tc>
        <w:tc>
          <w:tcPr>
            <w:tcW w:w="806" w:type="dxa"/>
            <w:tcBorders>
              <w:top w:val="nil"/>
              <w:left w:val="single" w:sz="4" w:space="0" w:color="auto"/>
              <w:bottom w:val="double" w:sz="4" w:space="0" w:color="auto"/>
              <w:right w:val="single" w:sz="4" w:space="0" w:color="auto"/>
            </w:tcBorders>
            <w:shd w:val="clear" w:color="auto" w:fill="auto"/>
            <w:noWrap/>
            <w:tcMar>
              <w:right w:w="29" w:type="dxa"/>
            </w:tcMar>
            <w:vAlign w:val="center"/>
            <w:hideMark/>
          </w:tcPr>
          <w:p w14:paraId="2A69A14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1.11</w:t>
            </w:r>
          </w:p>
        </w:tc>
        <w:tc>
          <w:tcPr>
            <w:tcW w:w="820" w:type="dxa"/>
            <w:tcBorders>
              <w:top w:val="nil"/>
              <w:left w:val="nil"/>
              <w:bottom w:val="double" w:sz="4" w:space="0" w:color="auto"/>
              <w:right w:val="single" w:sz="4" w:space="0" w:color="auto"/>
            </w:tcBorders>
            <w:shd w:val="clear" w:color="auto" w:fill="auto"/>
            <w:noWrap/>
            <w:tcMar>
              <w:right w:w="29" w:type="dxa"/>
            </w:tcMar>
            <w:vAlign w:val="center"/>
            <w:hideMark/>
          </w:tcPr>
          <w:p w14:paraId="315E15B6"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1.33</w:t>
            </w:r>
          </w:p>
        </w:tc>
        <w:tc>
          <w:tcPr>
            <w:tcW w:w="645" w:type="dxa"/>
            <w:tcBorders>
              <w:top w:val="nil"/>
              <w:left w:val="nil"/>
              <w:bottom w:val="double" w:sz="4" w:space="0" w:color="auto"/>
              <w:right w:val="double" w:sz="4" w:space="0" w:color="auto"/>
            </w:tcBorders>
            <w:shd w:val="clear" w:color="auto" w:fill="auto"/>
            <w:noWrap/>
            <w:tcMar>
              <w:right w:w="29" w:type="dxa"/>
            </w:tcMar>
            <w:vAlign w:val="center"/>
            <w:hideMark/>
          </w:tcPr>
          <w:p w14:paraId="0173C1EF"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16.59</w:t>
            </w:r>
          </w:p>
        </w:tc>
        <w:tc>
          <w:tcPr>
            <w:tcW w:w="757" w:type="dxa"/>
            <w:tcBorders>
              <w:top w:val="nil"/>
              <w:left w:val="double" w:sz="4" w:space="0" w:color="auto"/>
              <w:bottom w:val="double" w:sz="4" w:space="0" w:color="auto"/>
              <w:right w:val="single" w:sz="4" w:space="0" w:color="auto"/>
            </w:tcBorders>
            <w:shd w:val="clear" w:color="auto" w:fill="auto"/>
            <w:noWrap/>
            <w:tcMar>
              <w:right w:w="29" w:type="dxa"/>
            </w:tcMar>
            <w:vAlign w:val="center"/>
            <w:hideMark/>
          </w:tcPr>
          <w:p w14:paraId="50E3A6FE"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30.02</w:t>
            </w:r>
          </w:p>
        </w:tc>
        <w:tc>
          <w:tcPr>
            <w:tcW w:w="848" w:type="dxa"/>
            <w:tcBorders>
              <w:top w:val="nil"/>
              <w:left w:val="nil"/>
              <w:bottom w:val="double" w:sz="4" w:space="0" w:color="auto"/>
              <w:right w:val="single" w:sz="4" w:space="0" w:color="auto"/>
            </w:tcBorders>
            <w:shd w:val="clear" w:color="auto" w:fill="auto"/>
            <w:noWrap/>
            <w:tcMar>
              <w:right w:w="29" w:type="dxa"/>
            </w:tcMar>
            <w:vAlign w:val="center"/>
            <w:hideMark/>
          </w:tcPr>
          <w:p w14:paraId="488A4ED1"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53.79</w:t>
            </w:r>
          </w:p>
        </w:tc>
        <w:tc>
          <w:tcPr>
            <w:tcW w:w="810" w:type="dxa"/>
            <w:tcBorders>
              <w:top w:val="nil"/>
              <w:left w:val="nil"/>
              <w:bottom w:val="double" w:sz="4" w:space="0" w:color="auto"/>
              <w:right w:val="single" w:sz="4" w:space="0" w:color="auto"/>
            </w:tcBorders>
            <w:shd w:val="clear" w:color="auto" w:fill="auto"/>
            <w:noWrap/>
            <w:tcMar>
              <w:right w:w="29" w:type="dxa"/>
            </w:tcMar>
            <w:vAlign w:val="center"/>
            <w:hideMark/>
          </w:tcPr>
          <w:p w14:paraId="7CFE867B"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27.71</w:t>
            </w:r>
          </w:p>
        </w:tc>
        <w:tc>
          <w:tcPr>
            <w:tcW w:w="614" w:type="dxa"/>
            <w:tcBorders>
              <w:top w:val="nil"/>
              <w:left w:val="nil"/>
              <w:bottom w:val="double" w:sz="4" w:space="0" w:color="auto"/>
              <w:right w:val="double" w:sz="4" w:space="0" w:color="auto"/>
            </w:tcBorders>
            <w:shd w:val="clear" w:color="auto" w:fill="auto"/>
            <w:noWrap/>
            <w:tcMar>
              <w:right w:w="29" w:type="dxa"/>
            </w:tcMar>
            <w:vAlign w:val="center"/>
            <w:hideMark/>
          </w:tcPr>
          <w:p w14:paraId="4B7A25BA" w14:textId="77777777" w:rsidR="000E1B51" w:rsidRPr="000E1B51" w:rsidRDefault="000E1B51" w:rsidP="00AC636C">
            <w:pPr>
              <w:spacing w:after="0" w:line="240" w:lineRule="auto"/>
              <w:jc w:val="right"/>
              <w:rPr>
                <w:rFonts w:eastAsia="Times New Roman"/>
                <w:color w:val="000000"/>
                <w:sz w:val="20"/>
                <w:szCs w:val="20"/>
              </w:rPr>
            </w:pPr>
            <w:r w:rsidRPr="000E1B51">
              <w:rPr>
                <w:rFonts w:eastAsia="Times New Roman"/>
                <w:color w:val="000000"/>
                <w:sz w:val="20"/>
                <w:szCs w:val="20"/>
              </w:rPr>
              <w:t>-7.59</w:t>
            </w:r>
          </w:p>
        </w:tc>
      </w:tr>
    </w:tbl>
    <w:p w14:paraId="10DD8114" w14:textId="5B9C7F4C" w:rsidR="000E1B51" w:rsidRPr="001548D4" w:rsidRDefault="00FA08E0" w:rsidP="0077577E">
      <w:pPr>
        <w:pStyle w:val="Caption"/>
        <w:spacing w:after="0"/>
        <w:jc w:val="both"/>
        <w:rPr>
          <w:sz w:val="24"/>
          <w:szCs w:val="24"/>
        </w:rPr>
      </w:pPr>
      <w:r>
        <w:rPr>
          <w:sz w:val="24"/>
          <w:szCs w:val="24"/>
        </w:rPr>
        <w:lastRenderedPageBreak/>
        <w:t>Table 6</w:t>
      </w:r>
      <w:r w:rsidR="000E1B51" w:rsidRPr="002C5F6C">
        <w:rPr>
          <w:sz w:val="24"/>
          <w:szCs w:val="24"/>
        </w:rPr>
        <w:t>. Average Treatment Effect (ATE) for all endogenous variables</w:t>
      </w:r>
      <w:r w:rsidR="000E1B51">
        <w:rPr>
          <w:sz w:val="24"/>
          <w:szCs w:val="24"/>
        </w:rPr>
        <w:t xml:space="preserve"> (contd.)</w:t>
      </w:r>
    </w:p>
    <w:tbl>
      <w:tblPr>
        <w:tblW w:w="13211" w:type="dxa"/>
        <w:tblLayout w:type="fixed"/>
        <w:tblCellMar>
          <w:left w:w="29" w:type="dxa"/>
          <w:right w:w="43" w:type="dxa"/>
        </w:tblCellMar>
        <w:tblLook w:val="04A0" w:firstRow="1" w:lastRow="0" w:firstColumn="1" w:lastColumn="0" w:noHBand="0" w:noVBand="1"/>
      </w:tblPr>
      <w:tblGrid>
        <w:gridCol w:w="1525"/>
        <w:gridCol w:w="1260"/>
        <w:gridCol w:w="1261"/>
        <w:gridCol w:w="836"/>
        <w:gridCol w:w="784"/>
        <w:gridCol w:w="810"/>
        <w:gridCol w:w="677"/>
        <w:gridCol w:w="757"/>
        <w:gridCol w:w="806"/>
        <w:gridCol w:w="820"/>
        <w:gridCol w:w="645"/>
        <w:gridCol w:w="757"/>
        <w:gridCol w:w="848"/>
        <w:gridCol w:w="810"/>
        <w:gridCol w:w="615"/>
      </w:tblGrid>
      <w:tr w:rsidR="000E1B51" w:rsidRPr="006202ED" w14:paraId="1C935D6A" w14:textId="77777777" w:rsidTr="0077577E">
        <w:trPr>
          <w:trHeight w:val="274"/>
        </w:trPr>
        <w:tc>
          <w:tcPr>
            <w:tcW w:w="1525" w:type="dxa"/>
            <w:vMerge w:val="restart"/>
            <w:tcBorders>
              <w:top w:val="double" w:sz="4" w:space="0" w:color="auto"/>
              <w:left w:val="double" w:sz="4" w:space="0" w:color="auto"/>
              <w:right w:val="single" w:sz="4" w:space="0" w:color="auto"/>
            </w:tcBorders>
            <w:shd w:val="clear" w:color="auto" w:fill="auto"/>
            <w:vAlign w:val="center"/>
          </w:tcPr>
          <w:p w14:paraId="1CAD85DA" w14:textId="77777777" w:rsidR="000E1B51" w:rsidRPr="006202ED" w:rsidRDefault="000E1B51" w:rsidP="0077577E">
            <w:pPr>
              <w:spacing w:after="0" w:line="240" w:lineRule="auto"/>
              <w:rPr>
                <w:rFonts w:eastAsia="Times New Roman"/>
                <w:color w:val="000000"/>
                <w:sz w:val="20"/>
                <w:szCs w:val="20"/>
              </w:rPr>
            </w:pPr>
            <w:r w:rsidRPr="006202ED">
              <w:rPr>
                <w:rFonts w:eastAsia="Times New Roman"/>
                <w:b/>
                <w:bCs/>
                <w:color w:val="000000"/>
                <w:sz w:val="20"/>
                <w:szCs w:val="20"/>
              </w:rPr>
              <w:t>Variable</w:t>
            </w:r>
          </w:p>
        </w:tc>
        <w:tc>
          <w:tcPr>
            <w:tcW w:w="1260" w:type="dxa"/>
            <w:vMerge w:val="restart"/>
            <w:tcBorders>
              <w:top w:val="double" w:sz="4" w:space="0" w:color="auto"/>
              <w:left w:val="nil"/>
              <w:right w:val="single" w:sz="4" w:space="0" w:color="auto"/>
            </w:tcBorders>
            <w:shd w:val="clear" w:color="auto" w:fill="auto"/>
            <w:noWrap/>
            <w:vAlign w:val="center"/>
          </w:tcPr>
          <w:p w14:paraId="47F4CEC4" w14:textId="77777777" w:rsidR="000E1B51" w:rsidRPr="006202ED" w:rsidRDefault="000E1B51" w:rsidP="0077577E">
            <w:pPr>
              <w:spacing w:after="0" w:line="240" w:lineRule="auto"/>
              <w:rPr>
                <w:rFonts w:eastAsia="Times New Roman"/>
                <w:color w:val="000000"/>
                <w:sz w:val="20"/>
                <w:szCs w:val="20"/>
              </w:rPr>
            </w:pPr>
            <w:r w:rsidRPr="006202ED">
              <w:rPr>
                <w:rFonts w:eastAsia="Times New Roman"/>
                <w:b/>
                <w:bCs/>
                <w:color w:val="000000"/>
                <w:sz w:val="20"/>
                <w:szCs w:val="20"/>
              </w:rPr>
              <w:t>Base Level</w:t>
            </w:r>
          </w:p>
        </w:tc>
        <w:tc>
          <w:tcPr>
            <w:tcW w:w="1261" w:type="dxa"/>
            <w:vMerge w:val="restart"/>
            <w:tcBorders>
              <w:top w:val="double" w:sz="4" w:space="0" w:color="auto"/>
              <w:left w:val="nil"/>
              <w:right w:val="double" w:sz="4" w:space="0" w:color="auto"/>
            </w:tcBorders>
            <w:shd w:val="clear" w:color="auto" w:fill="auto"/>
            <w:noWrap/>
            <w:vAlign w:val="center"/>
          </w:tcPr>
          <w:p w14:paraId="15AD157D" w14:textId="77777777" w:rsidR="000E1B51" w:rsidRPr="006202ED" w:rsidRDefault="000E1B51" w:rsidP="0077577E">
            <w:pPr>
              <w:spacing w:after="0" w:line="240" w:lineRule="auto"/>
              <w:rPr>
                <w:rFonts w:eastAsia="Times New Roman"/>
                <w:color w:val="000000"/>
                <w:sz w:val="20"/>
                <w:szCs w:val="20"/>
              </w:rPr>
            </w:pPr>
            <w:r w:rsidRPr="006202ED">
              <w:rPr>
                <w:rFonts w:eastAsia="Times New Roman"/>
                <w:b/>
                <w:bCs/>
                <w:color w:val="000000"/>
                <w:sz w:val="20"/>
                <w:szCs w:val="20"/>
              </w:rPr>
              <w:t>Treatment Level</w:t>
            </w:r>
          </w:p>
        </w:tc>
        <w:tc>
          <w:tcPr>
            <w:tcW w:w="3107" w:type="dxa"/>
            <w:gridSpan w:val="4"/>
            <w:tcBorders>
              <w:top w:val="double" w:sz="4" w:space="0" w:color="auto"/>
              <w:left w:val="double" w:sz="4" w:space="0" w:color="auto"/>
              <w:bottom w:val="single" w:sz="4" w:space="0" w:color="auto"/>
              <w:right w:val="double" w:sz="4" w:space="0" w:color="auto"/>
            </w:tcBorders>
            <w:shd w:val="clear" w:color="auto" w:fill="auto"/>
            <w:noWrap/>
            <w:vAlign w:val="center"/>
          </w:tcPr>
          <w:p w14:paraId="2C1E1F8C"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 xml:space="preserve">Base </w:t>
            </w:r>
            <w:r>
              <w:rPr>
                <w:rFonts w:eastAsia="Times New Roman"/>
                <w:b/>
                <w:bCs/>
                <w:color w:val="000000"/>
                <w:sz w:val="20"/>
                <w:szCs w:val="20"/>
              </w:rPr>
              <w:t>level expected count</w:t>
            </w:r>
          </w:p>
        </w:tc>
        <w:tc>
          <w:tcPr>
            <w:tcW w:w="3028" w:type="dxa"/>
            <w:gridSpan w:val="4"/>
            <w:tcBorders>
              <w:top w:val="double" w:sz="4" w:space="0" w:color="auto"/>
              <w:left w:val="double" w:sz="4" w:space="0" w:color="auto"/>
              <w:bottom w:val="single" w:sz="4" w:space="0" w:color="auto"/>
              <w:right w:val="double" w:sz="4" w:space="0" w:color="auto"/>
            </w:tcBorders>
            <w:shd w:val="clear" w:color="auto" w:fill="auto"/>
            <w:noWrap/>
            <w:vAlign w:val="center"/>
          </w:tcPr>
          <w:p w14:paraId="1AAD0E1C"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 xml:space="preserve">Treatment </w:t>
            </w:r>
            <w:r>
              <w:rPr>
                <w:rFonts w:eastAsia="Times New Roman"/>
                <w:b/>
                <w:bCs/>
                <w:color w:val="000000"/>
                <w:sz w:val="20"/>
                <w:szCs w:val="20"/>
              </w:rPr>
              <w:t>level expected count</w:t>
            </w:r>
          </w:p>
        </w:tc>
        <w:tc>
          <w:tcPr>
            <w:tcW w:w="3029" w:type="dxa"/>
            <w:gridSpan w:val="4"/>
            <w:tcBorders>
              <w:top w:val="double" w:sz="4" w:space="0" w:color="auto"/>
              <w:left w:val="double" w:sz="4" w:space="0" w:color="auto"/>
              <w:bottom w:val="single" w:sz="4" w:space="0" w:color="auto"/>
              <w:right w:val="double" w:sz="4" w:space="0" w:color="auto"/>
            </w:tcBorders>
            <w:shd w:val="clear" w:color="auto" w:fill="auto"/>
            <w:noWrap/>
            <w:vAlign w:val="center"/>
          </w:tcPr>
          <w:p w14:paraId="7C031040"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ATE (</w:t>
            </w:r>
            <w:r>
              <w:rPr>
                <w:rFonts w:eastAsia="Times New Roman"/>
                <w:b/>
                <w:bCs/>
                <w:color w:val="000000"/>
                <w:sz w:val="20"/>
                <w:szCs w:val="20"/>
              </w:rPr>
              <w:t xml:space="preserve">% </w:t>
            </w:r>
            <w:r w:rsidRPr="006202ED">
              <w:rPr>
                <w:rFonts w:eastAsia="Times New Roman"/>
                <w:b/>
                <w:bCs/>
                <w:color w:val="000000"/>
                <w:sz w:val="20"/>
                <w:szCs w:val="20"/>
              </w:rPr>
              <w:t>shift)</w:t>
            </w:r>
          </w:p>
        </w:tc>
      </w:tr>
      <w:tr w:rsidR="000E1B51" w:rsidRPr="006202ED" w14:paraId="0F8C314A" w14:textId="77777777" w:rsidTr="0077577E">
        <w:trPr>
          <w:trHeight w:val="274"/>
        </w:trPr>
        <w:tc>
          <w:tcPr>
            <w:tcW w:w="1525" w:type="dxa"/>
            <w:vMerge/>
            <w:tcBorders>
              <w:left w:val="double" w:sz="4" w:space="0" w:color="auto"/>
              <w:right w:val="single" w:sz="4" w:space="0" w:color="auto"/>
            </w:tcBorders>
            <w:shd w:val="clear" w:color="auto" w:fill="auto"/>
            <w:vAlign w:val="center"/>
          </w:tcPr>
          <w:p w14:paraId="5C737037" w14:textId="77777777" w:rsidR="000E1B51" w:rsidRPr="006202ED" w:rsidRDefault="000E1B51" w:rsidP="00AC636C">
            <w:pPr>
              <w:spacing w:after="0" w:line="240" w:lineRule="auto"/>
              <w:rPr>
                <w:rFonts w:eastAsia="Times New Roman"/>
                <w:color w:val="000000"/>
                <w:sz w:val="20"/>
                <w:szCs w:val="20"/>
              </w:rPr>
            </w:pPr>
          </w:p>
        </w:tc>
        <w:tc>
          <w:tcPr>
            <w:tcW w:w="1260" w:type="dxa"/>
            <w:vMerge/>
            <w:tcBorders>
              <w:left w:val="nil"/>
              <w:right w:val="single" w:sz="4" w:space="0" w:color="auto"/>
            </w:tcBorders>
            <w:shd w:val="clear" w:color="auto" w:fill="auto"/>
            <w:noWrap/>
            <w:vAlign w:val="center"/>
          </w:tcPr>
          <w:p w14:paraId="53A4DD79" w14:textId="77777777" w:rsidR="000E1B51" w:rsidRPr="006202ED" w:rsidRDefault="000E1B51" w:rsidP="00AC636C">
            <w:pPr>
              <w:spacing w:after="0" w:line="240" w:lineRule="auto"/>
              <w:rPr>
                <w:rFonts w:eastAsia="Times New Roman"/>
                <w:color w:val="000000"/>
                <w:sz w:val="20"/>
                <w:szCs w:val="20"/>
              </w:rPr>
            </w:pPr>
          </w:p>
        </w:tc>
        <w:tc>
          <w:tcPr>
            <w:tcW w:w="1261" w:type="dxa"/>
            <w:vMerge/>
            <w:tcBorders>
              <w:left w:val="nil"/>
              <w:right w:val="double" w:sz="4" w:space="0" w:color="auto"/>
            </w:tcBorders>
            <w:shd w:val="clear" w:color="auto" w:fill="auto"/>
            <w:noWrap/>
            <w:vAlign w:val="center"/>
          </w:tcPr>
          <w:p w14:paraId="76D14F95" w14:textId="77777777" w:rsidR="000E1B51" w:rsidRPr="006202ED" w:rsidRDefault="000E1B51" w:rsidP="00AC636C">
            <w:pPr>
              <w:spacing w:after="0" w:line="240" w:lineRule="auto"/>
              <w:rPr>
                <w:rFonts w:eastAsia="Times New Roman"/>
                <w:color w:val="000000"/>
                <w:sz w:val="20"/>
                <w:szCs w:val="20"/>
              </w:rPr>
            </w:pPr>
          </w:p>
        </w:tc>
        <w:tc>
          <w:tcPr>
            <w:tcW w:w="2430" w:type="dxa"/>
            <w:gridSpan w:val="3"/>
            <w:tcBorders>
              <w:top w:val="nil"/>
              <w:left w:val="double" w:sz="4" w:space="0" w:color="auto"/>
              <w:bottom w:val="single" w:sz="4" w:space="0" w:color="auto"/>
              <w:right w:val="single" w:sz="4" w:space="0" w:color="auto"/>
            </w:tcBorders>
            <w:shd w:val="clear" w:color="auto" w:fill="auto"/>
            <w:noWrap/>
            <w:vAlign w:val="center"/>
          </w:tcPr>
          <w:p w14:paraId="56E70528" w14:textId="720354D6"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N</w:t>
            </w:r>
            <w:r w:rsidR="009D141C">
              <w:rPr>
                <w:rFonts w:eastAsia="Times New Roman"/>
                <w:b/>
                <w:bCs/>
                <w:color w:val="000000"/>
                <w:sz w:val="20"/>
                <w:szCs w:val="20"/>
              </w:rPr>
              <w:t>HCM</w:t>
            </w:r>
          </w:p>
        </w:tc>
        <w:tc>
          <w:tcPr>
            <w:tcW w:w="677" w:type="dxa"/>
            <w:vMerge w:val="restart"/>
            <w:tcBorders>
              <w:top w:val="nil"/>
              <w:left w:val="nil"/>
              <w:right w:val="double" w:sz="4" w:space="0" w:color="auto"/>
            </w:tcBorders>
            <w:shd w:val="clear" w:color="auto" w:fill="auto"/>
            <w:noWrap/>
            <w:vAlign w:val="center"/>
          </w:tcPr>
          <w:p w14:paraId="77BDBD73" w14:textId="04DA7E1F" w:rsidR="000E1B51" w:rsidRPr="006202ED" w:rsidRDefault="009D141C" w:rsidP="00AC636C">
            <w:pPr>
              <w:spacing w:after="0" w:line="240" w:lineRule="auto"/>
              <w:jc w:val="center"/>
              <w:rPr>
                <w:rFonts w:eastAsia="Times New Roman"/>
                <w:color w:val="000000"/>
                <w:sz w:val="20"/>
                <w:szCs w:val="20"/>
              </w:rPr>
            </w:pPr>
            <w:r>
              <w:rPr>
                <w:rFonts w:eastAsia="Times New Roman"/>
                <w:b/>
                <w:bCs/>
                <w:color w:val="000000"/>
                <w:sz w:val="20"/>
                <w:szCs w:val="20"/>
              </w:rPr>
              <w:t>HCM</w:t>
            </w:r>
          </w:p>
        </w:tc>
        <w:tc>
          <w:tcPr>
            <w:tcW w:w="2383" w:type="dxa"/>
            <w:gridSpan w:val="3"/>
            <w:tcBorders>
              <w:top w:val="nil"/>
              <w:left w:val="double" w:sz="4" w:space="0" w:color="auto"/>
              <w:bottom w:val="single" w:sz="4" w:space="0" w:color="auto"/>
              <w:right w:val="single" w:sz="4" w:space="0" w:color="auto"/>
            </w:tcBorders>
            <w:shd w:val="clear" w:color="auto" w:fill="auto"/>
            <w:noWrap/>
            <w:vAlign w:val="center"/>
          </w:tcPr>
          <w:p w14:paraId="4519D086" w14:textId="4D251FC9"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N</w:t>
            </w:r>
            <w:r w:rsidR="009D141C">
              <w:rPr>
                <w:rFonts w:eastAsia="Times New Roman"/>
                <w:b/>
                <w:bCs/>
                <w:color w:val="000000"/>
                <w:sz w:val="20"/>
                <w:szCs w:val="20"/>
              </w:rPr>
              <w:t>HCM</w:t>
            </w:r>
          </w:p>
        </w:tc>
        <w:tc>
          <w:tcPr>
            <w:tcW w:w="645" w:type="dxa"/>
            <w:vMerge w:val="restart"/>
            <w:tcBorders>
              <w:top w:val="nil"/>
              <w:left w:val="nil"/>
              <w:right w:val="double" w:sz="4" w:space="0" w:color="auto"/>
            </w:tcBorders>
            <w:shd w:val="clear" w:color="auto" w:fill="auto"/>
            <w:noWrap/>
            <w:vAlign w:val="center"/>
          </w:tcPr>
          <w:p w14:paraId="0A618651" w14:textId="24414886" w:rsidR="000E1B51" w:rsidRPr="006202ED" w:rsidRDefault="009D141C" w:rsidP="00AC636C">
            <w:pPr>
              <w:spacing w:after="0" w:line="240" w:lineRule="auto"/>
              <w:jc w:val="center"/>
              <w:rPr>
                <w:rFonts w:eastAsia="Times New Roman"/>
                <w:color w:val="000000"/>
                <w:sz w:val="20"/>
                <w:szCs w:val="20"/>
              </w:rPr>
            </w:pPr>
            <w:r>
              <w:rPr>
                <w:rFonts w:eastAsia="Times New Roman"/>
                <w:b/>
                <w:bCs/>
                <w:color w:val="000000"/>
                <w:sz w:val="20"/>
                <w:szCs w:val="20"/>
              </w:rPr>
              <w:t>HCM</w:t>
            </w:r>
          </w:p>
        </w:tc>
        <w:tc>
          <w:tcPr>
            <w:tcW w:w="2415" w:type="dxa"/>
            <w:gridSpan w:val="3"/>
            <w:tcBorders>
              <w:top w:val="nil"/>
              <w:left w:val="double" w:sz="4" w:space="0" w:color="auto"/>
              <w:bottom w:val="single" w:sz="4" w:space="0" w:color="auto"/>
              <w:right w:val="single" w:sz="4" w:space="0" w:color="auto"/>
            </w:tcBorders>
            <w:shd w:val="clear" w:color="auto" w:fill="auto"/>
            <w:noWrap/>
            <w:vAlign w:val="center"/>
          </w:tcPr>
          <w:p w14:paraId="5A6A7889" w14:textId="778802BC"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N</w:t>
            </w:r>
            <w:r w:rsidR="009D141C">
              <w:rPr>
                <w:rFonts w:eastAsia="Times New Roman"/>
                <w:b/>
                <w:bCs/>
                <w:color w:val="000000"/>
                <w:sz w:val="20"/>
                <w:szCs w:val="20"/>
              </w:rPr>
              <w:t>HCM</w:t>
            </w:r>
          </w:p>
        </w:tc>
        <w:tc>
          <w:tcPr>
            <w:tcW w:w="614" w:type="dxa"/>
            <w:vMerge w:val="restart"/>
            <w:tcBorders>
              <w:top w:val="nil"/>
              <w:left w:val="nil"/>
              <w:right w:val="double" w:sz="4" w:space="0" w:color="auto"/>
            </w:tcBorders>
            <w:shd w:val="clear" w:color="auto" w:fill="auto"/>
            <w:noWrap/>
            <w:vAlign w:val="center"/>
          </w:tcPr>
          <w:p w14:paraId="419F18EE" w14:textId="37DDE022" w:rsidR="000E1B51" w:rsidRPr="006202ED" w:rsidRDefault="009D141C" w:rsidP="00AC636C">
            <w:pPr>
              <w:spacing w:after="0" w:line="240" w:lineRule="auto"/>
              <w:jc w:val="center"/>
              <w:rPr>
                <w:rFonts w:eastAsia="Times New Roman"/>
                <w:color w:val="000000"/>
                <w:sz w:val="20"/>
                <w:szCs w:val="20"/>
              </w:rPr>
            </w:pPr>
            <w:r>
              <w:rPr>
                <w:rFonts w:eastAsia="Times New Roman"/>
                <w:b/>
                <w:bCs/>
                <w:color w:val="000000"/>
                <w:sz w:val="20"/>
                <w:szCs w:val="20"/>
              </w:rPr>
              <w:t>HCM</w:t>
            </w:r>
          </w:p>
        </w:tc>
      </w:tr>
      <w:tr w:rsidR="000E1B51" w:rsidRPr="006202ED" w14:paraId="7F83535E" w14:textId="77777777" w:rsidTr="0077577E">
        <w:trPr>
          <w:trHeight w:val="274"/>
        </w:trPr>
        <w:tc>
          <w:tcPr>
            <w:tcW w:w="1525" w:type="dxa"/>
            <w:vMerge/>
            <w:tcBorders>
              <w:left w:val="double" w:sz="4" w:space="0" w:color="auto"/>
              <w:bottom w:val="double" w:sz="4" w:space="0" w:color="auto"/>
              <w:right w:val="single" w:sz="4" w:space="0" w:color="auto"/>
            </w:tcBorders>
            <w:shd w:val="clear" w:color="auto" w:fill="auto"/>
            <w:vAlign w:val="center"/>
          </w:tcPr>
          <w:p w14:paraId="104B9AA9" w14:textId="77777777" w:rsidR="000E1B51" w:rsidRPr="006202ED" w:rsidRDefault="000E1B51" w:rsidP="00AC636C">
            <w:pPr>
              <w:spacing w:after="0" w:line="240" w:lineRule="auto"/>
              <w:rPr>
                <w:rFonts w:eastAsia="Times New Roman"/>
                <w:color w:val="000000"/>
                <w:sz w:val="20"/>
                <w:szCs w:val="20"/>
              </w:rPr>
            </w:pPr>
          </w:p>
        </w:tc>
        <w:tc>
          <w:tcPr>
            <w:tcW w:w="1260" w:type="dxa"/>
            <w:vMerge/>
            <w:tcBorders>
              <w:left w:val="nil"/>
              <w:bottom w:val="double" w:sz="4" w:space="0" w:color="auto"/>
              <w:right w:val="single" w:sz="4" w:space="0" w:color="auto"/>
            </w:tcBorders>
            <w:shd w:val="clear" w:color="auto" w:fill="auto"/>
            <w:noWrap/>
            <w:vAlign w:val="center"/>
          </w:tcPr>
          <w:p w14:paraId="3F78F067" w14:textId="77777777" w:rsidR="000E1B51" w:rsidRPr="006202ED" w:rsidRDefault="000E1B51" w:rsidP="00AC636C">
            <w:pPr>
              <w:spacing w:after="0" w:line="240" w:lineRule="auto"/>
              <w:rPr>
                <w:rFonts w:eastAsia="Times New Roman"/>
                <w:color w:val="000000"/>
                <w:sz w:val="20"/>
                <w:szCs w:val="20"/>
              </w:rPr>
            </w:pPr>
          </w:p>
        </w:tc>
        <w:tc>
          <w:tcPr>
            <w:tcW w:w="1261" w:type="dxa"/>
            <w:vMerge/>
            <w:tcBorders>
              <w:left w:val="nil"/>
              <w:bottom w:val="double" w:sz="4" w:space="0" w:color="auto"/>
              <w:right w:val="double" w:sz="4" w:space="0" w:color="auto"/>
            </w:tcBorders>
            <w:shd w:val="clear" w:color="auto" w:fill="auto"/>
            <w:noWrap/>
            <w:vAlign w:val="center"/>
          </w:tcPr>
          <w:p w14:paraId="1DAB834D" w14:textId="77777777" w:rsidR="000E1B51" w:rsidRPr="006202ED" w:rsidRDefault="000E1B51" w:rsidP="00AC636C">
            <w:pPr>
              <w:spacing w:after="0" w:line="240" w:lineRule="auto"/>
              <w:rPr>
                <w:rFonts w:eastAsia="Times New Roman"/>
                <w:color w:val="000000"/>
                <w:sz w:val="20"/>
                <w:szCs w:val="20"/>
              </w:rPr>
            </w:pPr>
          </w:p>
        </w:tc>
        <w:tc>
          <w:tcPr>
            <w:tcW w:w="836" w:type="dxa"/>
            <w:tcBorders>
              <w:top w:val="nil"/>
              <w:left w:val="double" w:sz="4" w:space="0" w:color="auto"/>
              <w:bottom w:val="double" w:sz="4" w:space="0" w:color="auto"/>
              <w:right w:val="single" w:sz="4" w:space="0" w:color="auto"/>
            </w:tcBorders>
            <w:shd w:val="clear" w:color="auto" w:fill="auto"/>
            <w:noWrap/>
            <w:vAlign w:val="center"/>
          </w:tcPr>
          <w:p w14:paraId="57D8D951"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Eat-out</w:t>
            </w:r>
          </w:p>
        </w:tc>
        <w:tc>
          <w:tcPr>
            <w:tcW w:w="784" w:type="dxa"/>
            <w:tcBorders>
              <w:top w:val="nil"/>
              <w:left w:val="nil"/>
              <w:bottom w:val="double" w:sz="4" w:space="0" w:color="auto"/>
              <w:right w:val="single" w:sz="4" w:space="0" w:color="auto"/>
            </w:tcBorders>
            <w:shd w:val="clear" w:color="auto" w:fill="auto"/>
            <w:noWrap/>
            <w:vAlign w:val="center"/>
          </w:tcPr>
          <w:p w14:paraId="3515E90B"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 xml:space="preserve">Eat-in </w:t>
            </w:r>
            <w:r>
              <w:rPr>
                <w:rFonts w:eastAsia="Times New Roman"/>
                <w:b/>
                <w:bCs/>
                <w:color w:val="000000"/>
                <w:sz w:val="20"/>
                <w:szCs w:val="20"/>
              </w:rPr>
              <w:t>Takeout</w:t>
            </w:r>
          </w:p>
        </w:tc>
        <w:tc>
          <w:tcPr>
            <w:tcW w:w="810" w:type="dxa"/>
            <w:tcBorders>
              <w:top w:val="nil"/>
              <w:left w:val="nil"/>
              <w:bottom w:val="double" w:sz="4" w:space="0" w:color="auto"/>
              <w:right w:val="single" w:sz="4" w:space="0" w:color="auto"/>
            </w:tcBorders>
            <w:shd w:val="clear" w:color="auto" w:fill="auto"/>
            <w:noWrap/>
            <w:vAlign w:val="center"/>
          </w:tcPr>
          <w:p w14:paraId="249A2510"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Eat-in Delivery</w:t>
            </w:r>
          </w:p>
        </w:tc>
        <w:tc>
          <w:tcPr>
            <w:tcW w:w="677" w:type="dxa"/>
            <w:vMerge/>
            <w:tcBorders>
              <w:left w:val="nil"/>
              <w:bottom w:val="double" w:sz="4" w:space="0" w:color="auto"/>
              <w:right w:val="double" w:sz="4" w:space="0" w:color="auto"/>
            </w:tcBorders>
            <w:shd w:val="clear" w:color="auto" w:fill="auto"/>
            <w:noWrap/>
            <w:vAlign w:val="center"/>
          </w:tcPr>
          <w:p w14:paraId="488C9707" w14:textId="77777777" w:rsidR="000E1B51" w:rsidRPr="006202ED" w:rsidRDefault="000E1B51" w:rsidP="00AC636C">
            <w:pPr>
              <w:spacing w:after="0" w:line="240" w:lineRule="auto"/>
              <w:jc w:val="right"/>
              <w:rPr>
                <w:rFonts w:eastAsia="Times New Roman"/>
                <w:color w:val="000000"/>
                <w:sz w:val="20"/>
                <w:szCs w:val="20"/>
              </w:rPr>
            </w:pPr>
          </w:p>
        </w:tc>
        <w:tc>
          <w:tcPr>
            <w:tcW w:w="757" w:type="dxa"/>
            <w:tcBorders>
              <w:top w:val="nil"/>
              <w:left w:val="double" w:sz="4" w:space="0" w:color="auto"/>
              <w:bottom w:val="double" w:sz="4" w:space="0" w:color="auto"/>
              <w:right w:val="single" w:sz="4" w:space="0" w:color="auto"/>
            </w:tcBorders>
            <w:shd w:val="clear" w:color="auto" w:fill="auto"/>
            <w:noWrap/>
            <w:vAlign w:val="center"/>
          </w:tcPr>
          <w:p w14:paraId="548AB491"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Eat-out</w:t>
            </w:r>
          </w:p>
        </w:tc>
        <w:tc>
          <w:tcPr>
            <w:tcW w:w="806" w:type="dxa"/>
            <w:tcBorders>
              <w:top w:val="nil"/>
              <w:left w:val="single" w:sz="4" w:space="0" w:color="auto"/>
              <w:bottom w:val="double" w:sz="4" w:space="0" w:color="auto"/>
              <w:right w:val="single" w:sz="4" w:space="0" w:color="auto"/>
            </w:tcBorders>
            <w:shd w:val="clear" w:color="auto" w:fill="auto"/>
            <w:noWrap/>
            <w:vAlign w:val="center"/>
          </w:tcPr>
          <w:p w14:paraId="683E1463"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 xml:space="preserve">Eat-in </w:t>
            </w:r>
            <w:r>
              <w:rPr>
                <w:rFonts w:eastAsia="Times New Roman"/>
                <w:b/>
                <w:bCs/>
                <w:color w:val="000000"/>
                <w:sz w:val="20"/>
                <w:szCs w:val="20"/>
              </w:rPr>
              <w:t>Takeout</w:t>
            </w:r>
          </w:p>
        </w:tc>
        <w:tc>
          <w:tcPr>
            <w:tcW w:w="820" w:type="dxa"/>
            <w:tcBorders>
              <w:top w:val="nil"/>
              <w:left w:val="nil"/>
              <w:bottom w:val="double" w:sz="4" w:space="0" w:color="auto"/>
              <w:right w:val="single" w:sz="4" w:space="0" w:color="auto"/>
            </w:tcBorders>
            <w:shd w:val="clear" w:color="auto" w:fill="auto"/>
            <w:noWrap/>
            <w:vAlign w:val="center"/>
          </w:tcPr>
          <w:p w14:paraId="30A10184"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Eat-in Delivery</w:t>
            </w:r>
          </w:p>
        </w:tc>
        <w:tc>
          <w:tcPr>
            <w:tcW w:w="645" w:type="dxa"/>
            <w:vMerge/>
            <w:tcBorders>
              <w:left w:val="nil"/>
              <w:bottom w:val="double" w:sz="4" w:space="0" w:color="auto"/>
              <w:right w:val="double" w:sz="4" w:space="0" w:color="auto"/>
            </w:tcBorders>
            <w:shd w:val="clear" w:color="auto" w:fill="auto"/>
            <w:noWrap/>
            <w:vAlign w:val="center"/>
          </w:tcPr>
          <w:p w14:paraId="2BC3FFD8" w14:textId="77777777" w:rsidR="000E1B51" w:rsidRPr="006202ED" w:rsidRDefault="000E1B51" w:rsidP="00AC636C">
            <w:pPr>
              <w:spacing w:after="0" w:line="240" w:lineRule="auto"/>
              <w:jc w:val="right"/>
              <w:rPr>
                <w:rFonts w:eastAsia="Times New Roman"/>
                <w:color w:val="000000"/>
                <w:sz w:val="20"/>
                <w:szCs w:val="20"/>
              </w:rPr>
            </w:pPr>
          </w:p>
        </w:tc>
        <w:tc>
          <w:tcPr>
            <w:tcW w:w="757" w:type="dxa"/>
            <w:tcBorders>
              <w:top w:val="nil"/>
              <w:left w:val="double" w:sz="4" w:space="0" w:color="auto"/>
              <w:bottom w:val="double" w:sz="4" w:space="0" w:color="auto"/>
              <w:right w:val="single" w:sz="4" w:space="0" w:color="auto"/>
            </w:tcBorders>
            <w:shd w:val="clear" w:color="auto" w:fill="auto"/>
            <w:noWrap/>
            <w:vAlign w:val="center"/>
          </w:tcPr>
          <w:p w14:paraId="193AC19C"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Eat-out</w:t>
            </w:r>
          </w:p>
        </w:tc>
        <w:tc>
          <w:tcPr>
            <w:tcW w:w="848" w:type="dxa"/>
            <w:tcBorders>
              <w:top w:val="nil"/>
              <w:left w:val="nil"/>
              <w:bottom w:val="double" w:sz="4" w:space="0" w:color="auto"/>
              <w:right w:val="single" w:sz="4" w:space="0" w:color="auto"/>
            </w:tcBorders>
            <w:shd w:val="clear" w:color="auto" w:fill="auto"/>
            <w:noWrap/>
            <w:vAlign w:val="center"/>
          </w:tcPr>
          <w:p w14:paraId="7E2243BA"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 xml:space="preserve">Eat-in </w:t>
            </w:r>
            <w:r>
              <w:rPr>
                <w:rFonts w:eastAsia="Times New Roman"/>
                <w:b/>
                <w:bCs/>
                <w:color w:val="000000"/>
                <w:sz w:val="20"/>
                <w:szCs w:val="20"/>
              </w:rPr>
              <w:t>Takeout</w:t>
            </w:r>
          </w:p>
        </w:tc>
        <w:tc>
          <w:tcPr>
            <w:tcW w:w="810" w:type="dxa"/>
            <w:tcBorders>
              <w:top w:val="nil"/>
              <w:left w:val="nil"/>
              <w:bottom w:val="double" w:sz="4" w:space="0" w:color="auto"/>
              <w:right w:val="single" w:sz="4" w:space="0" w:color="auto"/>
            </w:tcBorders>
            <w:shd w:val="clear" w:color="auto" w:fill="auto"/>
            <w:noWrap/>
            <w:vAlign w:val="center"/>
          </w:tcPr>
          <w:p w14:paraId="038D3068" w14:textId="77777777" w:rsidR="000E1B51" w:rsidRPr="006202ED" w:rsidRDefault="000E1B51" w:rsidP="00AC636C">
            <w:pPr>
              <w:spacing w:after="0" w:line="240" w:lineRule="auto"/>
              <w:jc w:val="center"/>
              <w:rPr>
                <w:rFonts w:eastAsia="Times New Roman"/>
                <w:color w:val="000000"/>
                <w:sz w:val="20"/>
                <w:szCs w:val="20"/>
              </w:rPr>
            </w:pPr>
            <w:r w:rsidRPr="006202ED">
              <w:rPr>
                <w:rFonts w:eastAsia="Times New Roman"/>
                <w:b/>
                <w:bCs/>
                <w:color w:val="000000"/>
                <w:sz w:val="20"/>
                <w:szCs w:val="20"/>
              </w:rPr>
              <w:t>Eat-in Delivery</w:t>
            </w:r>
          </w:p>
        </w:tc>
        <w:tc>
          <w:tcPr>
            <w:tcW w:w="614" w:type="dxa"/>
            <w:vMerge/>
            <w:tcBorders>
              <w:left w:val="nil"/>
              <w:bottom w:val="double" w:sz="4" w:space="0" w:color="auto"/>
              <w:right w:val="double" w:sz="4" w:space="0" w:color="auto"/>
            </w:tcBorders>
            <w:shd w:val="clear" w:color="auto" w:fill="auto"/>
            <w:noWrap/>
            <w:vAlign w:val="center"/>
          </w:tcPr>
          <w:p w14:paraId="5A86C6BE" w14:textId="77777777" w:rsidR="000E1B51" w:rsidRPr="006202ED" w:rsidRDefault="000E1B51" w:rsidP="00AC636C">
            <w:pPr>
              <w:spacing w:after="0" w:line="240" w:lineRule="auto"/>
              <w:jc w:val="right"/>
              <w:rPr>
                <w:rFonts w:eastAsia="Times New Roman"/>
                <w:color w:val="000000"/>
                <w:sz w:val="20"/>
                <w:szCs w:val="20"/>
              </w:rPr>
            </w:pPr>
          </w:p>
        </w:tc>
      </w:tr>
      <w:tr w:rsidR="000E1B51" w:rsidRPr="006202ED" w14:paraId="7698CE76" w14:textId="77777777" w:rsidTr="0077577E">
        <w:trPr>
          <w:trHeight w:val="274"/>
        </w:trPr>
        <w:tc>
          <w:tcPr>
            <w:tcW w:w="13211" w:type="dxa"/>
            <w:gridSpan w:val="15"/>
            <w:tcBorders>
              <w:top w:val="double" w:sz="4" w:space="0" w:color="auto"/>
              <w:left w:val="double" w:sz="4" w:space="0" w:color="auto"/>
              <w:bottom w:val="single" w:sz="4" w:space="0" w:color="auto"/>
              <w:right w:val="double" w:sz="4" w:space="0" w:color="auto"/>
            </w:tcBorders>
            <w:shd w:val="clear" w:color="auto" w:fill="auto"/>
            <w:vAlign w:val="center"/>
          </w:tcPr>
          <w:p w14:paraId="6C223003"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b/>
                <w:bCs/>
                <w:color w:val="000000"/>
                <w:sz w:val="20"/>
                <w:szCs w:val="20"/>
              </w:rPr>
              <w:t>Employment Status/Job Characteristics</w:t>
            </w:r>
          </w:p>
        </w:tc>
      </w:tr>
      <w:tr w:rsidR="000E1B51" w:rsidRPr="006202ED" w14:paraId="40B337FE"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vAlign w:val="center"/>
            <w:hideMark/>
          </w:tcPr>
          <w:p w14:paraId="5F3569F2" w14:textId="77777777" w:rsidR="000E1B51" w:rsidRPr="006202ED" w:rsidRDefault="000E1B51" w:rsidP="00AC636C">
            <w:pPr>
              <w:spacing w:after="0" w:line="240" w:lineRule="auto"/>
              <w:rPr>
                <w:rFonts w:eastAsia="Times New Roman"/>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hideMark/>
          </w:tcPr>
          <w:p w14:paraId="1F2E441B"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Unemployed</w:t>
            </w:r>
          </w:p>
        </w:tc>
        <w:tc>
          <w:tcPr>
            <w:tcW w:w="1261" w:type="dxa"/>
            <w:tcBorders>
              <w:top w:val="nil"/>
              <w:left w:val="nil"/>
              <w:bottom w:val="single" w:sz="4" w:space="0" w:color="auto"/>
              <w:right w:val="double" w:sz="4" w:space="0" w:color="auto"/>
            </w:tcBorders>
            <w:shd w:val="clear" w:color="auto" w:fill="auto"/>
            <w:noWrap/>
            <w:vAlign w:val="center"/>
            <w:hideMark/>
          </w:tcPr>
          <w:p w14:paraId="4CF77575" w14:textId="026B5AD5"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Full</w:t>
            </w:r>
            <w:r w:rsidR="006670B2">
              <w:rPr>
                <w:rFonts w:eastAsia="Times New Roman"/>
                <w:color w:val="000000"/>
                <w:sz w:val="20"/>
                <w:szCs w:val="20"/>
              </w:rPr>
              <w:t xml:space="preserve"> </w:t>
            </w:r>
            <w:r w:rsidRPr="006202ED">
              <w:rPr>
                <w:rFonts w:eastAsia="Times New Roman"/>
                <w:color w:val="000000"/>
                <w:sz w:val="20"/>
                <w:szCs w:val="20"/>
              </w:rPr>
              <w:t>time</w:t>
            </w:r>
            <w:r>
              <w:rPr>
                <w:rFonts w:eastAsia="Times New Roman"/>
                <w:color w:val="000000"/>
                <w:sz w:val="20"/>
                <w:szCs w:val="20"/>
              </w:rPr>
              <w:t>-22ers</w:t>
            </w:r>
            <w:r w:rsidRPr="006202ED">
              <w:rPr>
                <w:rFonts w:eastAsia="Times New Roman"/>
                <w:color w:val="000000"/>
                <w:sz w:val="20"/>
                <w:szCs w:val="20"/>
              </w:rPr>
              <w:t xml:space="preserve"> with 1</w:t>
            </w:r>
            <w:r>
              <w:rPr>
                <w:rFonts w:eastAsia="Times New Roman"/>
                <w:color w:val="000000"/>
                <w:sz w:val="20"/>
                <w:szCs w:val="20"/>
              </w:rPr>
              <w:t>00%</w:t>
            </w:r>
            <w:r w:rsidRPr="006202ED">
              <w:rPr>
                <w:rFonts w:eastAsia="Times New Roman"/>
                <w:color w:val="000000"/>
                <w:sz w:val="20"/>
                <w:szCs w:val="20"/>
              </w:rPr>
              <w:t xml:space="preserve"> work</w:t>
            </w:r>
            <w:r>
              <w:rPr>
                <w:rFonts w:eastAsia="Times New Roman"/>
                <w:color w:val="000000"/>
                <w:sz w:val="20"/>
                <w:szCs w:val="20"/>
              </w:rPr>
              <w:t>days</w:t>
            </w:r>
            <w:r w:rsidRPr="006202ED">
              <w:rPr>
                <w:rFonts w:eastAsia="Times New Roman"/>
                <w:color w:val="000000"/>
                <w:sz w:val="20"/>
                <w:szCs w:val="20"/>
              </w:rPr>
              <w:t xml:space="preserve"> from home</w:t>
            </w:r>
          </w:p>
        </w:tc>
        <w:tc>
          <w:tcPr>
            <w:tcW w:w="836" w:type="dxa"/>
            <w:tcBorders>
              <w:top w:val="nil"/>
              <w:left w:val="double" w:sz="4" w:space="0" w:color="auto"/>
              <w:bottom w:val="single" w:sz="4" w:space="0" w:color="auto"/>
              <w:right w:val="single" w:sz="4" w:space="0" w:color="auto"/>
            </w:tcBorders>
            <w:shd w:val="clear" w:color="auto" w:fill="auto"/>
            <w:noWrap/>
            <w:vAlign w:val="center"/>
            <w:hideMark/>
          </w:tcPr>
          <w:p w14:paraId="4C61E571"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2.29</w:t>
            </w:r>
          </w:p>
        </w:tc>
        <w:tc>
          <w:tcPr>
            <w:tcW w:w="784" w:type="dxa"/>
            <w:tcBorders>
              <w:top w:val="nil"/>
              <w:left w:val="nil"/>
              <w:bottom w:val="single" w:sz="4" w:space="0" w:color="auto"/>
              <w:right w:val="single" w:sz="4" w:space="0" w:color="auto"/>
            </w:tcBorders>
            <w:shd w:val="clear" w:color="auto" w:fill="auto"/>
            <w:noWrap/>
            <w:vAlign w:val="center"/>
            <w:hideMark/>
          </w:tcPr>
          <w:p w14:paraId="62ABF505"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0.72</w:t>
            </w:r>
          </w:p>
        </w:tc>
        <w:tc>
          <w:tcPr>
            <w:tcW w:w="810" w:type="dxa"/>
            <w:tcBorders>
              <w:top w:val="nil"/>
              <w:left w:val="nil"/>
              <w:bottom w:val="single" w:sz="4" w:space="0" w:color="auto"/>
              <w:right w:val="single" w:sz="4" w:space="0" w:color="auto"/>
            </w:tcBorders>
            <w:shd w:val="clear" w:color="auto" w:fill="auto"/>
            <w:noWrap/>
            <w:vAlign w:val="center"/>
            <w:hideMark/>
          </w:tcPr>
          <w:p w14:paraId="79E399E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1.04</w:t>
            </w:r>
          </w:p>
        </w:tc>
        <w:tc>
          <w:tcPr>
            <w:tcW w:w="677" w:type="dxa"/>
            <w:tcBorders>
              <w:top w:val="nil"/>
              <w:left w:val="nil"/>
              <w:bottom w:val="single" w:sz="4" w:space="0" w:color="auto"/>
              <w:right w:val="double" w:sz="4" w:space="0" w:color="auto"/>
            </w:tcBorders>
            <w:shd w:val="clear" w:color="auto" w:fill="auto"/>
            <w:noWrap/>
            <w:vAlign w:val="center"/>
            <w:hideMark/>
          </w:tcPr>
          <w:p w14:paraId="2B9431F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17.95</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6F4EDFD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2.52</w:t>
            </w:r>
          </w:p>
        </w:tc>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3FEF5EDB"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1.26</w:t>
            </w:r>
          </w:p>
        </w:tc>
        <w:tc>
          <w:tcPr>
            <w:tcW w:w="820" w:type="dxa"/>
            <w:tcBorders>
              <w:top w:val="nil"/>
              <w:left w:val="nil"/>
              <w:bottom w:val="single" w:sz="4" w:space="0" w:color="auto"/>
              <w:right w:val="single" w:sz="4" w:space="0" w:color="auto"/>
            </w:tcBorders>
            <w:shd w:val="clear" w:color="auto" w:fill="auto"/>
            <w:noWrap/>
            <w:vAlign w:val="center"/>
            <w:hideMark/>
          </w:tcPr>
          <w:p w14:paraId="5D16C050"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1.49</w:t>
            </w:r>
          </w:p>
        </w:tc>
        <w:tc>
          <w:tcPr>
            <w:tcW w:w="645" w:type="dxa"/>
            <w:tcBorders>
              <w:top w:val="nil"/>
              <w:left w:val="nil"/>
              <w:bottom w:val="single" w:sz="4" w:space="0" w:color="auto"/>
              <w:right w:val="double" w:sz="4" w:space="0" w:color="auto"/>
            </w:tcBorders>
            <w:shd w:val="clear" w:color="auto" w:fill="auto"/>
            <w:noWrap/>
            <w:vAlign w:val="center"/>
            <w:hideMark/>
          </w:tcPr>
          <w:p w14:paraId="4CDCA53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16.73</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47BAF4E3"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10.20</w:t>
            </w:r>
          </w:p>
        </w:tc>
        <w:tc>
          <w:tcPr>
            <w:tcW w:w="848" w:type="dxa"/>
            <w:tcBorders>
              <w:top w:val="nil"/>
              <w:left w:val="nil"/>
              <w:bottom w:val="single" w:sz="4" w:space="0" w:color="auto"/>
              <w:right w:val="single" w:sz="4" w:space="0" w:color="auto"/>
            </w:tcBorders>
            <w:shd w:val="clear" w:color="auto" w:fill="auto"/>
            <w:noWrap/>
            <w:vAlign w:val="center"/>
            <w:hideMark/>
          </w:tcPr>
          <w:p w14:paraId="6A51945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74.78</w:t>
            </w:r>
          </w:p>
        </w:tc>
        <w:tc>
          <w:tcPr>
            <w:tcW w:w="810" w:type="dxa"/>
            <w:tcBorders>
              <w:top w:val="nil"/>
              <w:left w:val="nil"/>
              <w:bottom w:val="single" w:sz="4" w:space="0" w:color="auto"/>
              <w:right w:val="single" w:sz="4" w:space="0" w:color="auto"/>
            </w:tcBorders>
            <w:shd w:val="clear" w:color="auto" w:fill="auto"/>
            <w:noWrap/>
            <w:vAlign w:val="center"/>
            <w:hideMark/>
          </w:tcPr>
          <w:p w14:paraId="56B57CD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43.53</w:t>
            </w:r>
          </w:p>
        </w:tc>
        <w:tc>
          <w:tcPr>
            <w:tcW w:w="614" w:type="dxa"/>
            <w:tcBorders>
              <w:top w:val="nil"/>
              <w:left w:val="nil"/>
              <w:bottom w:val="single" w:sz="4" w:space="0" w:color="auto"/>
              <w:right w:val="double" w:sz="4" w:space="0" w:color="auto"/>
            </w:tcBorders>
            <w:shd w:val="clear" w:color="auto" w:fill="auto"/>
            <w:noWrap/>
            <w:vAlign w:val="center"/>
            <w:hideMark/>
          </w:tcPr>
          <w:p w14:paraId="0B8321C5"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-6.83</w:t>
            </w:r>
          </w:p>
        </w:tc>
      </w:tr>
      <w:tr w:rsidR="000E1B51" w:rsidRPr="006202ED" w14:paraId="2DCBDBAB" w14:textId="77777777" w:rsidTr="0077577E">
        <w:trPr>
          <w:trHeight w:val="274"/>
        </w:trPr>
        <w:tc>
          <w:tcPr>
            <w:tcW w:w="13211" w:type="dxa"/>
            <w:gridSpan w:val="15"/>
            <w:tcBorders>
              <w:top w:val="nil"/>
              <w:left w:val="double" w:sz="4" w:space="0" w:color="auto"/>
              <w:bottom w:val="single" w:sz="4" w:space="0" w:color="auto"/>
              <w:right w:val="double" w:sz="4" w:space="0" w:color="auto"/>
            </w:tcBorders>
            <w:shd w:val="clear" w:color="auto" w:fill="auto"/>
            <w:noWrap/>
            <w:vAlign w:val="center"/>
            <w:hideMark/>
          </w:tcPr>
          <w:p w14:paraId="3677D24E" w14:textId="77777777" w:rsidR="000E1B51" w:rsidRPr="006202ED" w:rsidRDefault="000E1B51" w:rsidP="00AC636C">
            <w:pPr>
              <w:spacing w:after="0" w:line="240" w:lineRule="auto"/>
              <w:rPr>
                <w:rFonts w:eastAsia="Times New Roman"/>
                <w:b/>
                <w:bCs/>
                <w:color w:val="000000"/>
                <w:sz w:val="20"/>
                <w:szCs w:val="20"/>
              </w:rPr>
            </w:pPr>
            <w:r w:rsidRPr="006202ED">
              <w:rPr>
                <w:rFonts w:eastAsia="Times New Roman"/>
                <w:b/>
                <w:bCs/>
                <w:color w:val="000000"/>
                <w:sz w:val="20"/>
                <w:szCs w:val="20"/>
              </w:rPr>
              <w:t>Residential Location BE Factors</w:t>
            </w:r>
          </w:p>
        </w:tc>
      </w:tr>
      <w:tr w:rsidR="000E1B51" w:rsidRPr="006202ED" w14:paraId="3D416037"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vAlign w:val="center"/>
            <w:hideMark/>
          </w:tcPr>
          <w:p w14:paraId="00B70717"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Community region type</w:t>
            </w:r>
          </w:p>
        </w:tc>
        <w:tc>
          <w:tcPr>
            <w:tcW w:w="1260" w:type="dxa"/>
            <w:tcBorders>
              <w:top w:val="nil"/>
              <w:left w:val="nil"/>
              <w:bottom w:val="single" w:sz="4" w:space="0" w:color="auto"/>
              <w:right w:val="single" w:sz="4" w:space="0" w:color="auto"/>
            </w:tcBorders>
            <w:shd w:val="clear" w:color="auto" w:fill="auto"/>
            <w:noWrap/>
            <w:vAlign w:val="center"/>
            <w:hideMark/>
          </w:tcPr>
          <w:p w14:paraId="0897BA47"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Rural</w:t>
            </w:r>
          </w:p>
        </w:tc>
        <w:tc>
          <w:tcPr>
            <w:tcW w:w="1261" w:type="dxa"/>
            <w:tcBorders>
              <w:top w:val="nil"/>
              <w:left w:val="nil"/>
              <w:bottom w:val="single" w:sz="4" w:space="0" w:color="auto"/>
              <w:right w:val="double" w:sz="4" w:space="0" w:color="auto"/>
            </w:tcBorders>
            <w:shd w:val="clear" w:color="auto" w:fill="auto"/>
            <w:noWrap/>
            <w:vAlign w:val="center"/>
            <w:hideMark/>
          </w:tcPr>
          <w:p w14:paraId="3FD1DCC2"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Urban</w:t>
            </w:r>
          </w:p>
        </w:tc>
        <w:tc>
          <w:tcPr>
            <w:tcW w:w="836" w:type="dxa"/>
            <w:tcBorders>
              <w:top w:val="nil"/>
              <w:left w:val="double" w:sz="4" w:space="0" w:color="auto"/>
              <w:bottom w:val="single" w:sz="4" w:space="0" w:color="auto"/>
              <w:right w:val="single" w:sz="4" w:space="0" w:color="auto"/>
            </w:tcBorders>
            <w:shd w:val="clear" w:color="auto" w:fill="auto"/>
            <w:noWrap/>
            <w:vAlign w:val="center"/>
            <w:hideMark/>
          </w:tcPr>
          <w:p w14:paraId="710ECED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3.07</w:t>
            </w:r>
          </w:p>
        </w:tc>
        <w:tc>
          <w:tcPr>
            <w:tcW w:w="784" w:type="dxa"/>
            <w:tcBorders>
              <w:top w:val="nil"/>
              <w:left w:val="nil"/>
              <w:bottom w:val="single" w:sz="4" w:space="0" w:color="auto"/>
              <w:right w:val="single" w:sz="4" w:space="0" w:color="auto"/>
            </w:tcBorders>
            <w:shd w:val="clear" w:color="auto" w:fill="auto"/>
            <w:noWrap/>
            <w:vAlign w:val="center"/>
            <w:hideMark/>
          </w:tcPr>
          <w:p w14:paraId="6021CD7E"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0.40</w:t>
            </w:r>
          </w:p>
        </w:tc>
        <w:tc>
          <w:tcPr>
            <w:tcW w:w="810" w:type="dxa"/>
            <w:tcBorders>
              <w:top w:val="nil"/>
              <w:left w:val="nil"/>
              <w:bottom w:val="single" w:sz="4" w:space="0" w:color="auto"/>
              <w:right w:val="single" w:sz="4" w:space="0" w:color="auto"/>
            </w:tcBorders>
            <w:shd w:val="clear" w:color="auto" w:fill="auto"/>
            <w:noWrap/>
            <w:vAlign w:val="center"/>
            <w:hideMark/>
          </w:tcPr>
          <w:p w14:paraId="0BD54E6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0.97</w:t>
            </w:r>
          </w:p>
        </w:tc>
        <w:tc>
          <w:tcPr>
            <w:tcW w:w="677" w:type="dxa"/>
            <w:tcBorders>
              <w:top w:val="nil"/>
              <w:left w:val="nil"/>
              <w:bottom w:val="single" w:sz="4" w:space="0" w:color="auto"/>
              <w:right w:val="double" w:sz="4" w:space="0" w:color="auto"/>
            </w:tcBorders>
            <w:shd w:val="clear" w:color="auto" w:fill="auto"/>
            <w:noWrap/>
            <w:vAlign w:val="center"/>
            <w:hideMark/>
          </w:tcPr>
          <w:p w14:paraId="112D1039"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17.56</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08D40F89"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3.45</w:t>
            </w:r>
          </w:p>
        </w:tc>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4A64B06B"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1.02</w:t>
            </w:r>
          </w:p>
        </w:tc>
        <w:tc>
          <w:tcPr>
            <w:tcW w:w="820" w:type="dxa"/>
            <w:tcBorders>
              <w:top w:val="nil"/>
              <w:left w:val="nil"/>
              <w:bottom w:val="single" w:sz="4" w:space="0" w:color="auto"/>
              <w:right w:val="single" w:sz="4" w:space="0" w:color="auto"/>
            </w:tcBorders>
            <w:shd w:val="clear" w:color="auto" w:fill="auto"/>
            <w:noWrap/>
            <w:vAlign w:val="center"/>
            <w:hideMark/>
          </w:tcPr>
          <w:p w14:paraId="13D0D4D0"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1.44</w:t>
            </w:r>
          </w:p>
        </w:tc>
        <w:tc>
          <w:tcPr>
            <w:tcW w:w="645" w:type="dxa"/>
            <w:tcBorders>
              <w:top w:val="nil"/>
              <w:left w:val="nil"/>
              <w:bottom w:val="single" w:sz="4" w:space="0" w:color="auto"/>
              <w:right w:val="double" w:sz="4" w:space="0" w:color="auto"/>
            </w:tcBorders>
            <w:shd w:val="clear" w:color="auto" w:fill="auto"/>
            <w:noWrap/>
            <w:vAlign w:val="center"/>
            <w:hideMark/>
          </w:tcPr>
          <w:p w14:paraId="4D80DE2B"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16.09</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63D7F0B5"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12.29</w:t>
            </w:r>
          </w:p>
        </w:tc>
        <w:tc>
          <w:tcPr>
            <w:tcW w:w="848" w:type="dxa"/>
            <w:tcBorders>
              <w:top w:val="nil"/>
              <w:left w:val="nil"/>
              <w:bottom w:val="single" w:sz="4" w:space="0" w:color="auto"/>
              <w:right w:val="single" w:sz="4" w:space="0" w:color="auto"/>
            </w:tcBorders>
            <w:shd w:val="clear" w:color="auto" w:fill="auto"/>
            <w:noWrap/>
            <w:vAlign w:val="center"/>
            <w:hideMark/>
          </w:tcPr>
          <w:p w14:paraId="6E3A4ED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154.12</w:t>
            </w:r>
          </w:p>
        </w:tc>
        <w:tc>
          <w:tcPr>
            <w:tcW w:w="810" w:type="dxa"/>
            <w:tcBorders>
              <w:top w:val="nil"/>
              <w:left w:val="nil"/>
              <w:bottom w:val="single" w:sz="4" w:space="0" w:color="auto"/>
              <w:right w:val="single" w:sz="4" w:space="0" w:color="auto"/>
            </w:tcBorders>
            <w:shd w:val="clear" w:color="auto" w:fill="auto"/>
            <w:noWrap/>
            <w:vAlign w:val="center"/>
            <w:hideMark/>
          </w:tcPr>
          <w:p w14:paraId="4DEF1D9D"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48.75</w:t>
            </w:r>
          </w:p>
        </w:tc>
        <w:tc>
          <w:tcPr>
            <w:tcW w:w="614" w:type="dxa"/>
            <w:tcBorders>
              <w:top w:val="nil"/>
              <w:left w:val="nil"/>
              <w:bottom w:val="single" w:sz="4" w:space="0" w:color="auto"/>
              <w:right w:val="double" w:sz="4" w:space="0" w:color="auto"/>
            </w:tcBorders>
            <w:shd w:val="clear" w:color="auto" w:fill="auto"/>
            <w:noWrap/>
            <w:vAlign w:val="center"/>
            <w:hideMark/>
          </w:tcPr>
          <w:p w14:paraId="695000F3"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-8.35</w:t>
            </w:r>
          </w:p>
        </w:tc>
      </w:tr>
      <w:tr w:rsidR="000E1B51" w:rsidRPr="006202ED" w14:paraId="5B130E13"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vAlign w:val="center"/>
            <w:hideMark/>
          </w:tcPr>
          <w:p w14:paraId="1014F414"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Land-use diversity index</w:t>
            </w:r>
          </w:p>
        </w:tc>
        <w:tc>
          <w:tcPr>
            <w:tcW w:w="1260" w:type="dxa"/>
            <w:tcBorders>
              <w:top w:val="nil"/>
              <w:left w:val="nil"/>
              <w:bottom w:val="single" w:sz="4" w:space="0" w:color="auto"/>
              <w:right w:val="single" w:sz="4" w:space="0" w:color="auto"/>
            </w:tcBorders>
            <w:shd w:val="clear" w:color="auto" w:fill="auto"/>
            <w:noWrap/>
            <w:vAlign w:val="center"/>
            <w:hideMark/>
          </w:tcPr>
          <w:p w14:paraId="0EE44B6E"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0.42 (10th percentile)</w:t>
            </w:r>
          </w:p>
        </w:tc>
        <w:tc>
          <w:tcPr>
            <w:tcW w:w="1261" w:type="dxa"/>
            <w:tcBorders>
              <w:top w:val="nil"/>
              <w:left w:val="nil"/>
              <w:bottom w:val="single" w:sz="4" w:space="0" w:color="auto"/>
              <w:right w:val="double" w:sz="4" w:space="0" w:color="auto"/>
            </w:tcBorders>
            <w:shd w:val="clear" w:color="auto" w:fill="auto"/>
            <w:noWrap/>
            <w:vAlign w:val="center"/>
            <w:hideMark/>
          </w:tcPr>
          <w:p w14:paraId="672E7C39"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0.79 (90th percentile)</w:t>
            </w:r>
          </w:p>
        </w:tc>
        <w:tc>
          <w:tcPr>
            <w:tcW w:w="836" w:type="dxa"/>
            <w:tcBorders>
              <w:top w:val="nil"/>
              <w:left w:val="double" w:sz="4" w:space="0" w:color="auto"/>
              <w:bottom w:val="single" w:sz="4" w:space="0" w:color="auto"/>
              <w:right w:val="single" w:sz="4" w:space="0" w:color="auto"/>
            </w:tcBorders>
            <w:shd w:val="clear" w:color="auto" w:fill="auto"/>
            <w:noWrap/>
            <w:vAlign w:val="center"/>
            <w:hideMark/>
          </w:tcPr>
          <w:p w14:paraId="7D60788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3.34</w:t>
            </w:r>
          </w:p>
        </w:tc>
        <w:tc>
          <w:tcPr>
            <w:tcW w:w="784" w:type="dxa"/>
            <w:tcBorders>
              <w:top w:val="nil"/>
              <w:left w:val="nil"/>
              <w:bottom w:val="single" w:sz="4" w:space="0" w:color="auto"/>
              <w:right w:val="single" w:sz="4" w:space="0" w:color="auto"/>
            </w:tcBorders>
            <w:shd w:val="clear" w:color="auto" w:fill="auto"/>
            <w:noWrap/>
            <w:vAlign w:val="center"/>
            <w:hideMark/>
          </w:tcPr>
          <w:p w14:paraId="78FE0EB1"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0.91</w:t>
            </w:r>
          </w:p>
        </w:tc>
        <w:tc>
          <w:tcPr>
            <w:tcW w:w="810" w:type="dxa"/>
            <w:tcBorders>
              <w:top w:val="nil"/>
              <w:left w:val="nil"/>
              <w:bottom w:val="single" w:sz="4" w:space="0" w:color="auto"/>
              <w:right w:val="single" w:sz="4" w:space="0" w:color="auto"/>
            </w:tcBorders>
            <w:shd w:val="clear" w:color="auto" w:fill="auto"/>
            <w:noWrap/>
            <w:vAlign w:val="center"/>
            <w:hideMark/>
          </w:tcPr>
          <w:p w14:paraId="4586892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1.31</w:t>
            </w:r>
          </w:p>
        </w:tc>
        <w:tc>
          <w:tcPr>
            <w:tcW w:w="677" w:type="dxa"/>
            <w:tcBorders>
              <w:top w:val="nil"/>
              <w:left w:val="nil"/>
              <w:bottom w:val="single" w:sz="4" w:space="0" w:color="auto"/>
              <w:right w:val="double" w:sz="4" w:space="0" w:color="auto"/>
            </w:tcBorders>
            <w:shd w:val="clear" w:color="auto" w:fill="auto"/>
            <w:noWrap/>
            <w:vAlign w:val="center"/>
            <w:hideMark/>
          </w:tcPr>
          <w:p w14:paraId="554933FA"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16.44</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745BD33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3.15</w:t>
            </w:r>
          </w:p>
        </w:tc>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01C3A7B3"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1.00</w:t>
            </w:r>
          </w:p>
        </w:tc>
        <w:tc>
          <w:tcPr>
            <w:tcW w:w="820" w:type="dxa"/>
            <w:tcBorders>
              <w:top w:val="nil"/>
              <w:left w:val="nil"/>
              <w:bottom w:val="single" w:sz="4" w:space="0" w:color="auto"/>
              <w:right w:val="single" w:sz="4" w:space="0" w:color="auto"/>
            </w:tcBorders>
            <w:shd w:val="clear" w:color="auto" w:fill="auto"/>
            <w:noWrap/>
            <w:vAlign w:val="center"/>
            <w:hideMark/>
          </w:tcPr>
          <w:p w14:paraId="4A053E1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1.08</w:t>
            </w:r>
          </w:p>
        </w:tc>
        <w:tc>
          <w:tcPr>
            <w:tcW w:w="645" w:type="dxa"/>
            <w:tcBorders>
              <w:top w:val="nil"/>
              <w:left w:val="nil"/>
              <w:bottom w:val="single" w:sz="4" w:space="0" w:color="auto"/>
              <w:right w:val="double" w:sz="4" w:space="0" w:color="auto"/>
            </w:tcBorders>
            <w:shd w:val="clear" w:color="auto" w:fill="auto"/>
            <w:noWrap/>
            <w:vAlign w:val="center"/>
            <w:hideMark/>
          </w:tcPr>
          <w:p w14:paraId="462BDDD0"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16.77</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1BE93CC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-5.57</w:t>
            </w:r>
          </w:p>
        </w:tc>
        <w:tc>
          <w:tcPr>
            <w:tcW w:w="848" w:type="dxa"/>
            <w:tcBorders>
              <w:top w:val="nil"/>
              <w:left w:val="nil"/>
              <w:bottom w:val="single" w:sz="4" w:space="0" w:color="auto"/>
              <w:right w:val="single" w:sz="4" w:space="0" w:color="auto"/>
            </w:tcBorders>
            <w:shd w:val="clear" w:color="auto" w:fill="auto"/>
            <w:noWrap/>
            <w:vAlign w:val="center"/>
            <w:hideMark/>
          </w:tcPr>
          <w:p w14:paraId="5DCE157B"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9.46</w:t>
            </w:r>
          </w:p>
        </w:tc>
        <w:tc>
          <w:tcPr>
            <w:tcW w:w="810" w:type="dxa"/>
            <w:tcBorders>
              <w:top w:val="nil"/>
              <w:left w:val="nil"/>
              <w:bottom w:val="single" w:sz="4" w:space="0" w:color="auto"/>
              <w:right w:val="single" w:sz="4" w:space="0" w:color="auto"/>
            </w:tcBorders>
            <w:shd w:val="clear" w:color="auto" w:fill="auto"/>
            <w:noWrap/>
            <w:vAlign w:val="center"/>
            <w:hideMark/>
          </w:tcPr>
          <w:p w14:paraId="461AF270"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-17.76</w:t>
            </w:r>
          </w:p>
        </w:tc>
        <w:tc>
          <w:tcPr>
            <w:tcW w:w="614" w:type="dxa"/>
            <w:tcBorders>
              <w:top w:val="nil"/>
              <w:left w:val="nil"/>
              <w:bottom w:val="single" w:sz="4" w:space="0" w:color="auto"/>
              <w:right w:val="double" w:sz="4" w:space="0" w:color="auto"/>
            </w:tcBorders>
            <w:shd w:val="clear" w:color="auto" w:fill="auto"/>
            <w:noWrap/>
            <w:vAlign w:val="center"/>
            <w:hideMark/>
          </w:tcPr>
          <w:p w14:paraId="12D39BF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2.03</w:t>
            </w:r>
          </w:p>
        </w:tc>
      </w:tr>
      <w:tr w:rsidR="000E1B51" w:rsidRPr="006202ED" w14:paraId="0544722E"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vAlign w:val="center"/>
            <w:hideMark/>
          </w:tcPr>
          <w:p w14:paraId="050FC35A"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Number of restaurants per 100 square acres &gt; 20</w:t>
            </w:r>
          </w:p>
        </w:tc>
        <w:tc>
          <w:tcPr>
            <w:tcW w:w="1260" w:type="dxa"/>
            <w:tcBorders>
              <w:top w:val="nil"/>
              <w:left w:val="nil"/>
              <w:bottom w:val="single" w:sz="4" w:space="0" w:color="auto"/>
              <w:right w:val="single" w:sz="4" w:space="0" w:color="auto"/>
            </w:tcBorders>
            <w:shd w:val="clear" w:color="auto" w:fill="auto"/>
            <w:noWrap/>
            <w:vAlign w:val="center"/>
            <w:hideMark/>
          </w:tcPr>
          <w:p w14:paraId="48C5FC02"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No</w:t>
            </w:r>
          </w:p>
        </w:tc>
        <w:tc>
          <w:tcPr>
            <w:tcW w:w="1261" w:type="dxa"/>
            <w:tcBorders>
              <w:top w:val="nil"/>
              <w:left w:val="nil"/>
              <w:bottom w:val="single" w:sz="4" w:space="0" w:color="auto"/>
              <w:right w:val="double" w:sz="4" w:space="0" w:color="auto"/>
            </w:tcBorders>
            <w:shd w:val="clear" w:color="auto" w:fill="auto"/>
            <w:noWrap/>
            <w:vAlign w:val="center"/>
            <w:hideMark/>
          </w:tcPr>
          <w:p w14:paraId="6E61A7EC"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Yes</w:t>
            </w:r>
          </w:p>
        </w:tc>
        <w:tc>
          <w:tcPr>
            <w:tcW w:w="836" w:type="dxa"/>
            <w:tcBorders>
              <w:top w:val="nil"/>
              <w:left w:val="double" w:sz="4" w:space="0" w:color="auto"/>
              <w:bottom w:val="single" w:sz="4" w:space="0" w:color="auto"/>
              <w:right w:val="single" w:sz="4" w:space="0" w:color="auto"/>
            </w:tcBorders>
            <w:shd w:val="clear" w:color="auto" w:fill="auto"/>
            <w:noWrap/>
            <w:vAlign w:val="center"/>
            <w:hideMark/>
          </w:tcPr>
          <w:p w14:paraId="337408B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3.15</w:t>
            </w:r>
          </w:p>
        </w:tc>
        <w:tc>
          <w:tcPr>
            <w:tcW w:w="784" w:type="dxa"/>
            <w:tcBorders>
              <w:top w:val="nil"/>
              <w:left w:val="nil"/>
              <w:bottom w:val="single" w:sz="4" w:space="0" w:color="auto"/>
              <w:right w:val="single" w:sz="4" w:space="0" w:color="auto"/>
            </w:tcBorders>
            <w:shd w:val="clear" w:color="auto" w:fill="auto"/>
            <w:noWrap/>
            <w:vAlign w:val="center"/>
            <w:hideMark/>
          </w:tcPr>
          <w:p w14:paraId="057F1140"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0.97</w:t>
            </w:r>
          </w:p>
        </w:tc>
        <w:tc>
          <w:tcPr>
            <w:tcW w:w="810" w:type="dxa"/>
            <w:tcBorders>
              <w:top w:val="nil"/>
              <w:left w:val="nil"/>
              <w:bottom w:val="single" w:sz="4" w:space="0" w:color="auto"/>
              <w:right w:val="single" w:sz="4" w:space="0" w:color="auto"/>
            </w:tcBorders>
            <w:shd w:val="clear" w:color="auto" w:fill="auto"/>
            <w:noWrap/>
            <w:vAlign w:val="center"/>
            <w:hideMark/>
          </w:tcPr>
          <w:p w14:paraId="76C583A3"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1.18</w:t>
            </w:r>
          </w:p>
        </w:tc>
        <w:tc>
          <w:tcPr>
            <w:tcW w:w="677" w:type="dxa"/>
            <w:tcBorders>
              <w:top w:val="nil"/>
              <w:left w:val="nil"/>
              <w:bottom w:val="single" w:sz="4" w:space="0" w:color="auto"/>
              <w:right w:val="double" w:sz="4" w:space="0" w:color="auto"/>
            </w:tcBorders>
            <w:shd w:val="clear" w:color="auto" w:fill="auto"/>
            <w:noWrap/>
            <w:vAlign w:val="center"/>
            <w:hideMark/>
          </w:tcPr>
          <w:p w14:paraId="1257F7A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16.70</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53C5A49A"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3.95</w:t>
            </w:r>
          </w:p>
        </w:tc>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60489258"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0.89</w:t>
            </w:r>
          </w:p>
        </w:tc>
        <w:tc>
          <w:tcPr>
            <w:tcW w:w="820" w:type="dxa"/>
            <w:tcBorders>
              <w:top w:val="nil"/>
              <w:left w:val="nil"/>
              <w:bottom w:val="single" w:sz="4" w:space="0" w:color="auto"/>
              <w:right w:val="single" w:sz="4" w:space="0" w:color="auto"/>
            </w:tcBorders>
            <w:shd w:val="clear" w:color="auto" w:fill="auto"/>
            <w:noWrap/>
            <w:vAlign w:val="center"/>
            <w:hideMark/>
          </w:tcPr>
          <w:p w14:paraId="5B23111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1.18</w:t>
            </w:r>
          </w:p>
        </w:tc>
        <w:tc>
          <w:tcPr>
            <w:tcW w:w="645" w:type="dxa"/>
            <w:tcBorders>
              <w:top w:val="nil"/>
              <w:left w:val="nil"/>
              <w:bottom w:val="single" w:sz="4" w:space="0" w:color="auto"/>
              <w:right w:val="double" w:sz="4" w:space="0" w:color="auto"/>
            </w:tcBorders>
            <w:shd w:val="clear" w:color="auto" w:fill="auto"/>
            <w:noWrap/>
            <w:vAlign w:val="center"/>
            <w:hideMark/>
          </w:tcPr>
          <w:p w14:paraId="6B54428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15.97</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1A89095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25.53</w:t>
            </w:r>
          </w:p>
        </w:tc>
        <w:tc>
          <w:tcPr>
            <w:tcW w:w="848" w:type="dxa"/>
            <w:tcBorders>
              <w:top w:val="nil"/>
              <w:left w:val="nil"/>
              <w:bottom w:val="single" w:sz="4" w:space="0" w:color="auto"/>
              <w:right w:val="single" w:sz="4" w:space="0" w:color="auto"/>
            </w:tcBorders>
            <w:shd w:val="clear" w:color="auto" w:fill="auto"/>
            <w:noWrap/>
            <w:vAlign w:val="center"/>
            <w:hideMark/>
          </w:tcPr>
          <w:p w14:paraId="16380F6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-7.40</w:t>
            </w:r>
          </w:p>
        </w:tc>
        <w:tc>
          <w:tcPr>
            <w:tcW w:w="810" w:type="dxa"/>
            <w:tcBorders>
              <w:top w:val="nil"/>
              <w:left w:val="nil"/>
              <w:bottom w:val="single" w:sz="4" w:space="0" w:color="auto"/>
              <w:right w:val="single" w:sz="4" w:space="0" w:color="auto"/>
            </w:tcBorders>
            <w:shd w:val="clear" w:color="auto" w:fill="auto"/>
            <w:noWrap/>
            <w:vAlign w:val="center"/>
            <w:hideMark/>
          </w:tcPr>
          <w:p w14:paraId="7FB45A4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0.00</w:t>
            </w:r>
          </w:p>
        </w:tc>
        <w:tc>
          <w:tcPr>
            <w:tcW w:w="614" w:type="dxa"/>
            <w:tcBorders>
              <w:top w:val="nil"/>
              <w:left w:val="nil"/>
              <w:bottom w:val="single" w:sz="4" w:space="0" w:color="auto"/>
              <w:right w:val="double" w:sz="4" w:space="0" w:color="auto"/>
            </w:tcBorders>
            <w:shd w:val="clear" w:color="auto" w:fill="auto"/>
            <w:noWrap/>
            <w:vAlign w:val="center"/>
            <w:hideMark/>
          </w:tcPr>
          <w:p w14:paraId="44F850E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-4.38</w:t>
            </w:r>
          </w:p>
        </w:tc>
      </w:tr>
      <w:tr w:rsidR="000E1B51" w:rsidRPr="006202ED" w14:paraId="15643DB0" w14:textId="77777777" w:rsidTr="0077577E">
        <w:trPr>
          <w:trHeight w:val="274"/>
        </w:trPr>
        <w:tc>
          <w:tcPr>
            <w:tcW w:w="13211" w:type="dxa"/>
            <w:gridSpan w:val="15"/>
            <w:tcBorders>
              <w:top w:val="nil"/>
              <w:left w:val="double" w:sz="4" w:space="0" w:color="auto"/>
              <w:bottom w:val="single" w:sz="4" w:space="0" w:color="auto"/>
              <w:right w:val="double" w:sz="4" w:space="0" w:color="auto"/>
            </w:tcBorders>
            <w:shd w:val="clear" w:color="auto" w:fill="auto"/>
            <w:noWrap/>
            <w:vAlign w:val="center"/>
            <w:hideMark/>
          </w:tcPr>
          <w:p w14:paraId="2DDD1465" w14:textId="77777777" w:rsidR="000E1B51" w:rsidRPr="006202ED" w:rsidRDefault="000E1B51" w:rsidP="00AC636C">
            <w:pPr>
              <w:spacing w:after="0" w:line="240" w:lineRule="auto"/>
              <w:rPr>
                <w:rFonts w:eastAsia="Times New Roman"/>
                <w:b/>
                <w:bCs/>
                <w:color w:val="000000"/>
                <w:sz w:val="20"/>
                <w:szCs w:val="20"/>
              </w:rPr>
            </w:pPr>
            <w:r w:rsidRPr="006202ED">
              <w:rPr>
                <w:rFonts w:eastAsia="Times New Roman"/>
                <w:b/>
                <w:bCs/>
                <w:color w:val="000000"/>
                <w:sz w:val="20"/>
                <w:szCs w:val="20"/>
              </w:rPr>
              <w:t>COVID-19 Perspectives</w:t>
            </w:r>
          </w:p>
        </w:tc>
      </w:tr>
      <w:tr w:rsidR="000E1B51" w:rsidRPr="006202ED" w14:paraId="7546BC55"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vAlign w:val="center"/>
            <w:hideMark/>
          </w:tcPr>
          <w:p w14:paraId="419F37FE"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COVID-19 was/still is a threat to my loved ones</w:t>
            </w:r>
          </w:p>
        </w:tc>
        <w:tc>
          <w:tcPr>
            <w:tcW w:w="1260" w:type="dxa"/>
            <w:tcBorders>
              <w:top w:val="nil"/>
              <w:left w:val="nil"/>
              <w:bottom w:val="single" w:sz="4" w:space="0" w:color="auto"/>
              <w:right w:val="single" w:sz="4" w:space="0" w:color="auto"/>
            </w:tcBorders>
            <w:shd w:val="clear" w:color="auto" w:fill="auto"/>
            <w:noWrap/>
            <w:vAlign w:val="center"/>
            <w:hideMark/>
          </w:tcPr>
          <w:p w14:paraId="1433E7D0"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No</w:t>
            </w:r>
          </w:p>
        </w:tc>
        <w:tc>
          <w:tcPr>
            <w:tcW w:w="1261" w:type="dxa"/>
            <w:tcBorders>
              <w:top w:val="nil"/>
              <w:left w:val="nil"/>
              <w:bottom w:val="single" w:sz="4" w:space="0" w:color="auto"/>
              <w:right w:val="double" w:sz="4" w:space="0" w:color="auto"/>
            </w:tcBorders>
            <w:shd w:val="clear" w:color="auto" w:fill="auto"/>
            <w:noWrap/>
            <w:vAlign w:val="center"/>
            <w:hideMark/>
          </w:tcPr>
          <w:p w14:paraId="2650D68E"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Yes</w:t>
            </w:r>
          </w:p>
        </w:tc>
        <w:tc>
          <w:tcPr>
            <w:tcW w:w="836" w:type="dxa"/>
            <w:tcBorders>
              <w:top w:val="nil"/>
              <w:left w:val="double" w:sz="4" w:space="0" w:color="auto"/>
              <w:bottom w:val="single" w:sz="4" w:space="0" w:color="auto"/>
              <w:right w:val="single" w:sz="4" w:space="0" w:color="auto"/>
            </w:tcBorders>
            <w:shd w:val="clear" w:color="auto" w:fill="auto"/>
            <w:noWrap/>
            <w:vAlign w:val="center"/>
            <w:hideMark/>
          </w:tcPr>
          <w:p w14:paraId="0643BDB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3.44</w:t>
            </w:r>
          </w:p>
        </w:tc>
        <w:tc>
          <w:tcPr>
            <w:tcW w:w="784" w:type="dxa"/>
            <w:tcBorders>
              <w:top w:val="nil"/>
              <w:left w:val="nil"/>
              <w:bottom w:val="single" w:sz="4" w:space="0" w:color="auto"/>
              <w:right w:val="single" w:sz="4" w:space="0" w:color="auto"/>
            </w:tcBorders>
            <w:shd w:val="clear" w:color="auto" w:fill="auto"/>
            <w:noWrap/>
            <w:vAlign w:val="center"/>
            <w:hideMark/>
          </w:tcPr>
          <w:p w14:paraId="6FD1A47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0.93</w:t>
            </w:r>
          </w:p>
        </w:tc>
        <w:tc>
          <w:tcPr>
            <w:tcW w:w="810" w:type="dxa"/>
            <w:tcBorders>
              <w:top w:val="nil"/>
              <w:left w:val="nil"/>
              <w:bottom w:val="single" w:sz="4" w:space="0" w:color="auto"/>
              <w:right w:val="single" w:sz="4" w:space="0" w:color="auto"/>
            </w:tcBorders>
            <w:shd w:val="clear" w:color="auto" w:fill="auto"/>
            <w:noWrap/>
            <w:vAlign w:val="center"/>
            <w:hideMark/>
          </w:tcPr>
          <w:p w14:paraId="589F4FA8"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1.18</w:t>
            </w:r>
          </w:p>
        </w:tc>
        <w:tc>
          <w:tcPr>
            <w:tcW w:w="677" w:type="dxa"/>
            <w:tcBorders>
              <w:top w:val="nil"/>
              <w:left w:val="nil"/>
              <w:bottom w:val="single" w:sz="4" w:space="0" w:color="auto"/>
              <w:right w:val="double" w:sz="4" w:space="0" w:color="auto"/>
            </w:tcBorders>
            <w:shd w:val="clear" w:color="auto" w:fill="auto"/>
            <w:noWrap/>
            <w:vAlign w:val="center"/>
            <w:hideMark/>
          </w:tcPr>
          <w:p w14:paraId="72BFC58E"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16.44</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420ADD82"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2.83</w:t>
            </w:r>
          </w:p>
        </w:tc>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35E0A70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0.99</w:t>
            </w:r>
          </w:p>
        </w:tc>
        <w:tc>
          <w:tcPr>
            <w:tcW w:w="820" w:type="dxa"/>
            <w:tcBorders>
              <w:top w:val="nil"/>
              <w:left w:val="nil"/>
              <w:bottom w:val="single" w:sz="4" w:space="0" w:color="auto"/>
              <w:right w:val="single" w:sz="4" w:space="0" w:color="auto"/>
            </w:tcBorders>
            <w:shd w:val="clear" w:color="auto" w:fill="auto"/>
            <w:noWrap/>
            <w:vAlign w:val="center"/>
            <w:hideMark/>
          </w:tcPr>
          <w:p w14:paraId="0675B455"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1.18</w:t>
            </w:r>
          </w:p>
        </w:tc>
        <w:tc>
          <w:tcPr>
            <w:tcW w:w="645" w:type="dxa"/>
            <w:tcBorders>
              <w:top w:val="nil"/>
              <w:left w:val="nil"/>
              <w:bottom w:val="single" w:sz="4" w:space="0" w:color="auto"/>
              <w:right w:val="double" w:sz="4" w:space="0" w:color="auto"/>
            </w:tcBorders>
            <w:shd w:val="clear" w:color="auto" w:fill="auto"/>
            <w:noWrap/>
            <w:vAlign w:val="center"/>
            <w:hideMark/>
          </w:tcPr>
          <w:p w14:paraId="6C93D819"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17.00</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7ED63243"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-17.89</w:t>
            </w:r>
          </w:p>
        </w:tc>
        <w:tc>
          <w:tcPr>
            <w:tcW w:w="848" w:type="dxa"/>
            <w:tcBorders>
              <w:top w:val="nil"/>
              <w:left w:val="nil"/>
              <w:bottom w:val="single" w:sz="4" w:space="0" w:color="auto"/>
              <w:right w:val="single" w:sz="4" w:space="0" w:color="auto"/>
            </w:tcBorders>
            <w:shd w:val="clear" w:color="auto" w:fill="auto"/>
            <w:noWrap/>
            <w:vAlign w:val="center"/>
            <w:hideMark/>
          </w:tcPr>
          <w:p w14:paraId="7A5325DA"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6.17</w:t>
            </w:r>
          </w:p>
        </w:tc>
        <w:tc>
          <w:tcPr>
            <w:tcW w:w="810" w:type="dxa"/>
            <w:tcBorders>
              <w:top w:val="nil"/>
              <w:left w:val="nil"/>
              <w:bottom w:val="single" w:sz="4" w:space="0" w:color="auto"/>
              <w:right w:val="single" w:sz="4" w:space="0" w:color="auto"/>
            </w:tcBorders>
            <w:shd w:val="clear" w:color="auto" w:fill="auto"/>
            <w:noWrap/>
            <w:vAlign w:val="center"/>
            <w:hideMark/>
          </w:tcPr>
          <w:p w14:paraId="62E0239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0.00</w:t>
            </w:r>
          </w:p>
        </w:tc>
        <w:tc>
          <w:tcPr>
            <w:tcW w:w="614" w:type="dxa"/>
            <w:tcBorders>
              <w:top w:val="nil"/>
              <w:left w:val="nil"/>
              <w:bottom w:val="single" w:sz="4" w:space="0" w:color="auto"/>
              <w:right w:val="double" w:sz="4" w:space="0" w:color="auto"/>
            </w:tcBorders>
            <w:shd w:val="clear" w:color="auto" w:fill="auto"/>
            <w:noWrap/>
            <w:vAlign w:val="center"/>
            <w:hideMark/>
          </w:tcPr>
          <w:p w14:paraId="4BC23A63"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3.39</w:t>
            </w:r>
          </w:p>
        </w:tc>
      </w:tr>
      <w:tr w:rsidR="000E1B51" w:rsidRPr="006202ED" w14:paraId="1C3CB911" w14:textId="77777777" w:rsidTr="0077577E">
        <w:trPr>
          <w:trHeight w:val="274"/>
        </w:trPr>
        <w:tc>
          <w:tcPr>
            <w:tcW w:w="1525" w:type="dxa"/>
            <w:tcBorders>
              <w:top w:val="nil"/>
              <w:left w:val="double" w:sz="4" w:space="0" w:color="auto"/>
              <w:bottom w:val="single" w:sz="4" w:space="0" w:color="auto"/>
              <w:right w:val="single" w:sz="4" w:space="0" w:color="auto"/>
            </w:tcBorders>
            <w:shd w:val="clear" w:color="auto" w:fill="auto"/>
            <w:noWrap/>
            <w:vAlign w:val="center"/>
            <w:hideMark/>
          </w:tcPr>
          <w:p w14:paraId="35B3F6F3"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My personal well-being was or still is at risk during the pandemic</w:t>
            </w:r>
          </w:p>
        </w:tc>
        <w:tc>
          <w:tcPr>
            <w:tcW w:w="1260" w:type="dxa"/>
            <w:tcBorders>
              <w:top w:val="nil"/>
              <w:left w:val="nil"/>
              <w:bottom w:val="single" w:sz="4" w:space="0" w:color="auto"/>
              <w:right w:val="single" w:sz="4" w:space="0" w:color="auto"/>
            </w:tcBorders>
            <w:shd w:val="clear" w:color="auto" w:fill="auto"/>
            <w:noWrap/>
            <w:vAlign w:val="center"/>
            <w:hideMark/>
          </w:tcPr>
          <w:p w14:paraId="54159BAC"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No</w:t>
            </w:r>
          </w:p>
        </w:tc>
        <w:tc>
          <w:tcPr>
            <w:tcW w:w="1261" w:type="dxa"/>
            <w:tcBorders>
              <w:top w:val="nil"/>
              <w:left w:val="nil"/>
              <w:bottom w:val="single" w:sz="4" w:space="0" w:color="auto"/>
              <w:right w:val="double" w:sz="4" w:space="0" w:color="auto"/>
            </w:tcBorders>
            <w:shd w:val="clear" w:color="auto" w:fill="auto"/>
            <w:noWrap/>
            <w:vAlign w:val="center"/>
            <w:hideMark/>
          </w:tcPr>
          <w:p w14:paraId="5C01F5B1"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Yes</w:t>
            </w:r>
          </w:p>
        </w:tc>
        <w:tc>
          <w:tcPr>
            <w:tcW w:w="836" w:type="dxa"/>
            <w:tcBorders>
              <w:top w:val="nil"/>
              <w:left w:val="double" w:sz="4" w:space="0" w:color="auto"/>
              <w:bottom w:val="single" w:sz="4" w:space="0" w:color="auto"/>
              <w:right w:val="single" w:sz="4" w:space="0" w:color="auto"/>
            </w:tcBorders>
            <w:shd w:val="clear" w:color="auto" w:fill="auto"/>
            <w:noWrap/>
            <w:vAlign w:val="center"/>
            <w:hideMark/>
          </w:tcPr>
          <w:p w14:paraId="523B69D5"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3.13</w:t>
            </w:r>
          </w:p>
        </w:tc>
        <w:tc>
          <w:tcPr>
            <w:tcW w:w="784" w:type="dxa"/>
            <w:tcBorders>
              <w:top w:val="nil"/>
              <w:left w:val="nil"/>
              <w:bottom w:val="single" w:sz="4" w:space="0" w:color="auto"/>
              <w:right w:val="single" w:sz="4" w:space="0" w:color="auto"/>
            </w:tcBorders>
            <w:shd w:val="clear" w:color="auto" w:fill="auto"/>
            <w:noWrap/>
            <w:vAlign w:val="center"/>
            <w:hideMark/>
          </w:tcPr>
          <w:p w14:paraId="4C57E4B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0.84</w:t>
            </w:r>
          </w:p>
        </w:tc>
        <w:tc>
          <w:tcPr>
            <w:tcW w:w="810" w:type="dxa"/>
            <w:tcBorders>
              <w:top w:val="nil"/>
              <w:left w:val="nil"/>
              <w:bottom w:val="single" w:sz="4" w:space="0" w:color="auto"/>
              <w:right w:val="single" w:sz="4" w:space="0" w:color="auto"/>
            </w:tcBorders>
            <w:shd w:val="clear" w:color="auto" w:fill="auto"/>
            <w:noWrap/>
            <w:vAlign w:val="center"/>
            <w:hideMark/>
          </w:tcPr>
          <w:p w14:paraId="62EF617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1.05</w:t>
            </w:r>
          </w:p>
        </w:tc>
        <w:tc>
          <w:tcPr>
            <w:tcW w:w="677" w:type="dxa"/>
            <w:tcBorders>
              <w:top w:val="nil"/>
              <w:left w:val="nil"/>
              <w:bottom w:val="single" w:sz="4" w:space="0" w:color="auto"/>
              <w:right w:val="double" w:sz="4" w:space="0" w:color="auto"/>
            </w:tcBorders>
            <w:shd w:val="clear" w:color="auto" w:fill="auto"/>
            <w:noWrap/>
            <w:vAlign w:val="center"/>
            <w:hideMark/>
          </w:tcPr>
          <w:p w14:paraId="147A98D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16.98</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3E45AFE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3.33</w:t>
            </w:r>
          </w:p>
        </w:tc>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1279A47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1.05</w:t>
            </w:r>
          </w:p>
        </w:tc>
        <w:tc>
          <w:tcPr>
            <w:tcW w:w="820" w:type="dxa"/>
            <w:tcBorders>
              <w:top w:val="nil"/>
              <w:left w:val="nil"/>
              <w:bottom w:val="single" w:sz="4" w:space="0" w:color="auto"/>
              <w:right w:val="single" w:sz="4" w:space="0" w:color="auto"/>
            </w:tcBorders>
            <w:shd w:val="clear" w:color="auto" w:fill="auto"/>
            <w:noWrap/>
            <w:vAlign w:val="center"/>
            <w:hideMark/>
          </w:tcPr>
          <w:p w14:paraId="5FA7D6AD"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1.30</w:t>
            </w:r>
          </w:p>
        </w:tc>
        <w:tc>
          <w:tcPr>
            <w:tcW w:w="645" w:type="dxa"/>
            <w:tcBorders>
              <w:top w:val="nil"/>
              <w:left w:val="nil"/>
              <w:bottom w:val="single" w:sz="4" w:space="0" w:color="auto"/>
              <w:right w:val="double" w:sz="4" w:space="0" w:color="auto"/>
            </w:tcBorders>
            <w:shd w:val="clear" w:color="auto" w:fill="auto"/>
            <w:noWrap/>
            <w:vAlign w:val="center"/>
            <w:hideMark/>
          </w:tcPr>
          <w:p w14:paraId="44E39C70"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16.31</w:t>
            </w:r>
          </w:p>
        </w:tc>
        <w:tc>
          <w:tcPr>
            <w:tcW w:w="757" w:type="dxa"/>
            <w:tcBorders>
              <w:top w:val="nil"/>
              <w:left w:val="double" w:sz="4" w:space="0" w:color="auto"/>
              <w:bottom w:val="single" w:sz="4" w:space="0" w:color="auto"/>
              <w:right w:val="single" w:sz="4" w:space="0" w:color="auto"/>
            </w:tcBorders>
            <w:shd w:val="clear" w:color="auto" w:fill="auto"/>
            <w:noWrap/>
            <w:vAlign w:val="center"/>
            <w:hideMark/>
          </w:tcPr>
          <w:p w14:paraId="6AF55C9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6.43</w:t>
            </w:r>
          </w:p>
        </w:tc>
        <w:tc>
          <w:tcPr>
            <w:tcW w:w="848" w:type="dxa"/>
            <w:tcBorders>
              <w:top w:val="nil"/>
              <w:left w:val="nil"/>
              <w:bottom w:val="single" w:sz="4" w:space="0" w:color="auto"/>
              <w:right w:val="single" w:sz="4" w:space="0" w:color="auto"/>
            </w:tcBorders>
            <w:shd w:val="clear" w:color="auto" w:fill="auto"/>
            <w:noWrap/>
            <w:vAlign w:val="center"/>
            <w:hideMark/>
          </w:tcPr>
          <w:p w14:paraId="61EECA6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25.28</w:t>
            </w:r>
          </w:p>
        </w:tc>
        <w:tc>
          <w:tcPr>
            <w:tcW w:w="810" w:type="dxa"/>
            <w:tcBorders>
              <w:top w:val="nil"/>
              <w:left w:val="nil"/>
              <w:bottom w:val="single" w:sz="4" w:space="0" w:color="auto"/>
              <w:right w:val="single" w:sz="4" w:space="0" w:color="auto"/>
            </w:tcBorders>
            <w:shd w:val="clear" w:color="auto" w:fill="auto"/>
            <w:noWrap/>
            <w:vAlign w:val="center"/>
            <w:hideMark/>
          </w:tcPr>
          <w:p w14:paraId="20D7A377"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24.06</w:t>
            </w:r>
          </w:p>
        </w:tc>
        <w:tc>
          <w:tcPr>
            <w:tcW w:w="614" w:type="dxa"/>
            <w:tcBorders>
              <w:top w:val="nil"/>
              <w:left w:val="nil"/>
              <w:bottom w:val="single" w:sz="4" w:space="0" w:color="auto"/>
              <w:right w:val="double" w:sz="4" w:space="0" w:color="auto"/>
            </w:tcBorders>
            <w:shd w:val="clear" w:color="auto" w:fill="auto"/>
            <w:noWrap/>
            <w:vAlign w:val="center"/>
            <w:hideMark/>
          </w:tcPr>
          <w:p w14:paraId="0BA6E21A"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-3.92</w:t>
            </w:r>
          </w:p>
        </w:tc>
      </w:tr>
      <w:tr w:rsidR="000E1B51" w:rsidRPr="006202ED" w14:paraId="15508B06" w14:textId="77777777" w:rsidTr="0077577E">
        <w:trPr>
          <w:trHeight w:val="274"/>
        </w:trPr>
        <w:tc>
          <w:tcPr>
            <w:tcW w:w="1525" w:type="dxa"/>
            <w:tcBorders>
              <w:top w:val="nil"/>
              <w:left w:val="double" w:sz="4" w:space="0" w:color="auto"/>
              <w:bottom w:val="double" w:sz="4" w:space="0" w:color="auto"/>
              <w:right w:val="single" w:sz="4" w:space="0" w:color="auto"/>
            </w:tcBorders>
            <w:shd w:val="clear" w:color="auto" w:fill="auto"/>
            <w:noWrap/>
            <w:vAlign w:val="center"/>
            <w:hideMark/>
          </w:tcPr>
          <w:p w14:paraId="60948ECD" w14:textId="371F54B2"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Someone I live with or frequently visit immuno</w:t>
            </w:r>
            <w:r w:rsidR="0077577E">
              <w:rPr>
                <w:rFonts w:eastAsia="Times New Roman"/>
                <w:color w:val="000000"/>
                <w:sz w:val="20"/>
                <w:szCs w:val="20"/>
              </w:rPr>
              <w:t>-</w:t>
            </w:r>
            <w:r w:rsidRPr="006202ED">
              <w:rPr>
                <w:rFonts w:eastAsia="Times New Roman"/>
                <w:color w:val="000000"/>
                <w:sz w:val="20"/>
                <w:szCs w:val="20"/>
              </w:rPr>
              <w:t>compromised</w:t>
            </w:r>
          </w:p>
        </w:tc>
        <w:tc>
          <w:tcPr>
            <w:tcW w:w="1260" w:type="dxa"/>
            <w:tcBorders>
              <w:top w:val="nil"/>
              <w:left w:val="nil"/>
              <w:bottom w:val="double" w:sz="4" w:space="0" w:color="auto"/>
              <w:right w:val="single" w:sz="4" w:space="0" w:color="auto"/>
            </w:tcBorders>
            <w:shd w:val="clear" w:color="auto" w:fill="auto"/>
            <w:noWrap/>
            <w:vAlign w:val="center"/>
            <w:hideMark/>
          </w:tcPr>
          <w:p w14:paraId="3E372F35"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No</w:t>
            </w:r>
          </w:p>
        </w:tc>
        <w:tc>
          <w:tcPr>
            <w:tcW w:w="1261" w:type="dxa"/>
            <w:tcBorders>
              <w:top w:val="nil"/>
              <w:left w:val="nil"/>
              <w:bottom w:val="double" w:sz="4" w:space="0" w:color="auto"/>
              <w:right w:val="double" w:sz="4" w:space="0" w:color="auto"/>
            </w:tcBorders>
            <w:shd w:val="clear" w:color="auto" w:fill="auto"/>
            <w:noWrap/>
            <w:vAlign w:val="center"/>
            <w:hideMark/>
          </w:tcPr>
          <w:p w14:paraId="661ACAD6"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Yes</w:t>
            </w:r>
          </w:p>
        </w:tc>
        <w:tc>
          <w:tcPr>
            <w:tcW w:w="836" w:type="dxa"/>
            <w:tcBorders>
              <w:top w:val="nil"/>
              <w:left w:val="double" w:sz="4" w:space="0" w:color="auto"/>
              <w:bottom w:val="double" w:sz="4" w:space="0" w:color="auto"/>
              <w:right w:val="single" w:sz="4" w:space="0" w:color="auto"/>
            </w:tcBorders>
            <w:shd w:val="clear" w:color="auto" w:fill="auto"/>
            <w:noWrap/>
            <w:vAlign w:val="center"/>
            <w:hideMark/>
          </w:tcPr>
          <w:p w14:paraId="2CE451A1"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3.48</w:t>
            </w:r>
          </w:p>
        </w:tc>
        <w:tc>
          <w:tcPr>
            <w:tcW w:w="784" w:type="dxa"/>
            <w:tcBorders>
              <w:top w:val="nil"/>
              <w:left w:val="nil"/>
              <w:bottom w:val="double" w:sz="4" w:space="0" w:color="auto"/>
              <w:right w:val="single" w:sz="4" w:space="0" w:color="auto"/>
            </w:tcBorders>
            <w:shd w:val="clear" w:color="auto" w:fill="auto"/>
            <w:noWrap/>
            <w:vAlign w:val="center"/>
            <w:hideMark/>
          </w:tcPr>
          <w:p w14:paraId="4E1C57D1"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0.93</w:t>
            </w:r>
          </w:p>
        </w:tc>
        <w:tc>
          <w:tcPr>
            <w:tcW w:w="810" w:type="dxa"/>
            <w:tcBorders>
              <w:top w:val="nil"/>
              <w:left w:val="nil"/>
              <w:bottom w:val="double" w:sz="4" w:space="0" w:color="auto"/>
              <w:right w:val="single" w:sz="4" w:space="0" w:color="auto"/>
            </w:tcBorders>
            <w:shd w:val="clear" w:color="auto" w:fill="auto"/>
            <w:noWrap/>
            <w:vAlign w:val="center"/>
            <w:hideMark/>
          </w:tcPr>
          <w:p w14:paraId="3061CDF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1.18</w:t>
            </w:r>
          </w:p>
        </w:tc>
        <w:tc>
          <w:tcPr>
            <w:tcW w:w="677" w:type="dxa"/>
            <w:tcBorders>
              <w:top w:val="nil"/>
              <w:left w:val="nil"/>
              <w:bottom w:val="double" w:sz="4" w:space="0" w:color="auto"/>
              <w:right w:val="double" w:sz="4" w:space="0" w:color="auto"/>
            </w:tcBorders>
            <w:shd w:val="clear" w:color="auto" w:fill="auto"/>
            <w:noWrap/>
            <w:vAlign w:val="center"/>
            <w:hideMark/>
          </w:tcPr>
          <w:p w14:paraId="3327127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16.40</w:t>
            </w:r>
          </w:p>
        </w:tc>
        <w:tc>
          <w:tcPr>
            <w:tcW w:w="757" w:type="dxa"/>
            <w:tcBorders>
              <w:top w:val="nil"/>
              <w:left w:val="double" w:sz="4" w:space="0" w:color="auto"/>
              <w:bottom w:val="double" w:sz="4" w:space="0" w:color="auto"/>
              <w:right w:val="single" w:sz="4" w:space="0" w:color="auto"/>
            </w:tcBorders>
            <w:shd w:val="clear" w:color="auto" w:fill="auto"/>
            <w:noWrap/>
            <w:vAlign w:val="center"/>
            <w:hideMark/>
          </w:tcPr>
          <w:p w14:paraId="7CFC064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2.70</w:t>
            </w:r>
          </w:p>
        </w:tc>
        <w:tc>
          <w:tcPr>
            <w:tcW w:w="806" w:type="dxa"/>
            <w:tcBorders>
              <w:top w:val="nil"/>
              <w:left w:val="single" w:sz="4" w:space="0" w:color="auto"/>
              <w:bottom w:val="double" w:sz="4" w:space="0" w:color="auto"/>
              <w:right w:val="single" w:sz="4" w:space="0" w:color="auto"/>
            </w:tcBorders>
            <w:shd w:val="clear" w:color="auto" w:fill="auto"/>
            <w:noWrap/>
            <w:vAlign w:val="center"/>
            <w:hideMark/>
          </w:tcPr>
          <w:p w14:paraId="6B8950E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1.00</w:t>
            </w:r>
          </w:p>
        </w:tc>
        <w:tc>
          <w:tcPr>
            <w:tcW w:w="820" w:type="dxa"/>
            <w:tcBorders>
              <w:top w:val="nil"/>
              <w:left w:val="nil"/>
              <w:bottom w:val="double" w:sz="4" w:space="0" w:color="auto"/>
              <w:right w:val="single" w:sz="4" w:space="0" w:color="auto"/>
            </w:tcBorders>
            <w:shd w:val="clear" w:color="auto" w:fill="auto"/>
            <w:noWrap/>
            <w:vAlign w:val="center"/>
            <w:hideMark/>
          </w:tcPr>
          <w:p w14:paraId="0DF1342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1.18</w:t>
            </w:r>
          </w:p>
        </w:tc>
        <w:tc>
          <w:tcPr>
            <w:tcW w:w="645" w:type="dxa"/>
            <w:tcBorders>
              <w:top w:val="nil"/>
              <w:left w:val="nil"/>
              <w:bottom w:val="double" w:sz="4" w:space="0" w:color="auto"/>
              <w:right w:val="double" w:sz="4" w:space="0" w:color="auto"/>
            </w:tcBorders>
            <w:shd w:val="clear" w:color="auto" w:fill="auto"/>
            <w:noWrap/>
            <w:vAlign w:val="center"/>
            <w:hideMark/>
          </w:tcPr>
          <w:p w14:paraId="7969FF8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17.11</w:t>
            </w:r>
          </w:p>
        </w:tc>
        <w:tc>
          <w:tcPr>
            <w:tcW w:w="757" w:type="dxa"/>
            <w:tcBorders>
              <w:top w:val="nil"/>
              <w:left w:val="double" w:sz="4" w:space="0" w:color="auto"/>
              <w:bottom w:val="double" w:sz="4" w:space="0" w:color="auto"/>
              <w:right w:val="single" w:sz="4" w:space="0" w:color="auto"/>
            </w:tcBorders>
            <w:shd w:val="clear" w:color="auto" w:fill="auto"/>
            <w:noWrap/>
            <w:vAlign w:val="center"/>
            <w:hideMark/>
          </w:tcPr>
          <w:p w14:paraId="727DA015"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-22.38</w:t>
            </w:r>
          </w:p>
        </w:tc>
        <w:tc>
          <w:tcPr>
            <w:tcW w:w="848" w:type="dxa"/>
            <w:tcBorders>
              <w:top w:val="nil"/>
              <w:left w:val="nil"/>
              <w:bottom w:val="double" w:sz="4" w:space="0" w:color="auto"/>
              <w:right w:val="single" w:sz="4" w:space="0" w:color="auto"/>
            </w:tcBorders>
            <w:shd w:val="clear" w:color="auto" w:fill="auto"/>
            <w:noWrap/>
            <w:vAlign w:val="center"/>
            <w:hideMark/>
          </w:tcPr>
          <w:p w14:paraId="58733A2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7.90</w:t>
            </w:r>
          </w:p>
        </w:tc>
        <w:tc>
          <w:tcPr>
            <w:tcW w:w="810" w:type="dxa"/>
            <w:tcBorders>
              <w:top w:val="nil"/>
              <w:left w:val="nil"/>
              <w:bottom w:val="double" w:sz="4" w:space="0" w:color="auto"/>
              <w:right w:val="single" w:sz="4" w:space="0" w:color="auto"/>
            </w:tcBorders>
            <w:shd w:val="clear" w:color="auto" w:fill="auto"/>
            <w:noWrap/>
            <w:vAlign w:val="center"/>
            <w:hideMark/>
          </w:tcPr>
          <w:p w14:paraId="578A624D"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0.00</w:t>
            </w:r>
          </w:p>
        </w:tc>
        <w:tc>
          <w:tcPr>
            <w:tcW w:w="614" w:type="dxa"/>
            <w:tcBorders>
              <w:top w:val="nil"/>
              <w:left w:val="nil"/>
              <w:bottom w:val="double" w:sz="4" w:space="0" w:color="auto"/>
              <w:right w:val="double" w:sz="4" w:space="0" w:color="auto"/>
            </w:tcBorders>
            <w:shd w:val="clear" w:color="auto" w:fill="auto"/>
            <w:noWrap/>
            <w:vAlign w:val="center"/>
            <w:hideMark/>
          </w:tcPr>
          <w:p w14:paraId="72E9FB09"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4.30</w:t>
            </w:r>
          </w:p>
        </w:tc>
      </w:tr>
      <w:tr w:rsidR="000E1B51" w:rsidRPr="006202ED" w14:paraId="5B74F908" w14:textId="77777777" w:rsidTr="0077577E">
        <w:trPr>
          <w:trHeight w:val="274"/>
        </w:trPr>
        <w:tc>
          <w:tcPr>
            <w:tcW w:w="13211" w:type="dxa"/>
            <w:gridSpan w:val="15"/>
            <w:tcBorders>
              <w:top w:val="nil"/>
              <w:left w:val="double" w:sz="4" w:space="0" w:color="auto"/>
              <w:bottom w:val="double" w:sz="4" w:space="0" w:color="auto"/>
              <w:right w:val="double" w:sz="4" w:space="0" w:color="auto"/>
            </w:tcBorders>
            <w:shd w:val="clear" w:color="auto" w:fill="auto"/>
            <w:noWrap/>
            <w:vAlign w:val="center"/>
            <w:hideMark/>
          </w:tcPr>
          <w:p w14:paraId="4DF2174E" w14:textId="77777777" w:rsidR="000E1B51" w:rsidRPr="006202ED" w:rsidRDefault="000E1B51" w:rsidP="00AC636C">
            <w:pPr>
              <w:spacing w:after="0" w:line="240" w:lineRule="auto"/>
              <w:rPr>
                <w:rFonts w:eastAsia="Times New Roman"/>
                <w:b/>
                <w:bCs/>
                <w:color w:val="000000"/>
                <w:sz w:val="20"/>
                <w:szCs w:val="20"/>
              </w:rPr>
            </w:pPr>
            <w:r w:rsidRPr="006202ED">
              <w:rPr>
                <w:rFonts w:eastAsia="Times New Roman"/>
                <w:b/>
                <w:bCs/>
                <w:color w:val="000000"/>
                <w:sz w:val="20"/>
                <w:szCs w:val="20"/>
              </w:rPr>
              <w:t>Endogenous Variables</w:t>
            </w:r>
          </w:p>
        </w:tc>
      </w:tr>
      <w:tr w:rsidR="000E1B51" w:rsidRPr="006202ED" w14:paraId="12707B9D" w14:textId="77777777" w:rsidTr="0077577E">
        <w:trPr>
          <w:trHeight w:val="274"/>
        </w:trPr>
        <w:tc>
          <w:tcPr>
            <w:tcW w:w="1525"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31827EC0"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Delivery</w:t>
            </w:r>
          </w:p>
        </w:tc>
        <w:tc>
          <w:tcPr>
            <w:tcW w:w="1260" w:type="dxa"/>
            <w:tcBorders>
              <w:top w:val="double" w:sz="4" w:space="0" w:color="auto"/>
              <w:left w:val="nil"/>
              <w:bottom w:val="single" w:sz="4" w:space="0" w:color="auto"/>
              <w:right w:val="single" w:sz="4" w:space="0" w:color="auto"/>
            </w:tcBorders>
            <w:shd w:val="clear" w:color="auto" w:fill="auto"/>
            <w:noWrap/>
            <w:vAlign w:val="center"/>
            <w:hideMark/>
          </w:tcPr>
          <w:p w14:paraId="7645533B"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w:t>
            </w:r>
          </w:p>
        </w:tc>
        <w:tc>
          <w:tcPr>
            <w:tcW w:w="1261" w:type="dxa"/>
            <w:tcBorders>
              <w:top w:val="double" w:sz="4" w:space="0" w:color="auto"/>
              <w:left w:val="nil"/>
              <w:bottom w:val="single" w:sz="4" w:space="0" w:color="auto"/>
              <w:right w:val="double" w:sz="4" w:space="0" w:color="auto"/>
            </w:tcBorders>
            <w:shd w:val="clear" w:color="auto" w:fill="auto"/>
            <w:noWrap/>
            <w:vAlign w:val="center"/>
            <w:hideMark/>
          </w:tcPr>
          <w:p w14:paraId="5C96E33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6</w:t>
            </w:r>
          </w:p>
        </w:tc>
        <w:tc>
          <w:tcPr>
            <w:tcW w:w="836"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397744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2.38</w:t>
            </w:r>
          </w:p>
        </w:tc>
        <w:tc>
          <w:tcPr>
            <w:tcW w:w="784" w:type="dxa"/>
            <w:tcBorders>
              <w:top w:val="double" w:sz="4" w:space="0" w:color="auto"/>
              <w:left w:val="nil"/>
              <w:bottom w:val="single" w:sz="4" w:space="0" w:color="auto"/>
              <w:right w:val="single" w:sz="4" w:space="0" w:color="auto"/>
            </w:tcBorders>
            <w:shd w:val="clear" w:color="auto" w:fill="auto"/>
            <w:noWrap/>
            <w:vAlign w:val="center"/>
            <w:hideMark/>
          </w:tcPr>
          <w:p w14:paraId="04554DB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1.36</w:t>
            </w:r>
          </w:p>
        </w:tc>
        <w:tc>
          <w:tcPr>
            <w:tcW w:w="810" w:type="dxa"/>
            <w:tcBorders>
              <w:top w:val="double" w:sz="4" w:space="0" w:color="auto"/>
              <w:left w:val="nil"/>
              <w:bottom w:val="single" w:sz="4" w:space="0" w:color="auto"/>
              <w:right w:val="single" w:sz="4" w:space="0" w:color="auto"/>
            </w:tcBorders>
            <w:shd w:val="clear" w:color="auto" w:fill="auto"/>
            <w:noWrap/>
            <w:vAlign w:val="center"/>
            <w:hideMark/>
          </w:tcPr>
          <w:p w14:paraId="57944C7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0.00</w:t>
            </w:r>
          </w:p>
        </w:tc>
        <w:tc>
          <w:tcPr>
            <w:tcW w:w="677" w:type="dxa"/>
            <w:tcBorders>
              <w:top w:val="double" w:sz="4" w:space="0" w:color="auto"/>
              <w:left w:val="nil"/>
              <w:bottom w:val="single" w:sz="4" w:space="0" w:color="auto"/>
              <w:right w:val="double" w:sz="4" w:space="0" w:color="auto"/>
            </w:tcBorders>
            <w:shd w:val="clear" w:color="auto" w:fill="auto"/>
            <w:noWrap/>
            <w:vAlign w:val="center"/>
            <w:hideMark/>
          </w:tcPr>
          <w:p w14:paraId="6F462DEB"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18.26</w:t>
            </w:r>
          </w:p>
        </w:tc>
        <w:tc>
          <w:tcPr>
            <w:tcW w:w="75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725C958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6.38</w:t>
            </w:r>
          </w:p>
        </w:tc>
        <w:tc>
          <w:tcPr>
            <w:tcW w:w="806"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4E0E09D"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0.27</w:t>
            </w:r>
          </w:p>
        </w:tc>
        <w:tc>
          <w:tcPr>
            <w:tcW w:w="820" w:type="dxa"/>
            <w:tcBorders>
              <w:top w:val="double" w:sz="4" w:space="0" w:color="auto"/>
              <w:left w:val="nil"/>
              <w:bottom w:val="single" w:sz="4" w:space="0" w:color="auto"/>
              <w:right w:val="single" w:sz="4" w:space="0" w:color="auto"/>
            </w:tcBorders>
            <w:shd w:val="clear" w:color="auto" w:fill="auto"/>
            <w:noWrap/>
            <w:vAlign w:val="center"/>
            <w:hideMark/>
          </w:tcPr>
          <w:p w14:paraId="2215C40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6.00</w:t>
            </w:r>
          </w:p>
        </w:tc>
        <w:tc>
          <w:tcPr>
            <w:tcW w:w="645" w:type="dxa"/>
            <w:tcBorders>
              <w:top w:val="double" w:sz="4" w:space="0" w:color="auto"/>
              <w:left w:val="nil"/>
              <w:bottom w:val="single" w:sz="4" w:space="0" w:color="auto"/>
              <w:right w:val="double" w:sz="4" w:space="0" w:color="auto"/>
            </w:tcBorders>
            <w:shd w:val="clear" w:color="auto" w:fill="auto"/>
            <w:noWrap/>
            <w:vAlign w:val="center"/>
            <w:hideMark/>
          </w:tcPr>
          <w:p w14:paraId="380DDD9E"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9.35</w:t>
            </w:r>
          </w:p>
        </w:tc>
        <w:tc>
          <w:tcPr>
            <w:tcW w:w="757"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06FBBC29"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168.07</w:t>
            </w:r>
          </w:p>
        </w:tc>
        <w:tc>
          <w:tcPr>
            <w:tcW w:w="848" w:type="dxa"/>
            <w:tcBorders>
              <w:top w:val="double" w:sz="4" w:space="0" w:color="auto"/>
              <w:left w:val="nil"/>
              <w:bottom w:val="single" w:sz="4" w:space="0" w:color="auto"/>
              <w:right w:val="single" w:sz="4" w:space="0" w:color="auto"/>
            </w:tcBorders>
            <w:shd w:val="clear" w:color="auto" w:fill="auto"/>
            <w:noWrap/>
            <w:vAlign w:val="center"/>
            <w:hideMark/>
          </w:tcPr>
          <w:p w14:paraId="026E287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-80.15</w:t>
            </w:r>
          </w:p>
        </w:tc>
        <w:tc>
          <w:tcPr>
            <w:tcW w:w="810" w:type="dxa"/>
            <w:tcBorders>
              <w:top w:val="double" w:sz="4" w:space="0" w:color="auto"/>
              <w:left w:val="nil"/>
              <w:bottom w:val="single" w:sz="4" w:space="0" w:color="auto"/>
              <w:right w:val="single" w:sz="4" w:space="0" w:color="auto"/>
            </w:tcBorders>
            <w:shd w:val="clear" w:color="auto" w:fill="auto"/>
            <w:noWrap/>
            <w:vAlign w:val="center"/>
            <w:hideMark/>
          </w:tcPr>
          <w:p w14:paraId="57143B12"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NA</w:t>
            </w:r>
          </w:p>
        </w:tc>
        <w:tc>
          <w:tcPr>
            <w:tcW w:w="614" w:type="dxa"/>
            <w:tcBorders>
              <w:top w:val="double" w:sz="4" w:space="0" w:color="auto"/>
              <w:left w:val="nil"/>
              <w:bottom w:val="single" w:sz="4" w:space="0" w:color="auto"/>
              <w:right w:val="double" w:sz="4" w:space="0" w:color="auto"/>
            </w:tcBorders>
            <w:shd w:val="clear" w:color="auto" w:fill="auto"/>
            <w:noWrap/>
            <w:vAlign w:val="center"/>
            <w:hideMark/>
          </w:tcPr>
          <w:p w14:paraId="3E2AFE7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-48.79</w:t>
            </w:r>
          </w:p>
        </w:tc>
      </w:tr>
      <w:tr w:rsidR="000E1B51" w:rsidRPr="006202ED" w14:paraId="0C3B0FD2" w14:textId="77777777" w:rsidTr="0077577E">
        <w:trPr>
          <w:trHeight w:val="274"/>
        </w:trPr>
        <w:tc>
          <w:tcPr>
            <w:tcW w:w="1525" w:type="dxa"/>
            <w:tcBorders>
              <w:top w:val="nil"/>
              <w:left w:val="double" w:sz="4" w:space="0" w:color="auto"/>
              <w:bottom w:val="double" w:sz="4" w:space="0" w:color="auto"/>
              <w:right w:val="single" w:sz="4" w:space="0" w:color="auto"/>
            </w:tcBorders>
            <w:shd w:val="clear" w:color="auto" w:fill="auto"/>
            <w:noWrap/>
            <w:vAlign w:val="center"/>
            <w:hideMark/>
          </w:tcPr>
          <w:p w14:paraId="0042F6DA" w14:textId="77777777" w:rsidR="000E1B51" w:rsidRPr="006202ED" w:rsidRDefault="000E1B51" w:rsidP="00AC636C">
            <w:pPr>
              <w:spacing w:after="0" w:line="240" w:lineRule="auto"/>
              <w:rPr>
                <w:rFonts w:eastAsia="Times New Roman"/>
                <w:color w:val="000000"/>
                <w:sz w:val="20"/>
                <w:szCs w:val="20"/>
              </w:rPr>
            </w:pPr>
            <w:r w:rsidRPr="006202ED">
              <w:rPr>
                <w:rFonts w:eastAsia="Times New Roman"/>
                <w:color w:val="000000"/>
                <w:sz w:val="20"/>
                <w:szCs w:val="20"/>
              </w:rPr>
              <w:t>Eat-out</w:t>
            </w:r>
          </w:p>
        </w:tc>
        <w:tc>
          <w:tcPr>
            <w:tcW w:w="1260" w:type="dxa"/>
            <w:tcBorders>
              <w:top w:val="nil"/>
              <w:left w:val="nil"/>
              <w:bottom w:val="double" w:sz="4" w:space="0" w:color="auto"/>
              <w:right w:val="single" w:sz="4" w:space="0" w:color="auto"/>
            </w:tcBorders>
            <w:shd w:val="clear" w:color="auto" w:fill="auto"/>
            <w:noWrap/>
            <w:vAlign w:val="center"/>
            <w:hideMark/>
          </w:tcPr>
          <w:p w14:paraId="2404C13E"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w:t>
            </w:r>
          </w:p>
        </w:tc>
        <w:tc>
          <w:tcPr>
            <w:tcW w:w="1261" w:type="dxa"/>
            <w:tcBorders>
              <w:top w:val="nil"/>
              <w:left w:val="nil"/>
              <w:bottom w:val="double" w:sz="4" w:space="0" w:color="auto"/>
              <w:right w:val="double" w:sz="4" w:space="0" w:color="auto"/>
            </w:tcBorders>
            <w:shd w:val="clear" w:color="auto" w:fill="auto"/>
            <w:noWrap/>
            <w:vAlign w:val="center"/>
            <w:hideMark/>
          </w:tcPr>
          <w:p w14:paraId="65763C4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w:t>
            </w:r>
          </w:p>
        </w:tc>
        <w:tc>
          <w:tcPr>
            <w:tcW w:w="836" w:type="dxa"/>
            <w:tcBorders>
              <w:top w:val="nil"/>
              <w:left w:val="double" w:sz="4" w:space="0" w:color="auto"/>
              <w:bottom w:val="double" w:sz="4" w:space="0" w:color="auto"/>
              <w:right w:val="single" w:sz="4" w:space="0" w:color="auto"/>
            </w:tcBorders>
            <w:shd w:val="clear" w:color="auto" w:fill="auto"/>
            <w:noWrap/>
            <w:vAlign w:val="center"/>
            <w:hideMark/>
          </w:tcPr>
          <w:p w14:paraId="03F2F5A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0.00</w:t>
            </w:r>
          </w:p>
        </w:tc>
        <w:tc>
          <w:tcPr>
            <w:tcW w:w="784" w:type="dxa"/>
            <w:tcBorders>
              <w:top w:val="nil"/>
              <w:left w:val="nil"/>
              <w:bottom w:val="double" w:sz="4" w:space="0" w:color="auto"/>
              <w:right w:val="single" w:sz="4" w:space="0" w:color="auto"/>
            </w:tcBorders>
            <w:shd w:val="clear" w:color="auto" w:fill="auto"/>
            <w:noWrap/>
            <w:vAlign w:val="center"/>
            <w:hideMark/>
          </w:tcPr>
          <w:p w14:paraId="1AC64E80"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1.06</w:t>
            </w:r>
          </w:p>
        </w:tc>
        <w:tc>
          <w:tcPr>
            <w:tcW w:w="810" w:type="dxa"/>
            <w:tcBorders>
              <w:top w:val="nil"/>
              <w:left w:val="nil"/>
              <w:bottom w:val="double" w:sz="4" w:space="0" w:color="auto"/>
              <w:right w:val="single" w:sz="4" w:space="0" w:color="auto"/>
            </w:tcBorders>
            <w:shd w:val="clear" w:color="auto" w:fill="auto"/>
            <w:noWrap/>
            <w:vAlign w:val="center"/>
            <w:hideMark/>
          </w:tcPr>
          <w:p w14:paraId="44BE47A3"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1.19</w:t>
            </w:r>
          </w:p>
        </w:tc>
        <w:tc>
          <w:tcPr>
            <w:tcW w:w="677" w:type="dxa"/>
            <w:tcBorders>
              <w:top w:val="nil"/>
              <w:left w:val="nil"/>
              <w:bottom w:val="double" w:sz="4" w:space="0" w:color="auto"/>
              <w:right w:val="double" w:sz="4" w:space="0" w:color="auto"/>
            </w:tcBorders>
            <w:shd w:val="clear" w:color="auto" w:fill="auto"/>
            <w:noWrap/>
            <w:vAlign w:val="center"/>
            <w:hideMark/>
          </w:tcPr>
          <w:p w14:paraId="52CF0876"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19.75</w:t>
            </w:r>
          </w:p>
        </w:tc>
        <w:tc>
          <w:tcPr>
            <w:tcW w:w="757" w:type="dxa"/>
            <w:tcBorders>
              <w:top w:val="nil"/>
              <w:left w:val="double" w:sz="4" w:space="0" w:color="auto"/>
              <w:bottom w:val="double" w:sz="4" w:space="0" w:color="auto"/>
              <w:right w:val="single" w:sz="4" w:space="0" w:color="auto"/>
            </w:tcBorders>
            <w:shd w:val="clear" w:color="auto" w:fill="auto"/>
            <w:noWrap/>
            <w:vAlign w:val="center"/>
            <w:hideMark/>
          </w:tcPr>
          <w:p w14:paraId="6B84854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10.00</w:t>
            </w:r>
          </w:p>
        </w:tc>
        <w:tc>
          <w:tcPr>
            <w:tcW w:w="806" w:type="dxa"/>
            <w:tcBorders>
              <w:top w:val="nil"/>
              <w:left w:val="single" w:sz="4" w:space="0" w:color="auto"/>
              <w:bottom w:val="double" w:sz="4" w:space="0" w:color="auto"/>
              <w:right w:val="single" w:sz="4" w:space="0" w:color="auto"/>
            </w:tcBorders>
            <w:shd w:val="clear" w:color="auto" w:fill="auto"/>
            <w:noWrap/>
            <w:vAlign w:val="center"/>
            <w:hideMark/>
          </w:tcPr>
          <w:p w14:paraId="55FB1DDC"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0.35</w:t>
            </w:r>
          </w:p>
        </w:tc>
        <w:tc>
          <w:tcPr>
            <w:tcW w:w="820" w:type="dxa"/>
            <w:tcBorders>
              <w:top w:val="nil"/>
              <w:left w:val="nil"/>
              <w:bottom w:val="double" w:sz="4" w:space="0" w:color="auto"/>
              <w:right w:val="single" w:sz="4" w:space="0" w:color="auto"/>
            </w:tcBorders>
            <w:shd w:val="clear" w:color="auto" w:fill="auto"/>
            <w:noWrap/>
            <w:vAlign w:val="center"/>
            <w:hideMark/>
          </w:tcPr>
          <w:p w14:paraId="1DB56BFF"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1.19</w:t>
            </w:r>
          </w:p>
        </w:tc>
        <w:tc>
          <w:tcPr>
            <w:tcW w:w="645" w:type="dxa"/>
            <w:tcBorders>
              <w:top w:val="nil"/>
              <w:left w:val="nil"/>
              <w:bottom w:val="double" w:sz="4" w:space="0" w:color="auto"/>
              <w:right w:val="double" w:sz="4" w:space="0" w:color="auto"/>
            </w:tcBorders>
            <w:shd w:val="clear" w:color="auto" w:fill="auto"/>
            <w:noWrap/>
            <w:vAlign w:val="center"/>
            <w:hideMark/>
          </w:tcPr>
          <w:p w14:paraId="53FCDEC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10.46</w:t>
            </w:r>
          </w:p>
        </w:tc>
        <w:tc>
          <w:tcPr>
            <w:tcW w:w="757" w:type="dxa"/>
            <w:tcBorders>
              <w:top w:val="nil"/>
              <w:left w:val="double" w:sz="4" w:space="0" w:color="auto"/>
              <w:bottom w:val="double" w:sz="4" w:space="0" w:color="auto"/>
              <w:right w:val="single" w:sz="4" w:space="0" w:color="auto"/>
            </w:tcBorders>
            <w:shd w:val="clear" w:color="auto" w:fill="auto"/>
            <w:noWrap/>
            <w:vAlign w:val="center"/>
            <w:hideMark/>
          </w:tcPr>
          <w:p w14:paraId="26FAE9D5"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NA</w:t>
            </w:r>
          </w:p>
        </w:tc>
        <w:tc>
          <w:tcPr>
            <w:tcW w:w="848" w:type="dxa"/>
            <w:tcBorders>
              <w:top w:val="nil"/>
              <w:left w:val="nil"/>
              <w:bottom w:val="double" w:sz="4" w:space="0" w:color="auto"/>
              <w:right w:val="single" w:sz="4" w:space="0" w:color="auto"/>
            </w:tcBorders>
            <w:shd w:val="clear" w:color="auto" w:fill="auto"/>
            <w:noWrap/>
            <w:vAlign w:val="center"/>
            <w:hideMark/>
          </w:tcPr>
          <w:p w14:paraId="02E9680D"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-66.98</w:t>
            </w:r>
          </w:p>
        </w:tc>
        <w:tc>
          <w:tcPr>
            <w:tcW w:w="810" w:type="dxa"/>
            <w:tcBorders>
              <w:top w:val="nil"/>
              <w:left w:val="nil"/>
              <w:bottom w:val="double" w:sz="4" w:space="0" w:color="auto"/>
              <w:right w:val="single" w:sz="4" w:space="0" w:color="auto"/>
            </w:tcBorders>
            <w:shd w:val="clear" w:color="auto" w:fill="auto"/>
            <w:noWrap/>
            <w:vAlign w:val="center"/>
            <w:hideMark/>
          </w:tcPr>
          <w:p w14:paraId="4F495BC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0.00</w:t>
            </w:r>
          </w:p>
        </w:tc>
        <w:tc>
          <w:tcPr>
            <w:tcW w:w="614" w:type="dxa"/>
            <w:tcBorders>
              <w:top w:val="nil"/>
              <w:left w:val="nil"/>
              <w:bottom w:val="double" w:sz="4" w:space="0" w:color="auto"/>
              <w:right w:val="double" w:sz="4" w:space="0" w:color="auto"/>
            </w:tcBorders>
            <w:shd w:val="clear" w:color="auto" w:fill="auto"/>
            <w:noWrap/>
            <w:vAlign w:val="center"/>
            <w:hideMark/>
          </w:tcPr>
          <w:p w14:paraId="4C524C04" w14:textId="77777777" w:rsidR="000E1B51" w:rsidRPr="006202ED" w:rsidRDefault="000E1B51" w:rsidP="00AC636C">
            <w:pPr>
              <w:spacing w:after="0" w:line="240" w:lineRule="auto"/>
              <w:jc w:val="right"/>
              <w:rPr>
                <w:rFonts w:eastAsia="Times New Roman"/>
                <w:color w:val="000000"/>
                <w:sz w:val="20"/>
                <w:szCs w:val="20"/>
              </w:rPr>
            </w:pPr>
            <w:r w:rsidRPr="006202ED">
              <w:rPr>
                <w:rFonts w:eastAsia="Times New Roman"/>
                <w:color w:val="000000"/>
                <w:sz w:val="20"/>
                <w:szCs w:val="20"/>
              </w:rPr>
              <w:t>-47.06</w:t>
            </w:r>
          </w:p>
        </w:tc>
      </w:tr>
    </w:tbl>
    <w:p w14:paraId="1BFEED25" w14:textId="70CD351E" w:rsidR="000E1B51" w:rsidRPr="0077577E" w:rsidRDefault="000E1B51" w:rsidP="00472474">
      <w:pPr>
        <w:tabs>
          <w:tab w:val="right" w:pos="630"/>
        </w:tabs>
        <w:spacing w:after="0" w:line="240" w:lineRule="auto"/>
        <w:rPr>
          <w:sz w:val="20"/>
          <w:szCs w:val="20"/>
        </w:rPr>
      </w:pPr>
    </w:p>
    <w:sectPr w:rsidR="000E1B51" w:rsidRPr="0077577E" w:rsidSect="0077577E">
      <w:pgSz w:w="15840" w:h="12240" w:orient="landscape" w:code="1"/>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3C5AB" w14:textId="77777777" w:rsidR="00A60EA4" w:rsidRDefault="00A60EA4" w:rsidP="008814A2">
      <w:pPr>
        <w:spacing w:after="0" w:line="240" w:lineRule="auto"/>
      </w:pPr>
      <w:r>
        <w:separator/>
      </w:r>
    </w:p>
  </w:endnote>
  <w:endnote w:type="continuationSeparator" w:id="0">
    <w:p w14:paraId="27A0DCF2" w14:textId="77777777" w:rsidR="00A60EA4" w:rsidRDefault="00A60EA4" w:rsidP="008814A2">
      <w:pPr>
        <w:spacing w:after="0" w:line="240" w:lineRule="auto"/>
      </w:pPr>
      <w:r>
        <w:continuationSeparator/>
      </w:r>
    </w:p>
  </w:endnote>
  <w:endnote w:type="continuationNotice" w:id="1">
    <w:p w14:paraId="4941ABB5" w14:textId="77777777" w:rsidR="00A60EA4" w:rsidRDefault="00A60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EB6BA" w14:textId="7A4D212C" w:rsidR="007B6738" w:rsidRDefault="007B6738" w:rsidP="00D00A0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326792"/>
      <w:docPartObj>
        <w:docPartGallery w:val="Page Numbers (Bottom of Page)"/>
        <w:docPartUnique/>
      </w:docPartObj>
    </w:sdtPr>
    <w:sdtEndPr>
      <w:rPr>
        <w:noProof/>
      </w:rPr>
    </w:sdtEndPr>
    <w:sdtContent>
      <w:p w14:paraId="70AEF9AB" w14:textId="30C02B52" w:rsidR="007B6738" w:rsidRDefault="007B6738" w:rsidP="00D00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70B67" w14:textId="77777777" w:rsidR="00A60EA4" w:rsidRDefault="00A60EA4" w:rsidP="008814A2">
      <w:pPr>
        <w:spacing w:after="0" w:line="240" w:lineRule="auto"/>
      </w:pPr>
      <w:r>
        <w:separator/>
      </w:r>
    </w:p>
  </w:footnote>
  <w:footnote w:type="continuationSeparator" w:id="0">
    <w:p w14:paraId="5D33B655" w14:textId="77777777" w:rsidR="00A60EA4" w:rsidRDefault="00A60EA4" w:rsidP="008814A2">
      <w:pPr>
        <w:spacing w:after="0" w:line="240" w:lineRule="auto"/>
      </w:pPr>
      <w:r>
        <w:continuationSeparator/>
      </w:r>
    </w:p>
  </w:footnote>
  <w:footnote w:type="continuationNotice" w:id="1">
    <w:p w14:paraId="66987287" w14:textId="77777777" w:rsidR="00A60EA4" w:rsidRDefault="00A60EA4">
      <w:pPr>
        <w:spacing w:after="0" w:line="240" w:lineRule="auto"/>
      </w:pPr>
    </w:p>
  </w:footnote>
  <w:footnote w:id="2">
    <w:p w14:paraId="479E5D10" w14:textId="45669D00" w:rsidR="007B6738" w:rsidRDefault="007B6738" w:rsidP="00391E47">
      <w:pPr>
        <w:pStyle w:val="FootnoteText"/>
      </w:pPr>
      <w:r w:rsidRPr="008A3FBC">
        <w:rPr>
          <w:rStyle w:val="FootnoteReference"/>
        </w:rPr>
        <w:footnoteRef/>
      </w:r>
      <w:r>
        <w:t xml:space="preserve"> See </w:t>
      </w:r>
      <w:hyperlink r:id="rId1" w:history="1">
        <w:r w:rsidRPr="004E4DF3">
          <w:rPr>
            <w:rStyle w:val="Hyperlink"/>
          </w:rPr>
          <w:t>https://restaurant.org/research-and-media/research/economists-notebook/analysis-commentary/consumer-spending-in-restaurants-continued-to-rise-in-may/</w:t>
        </w:r>
      </w:hyperlink>
      <w:r>
        <w:t xml:space="preserve">, accessed June 17, 2022. </w:t>
      </w:r>
    </w:p>
  </w:footnote>
  <w:footnote w:id="3">
    <w:p w14:paraId="583C2D14" w14:textId="165B11FD" w:rsidR="007B6738" w:rsidRDefault="007B6738" w:rsidP="00D00A05">
      <w:pPr>
        <w:pStyle w:val="FootnoteText"/>
      </w:pPr>
      <w:r w:rsidRPr="008A3FBC">
        <w:rPr>
          <w:rStyle w:val="FootnoteReference"/>
        </w:rPr>
        <w:footnoteRef/>
      </w:r>
      <w:r>
        <w:t xml:space="preserve"> </w:t>
      </w:r>
      <w:hyperlink r:id="rId2" w:history="1">
        <w:r w:rsidRPr="007722AE">
          <w:rPr>
            <w:rStyle w:val="Hyperlink"/>
          </w:rPr>
          <w:t>https://www.producebluebook.com/2021/01/26/nras-state-of-the-restaurant-industry-report-shows-massive-losses/#</w:t>
        </w:r>
      </w:hyperlink>
      <w:r>
        <w:t xml:space="preserve">, accessed June 17, 2022. </w:t>
      </w:r>
    </w:p>
  </w:footnote>
  <w:footnote w:id="4">
    <w:p w14:paraId="543EAB2D" w14:textId="0257628C" w:rsidR="007B6738" w:rsidRPr="0081571B" w:rsidRDefault="007B6738" w:rsidP="00DB3868">
      <w:pPr>
        <w:pStyle w:val="FootnoteText"/>
        <w:jc w:val="both"/>
      </w:pPr>
      <w:r w:rsidRPr="008A3FBC">
        <w:rPr>
          <w:rStyle w:val="FootnoteReference"/>
        </w:rPr>
        <w:footnoteRef/>
      </w:r>
      <w:r>
        <w:t xml:space="preserve"> </w:t>
      </w:r>
      <w:r w:rsidRPr="007D119D">
        <w:t>Weekend N</w:t>
      </w:r>
      <w:r>
        <w:t>HCM</w:t>
      </w:r>
      <w:r w:rsidRPr="007D119D">
        <w:t xml:space="preserve"> behavior is quite different from weekday N</w:t>
      </w:r>
      <w:r>
        <w:t>HCM</w:t>
      </w:r>
      <w:r w:rsidRPr="007D119D">
        <w:t xml:space="preserve"> behavior (see, for example, Venn et al., 2017), and </w:t>
      </w:r>
      <w:bookmarkStart w:id="22" w:name="_Hlk119658623"/>
      <w:r w:rsidRPr="007D119D">
        <w:t xml:space="preserve">breakfast/lunch are typically more associated with place of work and individual consumption decisions. On the other hand, the end-of-the-day dinner meal tends to be a stable meal of the day, and more of a family affair and a collective family decision. </w:t>
      </w:r>
      <w:r w:rsidRPr="00F003B0">
        <w:t xml:space="preserve">Further, given that </w:t>
      </w:r>
      <w:r w:rsidRPr="005D3220">
        <w:rPr>
          <w:shd w:val="clear" w:color="auto" w:fill="FFFFFF"/>
        </w:rPr>
        <w:t xml:space="preserve">dinner </w:t>
      </w:r>
      <w:r>
        <w:rPr>
          <w:shd w:val="clear" w:color="auto" w:fill="FFFFFF"/>
        </w:rPr>
        <w:t>meals</w:t>
      </w:r>
      <w:r w:rsidRPr="005D3220">
        <w:rPr>
          <w:shd w:val="clear" w:color="auto" w:fill="FFFFFF"/>
        </w:rPr>
        <w:t xml:space="preserve"> tend to be more of a conscious decision between cooking at home versus </w:t>
      </w:r>
      <w:r w:rsidRPr="009301C0">
        <w:rPr>
          <w:shd w:val="clear" w:color="auto" w:fill="FFFFFF"/>
        </w:rPr>
        <w:t xml:space="preserve">obtaining food from elsewhere, and </w:t>
      </w:r>
      <w:r w:rsidRPr="00137C2E">
        <w:rPr>
          <w:shd w:val="clear" w:color="auto" w:fill="FFFFFF"/>
        </w:rPr>
        <w:t>generally are for more special occasions as opposed to simply serving a biological need (</w:t>
      </w:r>
      <w:bookmarkStart w:id="23" w:name="_Hlk119934468"/>
      <w:r w:rsidRPr="00137C2E">
        <w:rPr>
          <w:shd w:val="clear" w:color="auto" w:fill="FFFFFF"/>
        </w:rPr>
        <w:t>Cadario and Morewedge, 2022</w:t>
      </w:r>
      <w:bookmarkEnd w:id="23"/>
      <w:r w:rsidRPr="00137C2E">
        <w:rPr>
          <w:shd w:val="clear" w:color="auto" w:fill="FFFFFF"/>
        </w:rPr>
        <w:t>)</w:t>
      </w:r>
      <w:r w:rsidRPr="009301C0">
        <w:rPr>
          <w:shd w:val="clear" w:color="auto" w:fill="FFFFFF"/>
        </w:rPr>
        <w:t>, it is likely that the</w:t>
      </w:r>
      <w:r w:rsidRPr="00137C2E">
        <w:rPr>
          <w:shd w:val="clear" w:color="auto" w:fill="FFFFFF"/>
        </w:rPr>
        <w:t xml:space="preserve"> monthly occasions of dinner NHCMs would be easier to recall than the monthly occasions of other NHCMs. </w:t>
      </w:r>
      <w:r w:rsidRPr="00137C2E">
        <w:t>Also, in terms of expenditures, non-home</w:t>
      </w:r>
      <w:r>
        <w:t>-</w:t>
      </w:r>
      <w:r w:rsidRPr="00137C2E">
        <w:t>cooked meal expenditures are highest for dining. For all these reasons</w:t>
      </w:r>
      <w:r w:rsidRPr="005D3220">
        <w:t>, we focus on dining occasions only in this first effort at understanding N</w:t>
      </w:r>
      <w:r>
        <w:t>HCM</w:t>
      </w:r>
      <w:r w:rsidRPr="005D3220">
        <w:t xml:space="preserve"> channel use in a post-COVID era.</w:t>
      </w:r>
    </w:p>
    <w:bookmarkEnd w:id="22"/>
  </w:footnote>
  <w:footnote w:id="5">
    <w:p w14:paraId="0A923116" w14:textId="0CFA2287" w:rsidR="007B6738" w:rsidRDefault="007B6738" w:rsidP="00D00A05">
      <w:pPr>
        <w:pStyle w:val="FootnoteText"/>
        <w:spacing w:after="60"/>
        <w:jc w:val="both"/>
      </w:pPr>
      <w:r>
        <w:rPr>
          <w:rStyle w:val="FootnoteReference"/>
        </w:rPr>
        <w:footnoteRef/>
      </w:r>
      <w:r>
        <w:t xml:space="preserve"> </w:t>
      </w:r>
      <w:r w:rsidRPr="00420E62">
        <w:t>Note that an ordered-response model is perfectly suited for positive discrete values when there is a clear upper bound on the count values. It is also quite parsimonious when that upper bound is not very large. While a multivariate count model may also be considered, the problem with the multivariate count model is that it allows count values from zero all the way until infinity. In fact, in our empirical analysis in the paper, we estimated both a multivariate count model as well as a multivariate ordered-response model. The former was estimated using the reframing of count models as a generalized ordered-response model (see Castro et al., 2012). Such a framework provides more flexibility than a traditional count model, and also facilitates introducing jointness across multiple counts. In addition, it offers an elegant way of estimating count models with zero-inflations as well as spikes/dips at any other count value. However</w:t>
      </w:r>
      <w:r>
        <w:t>,</w:t>
      </w:r>
      <w:r w:rsidRPr="00420E62">
        <w:t xml:space="preserve"> in our empirical analysis, the multivariate ordered-response model outperformed the multivariate count model in terms of data fit, even though both models provided similar directions of effects of variables.</w:t>
      </w:r>
    </w:p>
  </w:footnote>
  <w:footnote w:id="6">
    <w:p w14:paraId="7B0B2598" w14:textId="27BE9C42" w:rsidR="007B6738" w:rsidRDefault="007B6738" w:rsidP="00DB3868">
      <w:pPr>
        <w:pStyle w:val="FootnoteText"/>
        <w:jc w:val="both"/>
      </w:pPr>
      <w:r w:rsidRPr="008A3FBC">
        <w:rPr>
          <w:rStyle w:val="FootnoteReference"/>
        </w:rPr>
        <w:footnoteRef/>
      </w:r>
      <w:r>
        <w:t xml:space="preserve"> </w:t>
      </w:r>
      <w:bookmarkStart w:id="25" w:name="_Hlk119834782"/>
      <w:r>
        <w:t xml:space="preserve">On this issue, Kim and Wang (2021) do not actually consider substitution/complementarity effects, because they do not consider the effect of an observed endogenous variable on the latent propensity of another endogenous variable (which is what provides the actual pathway effects of one observed variable on another observed variable). Rather, Kim and Wang use the latent propensity underlying an observed endogenous variable on the latent propensity of another, which is essentially the same as a model with error correlation and all exogenous variables affecting all underlying propensities. But this insightful model does not have the interpretation of one count affecting another count variable as in our model.  </w:t>
      </w:r>
    </w:p>
    <w:bookmarkEnd w:id="25"/>
  </w:footnote>
  <w:footnote w:id="7">
    <w:p w14:paraId="617AAFE3" w14:textId="6A18F5C3" w:rsidR="007B6738" w:rsidRPr="009D141C" w:rsidRDefault="007B6738" w:rsidP="00391E47">
      <w:pPr>
        <w:spacing w:after="0" w:line="240" w:lineRule="auto"/>
        <w:jc w:val="both"/>
        <w:rPr>
          <w:b/>
          <w:i/>
        </w:rPr>
      </w:pPr>
      <w:bookmarkStart w:id="27" w:name="_Hlk119753694"/>
      <w:r w:rsidRPr="00391E47">
        <w:rPr>
          <w:rStyle w:val="FootnoteReference"/>
          <w:sz w:val="20"/>
          <w:szCs w:val="20"/>
        </w:rPr>
        <w:footnoteRef/>
      </w:r>
      <w:r w:rsidRPr="00391E47">
        <w:rPr>
          <w:sz w:val="20"/>
          <w:szCs w:val="20"/>
        </w:rPr>
        <w:t xml:space="preserve"> </w:t>
      </w:r>
      <w:bookmarkStart w:id="28" w:name="_Hlk119927548"/>
      <w:r w:rsidRPr="00BD5748">
        <w:rPr>
          <w:sz w:val="20"/>
          <w:szCs w:val="20"/>
        </w:rPr>
        <w:t>The survey was a relatively long one, of which the N</w:t>
      </w:r>
      <w:r>
        <w:rPr>
          <w:sz w:val="20"/>
          <w:szCs w:val="20"/>
        </w:rPr>
        <w:t>HCM</w:t>
      </w:r>
      <w:r w:rsidRPr="00BD5748">
        <w:rPr>
          <w:sz w:val="20"/>
          <w:szCs w:val="20"/>
        </w:rPr>
        <w:t xml:space="preserve"> question was a part. Our pilot efforts suggested about </w:t>
      </w:r>
      <w:r>
        <w:rPr>
          <w:sz w:val="20"/>
          <w:szCs w:val="20"/>
        </w:rPr>
        <w:t>15-</w:t>
      </w:r>
      <w:r w:rsidRPr="00BD5748">
        <w:rPr>
          <w:sz w:val="20"/>
          <w:szCs w:val="20"/>
        </w:rPr>
        <w:t>20 minutes to complete the survey. With that in mind, we automatically removed responses that were submitted within two minutes of opening, due to concerns</w:t>
      </w:r>
      <w:r>
        <w:rPr>
          <w:sz w:val="20"/>
          <w:szCs w:val="20"/>
        </w:rPr>
        <w:t xml:space="preserve"> about the accuracy of the corresponding responses</w:t>
      </w:r>
      <w:r w:rsidRPr="00BD5748">
        <w:rPr>
          <w:sz w:val="20"/>
          <w:szCs w:val="20"/>
        </w:rPr>
        <w:t>. The t</w:t>
      </w:r>
      <w:r>
        <w:rPr>
          <w:sz w:val="20"/>
          <w:szCs w:val="20"/>
        </w:rPr>
        <w:t xml:space="preserve">otal of </w:t>
      </w:r>
      <w:r w:rsidRPr="00BD5748">
        <w:rPr>
          <w:sz w:val="20"/>
          <w:szCs w:val="20"/>
        </w:rPr>
        <w:t xml:space="preserve">1,479 responses is after removing these “less-than-two-minute” responses. </w:t>
      </w:r>
    </w:p>
    <w:bookmarkEnd w:id="27"/>
    <w:bookmarkEnd w:id="28"/>
  </w:footnote>
  <w:footnote w:id="8">
    <w:p w14:paraId="4334AE2E" w14:textId="3B37D0AF" w:rsidR="007B6738" w:rsidRDefault="007B6738" w:rsidP="00391E47">
      <w:pPr>
        <w:pStyle w:val="FootnoteText"/>
        <w:spacing w:after="60"/>
        <w:jc w:val="both"/>
      </w:pPr>
      <w:r>
        <w:rPr>
          <w:rStyle w:val="FootnoteReference"/>
        </w:rPr>
        <w:footnoteRef/>
      </w:r>
      <w:r>
        <w:t xml:space="preserve"> A part-time employee is defined in the survey as an individual who works for 30 hours or less per week, while a full-time employee is an individual who works more than 30 hours per week. </w:t>
      </w:r>
    </w:p>
  </w:footnote>
  <w:footnote w:id="9">
    <w:p w14:paraId="5EF70093" w14:textId="234CA9DC" w:rsidR="007B6738" w:rsidRDefault="007B6738" w:rsidP="00861789">
      <w:pPr>
        <w:pStyle w:val="FootnoteText"/>
        <w:jc w:val="both"/>
      </w:pPr>
      <w:r>
        <w:rPr>
          <w:rStyle w:val="FootnoteReference"/>
        </w:rPr>
        <w:footnoteRef/>
      </w:r>
      <w:r>
        <w:t xml:space="preserve"> The sample includes individuals who worked 100% from home and did not commute to the work office at all (and many of these individuals did not even have a work office). So, the commute time here refers only to those employed individuals who had a regular work office that they went to at least occasionally during the month. The Texas mean of 26.6 minutes also refers to only those who had a regular work office and commuted at least occasionally to that work office. For those who always worked from home (143 individuals of the 996 employed individuals in our sample), the commute time takes the value of zero. </w:t>
      </w:r>
    </w:p>
  </w:footnote>
  <w:footnote w:id="10">
    <w:p w14:paraId="7D9708CE" w14:textId="32FB5661" w:rsidR="007B6738" w:rsidRDefault="007B6738" w:rsidP="002E5DCF">
      <w:pPr>
        <w:pStyle w:val="FootnoteText"/>
        <w:jc w:val="both"/>
      </w:pPr>
      <w:r>
        <w:rPr>
          <w:rStyle w:val="FootnoteReference"/>
        </w:rPr>
        <w:footnoteRef/>
      </w:r>
      <w:r>
        <w:t xml:space="preserve"> The count value at 10 is high with 119 individuals for eat-out, but 68 individuals had the value of 10, leaving only 51 individuals (less than 4.67% of the overall sample) with a value higher than 10. Similarly, 20 individuals had the value of six for eat-in takeout, leaving only 43 individuals (less than 3.94% of the overall sample) with a value higher than six. For eat-in delivery, 13 individuals had the value of six, leaving 29 individuals (less than 2.66% of the sample) with a value higher than six. </w:t>
      </w:r>
    </w:p>
  </w:footnote>
  <w:footnote w:id="11">
    <w:p w14:paraId="3BC1A42B" w14:textId="7A204AC4" w:rsidR="007B6738" w:rsidRDefault="007B6738" w:rsidP="00861789">
      <w:pPr>
        <w:pStyle w:val="FootnoteText"/>
        <w:jc w:val="both"/>
      </w:pPr>
      <w:r>
        <w:rPr>
          <w:rStyle w:val="FootnoteReference"/>
        </w:rPr>
        <w:footnoteRef/>
      </w:r>
      <w:r>
        <w:t xml:space="preserve"> These COVID threat/perception variables were obtained in the survey as a response to the following statements/questions: </w:t>
      </w:r>
      <w:bookmarkStart w:id="34" w:name="_Hlk119682256"/>
      <w:r>
        <w:t xml:space="preserve">(a) Covid-19 was/is still a threat to my loved ones, (b) My personal well-being was or still is at risk during the pandemic, </w:t>
      </w:r>
      <w:bookmarkEnd w:id="34"/>
      <w:r>
        <w:t xml:space="preserve">(c) Would you consider yourself immunocompromised?, and (d) Would you consider someone you live with or frequently visit immunocompromised? Individuals could provide a response to the first two statements on a five-point Likert scale from strongly disagree to strongly agree, and were asked to provide a response to the latter two questions on a binary scale of “yes” or “no”. </w:t>
      </w:r>
    </w:p>
  </w:footnote>
  <w:footnote w:id="12">
    <w:p w14:paraId="1A691CEA" w14:textId="02746C82" w:rsidR="007B6738" w:rsidRDefault="007B6738" w:rsidP="002E5DCF">
      <w:pPr>
        <w:pStyle w:val="FootnoteText"/>
        <w:jc w:val="both"/>
      </w:pPr>
      <w:r>
        <w:rPr>
          <w:rStyle w:val="FootnoteReference"/>
        </w:rPr>
        <w:footnoteRef/>
      </w:r>
      <w:r>
        <w:t xml:space="preserve"> Li et al. differentiate between white and Black individuals in their study, while our study differentiates between whites and non-whites. Our survey collected information on race in multiple categories, including white, Black, Native American, Asian or Pacific Islander, and Other. But there were too few individuals in each individual non-white category to separately tease out disaggregate racial effects. Kim and Wang (2021) report a lower propensity for food deliveries for those of Asian and other races, but no statistically significant difference between white, Hispanic, and Black individuals. </w:t>
      </w:r>
    </w:p>
  </w:footnote>
  <w:footnote w:id="13">
    <w:p w14:paraId="36E84ED8" w14:textId="6D5B9044" w:rsidR="007B6738" w:rsidRDefault="007B6738" w:rsidP="00DD75BF">
      <w:pPr>
        <w:pStyle w:val="FootnoteText"/>
        <w:spacing w:after="60"/>
        <w:jc w:val="both"/>
      </w:pPr>
      <w:r>
        <w:rPr>
          <w:rStyle w:val="FootnoteReference"/>
        </w:rPr>
        <w:footnoteRef/>
      </w:r>
      <w:r>
        <w:t xml:space="preserve"> Those not employed are most unlikely to pursue eat-ins and NHCMs in general, possibly because of financial uncertainty and worry about the future, even though current household income earnings have been controlled for.</w:t>
      </w:r>
    </w:p>
  </w:footnote>
  <w:footnote w:id="14">
    <w:p w14:paraId="5E4671EE" w14:textId="2C608AAA" w:rsidR="007B6738" w:rsidRDefault="007B6738" w:rsidP="00DD75BF">
      <w:pPr>
        <w:pStyle w:val="FootnoteText"/>
        <w:jc w:val="both"/>
      </w:pPr>
      <w:r>
        <w:rPr>
          <w:rStyle w:val="FootnoteReference"/>
        </w:rPr>
        <w:footnoteRef/>
      </w:r>
      <w:r>
        <w:t xml:space="preserve"> This result suggests either that food choices are more driven by demographics/job characteristics rather than residential BE, or that there is a natural residential self-selection process at play wherein specific demographic segments of the population locate themselves in specific neighborhoods such that residential BE factors get, to a good extent, implicitly accounted for through resident demographics. It would be interesting in future studies to attempt to disentangle these two possible explanations.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C11DD" w14:textId="77777777" w:rsidR="00095DE5" w:rsidRDefault="0009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3A3C"/>
    <w:multiLevelType w:val="hybridMultilevel"/>
    <w:tmpl w:val="7A7201E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EAD3570"/>
    <w:multiLevelType w:val="hybridMultilevel"/>
    <w:tmpl w:val="95E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B346D"/>
    <w:multiLevelType w:val="hybridMultilevel"/>
    <w:tmpl w:val="105E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649E0"/>
    <w:multiLevelType w:val="hybridMultilevel"/>
    <w:tmpl w:val="45564260"/>
    <w:lvl w:ilvl="0" w:tplc="766804F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25877"/>
    <w:multiLevelType w:val="hybridMultilevel"/>
    <w:tmpl w:val="2584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D30B4"/>
    <w:multiLevelType w:val="multilevel"/>
    <w:tmpl w:val="462EA7F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AB463F"/>
    <w:multiLevelType w:val="hybridMultilevel"/>
    <w:tmpl w:val="6A945072"/>
    <w:lvl w:ilvl="0" w:tplc="E640EAA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B15848"/>
    <w:multiLevelType w:val="hybridMultilevel"/>
    <w:tmpl w:val="F92E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97DBE"/>
    <w:multiLevelType w:val="hybridMultilevel"/>
    <w:tmpl w:val="951A706C"/>
    <w:lvl w:ilvl="0" w:tplc="A95834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A11795"/>
    <w:multiLevelType w:val="hybridMultilevel"/>
    <w:tmpl w:val="B694FED0"/>
    <w:lvl w:ilvl="0" w:tplc="6FC2D8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35879"/>
    <w:multiLevelType w:val="multilevel"/>
    <w:tmpl w:val="76FAED68"/>
    <w:lvl w:ilvl="0">
      <w:start w:val="1"/>
      <w:numFmt w:val="decimal"/>
      <w:pStyle w:val="Heading1"/>
      <w:lvlText w:val="%1."/>
      <w:lvlJc w:val="left"/>
      <w:pPr>
        <w:ind w:left="1080" w:hanging="360"/>
      </w:pPr>
      <w:rPr>
        <w:rFonts w:hint="default"/>
      </w:rPr>
    </w:lvl>
    <w:lvl w:ilvl="1">
      <w:start w:val="1"/>
      <w:numFmt w:val="decimal"/>
      <w:pStyle w:val="Heading2"/>
      <w:isLgl/>
      <w:lvlText w:val="%1.%2."/>
      <w:lvlJc w:val="left"/>
      <w:pPr>
        <w:ind w:left="32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1B2F95"/>
    <w:multiLevelType w:val="hybridMultilevel"/>
    <w:tmpl w:val="017A0CFC"/>
    <w:lvl w:ilvl="0" w:tplc="7E0AA5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6B291D"/>
    <w:multiLevelType w:val="hybridMultilevel"/>
    <w:tmpl w:val="7A34AC78"/>
    <w:lvl w:ilvl="0" w:tplc="1DE0A1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8"/>
  </w:num>
  <w:num w:numId="5">
    <w:abstractNumId w:val="12"/>
  </w:num>
  <w:num w:numId="6">
    <w:abstractNumId w:val="4"/>
  </w:num>
  <w:num w:numId="7">
    <w:abstractNumId w:val="0"/>
  </w:num>
  <w:num w:numId="8">
    <w:abstractNumId w:val="6"/>
  </w:num>
  <w:num w:numId="9">
    <w:abstractNumId w:val="7"/>
  </w:num>
  <w:num w:numId="10">
    <w:abstractNumId w:val="11"/>
  </w:num>
  <w:num w:numId="11">
    <w:abstractNumId w:val="5"/>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1NTUwNbEwNzKwNDFT0lEKTi0uzszPAykwrQUA4zM+7CwAAAA="/>
  </w:docVars>
  <w:rsids>
    <w:rsidRoot w:val="002D2762"/>
    <w:rsid w:val="000011A9"/>
    <w:rsid w:val="000019A9"/>
    <w:rsid w:val="000029DE"/>
    <w:rsid w:val="000035CC"/>
    <w:rsid w:val="00012D7B"/>
    <w:rsid w:val="0001526E"/>
    <w:rsid w:val="00015740"/>
    <w:rsid w:val="00017937"/>
    <w:rsid w:val="00021D9C"/>
    <w:rsid w:val="00023773"/>
    <w:rsid w:val="00024A11"/>
    <w:rsid w:val="00024A34"/>
    <w:rsid w:val="000267AA"/>
    <w:rsid w:val="000274DB"/>
    <w:rsid w:val="000345BD"/>
    <w:rsid w:val="000355FE"/>
    <w:rsid w:val="0003754B"/>
    <w:rsid w:val="00040BF4"/>
    <w:rsid w:val="0005042D"/>
    <w:rsid w:val="000521A2"/>
    <w:rsid w:val="0005302D"/>
    <w:rsid w:val="000536CE"/>
    <w:rsid w:val="000544FB"/>
    <w:rsid w:val="0005665B"/>
    <w:rsid w:val="000569A9"/>
    <w:rsid w:val="00057964"/>
    <w:rsid w:val="00060A21"/>
    <w:rsid w:val="0006112B"/>
    <w:rsid w:val="00064CDC"/>
    <w:rsid w:val="00064F2E"/>
    <w:rsid w:val="00065D2D"/>
    <w:rsid w:val="0006716F"/>
    <w:rsid w:val="00074C5D"/>
    <w:rsid w:val="00076B51"/>
    <w:rsid w:val="000774D8"/>
    <w:rsid w:val="00080EB2"/>
    <w:rsid w:val="00084C26"/>
    <w:rsid w:val="00084E35"/>
    <w:rsid w:val="00087203"/>
    <w:rsid w:val="0009165F"/>
    <w:rsid w:val="00092BF3"/>
    <w:rsid w:val="00094284"/>
    <w:rsid w:val="00094328"/>
    <w:rsid w:val="0009570F"/>
    <w:rsid w:val="00095DE5"/>
    <w:rsid w:val="00095E03"/>
    <w:rsid w:val="00097860"/>
    <w:rsid w:val="000A090C"/>
    <w:rsid w:val="000A0B0A"/>
    <w:rsid w:val="000A4EFF"/>
    <w:rsid w:val="000B1C9D"/>
    <w:rsid w:val="000C0E90"/>
    <w:rsid w:val="000C24AB"/>
    <w:rsid w:val="000C24C5"/>
    <w:rsid w:val="000D16F4"/>
    <w:rsid w:val="000D182D"/>
    <w:rsid w:val="000D18D4"/>
    <w:rsid w:val="000D36F9"/>
    <w:rsid w:val="000D3DB6"/>
    <w:rsid w:val="000D4A5E"/>
    <w:rsid w:val="000D4BDE"/>
    <w:rsid w:val="000D602A"/>
    <w:rsid w:val="000D7037"/>
    <w:rsid w:val="000E166E"/>
    <w:rsid w:val="000E1B51"/>
    <w:rsid w:val="000E2726"/>
    <w:rsid w:val="000E374F"/>
    <w:rsid w:val="000E444E"/>
    <w:rsid w:val="000F048C"/>
    <w:rsid w:val="000F27DB"/>
    <w:rsid w:val="000F3F64"/>
    <w:rsid w:val="000F4235"/>
    <w:rsid w:val="000F725D"/>
    <w:rsid w:val="001017A6"/>
    <w:rsid w:val="001057EF"/>
    <w:rsid w:val="00113453"/>
    <w:rsid w:val="001144E4"/>
    <w:rsid w:val="00114B5B"/>
    <w:rsid w:val="00120936"/>
    <w:rsid w:val="00122F24"/>
    <w:rsid w:val="0012363C"/>
    <w:rsid w:val="001253DE"/>
    <w:rsid w:val="00125BEB"/>
    <w:rsid w:val="00131605"/>
    <w:rsid w:val="001322E9"/>
    <w:rsid w:val="00133DF1"/>
    <w:rsid w:val="00135D30"/>
    <w:rsid w:val="00135E9E"/>
    <w:rsid w:val="0013717B"/>
    <w:rsid w:val="00137C2E"/>
    <w:rsid w:val="00141193"/>
    <w:rsid w:val="00141E7A"/>
    <w:rsid w:val="00142D40"/>
    <w:rsid w:val="001445F5"/>
    <w:rsid w:val="001446BB"/>
    <w:rsid w:val="00144C78"/>
    <w:rsid w:val="001450B3"/>
    <w:rsid w:val="001459C2"/>
    <w:rsid w:val="001464BB"/>
    <w:rsid w:val="00146743"/>
    <w:rsid w:val="001508A6"/>
    <w:rsid w:val="0015182B"/>
    <w:rsid w:val="00151ABD"/>
    <w:rsid w:val="001548D4"/>
    <w:rsid w:val="0015546B"/>
    <w:rsid w:val="001576F2"/>
    <w:rsid w:val="001578AF"/>
    <w:rsid w:val="0016283D"/>
    <w:rsid w:val="00162B4B"/>
    <w:rsid w:val="00164680"/>
    <w:rsid w:val="001646B5"/>
    <w:rsid w:val="001651F6"/>
    <w:rsid w:val="00170AA5"/>
    <w:rsid w:val="00175D4E"/>
    <w:rsid w:val="00177040"/>
    <w:rsid w:val="001801F6"/>
    <w:rsid w:val="00181D55"/>
    <w:rsid w:val="00181F8E"/>
    <w:rsid w:val="00182AF2"/>
    <w:rsid w:val="00184741"/>
    <w:rsid w:val="001848B0"/>
    <w:rsid w:val="001879A2"/>
    <w:rsid w:val="001913BF"/>
    <w:rsid w:val="00195126"/>
    <w:rsid w:val="0019550A"/>
    <w:rsid w:val="001A01E4"/>
    <w:rsid w:val="001A04BC"/>
    <w:rsid w:val="001A1425"/>
    <w:rsid w:val="001A2686"/>
    <w:rsid w:val="001A4F98"/>
    <w:rsid w:val="001A587E"/>
    <w:rsid w:val="001A5F99"/>
    <w:rsid w:val="001A6716"/>
    <w:rsid w:val="001A75F6"/>
    <w:rsid w:val="001B05E8"/>
    <w:rsid w:val="001B47A2"/>
    <w:rsid w:val="001B6CEA"/>
    <w:rsid w:val="001B7919"/>
    <w:rsid w:val="001B7E3F"/>
    <w:rsid w:val="001C27ED"/>
    <w:rsid w:val="001C459D"/>
    <w:rsid w:val="001C4B82"/>
    <w:rsid w:val="001C4C24"/>
    <w:rsid w:val="001C65A7"/>
    <w:rsid w:val="001C76C4"/>
    <w:rsid w:val="001D105C"/>
    <w:rsid w:val="001D1509"/>
    <w:rsid w:val="001D2895"/>
    <w:rsid w:val="001D32F1"/>
    <w:rsid w:val="001D7F79"/>
    <w:rsid w:val="001E073E"/>
    <w:rsid w:val="001E1684"/>
    <w:rsid w:val="001F0025"/>
    <w:rsid w:val="001F0F64"/>
    <w:rsid w:val="001F110C"/>
    <w:rsid w:val="001F13EA"/>
    <w:rsid w:val="001F6254"/>
    <w:rsid w:val="0020044F"/>
    <w:rsid w:val="00200F27"/>
    <w:rsid w:val="00203C80"/>
    <w:rsid w:val="002042F3"/>
    <w:rsid w:val="00205CE6"/>
    <w:rsid w:val="00206C83"/>
    <w:rsid w:val="0021005D"/>
    <w:rsid w:val="0021102F"/>
    <w:rsid w:val="00211F25"/>
    <w:rsid w:val="002152B3"/>
    <w:rsid w:val="00220633"/>
    <w:rsid w:val="002211FA"/>
    <w:rsid w:val="00221445"/>
    <w:rsid w:val="00223A12"/>
    <w:rsid w:val="00224860"/>
    <w:rsid w:val="002257DA"/>
    <w:rsid w:val="00225816"/>
    <w:rsid w:val="00225BE4"/>
    <w:rsid w:val="002265A4"/>
    <w:rsid w:val="00226965"/>
    <w:rsid w:val="00226D7B"/>
    <w:rsid w:val="002312BE"/>
    <w:rsid w:val="00231FC8"/>
    <w:rsid w:val="00232900"/>
    <w:rsid w:val="00235A17"/>
    <w:rsid w:val="00235FB2"/>
    <w:rsid w:val="00240451"/>
    <w:rsid w:val="0024290A"/>
    <w:rsid w:val="002458D5"/>
    <w:rsid w:val="00246979"/>
    <w:rsid w:val="00246E8E"/>
    <w:rsid w:val="002522A5"/>
    <w:rsid w:val="0025247B"/>
    <w:rsid w:val="00252837"/>
    <w:rsid w:val="00254631"/>
    <w:rsid w:val="002572D6"/>
    <w:rsid w:val="00257D70"/>
    <w:rsid w:val="00260D87"/>
    <w:rsid w:val="00261144"/>
    <w:rsid w:val="00261D39"/>
    <w:rsid w:val="002633B5"/>
    <w:rsid w:val="002640B5"/>
    <w:rsid w:val="00265247"/>
    <w:rsid w:val="00266686"/>
    <w:rsid w:val="00266789"/>
    <w:rsid w:val="002731E5"/>
    <w:rsid w:val="002737EE"/>
    <w:rsid w:val="002753ED"/>
    <w:rsid w:val="00276ACF"/>
    <w:rsid w:val="00277D19"/>
    <w:rsid w:val="0028308A"/>
    <w:rsid w:val="00284177"/>
    <w:rsid w:val="00287F35"/>
    <w:rsid w:val="00291D2D"/>
    <w:rsid w:val="00292155"/>
    <w:rsid w:val="002936B6"/>
    <w:rsid w:val="00294726"/>
    <w:rsid w:val="002953BF"/>
    <w:rsid w:val="00295B62"/>
    <w:rsid w:val="002A2196"/>
    <w:rsid w:val="002A499A"/>
    <w:rsid w:val="002A49C8"/>
    <w:rsid w:val="002B1321"/>
    <w:rsid w:val="002B17BE"/>
    <w:rsid w:val="002B38F7"/>
    <w:rsid w:val="002C0E17"/>
    <w:rsid w:val="002C1082"/>
    <w:rsid w:val="002C1487"/>
    <w:rsid w:val="002C38C1"/>
    <w:rsid w:val="002C4218"/>
    <w:rsid w:val="002C5F6C"/>
    <w:rsid w:val="002C6BE6"/>
    <w:rsid w:val="002C7ECB"/>
    <w:rsid w:val="002D0549"/>
    <w:rsid w:val="002D11A1"/>
    <w:rsid w:val="002D12A1"/>
    <w:rsid w:val="002D1C69"/>
    <w:rsid w:val="002D1FA2"/>
    <w:rsid w:val="002D2671"/>
    <w:rsid w:val="002D2762"/>
    <w:rsid w:val="002D27C9"/>
    <w:rsid w:val="002D5D5E"/>
    <w:rsid w:val="002D73A8"/>
    <w:rsid w:val="002E33E8"/>
    <w:rsid w:val="002E4829"/>
    <w:rsid w:val="002E5DCF"/>
    <w:rsid w:val="002E60E5"/>
    <w:rsid w:val="002F0B24"/>
    <w:rsid w:val="002F1DC9"/>
    <w:rsid w:val="002F3BE9"/>
    <w:rsid w:val="002F412D"/>
    <w:rsid w:val="00300495"/>
    <w:rsid w:val="003004EA"/>
    <w:rsid w:val="00300C16"/>
    <w:rsid w:val="00306A10"/>
    <w:rsid w:val="003070D6"/>
    <w:rsid w:val="003074DB"/>
    <w:rsid w:val="003114A4"/>
    <w:rsid w:val="00313C01"/>
    <w:rsid w:val="00320688"/>
    <w:rsid w:val="00322C2E"/>
    <w:rsid w:val="00325457"/>
    <w:rsid w:val="00327EAA"/>
    <w:rsid w:val="00332026"/>
    <w:rsid w:val="003337FE"/>
    <w:rsid w:val="00335A34"/>
    <w:rsid w:val="0033731D"/>
    <w:rsid w:val="003427AD"/>
    <w:rsid w:val="00342A5A"/>
    <w:rsid w:val="003434A8"/>
    <w:rsid w:val="00344533"/>
    <w:rsid w:val="003447E7"/>
    <w:rsid w:val="00345923"/>
    <w:rsid w:val="0035199E"/>
    <w:rsid w:val="0035257A"/>
    <w:rsid w:val="00352B0F"/>
    <w:rsid w:val="00352BDC"/>
    <w:rsid w:val="0035402F"/>
    <w:rsid w:val="00354945"/>
    <w:rsid w:val="003567EE"/>
    <w:rsid w:val="00360B1F"/>
    <w:rsid w:val="0036248F"/>
    <w:rsid w:val="00362C37"/>
    <w:rsid w:val="00362EB4"/>
    <w:rsid w:val="003649F8"/>
    <w:rsid w:val="00366191"/>
    <w:rsid w:val="00367448"/>
    <w:rsid w:val="00367FE0"/>
    <w:rsid w:val="00373230"/>
    <w:rsid w:val="00375309"/>
    <w:rsid w:val="003774E0"/>
    <w:rsid w:val="00377551"/>
    <w:rsid w:val="00377E0E"/>
    <w:rsid w:val="00380ADE"/>
    <w:rsid w:val="00380C81"/>
    <w:rsid w:val="00381210"/>
    <w:rsid w:val="00381327"/>
    <w:rsid w:val="00382036"/>
    <w:rsid w:val="00382344"/>
    <w:rsid w:val="00383D47"/>
    <w:rsid w:val="003874B1"/>
    <w:rsid w:val="00390615"/>
    <w:rsid w:val="00390788"/>
    <w:rsid w:val="0039093E"/>
    <w:rsid w:val="00390D35"/>
    <w:rsid w:val="00391B6E"/>
    <w:rsid w:val="00391E47"/>
    <w:rsid w:val="00392EDE"/>
    <w:rsid w:val="0039380B"/>
    <w:rsid w:val="00394330"/>
    <w:rsid w:val="00394E32"/>
    <w:rsid w:val="003A0027"/>
    <w:rsid w:val="003A2C7F"/>
    <w:rsid w:val="003A59A4"/>
    <w:rsid w:val="003B37A6"/>
    <w:rsid w:val="003B3F95"/>
    <w:rsid w:val="003B46B3"/>
    <w:rsid w:val="003B504C"/>
    <w:rsid w:val="003B54E4"/>
    <w:rsid w:val="003B5A1E"/>
    <w:rsid w:val="003B60CE"/>
    <w:rsid w:val="003B772E"/>
    <w:rsid w:val="003C0B96"/>
    <w:rsid w:val="003C1871"/>
    <w:rsid w:val="003C4D90"/>
    <w:rsid w:val="003C7A23"/>
    <w:rsid w:val="003D23BB"/>
    <w:rsid w:val="003D330F"/>
    <w:rsid w:val="003D4A1E"/>
    <w:rsid w:val="003D7C97"/>
    <w:rsid w:val="003E0B2C"/>
    <w:rsid w:val="003E69D1"/>
    <w:rsid w:val="003E6B19"/>
    <w:rsid w:val="003F1433"/>
    <w:rsid w:val="003F161F"/>
    <w:rsid w:val="003F2D34"/>
    <w:rsid w:val="003F3E40"/>
    <w:rsid w:val="003F4B7B"/>
    <w:rsid w:val="003F7197"/>
    <w:rsid w:val="003F7E94"/>
    <w:rsid w:val="004037F6"/>
    <w:rsid w:val="0041186E"/>
    <w:rsid w:val="004204F8"/>
    <w:rsid w:val="00420E62"/>
    <w:rsid w:val="004214B6"/>
    <w:rsid w:val="004214D9"/>
    <w:rsid w:val="00421D38"/>
    <w:rsid w:val="004243CA"/>
    <w:rsid w:val="00424BD0"/>
    <w:rsid w:val="004257CB"/>
    <w:rsid w:val="004272C8"/>
    <w:rsid w:val="00430A34"/>
    <w:rsid w:val="004330AF"/>
    <w:rsid w:val="004338B1"/>
    <w:rsid w:val="004362CF"/>
    <w:rsid w:val="00437AD8"/>
    <w:rsid w:val="00442309"/>
    <w:rsid w:val="0044625E"/>
    <w:rsid w:val="0044689F"/>
    <w:rsid w:val="00447449"/>
    <w:rsid w:val="00447F64"/>
    <w:rsid w:val="004506E5"/>
    <w:rsid w:val="004523C0"/>
    <w:rsid w:val="0045722A"/>
    <w:rsid w:val="00461059"/>
    <w:rsid w:val="00461DE3"/>
    <w:rsid w:val="004644C4"/>
    <w:rsid w:val="00466894"/>
    <w:rsid w:val="00471700"/>
    <w:rsid w:val="00471D2A"/>
    <w:rsid w:val="00472474"/>
    <w:rsid w:val="004752B5"/>
    <w:rsid w:val="00477FC6"/>
    <w:rsid w:val="0048398B"/>
    <w:rsid w:val="004878F8"/>
    <w:rsid w:val="00487D4C"/>
    <w:rsid w:val="00492A4F"/>
    <w:rsid w:val="004934C5"/>
    <w:rsid w:val="0049356A"/>
    <w:rsid w:val="00493D78"/>
    <w:rsid w:val="0049416A"/>
    <w:rsid w:val="00497C91"/>
    <w:rsid w:val="004A1D40"/>
    <w:rsid w:val="004A2656"/>
    <w:rsid w:val="004A26AE"/>
    <w:rsid w:val="004A3F04"/>
    <w:rsid w:val="004A4927"/>
    <w:rsid w:val="004A6A7D"/>
    <w:rsid w:val="004B1780"/>
    <w:rsid w:val="004B279C"/>
    <w:rsid w:val="004B27FA"/>
    <w:rsid w:val="004B4B2D"/>
    <w:rsid w:val="004C099F"/>
    <w:rsid w:val="004C0CCC"/>
    <w:rsid w:val="004C1EB2"/>
    <w:rsid w:val="004C77B2"/>
    <w:rsid w:val="004D0CEF"/>
    <w:rsid w:val="004D1A31"/>
    <w:rsid w:val="004D4973"/>
    <w:rsid w:val="004D4E3E"/>
    <w:rsid w:val="004D6498"/>
    <w:rsid w:val="004D6FC0"/>
    <w:rsid w:val="004D7906"/>
    <w:rsid w:val="004E0163"/>
    <w:rsid w:val="004E0394"/>
    <w:rsid w:val="004E1BBE"/>
    <w:rsid w:val="004E36C1"/>
    <w:rsid w:val="004E3AAC"/>
    <w:rsid w:val="004E6546"/>
    <w:rsid w:val="004E7470"/>
    <w:rsid w:val="004F17DE"/>
    <w:rsid w:val="004F1D2C"/>
    <w:rsid w:val="004F1F3E"/>
    <w:rsid w:val="004F7BFD"/>
    <w:rsid w:val="005004A6"/>
    <w:rsid w:val="0051015D"/>
    <w:rsid w:val="00510951"/>
    <w:rsid w:val="00511BC3"/>
    <w:rsid w:val="0051445C"/>
    <w:rsid w:val="00514913"/>
    <w:rsid w:val="00515349"/>
    <w:rsid w:val="00515A4C"/>
    <w:rsid w:val="0051614D"/>
    <w:rsid w:val="00517B85"/>
    <w:rsid w:val="00517E8A"/>
    <w:rsid w:val="005216A1"/>
    <w:rsid w:val="00522C0D"/>
    <w:rsid w:val="00523B20"/>
    <w:rsid w:val="00525732"/>
    <w:rsid w:val="00526C9C"/>
    <w:rsid w:val="00531B83"/>
    <w:rsid w:val="00531C08"/>
    <w:rsid w:val="0053291E"/>
    <w:rsid w:val="0053326E"/>
    <w:rsid w:val="0053447B"/>
    <w:rsid w:val="00534C17"/>
    <w:rsid w:val="005355CB"/>
    <w:rsid w:val="00535C60"/>
    <w:rsid w:val="00537B70"/>
    <w:rsid w:val="00537C90"/>
    <w:rsid w:val="00541701"/>
    <w:rsid w:val="0054253E"/>
    <w:rsid w:val="0054298B"/>
    <w:rsid w:val="00542F4B"/>
    <w:rsid w:val="00543B5A"/>
    <w:rsid w:val="005452D7"/>
    <w:rsid w:val="00545F50"/>
    <w:rsid w:val="005464A1"/>
    <w:rsid w:val="00550F57"/>
    <w:rsid w:val="0055221D"/>
    <w:rsid w:val="00553DA4"/>
    <w:rsid w:val="0055416C"/>
    <w:rsid w:val="00554351"/>
    <w:rsid w:val="0055600F"/>
    <w:rsid w:val="005606EA"/>
    <w:rsid w:val="00561855"/>
    <w:rsid w:val="005631B7"/>
    <w:rsid w:val="00565648"/>
    <w:rsid w:val="00567101"/>
    <w:rsid w:val="00570C54"/>
    <w:rsid w:val="005719FE"/>
    <w:rsid w:val="00572228"/>
    <w:rsid w:val="00575B81"/>
    <w:rsid w:val="00577497"/>
    <w:rsid w:val="00582924"/>
    <w:rsid w:val="005939D9"/>
    <w:rsid w:val="00594AD8"/>
    <w:rsid w:val="00594BBA"/>
    <w:rsid w:val="00594CB4"/>
    <w:rsid w:val="00595DAE"/>
    <w:rsid w:val="005A11EB"/>
    <w:rsid w:val="005A22F6"/>
    <w:rsid w:val="005A2707"/>
    <w:rsid w:val="005A2A5C"/>
    <w:rsid w:val="005A4C41"/>
    <w:rsid w:val="005A5444"/>
    <w:rsid w:val="005A5EAE"/>
    <w:rsid w:val="005B2CA5"/>
    <w:rsid w:val="005B30AB"/>
    <w:rsid w:val="005B47D3"/>
    <w:rsid w:val="005B4F21"/>
    <w:rsid w:val="005B545F"/>
    <w:rsid w:val="005B7318"/>
    <w:rsid w:val="005C0348"/>
    <w:rsid w:val="005C3664"/>
    <w:rsid w:val="005C525C"/>
    <w:rsid w:val="005C5959"/>
    <w:rsid w:val="005C7D4A"/>
    <w:rsid w:val="005D3220"/>
    <w:rsid w:val="005D5AF2"/>
    <w:rsid w:val="005D6565"/>
    <w:rsid w:val="005D6889"/>
    <w:rsid w:val="005D70DD"/>
    <w:rsid w:val="005D7733"/>
    <w:rsid w:val="005E0D23"/>
    <w:rsid w:val="005E21C4"/>
    <w:rsid w:val="005E44C5"/>
    <w:rsid w:val="005E55FF"/>
    <w:rsid w:val="005E5998"/>
    <w:rsid w:val="005F0DED"/>
    <w:rsid w:val="005F1ECB"/>
    <w:rsid w:val="005F3CB6"/>
    <w:rsid w:val="005F5793"/>
    <w:rsid w:val="005F5FAD"/>
    <w:rsid w:val="005F6923"/>
    <w:rsid w:val="00600AA1"/>
    <w:rsid w:val="00601738"/>
    <w:rsid w:val="00602B92"/>
    <w:rsid w:val="006064C3"/>
    <w:rsid w:val="00607091"/>
    <w:rsid w:val="0061076E"/>
    <w:rsid w:val="00611F54"/>
    <w:rsid w:val="006121C9"/>
    <w:rsid w:val="00613D2B"/>
    <w:rsid w:val="00614BA1"/>
    <w:rsid w:val="00616308"/>
    <w:rsid w:val="00616EB8"/>
    <w:rsid w:val="00617B8A"/>
    <w:rsid w:val="00620427"/>
    <w:rsid w:val="00620464"/>
    <w:rsid w:val="00622857"/>
    <w:rsid w:val="00622A5D"/>
    <w:rsid w:val="00623CD6"/>
    <w:rsid w:val="00624F58"/>
    <w:rsid w:val="006257B7"/>
    <w:rsid w:val="006361C6"/>
    <w:rsid w:val="00636E02"/>
    <w:rsid w:val="0064075E"/>
    <w:rsid w:val="00646D4C"/>
    <w:rsid w:val="00647984"/>
    <w:rsid w:val="00652646"/>
    <w:rsid w:val="00655122"/>
    <w:rsid w:val="006553B9"/>
    <w:rsid w:val="00655411"/>
    <w:rsid w:val="00655ABB"/>
    <w:rsid w:val="0065677C"/>
    <w:rsid w:val="00657B5F"/>
    <w:rsid w:val="00657DC6"/>
    <w:rsid w:val="00657F46"/>
    <w:rsid w:val="006638A3"/>
    <w:rsid w:val="00663BDB"/>
    <w:rsid w:val="00664008"/>
    <w:rsid w:val="00664046"/>
    <w:rsid w:val="00665683"/>
    <w:rsid w:val="00666036"/>
    <w:rsid w:val="006670B2"/>
    <w:rsid w:val="00667AA2"/>
    <w:rsid w:val="00670266"/>
    <w:rsid w:val="00670652"/>
    <w:rsid w:val="00670773"/>
    <w:rsid w:val="00672AFC"/>
    <w:rsid w:val="00672E7C"/>
    <w:rsid w:val="00676FB0"/>
    <w:rsid w:val="00677483"/>
    <w:rsid w:val="00677A44"/>
    <w:rsid w:val="0068008F"/>
    <w:rsid w:val="00681ACC"/>
    <w:rsid w:val="00681B71"/>
    <w:rsid w:val="006825CE"/>
    <w:rsid w:val="00683D9D"/>
    <w:rsid w:val="00690FC1"/>
    <w:rsid w:val="00691C96"/>
    <w:rsid w:val="006952DB"/>
    <w:rsid w:val="006A25E3"/>
    <w:rsid w:val="006A6268"/>
    <w:rsid w:val="006B01D1"/>
    <w:rsid w:val="006B0339"/>
    <w:rsid w:val="006B20B2"/>
    <w:rsid w:val="006B3DBC"/>
    <w:rsid w:val="006C2A3C"/>
    <w:rsid w:val="006C2E13"/>
    <w:rsid w:val="006C3633"/>
    <w:rsid w:val="006C449A"/>
    <w:rsid w:val="006C7F18"/>
    <w:rsid w:val="006D5AC1"/>
    <w:rsid w:val="006D74A5"/>
    <w:rsid w:val="006E12EE"/>
    <w:rsid w:val="006E1BA8"/>
    <w:rsid w:val="006E239E"/>
    <w:rsid w:val="006E3142"/>
    <w:rsid w:val="006E3B6B"/>
    <w:rsid w:val="006E53EB"/>
    <w:rsid w:val="006E7159"/>
    <w:rsid w:val="006F0607"/>
    <w:rsid w:val="006F1108"/>
    <w:rsid w:val="006F1451"/>
    <w:rsid w:val="006F284F"/>
    <w:rsid w:val="006F36AE"/>
    <w:rsid w:val="006F382D"/>
    <w:rsid w:val="007008AF"/>
    <w:rsid w:val="007011A8"/>
    <w:rsid w:val="0070649B"/>
    <w:rsid w:val="0070726E"/>
    <w:rsid w:val="00712BA0"/>
    <w:rsid w:val="00713E3A"/>
    <w:rsid w:val="00717599"/>
    <w:rsid w:val="007211CB"/>
    <w:rsid w:val="00721FFA"/>
    <w:rsid w:val="00722599"/>
    <w:rsid w:val="00723E3E"/>
    <w:rsid w:val="00726C68"/>
    <w:rsid w:val="00727064"/>
    <w:rsid w:val="00727D4B"/>
    <w:rsid w:val="00733007"/>
    <w:rsid w:val="007402B7"/>
    <w:rsid w:val="00740D26"/>
    <w:rsid w:val="0074331E"/>
    <w:rsid w:val="00752C7C"/>
    <w:rsid w:val="00752E30"/>
    <w:rsid w:val="00753D34"/>
    <w:rsid w:val="00754987"/>
    <w:rsid w:val="00756A4B"/>
    <w:rsid w:val="00761008"/>
    <w:rsid w:val="0076205E"/>
    <w:rsid w:val="00763A9C"/>
    <w:rsid w:val="00765FF4"/>
    <w:rsid w:val="00767660"/>
    <w:rsid w:val="00770D23"/>
    <w:rsid w:val="00771AC1"/>
    <w:rsid w:val="007722AE"/>
    <w:rsid w:val="00773ADD"/>
    <w:rsid w:val="00774D78"/>
    <w:rsid w:val="00775075"/>
    <w:rsid w:val="0077577E"/>
    <w:rsid w:val="007758E2"/>
    <w:rsid w:val="00781432"/>
    <w:rsid w:val="00783048"/>
    <w:rsid w:val="00783696"/>
    <w:rsid w:val="007848CA"/>
    <w:rsid w:val="00785925"/>
    <w:rsid w:val="00785F1E"/>
    <w:rsid w:val="00786627"/>
    <w:rsid w:val="00787AF1"/>
    <w:rsid w:val="00791466"/>
    <w:rsid w:val="00793185"/>
    <w:rsid w:val="00797676"/>
    <w:rsid w:val="007A1E7D"/>
    <w:rsid w:val="007A27CA"/>
    <w:rsid w:val="007A2962"/>
    <w:rsid w:val="007A2ED7"/>
    <w:rsid w:val="007A48A1"/>
    <w:rsid w:val="007A6269"/>
    <w:rsid w:val="007A795C"/>
    <w:rsid w:val="007B20EF"/>
    <w:rsid w:val="007B3844"/>
    <w:rsid w:val="007B39C9"/>
    <w:rsid w:val="007B3CCD"/>
    <w:rsid w:val="007B6738"/>
    <w:rsid w:val="007C0295"/>
    <w:rsid w:val="007C1112"/>
    <w:rsid w:val="007C1E84"/>
    <w:rsid w:val="007C2390"/>
    <w:rsid w:val="007C3301"/>
    <w:rsid w:val="007C43C1"/>
    <w:rsid w:val="007C4FF6"/>
    <w:rsid w:val="007C66FF"/>
    <w:rsid w:val="007C6AB6"/>
    <w:rsid w:val="007D119D"/>
    <w:rsid w:val="007D6A50"/>
    <w:rsid w:val="007D6F47"/>
    <w:rsid w:val="007E0D61"/>
    <w:rsid w:val="007E12E9"/>
    <w:rsid w:val="007E2F7C"/>
    <w:rsid w:val="007E514C"/>
    <w:rsid w:val="007E6C3A"/>
    <w:rsid w:val="007F120A"/>
    <w:rsid w:val="007F1926"/>
    <w:rsid w:val="007F2224"/>
    <w:rsid w:val="007F3397"/>
    <w:rsid w:val="007F38C7"/>
    <w:rsid w:val="007F4AE0"/>
    <w:rsid w:val="007F72F9"/>
    <w:rsid w:val="0080018F"/>
    <w:rsid w:val="008011E9"/>
    <w:rsid w:val="00801D4D"/>
    <w:rsid w:val="00802C53"/>
    <w:rsid w:val="008043A1"/>
    <w:rsid w:val="008051ED"/>
    <w:rsid w:val="00805B10"/>
    <w:rsid w:val="00805F66"/>
    <w:rsid w:val="008068DA"/>
    <w:rsid w:val="00806B49"/>
    <w:rsid w:val="00807108"/>
    <w:rsid w:val="008077AD"/>
    <w:rsid w:val="00810346"/>
    <w:rsid w:val="00810B02"/>
    <w:rsid w:val="00810F77"/>
    <w:rsid w:val="00812A18"/>
    <w:rsid w:val="00812C64"/>
    <w:rsid w:val="00814087"/>
    <w:rsid w:val="00814208"/>
    <w:rsid w:val="0081571B"/>
    <w:rsid w:val="00817F98"/>
    <w:rsid w:val="00820781"/>
    <w:rsid w:val="00820F99"/>
    <w:rsid w:val="00820FB6"/>
    <w:rsid w:val="0082206A"/>
    <w:rsid w:val="00823082"/>
    <w:rsid w:val="008230A0"/>
    <w:rsid w:val="008243FB"/>
    <w:rsid w:val="00831B1C"/>
    <w:rsid w:val="00834D95"/>
    <w:rsid w:val="00836334"/>
    <w:rsid w:val="00843255"/>
    <w:rsid w:val="0084494B"/>
    <w:rsid w:val="00844E85"/>
    <w:rsid w:val="008451A9"/>
    <w:rsid w:val="008467CE"/>
    <w:rsid w:val="008519F0"/>
    <w:rsid w:val="008523C8"/>
    <w:rsid w:val="008523F1"/>
    <w:rsid w:val="008545B6"/>
    <w:rsid w:val="008545CB"/>
    <w:rsid w:val="008549AD"/>
    <w:rsid w:val="00854C8D"/>
    <w:rsid w:val="008556F0"/>
    <w:rsid w:val="008578BD"/>
    <w:rsid w:val="00860CE5"/>
    <w:rsid w:val="00861789"/>
    <w:rsid w:val="00865092"/>
    <w:rsid w:val="008658F6"/>
    <w:rsid w:val="008669D4"/>
    <w:rsid w:val="00866ED6"/>
    <w:rsid w:val="00870334"/>
    <w:rsid w:val="008706D4"/>
    <w:rsid w:val="008723D6"/>
    <w:rsid w:val="00872B01"/>
    <w:rsid w:val="00874912"/>
    <w:rsid w:val="008814A2"/>
    <w:rsid w:val="0088191E"/>
    <w:rsid w:val="00883B15"/>
    <w:rsid w:val="00884D31"/>
    <w:rsid w:val="0088591C"/>
    <w:rsid w:val="00885DB3"/>
    <w:rsid w:val="0088774A"/>
    <w:rsid w:val="0089099E"/>
    <w:rsid w:val="00890F8B"/>
    <w:rsid w:val="008936B2"/>
    <w:rsid w:val="00893D08"/>
    <w:rsid w:val="0089432E"/>
    <w:rsid w:val="0089478E"/>
    <w:rsid w:val="008947FA"/>
    <w:rsid w:val="0089594F"/>
    <w:rsid w:val="00896165"/>
    <w:rsid w:val="00896CC4"/>
    <w:rsid w:val="00897269"/>
    <w:rsid w:val="008A02B9"/>
    <w:rsid w:val="008A18AB"/>
    <w:rsid w:val="008A26F7"/>
    <w:rsid w:val="008A3FBC"/>
    <w:rsid w:val="008A5FA9"/>
    <w:rsid w:val="008A7D8C"/>
    <w:rsid w:val="008B02E0"/>
    <w:rsid w:val="008B08FC"/>
    <w:rsid w:val="008B2D1E"/>
    <w:rsid w:val="008B4266"/>
    <w:rsid w:val="008C0296"/>
    <w:rsid w:val="008C2075"/>
    <w:rsid w:val="008C2AED"/>
    <w:rsid w:val="008C2ECD"/>
    <w:rsid w:val="008C319B"/>
    <w:rsid w:val="008C4AE3"/>
    <w:rsid w:val="008D057A"/>
    <w:rsid w:val="008D0E70"/>
    <w:rsid w:val="008D1A76"/>
    <w:rsid w:val="008D6B37"/>
    <w:rsid w:val="008D78AC"/>
    <w:rsid w:val="008D79A2"/>
    <w:rsid w:val="008E0A2A"/>
    <w:rsid w:val="008E225A"/>
    <w:rsid w:val="008E27D5"/>
    <w:rsid w:val="008E3AD7"/>
    <w:rsid w:val="008E7C92"/>
    <w:rsid w:val="008F4DCB"/>
    <w:rsid w:val="008F54E0"/>
    <w:rsid w:val="008F6DC4"/>
    <w:rsid w:val="00903542"/>
    <w:rsid w:val="00904BC7"/>
    <w:rsid w:val="00905DBC"/>
    <w:rsid w:val="00906A7F"/>
    <w:rsid w:val="009110CE"/>
    <w:rsid w:val="00911516"/>
    <w:rsid w:val="00911FEA"/>
    <w:rsid w:val="00915FBA"/>
    <w:rsid w:val="00920B3A"/>
    <w:rsid w:val="0092200F"/>
    <w:rsid w:val="009301C0"/>
    <w:rsid w:val="0093238F"/>
    <w:rsid w:val="00932B5B"/>
    <w:rsid w:val="00937AEF"/>
    <w:rsid w:val="00937F1F"/>
    <w:rsid w:val="009423BD"/>
    <w:rsid w:val="0094350E"/>
    <w:rsid w:val="009459B2"/>
    <w:rsid w:val="0095242B"/>
    <w:rsid w:val="0095397F"/>
    <w:rsid w:val="0095422F"/>
    <w:rsid w:val="0096286C"/>
    <w:rsid w:val="0096287A"/>
    <w:rsid w:val="00963438"/>
    <w:rsid w:val="0096376F"/>
    <w:rsid w:val="00964E4F"/>
    <w:rsid w:val="00965B9F"/>
    <w:rsid w:val="00967B62"/>
    <w:rsid w:val="00967F90"/>
    <w:rsid w:val="00970935"/>
    <w:rsid w:val="00970CBB"/>
    <w:rsid w:val="009711A2"/>
    <w:rsid w:val="009723B8"/>
    <w:rsid w:val="00972AA6"/>
    <w:rsid w:val="00973ADE"/>
    <w:rsid w:val="00973CBD"/>
    <w:rsid w:val="0097441E"/>
    <w:rsid w:val="00976143"/>
    <w:rsid w:val="009761D8"/>
    <w:rsid w:val="0098093F"/>
    <w:rsid w:val="00980BE1"/>
    <w:rsid w:val="0098354E"/>
    <w:rsid w:val="00983F7F"/>
    <w:rsid w:val="00984326"/>
    <w:rsid w:val="00984BD8"/>
    <w:rsid w:val="0098696D"/>
    <w:rsid w:val="00986A1E"/>
    <w:rsid w:val="00987193"/>
    <w:rsid w:val="00991684"/>
    <w:rsid w:val="00991B55"/>
    <w:rsid w:val="00994B82"/>
    <w:rsid w:val="009A01AF"/>
    <w:rsid w:val="009A2CE2"/>
    <w:rsid w:val="009A2F28"/>
    <w:rsid w:val="009A61A0"/>
    <w:rsid w:val="009B0292"/>
    <w:rsid w:val="009B25FD"/>
    <w:rsid w:val="009B6024"/>
    <w:rsid w:val="009B687F"/>
    <w:rsid w:val="009C0AD3"/>
    <w:rsid w:val="009C0EE1"/>
    <w:rsid w:val="009C257C"/>
    <w:rsid w:val="009C301E"/>
    <w:rsid w:val="009C36B1"/>
    <w:rsid w:val="009C5202"/>
    <w:rsid w:val="009C6EF7"/>
    <w:rsid w:val="009D0E1A"/>
    <w:rsid w:val="009D141C"/>
    <w:rsid w:val="009D240E"/>
    <w:rsid w:val="009D34A4"/>
    <w:rsid w:val="009D3FBF"/>
    <w:rsid w:val="009D450A"/>
    <w:rsid w:val="009D798A"/>
    <w:rsid w:val="009E0116"/>
    <w:rsid w:val="009E012F"/>
    <w:rsid w:val="009E01E2"/>
    <w:rsid w:val="009E2686"/>
    <w:rsid w:val="009E644E"/>
    <w:rsid w:val="009F0C8F"/>
    <w:rsid w:val="009F474C"/>
    <w:rsid w:val="009F5194"/>
    <w:rsid w:val="009F6DB0"/>
    <w:rsid w:val="00A001B6"/>
    <w:rsid w:val="00A05F06"/>
    <w:rsid w:val="00A1137E"/>
    <w:rsid w:val="00A130D6"/>
    <w:rsid w:val="00A13379"/>
    <w:rsid w:val="00A136F9"/>
    <w:rsid w:val="00A13954"/>
    <w:rsid w:val="00A14066"/>
    <w:rsid w:val="00A24501"/>
    <w:rsid w:val="00A255C0"/>
    <w:rsid w:val="00A2774F"/>
    <w:rsid w:val="00A3021C"/>
    <w:rsid w:val="00A30407"/>
    <w:rsid w:val="00A3533D"/>
    <w:rsid w:val="00A36CA4"/>
    <w:rsid w:val="00A379CC"/>
    <w:rsid w:val="00A41343"/>
    <w:rsid w:val="00A43969"/>
    <w:rsid w:val="00A43F7B"/>
    <w:rsid w:val="00A46037"/>
    <w:rsid w:val="00A475AC"/>
    <w:rsid w:val="00A50235"/>
    <w:rsid w:val="00A5144B"/>
    <w:rsid w:val="00A52200"/>
    <w:rsid w:val="00A53AFE"/>
    <w:rsid w:val="00A54072"/>
    <w:rsid w:val="00A5638C"/>
    <w:rsid w:val="00A60A94"/>
    <w:rsid w:val="00A60EA4"/>
    <w:rsid w:val="00A629B6"/>
    <w:rsid w:val="00A679D1"/>
    <w:rsid w:val="00A67C96"/>
    <w:rsid w:val="00A70059"/>
    <w:rsid w:val="00A700CB"/>
    <w:rsid w:val="00A710C0"/>
    <w:rsid w:val="00A718B9"/>
    <w:rsid w:val="00A71AFB"/>
    <w:rsid w:val="00A73250"/>
    <w:rsid w:val="00A73830"/>
    <w:rsid w:val="00A75661"/>
    <w:rsid w:val="00A80383"/>
    <w:rsid w:val="00A811AB"/>
    <w:rsid w:val="00A81948"/>
    <w:rsid w:val="00A83C14"/>
    <w:rsid w:val="00A84F5C"/>
    <w:rsid w:val="00A85872"/>
    <w:rsid w:val="00A90183"/>
    <w:rsid w:val="00A9020C"/>
    <w:rsid w:val="00A916BD"/>
    <w:rsid w:val="00A91D3A"/>
    <w:rsid w:val="00A92CCA"/>
    <w:rsid w:val="00A9392B"/>
    <w:rsid w:val="00A9520A"/>
    <w:rsid w:val="00A95F27"/>
    <w:rsid w:val="00AA1E00"/>
    <w:rsid w:val="00AB0B61"/>
    <w:rsid w:val="00AB25B6"/>
    <w:rsid w:val="00AB3C21"/>
    <w:rsid w:val="00AB4A5D"/>
    <w:rsid w:val="00AB4E58"/>
    <w:rsid w:val="00AC1163"/>
    <w:rsid w:val="00AC20B6"/>
    <w:rsid w:val="00AC219D"/>
    <w:rsid w:val="00AC491E"/>
    <w:rsid w:val="00AC5A6B"/>
    <w:rsid w:val="00AC636C"/>
    <w:rsid w:val="00AD4470"/>
    <w:rsid w:val="00AD5EEC"/>
    <w:rsid w:val="00AD689F"/>
    <w:rsid w:val="00AD70D2"/>
    <w:rsid w:val="00AD7E03"/>
    <w:rsid w:val="00AE0724"/>
    <w:rsid w:val="00AE0B06"/>
    <w:rsid w:val="00AE1B87"/>
    <w:rsid w:val="00AE6752"/>
    <w:rsid w:val="00AF09A2"/>
    <w:rsid w:val="00AF0E51"/>
    <w:rsid w:val="00AF62F2"/>
    <w:rsid w:val="00AF7C47"/>
    <w:rsid w:val="00B019AE"/>
    <w:rsid w:val="00B01EAC"/>
    <w:rsid w:val="00B043EE"/>
    <w:rsid w:val="00B05BE7"/>
    <w:rsid w:val="00B06F62"/>
    <w:rsid w:val="00B10C67"/>
    <w:rsid w:val="00B1142E"/>
    <w:rsid w:val="00B11D4C"/>
    <w:rsid w:val="00B14475"/>
    <w:rsid w:val="00B1613E"/>
    <w:rsid w:val="00B2205D"/>
    <w:rsid w:val="00B25DFC"/>
    <w:rsid w:val="00B26511"/>
    <w:rsid w:val="00B302AD"/>
    <w:rsid w:val="00B30640"/>
    <w:rsid w:val="00B35030"/>
    <w:rsid w:val="00B35D4E"/>
    <w:rsid w:val="00B37EEF"/>
    <w:rsid w:val="00B43E5D"/>
    <w:rsid w:val="00B44216"/>
    <w:rsid w:val="00B4468F"/>
    <w:rsid w:val="00B47699"/>
    <w:rsid w:val="00B51D84"/>
    <w:rsid w:val="00B5214D"/>
    <w:rsid w:val="00B5486C"/>
    <w:rsid w:val="00B56983"/>
    <w:rsid w:val="00B56F1F"/>
    <w:rsid w:val="00B57084"/>
    <w:rsid w:val="00B57E85"/>
    <w:rsid w:val="00B60D45"/>
    <w:rsid w:val="00B61C5F"/>
    <w:rsid w:val="00B62670"/>
    <w:rsid w:val="00B62894"/>
    <w:rsid w:val="00B62CE4"/>
    <w:rsid w:val="00B63169"/>
    <w:rsid w:val="00B63C85"/>
    <w:rsid w:val="00B641FC"/>
    <w:rsid w:val="00B6782B"/>
    <w:rsid w:val="00B67FB3"/>
    <w:rsid w:val="00B70D46"/>
    <w:rsid w:val="00B7284A"/>
    <w:rsid w:val="00B73342"/>
    <w:rsid w:val="00B76B6C"/>
    <w:rsid w:val="00B76D29"/>
    <w:rsid w:val="00B779AE"/>
    <w:rsid w:val="00B817EE"/>
    <w:rsid w:val="00B834B9"/>
    <w:rsid w:val="00B83654"/>
    <w:rsid w:val="00B8619F"/>
    <w:rsid w:val="00B861A0"/>
    <w:rsid w:val="00B86756"/>
    <w:rsid w:val="00B87D56"/>
    <w:rsid w:val="00B908D7"/>
    <w:rsid w:val="00B933F3"/>
    <w:rsid w:val="00B93744"/>
    <w:rsid w:val="00B94214"/>
    <w:rsid w:val="00B94B80"/>
    <w:rsid w:val="00B96524"/>
    <w:rsid w:val="00B97617"/>
    <w:rsid w:val="00B97E60"/>
    <w:rsid w:val="00BA0117"/>
    <w:rsid w:val="00BA0B36"/>
    <w:rsid w:val="00BA0BC8"/>
    <w:rsid w:val="00BA0C34"/>
    <w:rsid w:val="00BA4C2F"/>
    <w:rsid w:val="00BA695D"/>
    <w:rsid w:val="00BA6D45"/>
    <w:rsid w:val="00BA6EF8"/>
    <w:rsid w:val="00BB03D4"/>
    <w:rsid w:val="00BB0B21"/>
    <w:rsid w:val="00BB39A0"/>
    <w:rsid w:val="00BB3F63"/>
    <w:rsid w:val="00BB7144"/>
    <w:rsid w:val="00BB7B16"/>
    <w:rsid w:val="00BC1B75"/>
    <w:rsid w:val="00BC4E58"/>
    <w:rsid w:val="00BD1093"/>
    <w:rsid w:val="00BD23D0"/>
    <w:rsid w:val="00BD5748"/>
    <w:rsid w:val="00BE3438"/>
    <w:rsid w:val="00BE55A8"/>
    <w:rsid w:val="00BE5C6F"/>
    <w:rsid w:val="00BF2C88"/>
    <w:rsid w:val="00BF30C1"/>
    <w:rsid w:val="00BF49C3"/>
    <w:rsid w:val="00C00475"/>
    <w:rsid w:val="00C0180F"/>
    <w:rsid w:val="00C027F8"/>
    <w:rsid w:val="00C03EA9"/>
    <w:rsid w:val="00C04088"/>
    <w:rsid w:val="00C05E37"/>
    <w:rsid w:val="00C072CF"/>
    <w:rsid w:val="00C11BE1"/>
    <w:rsid w:val="00C20BA9"/>
    <w:rsid w:val="00C2245F"/>
    <w:rsid w:val="00C24027"/>
    <w:rsid w:val="00C250B9"/>
    <w:rsid w:val="00C3044E"/>
    <w:rsid w:val="00C31F86"/>
    <w:rsid w:val="00C3376E"/>
    <w:rsid w:val="00C33BDC"/>
    <w:rsid w:val="00C34B9A"/>
    <w:rsid w:val="00C35599"/>
    <w:rsid w:val="00C3697E"/>
    <w:rsid w:val="00C37503"/>
    <w:rsid w:val="00C37B88"/>
    <w:rsid w:val="00C4036A"/>
    <w:rsid w:val="00C406CD"/>
    <w:rsid w:val="00C41848"/>
    <w:rsid w:val="00C445A4"/>
    <w:rsid w:val="00C4498A"/>
    <w:rsid w:val="00C44F42"/>
    <w:rsid w:val="00C456F2"/>
    <w:rsid w:val="00C46F49"/>
    <w:rsid w:val="00C47613"/>
    <w:rsid w:val="00C508CF"/>
    <w:rsid w:val="00C53F3A"/>
    <w:rsid w:val="00C54580"/>
    <w:rsid w:val="00C60232"/>
    <w:rsid w:val="00C6188A"/>
    <w:rsid w:val="00C623EE"/>
    <w:rsid w:val="00C656A2"/>
    <w:rsid w:val="00C70497"/>
    <w:rsid w:val="00C72CE8"/>
    <w:rsid w:val="00C74EEC"/>
    <w:rsid w:val="00C80818"/>
    <w:rsid w:val="00C808B5"/>
    <w:rsid w:val="00C81D70"/>
    <w:rsid w:val="00C90F88"/>
    <w:rsid w:val="00C93A2A"/>
    <w:rsid w:val="00C953F9"/>
    <w:rsid w:val="00C95D33"/>
    <w:rsid w:val="00C973B0"/>
    <w:rsid w:val="00CA0CE3"/>
    <w:rsid w:val="00CA28DC"/>
    <w:rsid w:val="00CA3119"/>
    <w:rsid w:val="00CA7F87"/>
    <w:rsid w:val="00CB0CBD"/>
    <w:rsid w:val="00CB153D"/>
    <w:rsid w:val="00CB156D"/>
    <w:rsid w:val="00CB15E8"/>
    <w:rsid w:val="00CB2DBB"/>
    <w:rsid w:val="00CB3C73"/>
    <w:rsid w:val="00CB4F6D"/>
    <w:rsid w:val="00CB5C36"/>
    <w:rsid w:val="00CB6515"/>
    <w:rsid w:val="00CB6615"/>
    <w:rsid w:val="00CB733E"/>
    <w:rsid w:val="00CB743D"/>
    <w:rsid w:val="00CB7A14"/>
    <w:rsid w:val="00CC094A"/>
    <w:rsid w:val="00CC1AA0"/>
    <w:rsid w:val="00CC1E76"/>
    <w:rsid w:val="00CC22CF"/>
    <w:rsid w:val="00CC2972"/>
    <w:rsid w:val="00CC2E29"/>
    <w:rsid w:val="00CC394B"/>
    <w:rsid w:val="00CC396A"/>
    <w:rsid w:val="00CC4614"/>
    <w:rsid w:val="00CC46C0"/>
    <w:rsid w:val="00CC508C"/>
    <w:rsid w:val="00CC569D"/>
    <w:rsid w:val="00CC7908"/>
    <w:rsid w:val="00CD0141"/>
    <w:rsid w:val="00CD2006"/>
    <w:rsid w:val="00CD330F"/>
    <w:rsid w:val="00CD33CD"/>
    <w:rsid w:val="00CD499A"/>
    <w:rsid w:val="00CD4A01"/>
    <w:rsid w:val="00CD5711"/>
    <w:rsid w:val="00CD59FF"/>
    <w:rsid w:val="00CD7095"/>
    <w:rsid w:val="00CE60B7"/>
    <w:rsid w:val="00CF0DA1"/>
    <w:rsid w:val="00CF38CF"/>
    <w:rsid w:val="00CF4181"/>
    <w:rsid w:val="00CF5A4D"/>
    <w:rsid w:val="00CF7A68"/>
    <w:rsid w:val="00CF7C0E"/>
    <w:rsid w:val="00D00A05"/>
    <w:rsid w:val="00D02303"/>
    <w:rsid w:val="00D034EA"/>
    <w:rsid w:val="00D07514"/>
    <w:rsid w:val="00D11FBC"/>
    <w:rsid w:val="00D144E2"/>
    <w:rsid w:val="00D14763"/>
    <w:rsid w:val="00D21117"/>
    <w:rsid w:val="00D22E08"/>
    <w:rsid w:val="00D25BA9"/>
    <w:rsid w:val="00D309D2"/>
    <w:rsid w:val="00D3150F"/>
    <w:rsid w:val="00D34CF4"/>
    <w:rsid w:val="00D366FA"/>
    <w:rsid w:val="00D36913"/>
    <w:rsid w:val="00D37CA3"/>
    <w:rsid w:val="00D41BE1"/>
    <w:rsid w:val="00D45934"/>
    <w:rsid w:val="00D46943"/>
    <w:rsid w:val="00D469E4"/>
    <w:rsid w:val="00D46CEB"/>
    <w:rsid w:val="00D52C17"/>
    <w:rsid w:val="00D57105"/>
    <w:rsid w:val="00D61EA3"/>
    <w:rsid w:val="00D65026"/>
    <w:rsid w:val="00D66DDD"/>
    <w:rsid w:val="00D67478"/>
    <w:rsid w:val="00D73678"/>
    <w:rsid w:val="00D74B7E"/>
    <w:rsid w:val="00D757B6"/>
    <w:rsid w:val="00D76210"/>
    <w:rsid w:val="00D8087A"/>
    <w:rsid w:val="00D82A18"/>
    <w:rsid w:val="00D845E2"/>
    <w:rsid w:val="00D936C8"/>
    <w:rsid w:val="00D97B39"/>
    <w:rsid w:val="00DA0357"/>
    <w:rsid w:val="00DA0670"/>
    <w:rsid w:val="00DA12DE"/>
    <w:rsid w:val="00DA2BCB"/>
    <w:rsid w:val="00DA59F2"/>
    <w:rsid w:val="00DA606C"/>
    <w:rsid w:val="00DB1F57"/>
    <w:rsid w:val="00DB286A"/>
    <w:rsid w:val="00DB3674"/>
    <w:rsid w:val="00DB3868"/>
    <w:rsid w:val="00DB5797"/>
    <w:rsid w:val="00DC2C80"/>
    <w:rsid w:val="00DC3021"/>
    <w:rsid w:val="00DC467E"/>
    <w:rsid w:val="00DD0690"/>
    <w:rsid w:val="00DD0777"/>
    <w:rsid w:val="00DD07B3"/>
    <w:rsid w:val="00DD103D"/>
    <w:rsid w:val="00DD1747"/>
    <w:rsid w:val="00DD458E"/>
    <w:rsid w:val="00DD6575"/>
    <w:rsid w:val="00DD7041"/>
    <w:rsid w:val="00DD75BF"/>
    <w:rsid w:val="00DE02AA"/>
    <w:rsid w:val="00DE08D9"/>
    <w:rsid w:val="00DE0CAC"/>
    <w:rsid w:val="00DE15CC"/>
    <w:rsid w:val="00DE2112"/>
    <w:rsid w:val="00DE300D"/>
    <w:rsid w:val="00DE3010"/>
    <w:rsid w:val="00DE4062"/>
    <w:rsid w:val="00DE663F"/>
    <w:rsid w:val="00DF13CD"/>
    <w:rsid w:val="00DF1C0A"/>
    <w:rsid w:val="00DF2AE7"/>
    <w:rsid w:val="00DF4743"/>
    <w:rsid w:val="00DF5CDB"/>
    <w:rsid w:val="00DF68C3"/>
    <w:rsid w:val="00E00344"/>
    <w:rsid w:val="00E01E11"/>
    <w:rsid w:val="00E01E17"/>
    <w:rsid w:val="00E034F2"/>
    <w:rsid w:val="00E04F3A"/>
    <w:rsid w:val="00E0567B"/>
    <w:rsid w:val="00E05FE0"/>
    <w:rsid w:val="00E07882"/>
    <w:rsid w:val="00E116D0"/>
    <w:rsid w:val="00E143C2"/>
    <w:rsid w:val="00E15C3C"/>
    <w:rsid w:val="00E16FDF"/>
    <w:rsid w:val="00E26626"/>
    <w:rsid w:val="00E31E76"/>
    <w:rsid w:val="00E31F61"/>
    <w:rsid w:val="00E337DF"/>
    <w:rsid w:val="00E3561F"/>
    <w:rsid w:val="00E36085"/>
    <w:rsid w:val="00E368C2"/>
    <w:rsid w:val="00E40605"/>
    <w:rsid w:val="00E4169A"/>
    <w:rsid w:val="00E42AFE"/>
    <w:rsid w:val="00E442BE"/>
    <w:rsid w:val="00E447A5"/>
    <w:rsid w:val="00E4563C"/>
    <w:rsid w:val="00E45F6E"/>
    <w:rsid w:val="00E546B1"/>
    <w:rsid w:val="00E616FA"/>
    <w:rsid w:val="00E6234D"/>
    <w:rsid w:val="00E62EC9"/>
    <w:rsid w:val="00E64FE9"/>
    <w:rsid w:val="00E66F2E"/>
    <w:rsid w:val="00E72888"/>
    <w:rsid w:val="00E72D64"/>
    <w:rsid w:val="00E7457A"/>
    <w:rsid w:val="00E772F6"/>
    <w:rsid w:val="00E77933"/>
    <w:rsid w:val="00E81009"/>
    <w:rsid w:val="00E84885"/>
    <w:rsid w:val="00E85670"/>
    <w:rsid w:val="00E86445"/>
    <w:rsid w:val="00E86EDA"/>
    <w:rsid w:val="00E87632"/>
    <w:rsid w:val="00E87D85"/>
    <w:rsid w:val="00E87F09"/>
    <w:rsid w:val="00E912E2"/>
    <w:rsid w:val="00E91C75"/>
    <w:rsid w:val="00E92AE6"/>
    <w:rsid w:val="00E93A53"/>
    <w:rsid w:val="00E96980"/>
    <w:rsid w:val="00EA4196"/>
    <w:rsid w:val="00EA45ED"/>
    <w:rsid w:val="00EA47D7"/>
    <w:rsid w:val="00EA5080"/>
    <w:rsid w:val="00EB01C8"/>
    <w:rsid w:val="00EB05FE"/>
    <w:rsid w:val="00EB0B2D"/>
    <w:rsid w:val="00EB6E89"/>
    <w:rsid w:val="00EB77E7"/>
    <w:rsid w:val="00EC0CBE"/>
    <w:rsid w:val="00EC185A"/>
    <w:rsid w:val="00EC27F5"/>
    <w:rsid w:val="00EC2C4D"/>
    <w:rsid w:val="00EC2D0A"/>
    <w:rsid w:val="00EC3E6E"/>
    <w:rsid w:val="00EC4322"/>
    <w:rsid w:val="00EC4824"/>
    <w:rsid w:val="00EC7D6C"/>
    <w:rsid w:val="00ED07F6"/>
    <w:rsid w:val="00ED1BDB"/>
    <w:rsid w:val="00ED3262"/>
    <w:rsid w:val="00ED4A5C"/>
    <w:rsid w:val="00EE258F"/>
    <w:rsid w:val="00EE26F9"/>
    <w:rsid w:val="00EE2C50"/>
    <w:rsid w:val="00EE396B"/>
    <w:rsid w:val="00EE5C73"/>
    <w:rsid w:val="00EE6595"/>
    <w:rsid w:val="00EE6F3D"/>
    <w:rsid w:val="00EF03D3"/>
    <w:rsid w:val="00EF0CAE"/>
    <w:rsid w:val="00EF1128"/>
    <w:rsid w:val="00EF2C96"/>
    <w:rsid w:val="00EF3476"/>
    <w:rsid w:val="00EF46C7"/>
    <w:rsid w:val="00EF4DAE"/>
    <w:rsid w:val="00F003B0"/>
    <w:rsid w:val="00F02A87"/>
    <w:rsid w:val="00F05DED"/>
    <w:rsid w:val="00F100F7"/>
    <w:rsid w:val="00F104EB"/>
    <w:rsid w:val="00F118D6"/>
    <w:rsid w:val="00F11A1A"/>
    <w:rsid w:val="00F144D1"/>
    <w:rsid w:val="00F147F9"/>
    <w:rsid w:val="00F15AB1"/>
    <w:rsid w:val="00F2148C"/>
    <w:rsid w:val="00F24A9A"/>
    <w:rsid w:val="00F312C3"/>
    <w:rsid w:val="00F319A6"/>
    <w:rsid w:val="00F31AC2"/>
    <w:rsid w:val="00F3239E"/>
    <w:rsid w:val="00F335D6"/>
    <w:rsid w:val="00F36ADC"/>
    <w:rsid w:val="00F37C04"/>
    <w:rsid w:val="00F407AE"/>
    <w:rsid w:val="00F40926"/>
    <w:rsid w:val="00F42385"/>
    <w:rsid w:val="00F42E5C"/>
    <w:rsid w:val="00F43623"/>
    <w:rsid w:val="00F4450C"/>
    <w:rsid w:val="00F44654"/>
    <w:rsid w:val="00F44F2C"/>
    <w:rsid w:val="00F4697C"/>
    <w:rsid w:val="00F513B0"/>
    <w:rsid w:val="00F51A89"/>
    <w:rsid w:val="00F51C94"/>
    <w:rsid w:val="00F52016"/>
    <w:rsid w:val="00F54088"/>
    <w:rsid w:val="00F540A9"/>
    <w:rsid w:val="00F54423"/>
    <w:rsid w:val="00F54936"/>
    <w:rsid w:val="00F55754"/>
    <w:rsid w:val="00F557D2"/>
    <w:rsid w:val="00F55E86"/>
    <w:rsid w:val="00F567A9"/>
    <w:rsid w:val="00F5796E"/>
    <w:rsid w:val="00F57C3B"/>
    <w:rsid w:val="00F60641"/>
    <w:rsid w:val="00F608C5"/>
    <w:rsid w:val="00F60A13"/>
    <w:rsid w:val="00F61570"/>
    <w:rsid w:val="00F62B3D"/>
    <w:rsid w:val="00F64CA4"/>
    <w:rsid w:val="00F64EB6"/>
    <w:rsid w:val="00F65949"/>
    <w:rsid w:val="00F70785"/>
    <w:rsid w:val="00F73F74"/>
    <w:rsid w:val="00F742CE"/>
    <w:rsid w:val="00F74365"/>
    <w:rsid w:val="00F74376"/>
    <w:rsid w:val="00F74633"/>
    <w:rsid w:val="00F76B8C"/>
    <w:rsid w:val="00F76D98"/>
    <w:rsid w:val="00F82180"/>
    <w:rsid w:val="00F83904"/>
    <w:rsid w:val="00F86D5B"/>
    <w:rsid w:val="00F91641"/>
    <w:rsid w:val="00F932BC"/>
    <w:rsid w:val="00F93E78"/>
    <w:rsid w:val="00F966EF"/>
    <w:rsid w:val="00F968E0"/>
    <w:rsid w:val="00F97AB3"/>
    <w:rsid w:val="00FA08E0"/>
    <w:rsid w:val="00FA2603"/>
    <w:rsid w:val="00FA34F2"/>
    <w:rsid w:val="00FA368F"/>
    <w:rsid w:val="00FA73F1"/>
    <w:rsid w:val="00FB2660"/>
    <w:rsid w:val="00FB376C"/>
    <w:rsid w:val="00FB3DCA"/>
    <w:rsid w:val="00FC258C"/>
    <w:rsid w:val="00FC5243"/>
    <w:rsid w:val="00FC5AA9"/>
    <w:rsid w:val="00FD222D"/>
    <w:rsid w:val="00FD5DC4"/>
    <w:rsid w:val="00FD7E46"/>
    <w:rsid w:val="00FE0718"/>
    <w:rsid w:val="00FE14DE"/>
    <w:rsid w:val="00FE30C8"/>
    <w:rsid w:val="00FE3D3E"/>
    <w:rsid w:val="00FE40B9"/>
    <w:rsid w:val="00FE41D9"/>
    <w:rsid w:val="00FE4305"/>
    <w:rsid w:val="00FE4973"/>
    <w:rsid w:val="00FE5B3F"/>
    <w:rsid w:val="00FE69D4"/>
    <w:rsid w:val="00FE6B63"/>
    <w:rsid w:val="00FF2182"/>
    <w:rsid w:val="00FF29A4"/>
    <w:rsid w:val="00FF3CC8"/>
    <w:rsid w:val="00FF405D"/>
    <w:rsid w:val="00FF4DC4"/>
    <w:rsid w:val="00FF5917"/>
    <w:rsid w:val="00FF6A88"/>
    <w:rsid w:val="00FF7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1216A500"/>
  <w15:chartTrackingRefBased/>
  <w15:docId w15:val="{6C68557C-EF99-4DE0-B946-EC7E8514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2762"/>
    <w:rPr>
      <w:rFonts w:ascii="Times New Roman" w:hAnsi="Times New Roman" w:cs="Times New Roman"/>
      <w:sz w:val="24"/>
      <w:szCs w:val="24"/>
    </w:rPr>
  </w:style>
  <w:style w:type="paragraph" w:styleId="Heading1">
    <w:name w:val="heading 1"/>
    <w:basedOn w:val="ListParagraph"/>
    <w:next w:val="Normal"/>
    <w:link w:val="Heading1Char"/>
    <w:uiPriority w:val="9"/>
    <w:qFormat/>
    <w:rsid w:val="00D52C17"/>
    <w:pPr>
      <w:numPr>
        <w:numId w:val="1"/>
      </w:numPr>
      <w:spacing w:after="0" w:line="276" w:lineRule="auto"/>
      <w:ind w:left="360"/>
      <w:jc w:val="both"/>
      <w:outlineLvl w:val="0"/>
    </w:pPr>
    <w:rPr>
      <w:b/>
    </w:rPr>
  </w:style>
  <w:style w:type="paragraph" w:styleId="Heading2">
    <w:name w:val="heading 2"/>
    <w:basedOn w:val="ListParagraph"/>
    <w:next w:val="Normal"/>
    <w:link w:val="Heading2Char"/>
    <w:uiPriority w:val="9"/>
    <w:unhideWhenUsed/>
    <w:qFormat/>
    <w:rsid w:val="002D2762"/>
    <w:pPr>
      <w:numPr>
        <w:ilvl w:val="1"/>
        <w:numId w:val="1"/>
      </w:numPr>
      <w:ind w:left="360"/>
      <w:outlineLvl w:val="1"/>
    </w:pPr>
    <w:rPr>
      <w:b/>
      <w:i/>
    </w:rPr>
  </w:style>
  <w:style w:type="paragraph" w:styleId="Heading3">
    <w:name w:val="heading 3"/>
    <w:basedOn w:val="Normal"/>
    <w:next w:val="Normal"/>
    <w:link w:val="Heading3Char"/>
    <w:uiPriority w:val="9"/>
    <w:unhideWhenUsed/>
    <w:qFormat/>
    <w:rsid w:val="002D2762"/>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D2762"/>
    <w:pPr>
      <w:ind w:left="720"/>
      <w:contextualSpacing/>
    </w:pPr>
  </w:style>
  <w:style w:type="character" w:customStyle="1" w:styleId="Heading1Char">
    <w:name w:val="Heading 1 Char"/>
    <w:basedOn w:val="DefaultParagraphFont"/>
    <w:link w:val="Heading1"/>
    <w:uiPriority w:val="9"/>
    <w:rsid w:val="00D52C17"/>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2D2762"/>
    <w:rPr>
      <w:rFonts w:ascii="Times New Roman" w:hAnsi="Times New Roman" w:cs="Times New Roman"/>
      <w:b/>
      <w:i/>
      <w:sz w:val="24"/>
      <w:szCs w:val="24"/>
    </w:rPr>
  </w:style>
  <w:style w:type="character" w:customStyle="1" w:styleId="Heading3Char">
    <w:name w:val="Heading 3 Char"/>
    <w:basedOn w:val="DefaultParagraphFont"/>
    <w:link w:val="Heading3"/>
    <w:uiPriority w:val="9"/>
    <w:rsid w:val="002D2762"/>
    <w:rPr>
      <w:rFonts w:ascii="Times New Roman" w:hAnsi="Times New Roman" w:cs="Times New Roman"/>
      <w:sz w:val="24"/>
      <w:szCs w:val="24"/>
      <w:u w:val="single"/>
    </w:rPr>
  </w:style>
  <w:style w:type="character" w:styleId="Hyperlink">
    <w:name w:val="Hyperlink"/>
    <w:basedOn w:val="DefaultParagraphFont"/>
    <w:uiPriority w:val="99"/>
    <w:unhideWhenUsed/>
    <w:rsid w:val="002D2762"/>
    <w:rPr>
      <w:color w:val="0563C1" w:themeColor="hyperlink"/>
      <w:u w:val="single"/>
    </w:rPr>
  </w:style>
  <w:style w:type="character" w:styleId="UnresolvedMention">
    <w:name w:val="Unresolved Mention"/>
    <w:basedOn w:val="DefaultParagraphFont"/>
    <w:uiPriority w:val="99"/>
    <w:semiHidden/>
    <w:unhideWhenUsed/>
    <w:rsid w:val="00FE69D4"/>
    <w:rPr>
      <w:color w:val="605E5C"/>
      <w:shd w:val="clear" w:color="auto" w:fill="E1DFDD"/>
    </w:rPr>
  </w:style>
  <w:style w:type="character" w:styleId="FollowedHyperlink">
    <w:name w:val="FollowedHyperlink"/>
    <w:basedOn w:val="DefaultParagraphFont"/>
    <w:uiPriority w:val="99"/>
    <w:semiHidden/>
    <w:unhideWhenUsed/>
    <w:rsid w:val="000D7037"/>
    <w:rPr>
      <w:color w:val="954F72" w:themeColor="followedHyperlink"/>
      <w:u w:val="single"/>
    </w:rPr>
  </w:style>
  <w:style w:type="character" w:styleId="CommentReference">
    <w:name w:val="annotation reference"/>
    <w:basedOn w:val="DefaultParagraphFont"/>
    <w:uiPriority w:val="99"/>
    <w:semiHidden/>
    <w:unhideWhenUsed/>
    <w:rsid w:val="00535C60"/>
    <w:rPr>
      <w:sz w:val="16"/>
      <w:szCs w:val="16"/>
    </w:rPr>
  </w:style>
  <w:style w:type="paragraph" w:styleId="CommentText">
    <w:name w:val="annotation text"/>
    <w:basedOn w:val="Normal"/>
    <w:link w:val="CommentTextChar"/>
    <w:uiPriority w:val="99"/>
    <w:unhideWhenUsed/>
    <w:rsid w:val="00535C60"/>
    <w:pPr>
      <w:spacing w:line="240" w:lineRule="auto"/>
    </w:pPr>
    <w:rPr>
      <w:sz w:val="20"/>
      <w:szCs w:val="20"/>
    </w:rPr>
  </w:style>
  <w:style w:type="character" w:customStyle="1" w:styleId="CommentTextChar">
    <w:name w:val="Comment Text Char"/>
    <w:basedOn w:val="DefaultParagraphFont"/>
    <w:link w:val="CommentText"/>
    <w:uiPriority w:val="99"/>
    <w:rsid w:val="00535C6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5C60"/>
    <w:rPr>
      <w:b/>
      <w:bCs/>
    </w:rPr>
  </w:style>
  <w:style w:type="character" w:customStyle="1" w:styleId="CommentSubjectChar">
    <w:name w:val="Comment Subject Char"/>
    <w:basedOn w:val="CommentTextChar"/>
    <w:link w:val="CommentSubject"/>
    <w:uiPriority w:val="99"/>
    <w:semiHidden/>
    <w:rsid w:val="00535C6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535C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C60"/>
    <w:rPr>
      <w:rFonts w:ascii="Segoe UI" w:hAnsi="Segoe UI" w:cs="Segoe UI"/>
      <w:sz w:val="18"/>
      <w:szCs w:val="18"/>
    </w:rPr>
  </w:style>
  <w:style w:type="paragraph" w:styleId="Bibliography">
    <w:name w:val="Bibliography"/>
    <w:basedOn w:val="Normal"/>
    <w:next w:val="Normal"/>
    <w:uiPriority w:val="37"/>
    <w:unhideWhenUsed/>
    <w:rsid w:val="006C3633"/>
  </w:style>
  <w:style w:type="character" w:customStyle="1" w:styleId="ref-lnk">
    <w:name w:val="ref-lnk"/>
    <w:basedOn w:val="DefaultParagraphFont"/>
    <w:rsid w:val="0053447B"/>
  </w:style>
  <w:style w:type="paragraph" w:styleId="NormalWeb">
    <w:name w:val="Normal (Web)"/>
    <w:basedOn w:val="Normal"/>
    <w:uiPriority w:val="99"/>
    <w:semiHidden/>
    <w:unhideWhenUsed/>
    <w:rsid w:val="003A59A4"/>
    <w:pPr>
      <w:spacing w:before="100" w:beforeAutospacing="1" w:after="100" w:afterAutospacing="1" w:line="240" w:lineRule="auto"/>
    </w:pPr>
    <w:rPr>
      <w:rFonts w:eastAsia="Times New Roman"/>
    </w:rPr>
  </w:style>
  <w:style w:type="paragraph" w:customStyle="1" w:styleId="Default">
    <w:name w:val="Default"/>
    <w:rsid w:val="003004E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B5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2C7C"/>
    <w:rPr>
      <w:color w:val="808080"/>
    </w:rPr>
  </w:style>
  <w:style w:type="paragraph" w:styleId="Caption">
    <w:name w:val="caption"/>
    <w:basedOn w:val="Normal"/>
    <w:next w:val="Normal"/>
    <w:uiPriority w:val="35"/>
    <w:unhideWhenUsed/>
    <w:qFormat/>
    <w:rsid w:val="005E0D23"/>
    <w:pPr>
      <w:keepNext/>
      <w:spacing w:after="200" w:line="240" w:lineRule="auto"/>
    </w:pPr>
    <w:rPr>
      <w:b/>
      <w:iCs/>
      <w:color w:val="000000" w:themeColor="text1"/>
      <w:sz w:val="18"/>
      <w:szCs w:val="18"/>
    </w:rPr>
  </w:style>
  <w:style w:type="paragraph" w:styleId="Header">
    <w:name w:val="header"/>
    <w:basedOn w:val="Normal"/>
    <w:link w:val="HeaderChar"/>
    <w:uiPriority w:val="99"/>
    <w:unhideWhenUsed/>
    <w:rsid w:val="008814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4A2"/>
    <w:rPr>
      <w:rFonts w:ascii="Times New Roman" w:hAnsi="Times New Roman" w:cs="Times New Roman"/>
      <w:sz w:val="24"/>
      <w:szCs w:val="24"/>
    </w:rPr>
  </w:style>
  <w:style w:type="paragraph" w:styleId="Footer">
    <w:name w:val="footer"/>
    <w:basedOn w:val="Normal"/>
    <w:link w:val="FooterChar"/>
    <w:uiPriority w:val="99"/>
    <w:unhideWhenUsed/>
    <w:rsid w:val="008814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4A2"/>
    <w:rPr>
      <w:rFonts w:ascii="Times New Roman" w:hAnsi="Times New Roman" w:cs="Times New Roman"/>
      <w:sz w:val="24"/>
      <w:szCs w:val="24"/>
    </w:rPr>
  </w:style>
  <w:style w:type="paragraph" w:styleId="FootnoteText">
    <w:name w:val="footnote text"/>
    <w:basedOn w:val="Normal"/>
    <w:link w:val="FootnoteTextChar"/>
    <w:uiPriority w:val="99"/>
    <w:unhideWhenUsed/>
    <w:rsid w:val="00522C0D"/>
    <w:pPr>
      <w:spacing w:after="0" w:line="240" w:lineRule="auto"/>
    </w:pPr>
    <w:rPr>
      <w:sz w:val="20"/>
      <w:szCs w:val="20"/>
    </w:rPr>
  </w:style>
  <w:style w:type="character" w:customStyle="1" w:styleId="FootnoteTextChar">
    <w:name w:val="Footnote Text Char"/>
    <w:basedOn w:val="DefaultParagraphFont"/>
    <w:link w:val="FootnoteText"/>
    <w:uiPriority w:val="99"/>
    <w:qFormat/>
    <w:rsid w:val="00522C0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522C0D"/>
    <w:rPr>
      <w:vertAlign w:val="superscript"/>
    </w:rPr>
  </w:style>
  <w:style w:type="character" w:styleId="EndnoteReference">
    <w:name w:val="endnote reference"/>
    <w:basedOn w:val="DefaultParagraphFont"/>
    <w:uiPriority w:val="99"/>
    <w:semiHidden/>
    <w:unhideWhenUsed/>
    <w:rsid w:val="008A3FBC"/>
    <w:rPr>
      <w:vertAlign w:val="superscript"/>
    </w:rPr>
  </w:style>
  <w:style w:type="paragraph" w:customStyle="1" w:styleId="ctrbodytext">
    <w:name w:val="ctr body text"/>
    <w:basedOn w:val="Normal"/>
    <w:qFormat/>
    <w:rsid w:val="00151ABD"/>
    <w:pPr>
      <w:spacing w:after="200" w:line="276" w:lineRule="auto"/>
      <w:jc w:val="both"/>
    </w:pPr>
  </w:style>
  <w:style w:type="character" w:customStyle="1" w:styleId="FootnoteTextChar1">
    <w:name w:val="Footnote Text Char1"/>
    <w:locked/>
    <w:rsid w:val="0098696D"/>
  </w:style>
  <w:style w:type="paragraph" w:styleId="Revision">
    <w:name w:val="Revision"/>
    <w:hidden/>
    <w:uiPriority w:val="99"/>
    <w:semiHidden/>
    <w:rsid w:val="00392EDE"/>
    <w:pPr>
      <w:spacing w:after="0" w:line="240" w:lineRule="auto"/>
    </w:pPr>
    <w:rPr>
      <w:rFonts w:ascii="Times New Roman" w:hAnsi="Times New Roman" w:cs="Times New Roman"/>
      <w:sz w:val="24"/>
      <w:szCs w:val="24"/>
    </w:rPr>
  </w:style>
  <w:style w:type="character" w:customStyle="1" w:styleId="Style1Char">
    <w:name w:val="Style1 Char"/>
    <w:basedOn w:val="DefaultParagraphFont"/>
    <w:link w:val="Style1"/>
    <w:locked/>
    <w:rsid w:val="007758E2"/>
    <w:rPr>
      <w:rFonts w:ascii="Times New Roman" w:eastAsiaTheme="majorEastAsia" w:hAnsi="Times New Roman" w:cs="Times New Roman"/>
      <w:b/>
      <w:bCs/>
      <w:sz w:val="24"/>
      <w:szCs w:val="24"/>
    </w:rPr>
  </w:style>
  <w:style w:type="paragraph" w:customStyle="1" w:styleId="Style1">
    <w:name w:val="Style1"/>
    <w:basedOn w:val="Heading1"/>
    <w:link w:val="Style1Char"/>
    <w:qFormat/>
    <w:rsid w:val="007758E2"/>
    <w:pPr>
      <w:keepNext/>
      <w:keepLines/>
      <w:numPr>
        <w:numId w:val="0"/>
      </w:numPr>
      <w:tabs>
        <w:tab w:val="left" w:pos="540"/>
      </w:tabs>
      <w:contextualSpacing w:val="0"/>
    </w:pPr>
    <w:rPr>
      <w:rFonts w:eastAsiaTheme="majorEastAsia"/>
      <w:bCs/>
    </w:rPr>
  </w:style>
  <w:style w:type="character" w:styleId="Emphasis">
    <w:name w:val="Emphasis"/>
    <w:basedOn w:val="DefaultParagraphFont"/>
    <w:uiPriority w:val="20"/>
    <w:qFormat/>
    <w:rsid w:val="00834D95"/>
    <w:rPr>
      <w:i/>
      <w:iCs/>
    </w:rPr>
  </w:style>
  <w:style w:type="character" w:customStyle="1" w:styleId="html-italic">
    <w:name w:val="html-italic"/>
    <w:basedOn w:val="DefaultParagraphFont"/>
    <w:rsid w:val="00552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7665">
      <w:bodyDiv w:val="1"/>
      <w:marLeft w:val="0"/>
      <w:marRight w:val="0"/>
      <w:marTop w:val="0"/>
      <w:marBottom w:val="0"/>
      <w:divBdr>
        <w:top w:val="none" w:sz="0" w:space="0" w:color="auto"/>
        <w:left w:val="none" w:sz="0" w:space="0" w:color="auto"/>
        <w:bottom w:val="none" w:sz="0" w:space="0" w:color="auto"/>
        <w:right w:val="none" w:sz="0" w:space="0" w:color="auto"/>
      </w:divBdr>
    </w:div>
    <w:div w:id="48379756">
      <w:bodyDiv w:val="1"/>
      <w:marLeft w:val="0"/>
      <w:marRight w:val="0"/>
      <w:marTop w:val="0"/>
      <w:marBottom w:val="0"/>
      <w:divBdr>
        <w:top w:val="none" w:sz="0" w:space="0" w:color="auto"/>
        <w:left w:val="none" w:sz="0" w:space="0" w:color="auto"/>
        <w:bottom w:val="none" w:sz="0" w:space="0" w:color="auto"/>
        <w:right w:val="none" w:sz="0" w:space="0" w:color="auto"/>
      </w:divBdr>
    </w:div>
    <w:div w:id="64762645">
      <w:bodyDiv w:val="1"/>
      <w:marLeft w:val="0"/>
      <w:marRight w:val="0"/>
      <w:marTop w:val="0"/>
      <w:marBottom w:val="0"/>
      <w:divBdr>
        <w:top w:val="none" w:sz="0" w:space="0" w:color="auto"/>
        <w:left w:val="none" w:sz="0" w:space="0" w:color="auto"/>
        <w:bottom w:val="none" w:sz="0" w:space="0" w:color="auto"/>
        <w:right w:val="none" w:sz="0" w:space="0" w:color="auto"/>
      </w:divBdr>
    </w:div>
    <w:div w:id="71315244">
      <w:bodyDiv w:val="1"/>
      <w:marLeft w:val="0"/>
      <w:marRight w:val="0"/>
      <w:marTop w:val="0"/>
      <w:marBottom w:val="0"/>
      <w:divBdr>
        <w:top w:val="none" w:sz="0" w:space="0" w:color="auto"/>
        <w:left w:val="none" w:sz="0" w:space="0" w:color="auto"/>
        <w:bottom w:val="none" w:sz="0" w:space="0" w:color="auto"/>
        <w:right w:val="none" w:sz="0" w:space="0" w:color="auto"/>
      </w:divBdr>
    </w:div>
    <w:div w:id="82802771">
      <w:bodyDiv w:val="1"/>
      <w:marLeft w:val="0"/>
      <w:marRight w:val="0"/>
      <w:marTop w:val="0"/>
      <w:marBottom w:val="0"/>
      <w:divBdr>
        <w:top w:val="none" w:sz="0" w:space="0" w:color="auto"/>
        <w:left w:val="none" w:sz="0" w:space="0" w:color="auto"/>
        <w:bottom w:val="none" w:sz="0" w:space="0" w:color="auto"/>
        <w:right w:val="none" w:sz="0" w:space="0" w:color="auto"/>
      </w:divBdr>
    </w:div>
    <w:div w:id="131990403">
      <w:bodyDiv w:val="1"/>
      <w:marLeft w:val="0"/>
      <w:marRight w:val="0"/>
      <w:marTop w:val="0"/>
      <w:marBottom w:val="0"/>
      <w:divBdr>
        <w:top w:val="none" w:sz="0" w:space="0" w:color="auto"/>
        <w:left w:val="none" w:sz="0" w:space="0" w:color="auto"/>
        <w:bottom w:val="none" w:sz="0" w:space="0" w:color="auto"/>
        <w:right w:val="none" w:sz="0" w:space="0" w:color="auto"/>
      </w:divBdr>
    </w:div>
    <w:div w:id="199368159">
      <w:bodyDiv w:val="1"/>
      <w:marLeft w:val="0"/>
      <w:marRight w:val="0"/>
      <w:marTop w:val="0"/>
      <w:marBottom w:val="0"/>
      <w:divBdr>
        <w:top w:val="none" w:sz="0" w:space="0" w:color="auto"/>
        <w:left w:val="none" w:sz="0" w:space="0" w:color="auto"/>
        <w:bottom w:val="none" w:sz="0" w:space="0" w:color="auto"/>
        <w:right w:val="none" w:sz="0" w:space="0" w:color="auto"/>
      </w:divBdr>
    </w:div>
    <w:div w:id="203910240">
      <w:bodyDiv w:val="1"/>
      <w:marLeft w:val="0"/>
      <w:marRight w:val="0"/>
      <w:marTop w:val="0"/>
      <w:marBottom w:val="0"/>
      <w:divBdr>
        <w:top w:val="none" w:sz="0" w:space="0" w:color="auto"/>
        <w:left w:val="none" w:sz="0" w:space="0" w:color="auto"/>
        <w:bottom w:val="none" w:sz="0" w:space="0" w:color="auto"/>
        <w:right w:val="none" w:sz="0" w:space="0" w:color="auto"/>
      </w:divBdr>
    </w:div>
    <w:div w:id="264314011">
      <w:bodyDiv w:val="1"/>
      <w:marLeft w:val="0"/>
      <w:marRight w:val="0"/>
      <w:marTop w:val="0"/>
      <w:marBottom w:val="0"/>
      <w:divBdr>
        <w:top w:val="none" w:sz="0" w:space="0" w:color="auto"/>
        <w:left w:val="none" w:sz="0" w:space="0" w:color="auto"/>
        <w:bottom w:val="none" w:sz="0" w:space="0" w:color="auto"/>
        <w:right w:val="none" w:sz="0" w:space="0" w:color="auto"/>
      </w:divBdr>
    </w:div>
    <w:div w:id="389767294">
      <w:bodyDiv w:val="1"/>
      <w:marLeft w:val="0"/>
      <w:marRight w:val="0"/>
      <w:marTop w:val="0"/>
      <w:marBottom w:val="0"/>
      <w:divBdr>
        <w:top w:val="none" w:sz="0" w:space="0" w:color="auto"/>
        <w:left w:val="none" w:sz="0" w:space="0" w:color="auto"/>
        <w:bottom w:val="none" w:sz="0" w:space="0" w:color="auto"/>
        <w:right w:val="none" w:sz="0" w:space="0" w:color="auto"/>
      </w:divBdr>
    </w:div>
    <w:div w:id="476805586">
      <w:bodyDiv w:val="1"/>
      <w:marLeft w:val="0"/>
      <w:marRight w:val="0"/>
      <w:marTop w:val="0"/>
      <w:marBottom w:val="0"/>
      <w:divBdr>
        <w:top w:val="none" w:sz="0" w:space="0" w:color="auto"/>
        <w:left w:val="none" w:sz="0" w:space="0" w:color="auto"/>
        <w:bottom w:val="none" w:sz="0" w:space="0" w:color="auto"/>
        <w:right w:val="none" w:sz="0" w:space="0" w:color="auto"/>
      </w:divBdr>
    </w:div>
    <w:div w:id="652487490">
      <w:bodyDiv w:val="1"/>
      <w:marLeft w:val="0"/>
      <w:marRight w:val="0"/>
      <w:marTop w:val="0"/>
      <w:marBottom w:val="0"/>
      <w:divBdr>
        <w:top w:val="none" w:sz="0" w:space="0" w:color="auto"/>
        <w:left w:val="none" w:sz="0" w:space="0" w:color="auto"/>
        <w:bottom w:val="none" w:sz="0" w:space="0" w:color="auto"/>
        <w:right w:val="none" w:sz="0" w:space="0" w:color="auto"/>
      </w:divBdr>
    </w:div>
    <w:div w:id="724570412">
      <w:bodyDiv w:val="1"/>
      <w:marLeft w:val="0"/>
      <w:marRight w:val="0"/>
      <w:marTop w:val="0"/>
      <w:marBottom w:val="0"/>
      <w:divBdr>
        <w:top w:val="none" w:sz="0" w:space="0" w:color="auto"/>
        <w:left w:val="none" w:sz="0" w:space="0" w:color="auto"/>
        <w:bottom w:val="none" w:sz="0" w:space="0" w:color="auto"/>
        <w:right w:val="none" w:sz="0" w:space="0" w:color="auto"/>
      </w:divBdr>
    </w:div>
    <w:div w:id="923026227">
      <w:bodyDiv w:val="1"/>
      <w:marLeft w:val="0"/>
      <w:marRight w:val="0"/>
      <w:marTop w:val="0"/>
      <w:marBottom w:val="0"/>
      <w:divBdr>
        <w:top w:val="none" w:sz="0" w:space="0" w:color="auto"/>
        <w:left w:val="none" w:sz="0" w:space="0" w:color="auto"/>
        <w:bottom w:val="none" w:sz="0" w:space="0" w:color="auto"/>
        <w:right w:val="none" w:sz="0" w:space="0" w:color="auto"/>
      </w:divBdr>
    </w:div>
    <w:div w:id="1101073224">
      <w:bodyDiv w:val="1"/>
      <w:marLeft w:val="0"/>
      <w:marRight w:val="0"/>
      <w:marTop w:val="0"/>
      <w:marBottom w:val="0"/>
      <w:divBdr>
        <w:top w:val="none" w:sz="0" w:space="0" w:color="auto"/>
        <w:left w:val="none" w:sz="0" w:space="0" w:color="auto"/>
        <w:bottom w:val="none" w:sz="0" w:space="0" w:color="auto"/>
        <w:right w:val="none" w:sz="0" w:space="0" w:color="auto"/>
      </w:divBdr>
    </w:div>
    <w:div w:id="1348946532">
      <w:bodyDiv w:val="1"/>
      <w:marLeft w:val="0"/>
      <w:marRight w:val="0"/>
      <w:marTop w:val="0"/>
      <w:marBottom w:val="0"/>
      <w:divBdr>
        <w:top w:val="none" w:sz="0" w:space="0" w:color="auto"/>
        <w:left w:val="none" w:sz="0" w:space="0" w:color="auto"/>
        <w:bottom w:val="none" w:sz="0" w:space="0" w:color="auto"/>
        <w:right w:val="none" w:sz="0" w:space="0" w:color="auto"/>
      </w:divBdr>
    </w:div>
    <w:div w:id="1549954563">
      <w:bodyDiv w:val="1"/>
      <w:marLeft w:val="0"/>
      <w:marRight w:val="0"/>
      <w:marTop w:val="0"/>
      <w:marBottom w:val="0"/>
      <w:divBdr>
        <w:top w:val="none" w:sz="0" w:space="0" w:color="auto"/>
        <w:left w:val="none" w:sz="0" w:space="0" w:color="auto"/>
        <w:bottom w:val="none" w:sz="0" w:space="0" w:color="auto"/>
        <w:right w:val="none" w:sz="0" w:space="0" w:color="auto"/>
      </w:divBdr>
    </w:div>
    <w:div w:id="1674993092">
      <w:bodyDiv w:val="1"/>
      <w:marLeft w:val="0"/>
      <w:marRight w:val="0"/>
      <w:marTop w:val="0"/>
      <w:marBottom w:val="0"/>
      <w:divBdr>
        <w:top w:val="none" w:sz="0" w:space="0" w:color="auto"/>
        <w:left w:val="none" w:sz="0" w:space="0" w:color="auto"/>
        <w:bottom w:val="none" w:sz="0" w:space="0" w:color="auto"/>
        <w:right w:val="none" w:sz="0" w:space="0" w:color="auto"/>
      </w:divBdr>
    </w:div>
    <w:div w:id="1820727358">
      <w:bodyDiv w:val="1"/>
      <w:marLeft w:val="0"/>
      <w:marRight w:val="0"/>
      <w:marTop w:val="0"/>
      <w:marBottom w:val="0"/>
      <w:divBdr>
        <w:top w:val="none" w:sz="0" w:space="0" w:color="auto"/>
        <w:left w:val="none" w:sz="0" w:space="0" w:color="auto"/>
        <w:bottom w:val="none" w:sz="0" w:space="0" w:color="auto"/>
        <w:right w:val="none" w:sz="0" w:space="0" w:color="auto"/>
      </w:divBdr>
    </w:div>
    <w:div w:id="2046782878">
      <w:bodyDiv w:val="1"/>
      <w:marLeft w:val="0"/>
      <w:marRight w:val="0"/>
      <w:marTop w:val="0"/>
      <w:marBottom w:val="0"/>
      <w:divBdr>
        <w:top w:val="none" w:sz="0" w:space="0" w:color="auto"/>
        <w:left w:val="none" w:sz="0" w:space="0" w:color="auto"/>
        <w:bottom w:val="none" w:sz="0" w:space="0" w:color="auto"/>
        <w:right w:val="none" w:sz="0" w:space="0" w:color="auto"/>
      </w:divBdr>
    </w:div>
    <w:div w:id="2083722604">
      <w:bodyDiv w:val="1"/>
      <w:marLeft w:val="0"/>
      <w:marRight w:val="0"/>
      <w:marTop w:val="0"/>
      <w:marBottom w:val="0"/>
      <w:divBdr>
        <w:top w:val="none" w:sz="0" w:space="0" w:color="auto"/>
        <w:left w:val="none" w:sz="0" w:space="0" w:color="auto"/>
        <w:bottom w:val="none" w:sz="0" w:space="0" w:color="auto"/>
        <w:right w:val="none" w:sz="0" w:space="0" w:color="auto"/>
      </w:divBdr>
    </w:div>
    <w:div w:id="2105296181">
      <w:bodyDiv w:val="1"/>
      <w:marLeft w:val="0"/>
      <w:marRight w:val="0"/>
      <w:marTop w:val="0"/>
      <w:marBottom w:val="0"/>
      <w:divBdr>
        <w:top w:val="none" w:sz="0" w:space="0" w:color="auto"/>
        <w:left w:val="none" w:sz="0" w:space="0" w:color="auto"/>
        <w:bottom w:val="none" w:sz="0" w:space="0" w:color="auto"/>
        <w:right w:val="none" w:sz="0" w:space="0" w:color="auto"/>
      </w:divBdr>
      <w:divsChild>
        <w:div w:id="139284698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4.bin"/><Relationship Id="rId42" Type="http://schemas.openxmlformats.org/officeDocument/2006/relationships/oleObject" Target="embeddings/oleObject15.bin"/><Relationship Id="rId63" Type="http://schemas.openxmlformats.org/officeDocument/2006/relationships/oleObject" Target="embeddings/oleObject26.bin"/><Relationship Id="rId84" Type="http://schemas.openxmlformats.org/officeDocument/2006/relationships/oleObject" Target="embeddings/oleObject38.bin"/><Relationship Id="rId138" Type="http://schemas.openxmlformats.org/officeDocument/2006/relationships/oleObject" Target="embeddings/oleObject68.bin"/><Relationship Id="rId159" Type="http://schemas.openxmlformats.org/officeDocument/2006/relationships/hyperlink" Target="https://ssrn.com/abstract=3934589" TargetMode="External"/><Relationship Id="rId107" Type="http://schemas.openxmlformats.org/officeDocument/2006/relationships/image" Target="media/image44.wmf"/><Relationship Id="rId11" Type="http://schemas.openxmlformats.org/officeDocument/2006/relationships/header" Target="header1.xml"/><Relationship Id="rId32" Type="http://schemas.openxmlformats.org/officeDocument/2006/relationships/image" Target="media/image10.wmf"/><Relationship Id="rId53" Type="http://schemas.openxmlformats.org/officeDocument/2006/relationships/image" Target="media/image20.wmf"/><Relationship Id="rId74" Type="http://schemas.openxmlformats.org/officeDocument/2006/relationships/oleObject" Target="embeddings/oleObject33.bin"/><Relationship Id="rId128" Type="http://schemas.openxmlformats.org/officeDocument/2006/relationships/oleObject" Target="embeddings/oleObject62.bin"/><Relationship Id="rId149" Type="http://schemas.openxmlformats.org/officeDocument/2006/relationships/image" Target="media/image63.wmf"/><Relationship Id="rId5" Type="http://schemas.openxmlformats.org/officeDocument/2006/relationships/webSettings" Target="webSettings.xml"/><Relationship Id="rId95" Type="http://schemas.openxmlformats.org/officeDocument/2006/relationships/image" Target="media/image38.wmf"/><Relationship Id="rId160" Type="http://schemas.openxmlformats.org/officeDocument/2006/relationships/image" Target="media/image68.png"/><Relationship Id="rId22" Type="http://schemas.openxmlformats.org/officeDocument/2006/relationships/image" Target="media/image5.wmf"/><Relationship Id="rId43" Type="http://schemas.openxmlformats.org/officeDocument/2006/relationships/image" Target="media/image15.wmf"/><Relationship Id="rId64" Type="http://schemas.openxmlformats.org/officeDocument/2006/relationships/image" Target="media/image25.wmf"/><Relationship Id="rId118" Type="http://schemas.openxmlformats.org/officeDocument/2006/relationships/oleObject" Target="embeddings/oleObject56.bin"/><Relationship Id="rId139" Type="http://schemas.openxmlformats.org/officeDocument/2006/relationships/image" Target="media/image58.wmf"/><Relationship Id="rId85" Type="http://schemas.openxmlformats.org/officeDocument/2006/relationships/image" Target="media/image34.wmf"/><Relationship Id="rId150" Type="http://schemas.openxmlformats.org/officeDocument/2006/relationships/oleObject" Target="embeddings/oleObject74.bin"/><Relationship Id="rId12" Type="http://schemas.openxmlformats.org/officeDocument/2006/relationships/footer" Target="footer1.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image" Target="media/image42.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oleObject" Target="embeddings/oleObject63.bin"/><Relationship Id="rId54" Type="http://schemas.openxmlformats.org/officeDocument/2006/relationships/oleObject" Target="embeddings/oleObject21.bin"/><Relationship Id="rId70" Type="http://schemas.openxmlformats.org/officeDocument/2006/relationships/oleObject" Target="embeddings/oleObject30.bin"/><Relationship Id="rId75" Type="http://schemas.openxmlformats.org/officeDocument/2006/relationships/image" Target="media/image29.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69.bin"/><Relationship Id="rId145" Type="http://schemas.openxmlformats.org/officeDocument/2006/relationships/image" Target="media/image61.wmf"/><Relationship Id="rId161" Type="http://schemas.openxmlformats.org/officeDocument/2006/relationships/image" Target="media/image69.png"/><Relationship Id="rId16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image" Target="media/image18.wmf"/><Relationship Id="rId114" Type="http://schemas.openxmlformats.org/officeDocument/2006/relationships/oleObject" Target="embeddings/oleObject54.bin"/><Relationship Id="rId119" Type="http://schemas.openxmlformats.org/officeDocument/2006/relationships/image" Target="media/image50.wmf"/><Relationship Id="rId44" Type="http://schemas.openxmlformats.org/officeDocument/2006/relationships/oleObject" Target="embeddings/oleObject16.bin"/><Relationship Id="rId60" Type="http://schemas.openxmlformats.org/officeDocument/2006/relationships/image" Target="media/image23.wmf"/><Relationship Id="rId65" Type="http://schemas.openxmlformats.org/officeDocument/2006/relationships/oleObject" Target="embeddings/oleObject27.bin"/><Relationship Id="rId81"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image" Target="media/image54.wmf"/><Relationship Id="rId135" Type="http://schemas.openxmlformats.org/officeDocument/2006/relationships/image" Target="media/image56.wmf"/><Relationship Id="rId151" Type="http://schemas.openxmlformats.org/officeDocument/2006/relationships/image" Target="media/image64.wmf"/><Relationship Id="rId156" Type="http://schemas.openxmlformats.org/officeDocument/2006/relationships/oleObject" Target="embeddings/oleObject77.bin"/><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13.wmf"/><Relationship Id="rId109" Type="http://schemas.openxmlformats.org/officeDocument/2006/relationships/image" Target="media/image45.wmf"/><Relationship Id="rId34" Type="http://schemas.openxmlformats.org/officeDocument/2006/relationships/image" Target="media/image11.wmf"/><Relationship Id="rId50" Type="http://schemas.openxmlformats.org/officeDocument/2006/relationships/oleObject" Target="embeddings/oleObject19.bin"/><Relationship Id="rId55" Type="http://schemas.openxmlformats.org/officeDocument/2006/relationships/image" Target="media/image21.wmf"/><Relationship Id="rId76" Type="http://schemas.openxmlformats.org/officeDocument/2006/relationships/oleObject" Target="embeddings/oleObject34.bin"/><Relationship Id="rId97" Type="http://schemas.openxmlformats.org/officeDocument/2006/relationships/image" Target="media/image39.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59.wmf"/><Relationship Id="rId146" Type="http://schemas.openxmlformats.org/officeDocument/2006/relationships/oleObject" Target="embeddings/oleObject72.bin"/><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oleObject" Target="embeddings/oleObject43.bin"/><Relationship Id="rId162" Type="http://schemas.openxmlformats.org/officeDocument/2006/relationships/image" Target="media/image70.png"/><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oleObject" Target="embeddings/oleObject14.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48.wmf"/><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image" Target="media/image67.wmf"/><Relationship Id="rId61" Type="http://schemas.openxmlformats.org/officeDocument/2006/relationships/oleObject" Target="embeddings/oleObject25.bin"/><Relationship Id="rId82" Type="http://schemas.openxmlformats.org/officeDocument/2006/relationships/oleObject" Target="embeddings/oleObject37.bin"/><Relationship Id="rId152" Type="http://schemas.openxmlformats.org/officeDocument/2006/relationships/oleObject" Target="embeddings/oleObject75.bin"/><Relationship Id="rId19" Type="http://schemas.openxmlformats.org/officeDocument/2006/relationships/oleObject" Target="embeddings/oleObject3.bin"/><Relationship Id="rId14" Type="http://schemas.openxmlformats.org/officeDocument/2006/relationships/oleObject" Target="embeddings/oleObject1.bin"/><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0.wmf"/><Relationship Id="rId100" Type="http://schemas.openxmlformats.org/officeDocument/2006/relationships/oleObject" Target="embeddings/oleObject47.bin"/><Relationship Id="rId105" Type="http://schemas.openxmlformats.org/officeDocument/2006/relationships/image" Target="media/image43.wmf"/><Relationship Id="rId126" Type="http://schemas.openxmlformats.org/officeDocument/2006/relationships/oleObject" Target="embeddings/oleObject61.bin"/><Relationship Id="rId147" Type="http://schemas.openxmlformats.org/officeDocument/2006/relationships/image" Target="media/image62.wmf"/><Relationship Id="rId168" Type="http://schemas.openxmlformats.org/officeDocument/2006/relationships/theme" Target="theme/theme1.xml"/><Relationship Id="rId8" Type="http://schemas.openxmlformats.org/officeDocument/2006/relationships/hyperlink" Target="mailto:angela.haddad@utexas.edu" TargetMode="External"/><Relationship Id="rId51" Type="http://schemas.openxmlformats.org/officeDocument/2006/relationships/image" Target="media/image19.wmf"/><Relationship Id="rId72" Type="http://schemas.openxmlformats.org/officeDocument/2006/relationships/oleObject" Target="embeddings/oleObject31.bin"/><Relationship Id="rId93" Type="http://schemas.openxmlformats.org/officeDocument/2006/relationships/image" Target="media/image37.wmf"/><Relationship Id="rId98" Type="http://schemas.openxmlformats.org/officeDocument/2006/relationships/oleObject" Target="embeddings/oleObject46.bin"/><Relationship Id="rId121" Type="http://schemas.openxmlformats.org/officeDocument/2006/relationships/image" Target="media/image51.wmf"/><Relationship Id="rId142" Type="http://schemas.openxmlformats.org/officeDocument/2006/relationships/oleObject" Target="embeddings/oleObject70.bin"/><Relationship Id="rId163" Type="http://schemas.openxmlformats.org/officeDocument/2006/relationships/image" Target="media/image71.png"/><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7.bin"/><Relationship Id="rId67" Type="http://schemas.openxmlformats.org/officeDocument/2006/relationships/oleObject" Target="embeddings/oleObject28.bin"/><Relationship Id="rId116" Type="http://schemas.openxmlformats.org/officeDocument/2006/relationships/oleObject" Target="embeddings/oleObject55.bin"/><Relationship Id="rId137" Type="http://schemas.openxmlformats.org/officeDocument/2006/relationships/image" Target="media/image57.wmf"/><Relationship Id="rId158" Type="http://schemas.openxmlformats.org/officeDocument/2006/relationships/oleObject" Target="embeddings/oleObject78.bin"/><Relationship Id="rId20" Type="http://schemas.openxmlformats.org/officeDocument/2006/relationships/image" Target="media/image4.wmf"/><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image" Target="media/image33.wmf"/><Relationship Id="rId88" Type="http://schemas.openxmlformats.org/officeDocument/2006/relationships/image" Target="media/image35.wmf"/><Relationship Id="rId111" Type="http://schemas.openxmlformats.org/officeDocument/2006/relationships/image" Target="media/image46.wmf"/><Relationship Id="rId132" Type="http://schemas.openxmlformats.org/officeDocument/2006/relationships/oleObject" Target="embeddings/oleObject65.bin"/><Relationship Id="rId153" Type="http://schemas.openxmlformats.org/officeDocument/2006/relationships/image" Target="media/image65.wmf"/><Relationship Id="rId15" Type="http://schemas.openxmlformats.org/officeDocument/2006/relationships/hyperlink" Target="https://everyrestaurantinthecity.com/" TargetMode="External"/><Relationship Id="rId36" Type="http://schemas.openxmlformats.org/officeDocument/2006/relationships/oleObject" Target="embeddings/oleObject12.bin"/><Relationship Id="rId57" Type="http://schemas.openxmlformats.org/officeDocument/2006/relationships/image" Target="media/image22.wmf"/><Relationship Id="rId106" Type="http://schemas.openxmlformats.org/officeDocument/2006/relationships/oleObject" Target="embeddings/oleObject50.bin"/><Relationship Id="rId127" Type="http://schemas.openxmlformats.org/officeDocument/2006/relationships/image" Target="media/image53.wmf"/><Relationship Id="rId10" Type="http://schemas.openxmlformats.org/officeDocument/2006/relationships/hyperlink" Target="mailto:bhat@mail.utexas.edu" TargetMode="Externa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oleObject" Target="embeddings/oleObject32.bin"/><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8.bin"/><Relationship Id="rId143" Type="http://schemas.openxmlformats.org/officeDocument/2006/relationships/image" Target="media/image60.wmf"/><Relationship Id="rId148" Type="http://schemas.openxmlformats.org/officeDocument/2006/relationships/oleObject" Target="embeddings/oleObject73.bin"/><Relationship Id="rId164" Type="http://schemas.openxmlformats.org/officeDocument/2006/relationships/image" Target="media/image72.png"/><Relationship Id="rId4" Type="http://schemas.openxmlformats.org/officeDocument/2006/relationships/settings" Target="settings.xml"/><Relationship Id="rId9" Type="http://schemas.openxmlformats.org/officeDocument/2006/relationships/hyperlink" Target="mailto:aupal.mondal@utexas.edu" TargetMode="External"/><Relationship Id="rId26" Type="http://schemas.openxmlformats.org/officeDocument/2006/relationships/image" Target="media/image7.wmf"/><Relationship Id="rId47" Type="http://schemas.openxmlformats.org/officeDocument/2006/relationships/image" Target="media/image17.wmf"/><Relationship Id="rId68" Type="http://schemas.openxmlformats.org/officeDocument/2006/relationships/image" Target="media/image27.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55.wmf"/><Relationship Id="rId154" Type="http://schemas.openxmlformats.org/officeDocument/2006/relationships/oleObject" Target="embeddings/oleObject76.bin"/><Relationship Id="rId16" Type="http://schemas.openxmlformats.org/officeDocument/2006/relationships/image" Target="media/image2.wmf"/><Relationship Id="rId37" Type="http://schemas.openxmlformats.org/officeDocument/2006/relationships/image" Target="media/image12.wmf"/><Relationship Id="rId58" Type="http://schemas.openxmlformats.org/officeDocument/2006/relationships/oleObject" Target="embeddings/oleObject23.bin"/><Relationship Id="rId79" Type="http://schemas.openxmlformats.org/officeDocument/2006/relationships/image" Target="media/image31.wmf"/><Relationship Id="rId102" Type="http://schemas.openxmlformats.org/officeDocument/2006/relationships/oleObject" Target="embeddings/oleObject48.bin"/><Relationship Id="rId123" Type="http://schemas.openxmlformats.org/officeDocument/2006/relationships/image" Target="media/image52.wmf"/><Relationship Id="rId144" Type="http://schemas.openxmlformats.org/officeDocument/2006/relationships/oleObject" Target="embeddings/oleObject71.bin"/><Relationship Id="rId90" Type="http://schemas.openxmlformats.org/officeDocument/2006/relationships/image" Target="media/image36.wmf"/><Relationship Id="rId165" Type="http://schemas.openxmlformats.org/officeDocument/2006/relationships/image" Target="media/image73.png"/><Relationship Id="rId27" Type="http://schemas.openxmlformats.org/officeDocument/2006/relationships/oleObject" Target="embeddings/oleObject7.bin"/><Relationship Id="rId48" Type="http://schemas.openxmlformats.org/officeDocument/2006/relationships/oleObject" Target="embeddings/oleObject18.bin"/><Relationship Id="rId69" Type="http://schemas.openxmlformats.org/officeDocument/2006/relationships/oleObject" Target="embeddings/oleObject29.bin"/><Relationship Id="rId113" Type="http://schemas.openxmlformats.org/officeDocument/2006/relationships/image" Target="media/image47.wmf"/><Relationship Id="rId134" Type="http://schemas.openxmlformats.org/officeDocument/2006/relationships/oleObject" Target="embeddings/oleObject66.bin"/><Relationship Id="rId80" Type="http://schemas.openxmlformats.org/officeDocument/2006/relationships/oleObject" Target="embeddings/oleObject36.bin"/><Relationship Id="rId155" Type="http://schemas.openxmlformats.org/officeDocument/2006/relationships/image" Target="media/image66.wmf"/></Relationships>
</file>

<file path=word/_rels/footnotes.xml.rels><?xml version="1.0" encoding="UTF-8" standalone="yes"?>
<Relationships xmlns="http://schemas.openxmlformats.org/package/2006/relationships"><Relationship Id="rId2" Type="http://schemas.openxmlformats.org/officeDocument/2006/relationships/hyperlink" Target="https://www.producebluebook.com/2021/01/26/nras-state-of-the-restaurant-industry-report-shows-massive-losses/" TargetMode="External"/><Relationship Id="rId1" Type="http://schemas.openxmlformats.org/officeDocument/2006/relationships/hyperlink" Target="https://restaurant.org/research-and-media/research/economists-notebook/analysis-commentary/consumer-spending-in-restaurants-continued-to-rise-in-m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6A35-DFC9-431B-8C44-9C410F75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30484</Words>
  <Characters>173762</Characters>
  <Application>Microsoft Office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 Angela</dc:creator>
  <cp:keywords/>
  <dc:description/>
  <cp:lastModifiedBy>Macias, Lisa J</cp:lastModifiedBy>
  <cp:revision>2</cp:revision>
  <cp:lastPrinted>2022-11-23T03:40:00Z</cp:lastPrinted>
  <dcterms:created xsi:type="dcterms:W3CDTF">2023-01-05T19:53:00Z</dcterms:created>
  <dcterms:modified xsi:type="dcterms:W3CDTF">2023-01-05T19:53:00Z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zotero-version="6.0.10"&gt;&lt;session id="Cu3Y8NOm"/&gt;&lt;style id="http://www.zotero.org/styles/apa" locale="en-US" hasBibliography="1" bibliographyStyleHasBeenSet="1"/&gt;&lt;prefs&gt;&lt;pref name="fieldType" value="Field"/&gt;&lt;/prefs&gt;&lt;/data&gt;</vt:lpwstr>
  </property>
  <property fmtid="{D5CDD505-2E9C-101B-9397-08002B2CF9AE}" pid="3" name="MTWinEqns">
    <vt:bool>true</vt:bool>
  </property>
</Properties>
</file>