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3FC9" w:rsidRDefault="00D93FC9" w:rsidP="00D93FC9">
      <w:pPr>
        <w:rPr>
          <w:b/>
        </w:rPr>
      </w:pPr>
    </w:p>
    <w:p w:rsidR="00D93FC9" w:rsidRDefault="00D93FC9" w:rsidP="00D93FC9">
      <w:pPr>
        <w:jc w:val="center"/>
        <w:rPr>
          <w:b/>
        </w:rPr>
      </w:pPr>
    </w:p>
    <w:p w:rsidR="00D93FC9" w:rsidRDefault="00D93FC9" w:rsidP="00D93FC9">
      <w:pPr>
        <w:jc w:val="center"/>
        <w:rPr>
          <w:b/>
        </w:rPr>
      </w:pPr>
    </w:p>
    <w:p w:rsidR="00D93FC9" w:rsidRDefault="00D93FC9" w:rsidP="00D93FC9">
      <w:pPr>
        <w:jc w:val="center"/>
        <w:rPr>
          <w:b/>
        </w:rPr>
      </w:pPr>
    </w:p>
    <w:p w:rsidR="00DE379E" w:rsidRDefault="00DE379E" w:rsidP="00D93FC9">
      <w:pPr>
        <w:jc w:val="center"/>
        <w:rPr>
          <w:b/>
        </w:rPr>
      </w:pPr>
    </w:p>
    <w:p w:rsidR="00D93FC9" w:rsidRDefault="00D93FC9" w:rsidP="00D93FC9">
      <w:pPr>
        <w:jc w:val="center"/>
        <w:rPr>
          <w:b/>
        </w:rPr>
      </w:pPr>
    </w:p>
    <w:p w:rsidR="00851263" w:rsidRPr="004679C6" w:rsidRDefault="00DE379E" w:rsidP="004679C6">
      <w:pPr>
        <w:spacing w:line="360" w:lineRule="auto"/>
        <w:jc w:val="center"/>
        <w:rPr>
          <w:b/>
        </w:rPr>
      </w:pPr>
      <w:r>
        <w:rPr>
          <w:b/>
        </w:rPr>
        <w:t xml:space="preserve">A </w:t>
      </w:r>
      <w:r w:rsidR="00CC0B26">
        <w:rPr>
          <w:b/>
        </w:rPr>
        <w:t xml:space="preserve">New </w:t>
      </w:r>
      <w:r w:rsidR="004679C6">
        <w:rPr>
          <w:b/>
        </w:rPr>
        <w:t xml:space="preserve">Closed-Form </w:t>
      </w:r>
      <w:r w:rsidR="00911022">
        <w:rPr>
          <w:b/>
        </w:rPr>
        <w:t>Two-Stage Budgeting</w:t>
      </w:r>
      <w:r w:rsidR="00A40754">
        <w:rPr>
          <w:b/>
        </w:rPr>
        <w:t>-</w:t>
      </w:r>
      <w:r w:rsidR="00911022">
        <w:rPr>
          <w:b/>
        </w:rPr>
        <w:t xml:space="preserve">Based </w:t>
      </w:r>
      <w:r w:rsidR="00D93FC9" w:rsidRPr="00EA4A12">
        <w:rPr>
          <w:b/>
        </w:rPr>
        <w:t>Multiple Discrete</w:t>
      </w:r>
      <w:r w:rsidR="003C0E47">
        <w:rPr>
          <w:b/>
        </w:rPr>
        <w:t>-</w:t>
      </w:r>
      <w:r w:rsidR="00911022">
        <w:rPr>
          <w:b/>
        </w:rPr>
        <w:t>Continuous</w:t>
      </w:r>
      <w:r>
        <w:rPr>
          <w:b/>
        </w:rPr>
        <w:t xml:space="preserve"> Model</w:t>
      </w:r>
    </w:p>
    <w:p w:rsidR="00D93FC9" w:rsidRDefault="00D93FC9" w:rsidP="00143A99">
      <w:pPr>
        <w:spacing w:line="360" w:lineRule="auto"/>
      </w:pPr>
    </w:p>
    <w:p w:rsidR="00D93FC9" w:rsidRDefault="00D93FC9" w:rsidP="00143A99">
      <w:pPr>
        <w:spacing w:line="360" w:lineRule="auto"/>
      </w:pPr>
    </w:p>
    <w:p w:rsidR="00D93FC9" w:rsidRDefault="00D93FC9" w:rsidP="00143A99">
      <w:pPr>
        <w:spacing w:line="360" w:lineRule="auto"/>
      </w:pPr>
    </w:p>
    <w:p w:rsidR="00D93FC9" w:rsidRDefault="00D93FC9" w:rsidP="00143A99">
      <w:pPr>
        <w:spacing w:line="360" w:lineRule="auto"/>
      </w:pPr>
    </w:p>
    <w:p w:rsidR="00D93FC9" w:rsidRDefault="00D93FC9" w:rsidP="00143A99">
      <w:pPr>
        <w:spacing w:line="360" w:lineRule="auto"/>
      </w:pPr>
    </w:p>
    <w:p w:rsidR="00DE379E" w:rsidRDefault="00DE379E" w:rsidP="00143A99">
      <w:pPr>
        <w:spacing w:line="360" w:lineRule="auto"/>
      </w:pPr>
    </w:p>
    <w:p w:rsidR="00DE379E" w:rsidRDefault="00DE379E" w:rsidP="00143A99">
      <w:pPr>
        <w:spacing w:line="360" w:lineRule="auto"/>
      </w:pPr>
    </w:p>
    <w:p w:rsidR="00D93FC9" w:rsidRDefault="00D93FC9" w:rsidP="00143A99">
      <w:pPr>
        <w:spacing w:line="360" w:lineRule="auto"/>
      </w:pPr>
    </w:p>
    <w:p w:rsidR="00D93FC9" w:rsidRDefault="00D93FC9" w:rsidP="00F7350D">
      <w:pPr>
        <w:jc w:val="center"/>
      </w:pPr>
      <w:r>
        <w:t>Chandra R</w:t>
      </w:r>
      <w:r w:rsidR="004973B8">
        <w:t>.</w:t>
      </w:r>
      <w:r>
        <w:t xml:space="preserve"> Bhat </w:t>
      </w:r>
    </w:p>
    <w:p w:rsidR="00F7350D" w:rsidRPr="00DB18E0" w:rsidRDefault="00F7350D" w:rsidP="00F7350D">
      <w:pPr>
        <w:spacing w:line="276" w:lineRule="auto"/>
        <w:jc w:val="center"/>
        <w:rPr>
          <w:bCs/>
        </w:rPr>
      </w:pPr>
      <w:r w:rsidRPr="00DB18E0">
        <w:t>The University of Texas at Austin</w:t>
      </w:r>
    </w:p>
    <w:p w:rsidR="00F7350D" w:rsidRPr="00DB18E0" w:rsidRDefault="00F7350D" w:rsidP="00F7350D">
      <w:pPr>
        <w:spacing w:line="276" w:lineRule="auto"/>
        <w:jc w:val="center"/>
        <w:rPr>
          <w:bCs/>
        </w:rPr>
      </w:pPr>
      <w:r w:rsidRPr="00DB18E0">
        <w:t>Department of Civil, Architectural and Environmental Engineering</w:t>
      </w:r>
    </w:p>
    <w:p w:rsidR="00F7350D" w:rsidRPr="00DB18E0" w:rsidRDefault="00F7350D" w:rsidP="00F7350D">
      <w:pPr>
        <w:spacing w:line="276" w:lineRule="auto"/>
        <w:jc w:val="center"/>
        <w:rPr>
          <w:bCs/>
        </w:rPr>
      </w:pPr>
      <w:r w:rsidRPr="00DB18E0">
        <w:t>301 E. Dean Keeton St. Stop C1761, Austin</w:t>
      </w:r>
      <w:r w:rsidR="004973B8">
        <w:t>,</w:t>
      </w:r>
      <w:r w:rsidRPr="00DB18E0">
        <w:t xml:space="preserve"> TX 78712, USA</w:t>
      </w:r>
    </w:p>
    <w:p w:rsidR="00F7350D" w:rsidRPr="00DB18E0" w:rsidRDefault="00F7350D" w:rsidP="00F7350D">
      <w:pPr>
        <w:spacing w:line="276" w:lineRule="auto"/>
        <w:jc w:val="center"/>
        <w:rPr>
          <w:bCs/>
          <w:lang w:val="fr-FR"/>
        </w:rPr>
      </w:pPr>
      <w:r w:rsidRPr="00DB18E0">
        <w:rPr>
          <w:lang w:val="pt-BR"/>
        </w:rPr>
        <w:t>Tel:</w:t>
      </w:r>
      <w:r w:rsidRPr="00DB18E0">
        <w:t xml:space="preserve"> 1-512-471-4535; </w:t>
      </w:r>
      <w:r w:rsidRPr="00DB18E0">
        <w:rPr>
          <w:lang w:val="fr-FR"/>
        </w:rPr>
        <w:t xml:space="preserve">Email: </w:t>
      </w:r>
      <w:hyperlink r:id="rId8" w:history="1">
        <w:r w:rsidRPr="00DB18E0">
          <w:rPr>
            <w:lang w:val="fr-FR"/>
          </w:rPr>
          <w:t>bhat@mail.utexas.edu</w:t>
        </w:r>
      </w:hyperlink>
    </w:p>
    <w:p w:rsidR="00F7350D" w:rsidRPr="00DB18E0" w:rsidRDefault="00F7350D" w:rsidP="00F7350D">
      <w:pPr>
        <w:spacing w:line="276" w:lineRule="auto"/>
        <w:jc w:val="center"/>
        <w:rPr>
          <w:bCs/>
        </w:rPr>
      </w:pPr>
      <w:r w:rsidRPr="00DB18E0">
        <w:t>and</w:t>
      </w:r>
    </w:p>
    <w:p w:rsidR="00D93FC9" w:rsidRDefault="00F7350D" w:rsidP="00F7350D">
      <w:pPr>
        <w:spacing w:line="360" w:lineRule="auto"/>
        <w:jc w:val="center"/>
      </w:pPr>
      <w:r w:rsidRPr="00DB18E0">
        <w:t>The Hong Kong Polytechnic University, Hung Hom, Kowloon, Hong Kong</w:t>
      </w:r>
    </w:p>
    <w:p w:rsidR="00D93FC9" w:rsidRDefault="00D93FC9" w:rsidP="00D93FC9">
      <w:pPr>
        <w:rPr>
          <w:b/>
        </w:rPr>
        <w:sectPr w:rsidR="00D93FC9" w:rsidSect="00C56085">
          <w:footerReference w:type="even" r:id="rId9"/>
          <w:footerReference w:type="default" r:id="rId10"/>
          <w:pgSz w:w="12240" w:h="15840" w:code="1"/>
          <w:pgMar w:top="1440" w:right="1440" w:bottom="1440" w:left="1440" w:header="720" w:footer="720" w:gutter="0"/>
          <w:cols w:space="720"/>
          <w:docGrid w:linePitch="360"/>
        </w:sectPr>
      </w:pPr>
    </w:p>
    <w:p w:rsidR="00F7350D" w:rsidRPr="00B1225E" w:rsidRDefault="00F7350D" w:rsidP="00F7350D">
      <w:pPr>
        <w:pStyle w:val="Heading1"/>
        <w:spacing w:line="276" w:lineRule="auto"/>
      </w:pPr>
      <w:r w:rsidRPr="00B1225E">
        <w:lastRenderedPageBreak/>
        <w:t>ABSTRACT</w:t>
      </w:r>
    </w:p>
    <w:p w:rsidR="00E1631B" w:rsidRDefault="00E1631B" w:rsidP="009D0F8D">
      <w:pPr>
        <w:autoSpaceDE w:val="0"/>
        <w:autoSpaceDN w:val="0"/>
        <w:adjustRightInd w:val="0"/>
        <w:spacing w:line="276" w:lineRule="auto"/>
        <w:jc w:val="both"/>
      </w:pPr>
      <w:r>
        <w:t>In this paper, we propose a</w:t>
      </w:r>
      <w:r w:rsidR="009D0F8D">
        <w:t xml:space="preserve"> multiple discrete-continuous (MDC) model</w:t>
      </w:r>
      <w:r>
        <w:t xml:space="preserve"> approach that </w:t>
      </w:r>
      <w:r w:rsidR="009D0F8D">
        <w:t xml:space="preserve">(a) </w:t>
      </w:r>
      <w:r>
        <w:t xml:space="preserve">does not need the total budget to be observed or predetermined, </w:t>
      </w:r>
      <w:r w:rsidR="009D0F8D">
        <w:t xml:space="preserve">(b) </w:t>
      </w:r>
      <w:r>
        <w:t xml:space="preserve">allows for any finite or not-so-finite budget over the entire set of inside and outside goods, and </w:t>
      </w:r>
      <w:r w:rsidR="009D0F8D">
        <w:t xml:space="preserve">(c) </w:t>
      </w:r>
      <w:r>
        <w:t xml:space="preserve">preserves a strong endogenous utility-theoretic link between inside good consumptions and the budget allocated to the inside goods (that is, to the product group of interest). </w:t>
      </w:r>
      <w:r w:rsidR="009D0F8D">
        <w:t>W</w:t>
      </w:r>
      <w:r w:rsidR="009D0F8D" w:rsidRPr="00324EEB">
        <w:t xml:space="preserve">e </w:t>
      </w:r>
      <w:r w:rsidR="009D0F8D">
        <w:t xml:space="preserve">show that our proposed model, including a fractional MDC model at the lower level linked up to a Tobit model for the budget allocation to the inside goods, is strictly </w:t>
      </w:r>
      <w:r w:rsidR="009D0F8D" w:rsidRPr="00324EEB">
        <w:t>co</w:t>
      </w:r>
      <w:r w:rsidR="009D0F8D">
        <w:t>nsistent</w:t>
      </w:r>
      <w:r w:rsidR="009D0F8D" w:rsidRPr="00324EEB">
        <w:t xml:space="preserve"> with a two-stage budgeting utility </w:t>
      </w:r>
      <w:r w:rsidR="009D0F8D">
        <w:t>theoretic</w:t>
      </w:r>
      <w:r w:rsidR="009D0F8D" w:rsidRPr="00324EEB">
        <w:t xml:space="preserve"> structure. </w:t>
      </w:r>
      <w:r w:rsidR="009D0F8D">
        <w:t xml:space="preserve">As importantly, by using reverse Gumbel distributional assumptions for the stochastic terms in the model system, we derive an incredibly simple closed-form model that, to our knowledge, is a first of its kind in the econometric literature. In doing so, we formally introduce a new distribution, which we label as the minLogistic distribution, to the statistical literature, and derive the properties of the distribution that is then used in the forecasting stage of the proposed model. An application of the proposed model to investigate the household vehicle fleet composition and usage demonstrates its potential relative to an unlinked and exogenously developed budget for the inside goods. The </w:t>
      </w:r>
      <w:r>
        <w:t xml:space="preserve">proposed model </w:t>
      </w:r>
      <w:r w:rsidR="009D0F8D">
        <w:t xml:space="preserve">has the potential to </w:t>
      </w:r>
      <w:r>
        <w:t xml:space="preserve">open up a whole new world of MDC applications in general, and particularly for those cases with an unobserved total budget over the inside and outside goods. </w:t>
      </w:r>
    </w:p>
    <w:p w:rsidR="00F7350D" w:rsidRDefault="00F7350D" w:rsidP="00F7350D">
      <w:pPr>
        <w:spacing w:line="276" w:lineRule="auto"/>
        <w:rPr>
          <w:b/>
          <w:bCs/>
          <w:sz w:val="28"/>
          <w:szCs w:val="28"/>
        </w:rPr>
      </w:pPr>
    </w:p>
    <w:p w:rsidR="00F7350D" w:rsidRPr="00F7350D" w:rsidRDefault="00F7350D" w:rsidP="00F7350D">
      <w:pPr>
        <w:spacing w:line="276" w:lineRule="auto"/>
        <w:jc w:val="both"/>
      </w:pPr>
      <w:r w:rsidRPr="00B74F31">
        <w:rPr>
          <w:b/>
          <w:bCs/>
        </w:rPr>
        <w:t>Keywords:</w:t>
      </w:r>
      <w:r>
        <w:rPr>
          <w:bCs/>
        </w:rPr>
        <w:t xml:space="preserve"> </w:t>
      </w:r>
      <w:r w:rsidR="009D0F8D">
        <w:rPr>
          <w:bCs/>
        </w:rPr>
        <w:t xml:space="preserve">Multiple Discrete-Continuous Model, Two-Stage Budgeting, Reverse Gumbel Distribution, Utility-Theoretic Model, </w:t>
      </w:r>
      <w:r w:rsidR="00B3149C">
        <w:rPr>
          <w:bCs/>
        </w:rPr>
        <w:t xml:space="preserve">MinLogistic Distribution, </w:t>
      </w:r>
      <w:r w:rsidR="009D0F8D">
        <w:rPr>
          <w:bCs/>
        </w:rPr>
        <w:t>Vehicle Fleet Modeling</w:t>
      </w:r>
    </w:p>
    <w:p w:rsidR="00F7350D" w:rsidRDefault="00F7350D" w:rsidP="00324EEB">
      <w:pPr>
        <w:spacing w:line="276" w:lineRule="auto"/>
        <w:jc w:val="both"/>
        <w:rPr>
          <w:b/>
        </w:rPr>
      </w:pPr>
    </w:p>
    <w:p w:rsidR="00F7350D" w:rsidRDefault="00F7350D" w:rsidP="00324EEB">
      <w:pPr>
        <w:spacing w:line="276" w:lineRule="auto"/>
        <w:jc w:val="both"/>
        <w:rPr>
          <w:b/>
        </w:rPr>
        <w:sectPr w:rsidR="00F7350D" w:rsidSect="000B182A">
          <w:footerReference w:type="default" r:id="rId11"/>
          <w:pgSz w:w="12240" w:h="15840" w:code="1"/>
          <w:pgMar w:top="1440" w:right="1440" w:bottom="1440" w:left="1440" w:header="720" w:footer="720" w:gutter="0"/>
          <w:pgNumType w:start="1"/>
          <w:cols w:space="720"/>
          <w:docGrid w:linePitch="360"/>
        </w:sectPr>
      </w:pPr>
    </w:p>
    <w:p w:rsidR="00BE327F" w:rsidRPr="00324EEB" w:rsidRDefault="005B4CFE" w:rsidP="007422BF">
      <w:pPr>
        <w:numPr>
          <w:ilvl w:val="0"/>
          <w:numId w:val="10"/>
        </w:numPr>
        <w:spacing w:line="276" w:lineRule="auto"/>
        <w:ind w:left="360"/>
        <w:jc w:val="both"/>
        <w:rPr>
          <w:b/>
        </w:rPr>
      </w:pPr>
      <w:r>
        <w:rPr>
          <w:b/>
        </w:rPr>
        <w:lastRenderedPageBreak/>
        <w:t>INTRODUCTION</w:t>
      </w:r>
    </w:p>
    <w:p w:rsidR="00FC3EEA" w:rsidRPr="00324EEB" w:rsidRDefault="00F118F9" w:rsidP="00324EEB">
      <w:pPr>
        <w:spacing w:line="276" w:lineRule="auto"/>
        <w:jc w:val="both"/>
        <w:rPr>
          <w:color w:val="000000"/>
        </w:rPr>
      </w:pPr>
      <w:r w:rsidRPr="00324EEB">
        <w:t>There has been a surge in the application of</w:t>
      </w:r>
      <w:r w:rsidR="000F4B04" w:rsidRPr="00324EEB">
        <w:t xml:space="preserve"> </w:t>
      </w:r>
      <w:r w:rsidRPr="00324EEB">
        <w:t xml:space="preserve">discrete-continuous models in several fields in recent years, </w:t>
      </w:r>
      <w:r w:rsidR="000F4B04" w:rsidRPr="00324EEB">
        <w:t xml:space="preserve">particularly </w:t>
      </w:r>
      <w:r w:rsidR="004921F1">
        <w:t xml:space="preserve">for </w:t>
      </w:r>
      <w:r w:rsidR="000F4B04" w:rsidRPr="00324EEB">
        <w:t>the case of multiple discrete-continuous (or MDC) choice situation</w:t>
      </w:r>
      <w:r w:rsidR="00AC0153">
        <w:t>s</w:t>
      </w:r>
      <w:r w:rsidR="000F4B04" w:rsidRPr="00324EEB">
        <w:t xml:space="preserve">.  Such situations are characterized by the choice </w:t>
      </w:r>
      <w:r w:rsidR="004921F1">
        <w:t>of</w:t>
      </w:r>
      <w:r w:rsidR="000F4B04" w:rsidRPr="00324EEB">
        <w:t xml:space="preserve"> consum</w:t>
      </w:r>
      <w:r w:rsidR="004921F1">
        <w:t>ing</w:t>
      </w:r>
      <w:r w:rsidR="000F4B04" w:rsidRPr="00324EEB">
        <w:t xml:space="preserve"> multiple </w:t>
      </w:r>
      <w:r w:rsidR="003F5034" w:rsidRPr="00324EEB">
        <w:t xml:space="preserve">alternatives from a set of mutually-exclusive </w:t>
      </w:r>
      <w:r w:rsidR="000F4B04" w:rsidRPr="00324EEB">
        <w:t>alternatives</w:t>
      </w:r>
      <w:r w:rsidR="003F5034" w:rsidRPr="00324EEB">
        <w:t xml:space="preserve"> (rather than only one of the mutually-exclusive alternatives, as in traditional “single” discrete choice models), along with </w:t>
      </w:r>
      <w:r w:rsidR="000F4B04" w:rsidRPr="00324EEB">
        <w:t xml:space="preserve">a </w:t>
      </w:r>
      <w:r w:rsidR="003F5034" w:rsidRPr="00324EEB">
        <w:t>continuous non-zero consumption intensity for each of the consumed alternatives</w:t>
      </w:r>
      <w:r w:rsidR="009172DE">
        <w:t xml:space="preserve"> (see Bhat, 2008)</w:t>
      </w:r>
      <w:r w:rsidR="003F5034" w:rsidRPr="00324EEB">
        <w:t>. These</w:t>
      </w:r>
      <w:r w:rsidR="006818B4" w:rsidRPr="00324EEB">
        <w:t xml:space="preserve"> </w:t>
      </w:r>
      <w:r w:rsidR="006818B4" w:rsidRPr="00324EEB">
        <w:rPr>
          <w:color w:val="000000"/>
        </w:rPr>
        <w:t xml:space="preserve">MDC choices are pervasive in the social sciences, including </w:t>
      </w:r>
      <w:r w:rsidR="005D2249">
        <w:rPr>
          <w:color w:val="000000"/>
        </w:rPr>
        <w:t xml:space="preserve">the </w:t>
      </w:r>
      <w:r w:rsidR="006818B4" w:rsidRPr="00324EEB">
        <w:rPr>
          <w:color w:val="000000"/>
        </w:rPr>
        <w:t xml:space="preserve">transportation, </w:t>
      </w:r>
      <w:r w:rsidR="005D2249" w:rsidRPr="00324EEB">
        <w:t xml:space="preserve">recreation, </w:t>
      </w:r>
      <w:r w:rsidR="005D2249">
        <w:t xml:space="preserve">economics, marketing, </w:t>
      </w:r>
      <w:r w:rsidR="005D2249" w:rsidRPr="00324EEB">
        <w:t>actuarial</w:t>
      </w:r>
      <w:r w:rsidR="005D2249">
        <w:t xml:space="preserve"> science,</w:t>
      </w:r>
      <w:r w:rsidR="005D2249" w:rsidRPr="00324EEB">
        <w:t xml:space="preserve"> ecology, </w:t>
      </w:r>
      <w:r w:rsidR="005D2249">
        <w:t>b</w:t>
      </w:r>
      <w:r w:rsidR="005D2249" w:rsidRPr="00324EEB">
        <w:t>iostatistics</w:t>
      </w:r>
      <w:r w:rsidR="00A9452E">
        <w:t>,</w:t>
      </w:r>
      <w:r w:rsidR="005D2249" w:rsidRPr="00324EEB">
        <w:t xml:space="preserve"> and epidemiology fields</w:t>
      </w:r>
      <w:r w:rsidR="006818B4" w:rsidRPr="00324EEB">
        <w:rPr>
          <w:color w:val="000000"/>
        </w:rPr>
        <w:t xml:space="preserve">. Examples include individuals’ time-use choices (decisions to engage in different types of activities and time allocation to each activity), investment portfolios (where and how much to invest), and grocery purchases (brand choice and purchase quantity). </w:t>
      </w:r>
    </w:p>
    <w:p w:rsidR="00736817" w:rsidRPr="00324EEB" w:rsidRDefault="00FC3EEA" w:rsidP="00324EEB">
      <w:pPr>
        <w:autoSpaceDE w:val="0"/>
        <w:autoSpaceDN w:val="0"/>
        <w:adjustRightInd w:val="0"/>
        <w:spacing w:line="276" w:lineRule="auto"/>
        <w:ind w:firstLine="720"/>
        <w:jc w:val="both"/>
      </w:pPr>
      <w:r w:rsidRPr="00324EEB">
        <w:t>T</w:t>
      </w:r>
      <w:r w:rsidR="003F5034" w:rsidRPr="00324EEB">
        <w:t>hree</w:t>
      </w:r>
      <w:r w:rsidR="009A0CC9" w:rsidRPr="00324EEB">
        <w:t xml:space="preserve"> broad approaches in the literature to model </w:t>
      </w:r>
      <w:r w:rsidR="009172DE">
        <w:t>MDC</w:t>
      </w:r>
      <w:r w:rsidR="003F5034" w:rsidRPr="00324EEB">
        <w:t xml:space="preserve"> </w:t>
      </w:r>
      <w:r w:rsidR="009A0CC9" w:rsidRPr="00324EEB">
        <w:t xml:space="preserve">data include </w:t>
      </w:r>
      <w:r w:rsidR="005D2249">
        <w:t xml:space="preserve">those </w:t>
      </w:r>
      <w:r w:rsidR="00561FC1">
        <w:t>associated</w:t>
      </w:r>
      <w:r w:rsidR="005D2249">
        <w:t xml:space="preserve"> with </w:t>
      </w:r>
      <w:r w:rsidR="003F5034" w:rsidRPr="00324EEB">
        <w:t xml:space="preserve">(1) </w:t>
      </w:r>
      <w:r w:rsidR="005D2249">
        <w:t>statistical censoring</w:t>
      </w:r>
      <w:r w:rsidR="009E6A06" w:rsidRPr="00324EEB">
        <w:t>, (2) vertical choice-making behavior, and (3) horizontal choice-making behavio</w:t>
      </w:r>
      <w:r w:rsidR="005D2249">
        <w:t>r</w:t>
      </w:r>
      <w:r w:rsidR="009E6A06" w:rsidRPr="00324EEB">
        <w:t xml:space="preserve">. The first approach, based on </w:t>
      </w:r>
      <w:r w:rsidR="009E6A06" w:rsidRPr="003A40C0">
        <w:t>Tobin’s (1958)</w:t>
      </w:r>
      <w:r w:rsidR="009E6A06" w:rsidRPr="00324EEB">
        <w:t xml:space="preserve"> </w:t>
      </w:r>
      <w:r w:rsidR="005D2249">
        <w:t>model</w:t>
      </w:r>
      <w:r w:rsidR="00BE5E57" w:rsidRPr="00324EEB">
        <w:t xml:space="preserve"> (see, for example, Srinivasan and Bhat, 2006, </w:t>
      </w:r>
      <w:r w:rsidR="00BE5E57" w:rsidRPr="003C11B9">
        <w:t>Fang, 2008,</w:t>
      </w:r>
      <w:r w:rsidR="00BE5E57" w:rsidRPr="00324EEB">
        <w:t xml:space="preserve"> </w:t>
      </w:r>
      <w:r w:rsidR="005332D0" w:rsidRPr="003A40C0">
        <w:t>Anastasopoulos et al., 2012</w:t>
      </w:r>
      <w:r w:rsidR="005D2249" w:rsidRPr="003A40C0">
        <w:t>,</w:t>
      </w:r>
      <w:r w:rsidR="005D2249">
        <w:t xml:space="preserve"> and</w:t>
      </w:r>
      <w:r w:rsidR="005332D0" w:rsidRPr="00324EEB">
        <w:t xml:space="preserve"> </w:t>
      </w:r>
      <w:r w:rsidR="009A7AB9">
        <w:t>Hou et al., 2020</w:t>
      </w:r>
      <w:r w:rsidR="005332D0" w:rsidRPr="00324EEB">
        <w:t>)</w:t>
      </w:r>
      <w:r w:rsidR="005D2249">
        <w:t>,</w:t>
      </w:r>
      <w:r w:rsidR="005332D0" w:rsidRPr="00324EEB">
        <w:t xml:space="preserve"> </w:t>
      </w:r>
      <w:r w:rsidR="009E6A06" w:rsidRPr="00324EEB">
        <w:t xml:space="preserve">uses a set of latent variables to represent continuous demand for each of the alternatives, and then uses a censoring mechanism to allow for zero consumption (that is, the corresponding alternative is not chosen for consumption) and positive consumptions (the corresponding alternative is chosen for consumption, and the latent variable value, which is positive, represents the continuous consumption intensity). Interestingly, while this multivariate Tobit-based approach </w:t>
      </w:r>
      <w:r w:rsidR="005D2249">
        <w:t xml:space="preserve">(based on the classical multivariate Tobit model and its extended variants) </w:t>
      </w:r>
      <w:r w:rsidR="009E6A06" w:rsidRPr="00324EEB">
        <w:t xml:space="preserve">has typically been viewed as a reduced-form </w:t>
      </w:r>
      <w:r w:rsidR="005D2249">
        <w:t>statistical stitching</w:t>
      </w:r>
      <w:r w:rsidR="009E6A06" w:rsidRPr="00324EEB">
        <w:t xml:space="preserve"> </w:t>
      </w:r>
      <w:r w:rsidR="005D2249">
        <w:t xml:space="preserve">approach </w:t>
      </w:r>
      <w:r w:rsidR="009E6A06" w:rsidRPr="00324EEB">
        <w:t>that is not utility-theoretic, Saxena et al. (2022</w:t>
      </w:r>
      <w:r w:rsidR="005D2249">
        <w:t>a</w:t>
      </w:r>
      <w:r w:rsidR="009E6A06" w:rsidRPr="00324EEB">
        <w:t xml:space="preserve">) recently showed that this approach can in fact be viewed as a </w:t>
      </w:r>
      <w:r w:rsidR="00BF0863">
        <w:t xml:space="preserve">very </w:t>
      </w:r>
      <w:r w:rsidR="009E6A06" w:rsidRPr="00324EEB">
        <w:t xml:space="preserve">restrictive case of a utility-based model </w:t>
      </w:r>
      <w:r w:rsidR="005D2249">
        <w:t xml:space="preserve">that </w:t>
      </w:r>
      <w:r w:rsidR="00BE5E57" w:rsidRPr="00324EEB">
        <w:t xml:space="preserve">assumes </w:t>
      </w:r>
      <w:r w:rsidR="003D5339" w:rsidRPr="00324EEB">
        <w:t xml:space="preserve">no differential </w:t>
      </w:r>
      <w:r w:rsidR="00736817" w:rsidRPr="00324EEB">
        <w:t xml:space="preserve">satiation effects </w:t>
      </w:r>
      <w:r w:rsidR="003D5339" w:rsidRPr="00324EEB">
        <w:t xml:space="preserve">across inside goods </w:t>
      </w:r>
      <w:r w:rsidR="00736817" w:rsidRPr="00324EEB">
        <w:t xml:space="preserve">and </w:t>
      </w:r>
      <w:r w:rsidR="00DD5FCA">
        <w:t xml:space="preserve">has </w:t>
      </w:r>
      <w:r w:rsidR="00BE5E57" w:rsidRPr="00324EEB">
        <w:t xml:space="preserve">an infinite budget available for consumption. </w:t>
      </w:r>
      <w:r w:rsidR="00BF0863">
        <w:t>T</w:t>
      </w:r>
      <w:r w:rsidR="00C96F8F" w:rsidRPr="00324EEB">
        <w:t xml:space="preserve">he approach </w:t>
      </w:r>
      <w:r w:rsidR="00BF0863">
        <w:t xml:space="preserve">also </w:t>
      </w:r>
      <w:r w:rsidR="00C96F8F" w:rsidRPr="00324EEB">
        <w:t xml:space="preserve">can get tedious </w:t>
      </w:r>
      <w:r w:rsidR="00FC6813">
        <w:t xml:space="preserve">and </w:t>
      </w:r>
      <w:r w:rsidR="00C96F8F" w:rsidRPr="00324EEB">
        <w:t xml:space="preserve">be fraught with computational </w:t>
      </w:r>
      <w:r w:rsidR="00FC6813">
        <w:t xml:space="preserve">instability </w:t>
      </w:r>
      <w:r w:rsidR="00C96F8F" w:rsidRPr="00324EEB">
        <w:t xml:space="preserve">as the number of alternatives increases. </w:t>
      </w:r>
    </w:p>
    <w:p w:rsidR="003A7717" w:rsidRPr="00324EEB" w:rsidRDefault="00736817" w:rsidP="00324EEB">
      <w:pPr>
        <w:autoSpaceDE w:val="0"/>
        <w:autoSpaceDN w:val="0"/>
        <w:adjustRightInd w:val="0"/>
        <w:spacing w:line="276" w:lineRule="auto"/>
        <w:ind w:firstLine="720"/>
        <w:jc w:val="both"/>
      </w:pPr>
      <w:r w:rsidRPr="00324EEB">
        <w:t xml:space="preserve">The second approach, </w:t>
      </w:r>
      <w:r w:rsidR="00DD5FCA">
        <w:t>the</w:t>
      </w:r>
      <w:r w:rsidR="005D2249">
        <w:t xml:space="preserve"> </w:t>
      </w:r>
      <w:r w:rsidRPr="00324EEB">
        <w:t xml:space="preserve">vertical choice-making behavior </w:t>
      </w:r>
      <w:r w:rsidR="00DD5FCA">
        <w:t>approach</w:t>
      </w:r>
      <w:r w:rsidRPr="00324EEB">
        <w:t>,</w:t>
      </w:r>
      <w:r w:rsidR="00640C3F" w:rsidRPr="00324EEB">
        <w:t xml:space="preserve"> assumes that the multiple discrete</w:t>
      </w:r>
      <w:r w:rsidR="004B2896" w:rsidRPr="00324EEB">
        <w:t>ness is a cons</w:t>
      </w:r>
      <w:r w:rsidR="00A9452E">
        <w:t>eq</w:t>
      </w:r>
      <w:r w:rsidR="004B2896" w:rsidRPr="00324EEB">
        <w:t xml:space="preserve">uence of a “vertical” stream of multiple choice occasions of an individual, </w:t>
      </w:r>
      <w:r w:rsidR="0026596D" w:rsidRPr="00324EEB">
        <w:t>and</w:t>
      </w:r>
      <w:r w:rsidR="004B2896" w:rsidRPr="00324EEB">
        <w:t xml:space="preserve"> </w:t>
      </w:r>
      <w:r w:rsidR="0026596D" w:rsidRPr="00324EEB">
        <w:t>the</w:t>
      </w:r>
      <w:r w:rsidR="004B2896" w:rsidRPr="00324EEB">
        <w:t xml:space="preserve"> individual is assumed to choose </w:t>
      </w:r>
      <w:r w:rsidR="0026596D" w:rsidRPr="00324EEB">
        <w:t xml:space="preserve">one and </w:t>
      </w:r>
      <w:r w:rsidR="004B2896" w:rsidRPr="00324EEB">
        <w:t>only one alternative at each choice instance</w:t>
      </w:r>
      <w:r w:rsidR="00B22C71" w:rsidRPr="00324EEB">
        <w:t xml:space="preserve"> (that is, at each choice instance, a single </w:t>
      </w:r>
      <w:r w:rsidR="001B40F9" w:rsidRPr="00324EEB">
        <w:t>discrete</w:t>
      </w:r>
      <w:r w:rsidR="0093397D" w:rsidRPr="00324EEB">
        <w:t xml:space="preserve"> </w:t>
      </w:r>
      <w:r w:rsidR="00B22C71" w:rsidRPr="00324EEB">
        <w:t xml:space="preserve">choice model is </w:t>
      </w:r>
      <w:r w:rsidR="005B1F55">
        <w:t>assumed to apply)</w:t>
      </w:r>
      <w:r w:rsidR="004B2896" w:rsidRPr="00324EEB">
        <w:t>. However, preferences may vary within the same individual across choice instances, leading to the observation of multiple discreteness</w:t>
      </w:r>
      <w:r w:rsidR="0026596D" w:rsidRPr="00324EEB">
        <w:t xml:space="preserve"> over the vertical stream of choice instances</w:t>
      </w:r>
      <w:r w:rsidR="002779EA" w:rsidRPr="00324EEB">
        <w:t xml:space="preserve"> </w:t>
      </w:r>
      <w:r w:rsidR="001B40F9" w:rsidRPr="00324EEB">
        <w:t>(that is, one and only one alternative is observed to be consumed at each choice occasion; then, across multiple single choice occasions, one observes different alternatives being chosen</w:t>
      </w:r>
      <w:r w:rsidR="005B1F55">
        <w:t>)</w:t>
      </w:r>
      <w:r w:rsidR="001B40F9" w:rsidRPr="00324EEB">
        <w:t xml:space="preserve">. </w:t>
      </w:r>
      <w:r w:rsidR="00EC6893" w:rsidRPr="00324EEB">
        <w:t xml:space="preserve">Also, at each choice occasion, </w:t>
      </w:r>
      <w:r w:rsidR="00EC6893" w:rsidRPr="00324EEB">
        <w:rPr>
          <w:color w:val="000000"/>
        </w:rPr>
        <w:t xml:space="preserve">the vector of goods </w:t>
      </w:r>
      <w:r w:rsidR="00EC6893" w:rsidRPr="00324EEB">
        <w:t xml:space="preserve">under consideration may exhaust the consumption space of consumers across all product categories (that is, represent a complete demand system) or may focus only on goods within a specific product category (that is, represent an incomplete demand system). The complete demand system requires data on prices and consumptions of all commodity/service items, and can be impractical when studying consumptions in finely defined </w:t>
      </w:r>
      <w:r w:rsidR="00EC6893" w:rsidRPr="00324EEB">
        <w:lastRenderedPageBreak/>
        <w:t xml:space="preserve">commodity/service categories (see Bhat and Pinjari, 2014). Thus, it is rather ubiquitous to use an incomplete demand system. </w:t>
      </w:r>
      <w:r w:rsidR="004B2896" w:rsidRPr="00324EEB">
        <w:t xml:space="preserve">Within this </w:t>
      </w:r>
      <w:r w:rsidR="005D2249">
        <w:t xml:space="preserve">incomplete demand </w:t>
      </w:r>
      <w:r w:rsidR="00A144DE" w:rsidRPr="00324EEB">
        <w:t>vertical behavior</w:t>
      </w:r>
      <w:r w:rsidR="00DD5FCA">
        <w:t xml:space="preserve"> approach</w:t>
      </w:r>
      <w:r w:rsidR="004B2896" w:rsidRPr="00324EEB">
        <w:t>, which ha</w:t>
      </w:r>
      <w:r w:rsidR="00A144DE" w:rsidRPr="00324EEB">
        <w:t>s</w:t>
      </w:r>
      <w:r w:rsidR="004B2896" w:rsidRPr="00324EEB">
        <w:t xml:space="preserve"> been </w:t>
      </w:r>
      <w:r w:rsidR="00277310" w:rsidRPr="00324EEB">
        <w:t xml:space="preserve">more often </w:t>
      </w:r>
      <w:r w:rsidR="004B2896" w:rsidRPr="00324EEB">
        <w:t>applied to multiple discrete-count models rather than multiple discrete-continuous models</w:t>
      </w:r>
      <w:r w:rsidR="0093397D" w:rsidRPr="00324EEB">
        <w:t xml:space="preserve"> (that is, the budget is more often in the form of counts rather than a continuous value)</w:t>
      </w:r>
      <w:r w:rsidR="004B2896" w:rsidRPr="00324EEB">
        <w:t xml:space="preserve">, </w:t>
      </w:r>
      <w:r w:rsidR="0093397D" w:rsidRPr="00324EEB">
        <w:t>the product of the probability of choice of an alternative at any choice instance with the budget provides the budget allocation to each good in the product category under consideration. T</w:t>
      </w:r>
      <w:r w:rsidR="004B2896" w:rsidRPr="00324EEB">
        <w:t xml:space="preserve">he budget </w:t>
      </w:r>
      <w:r w:rsidR="00180D74" w:rsidRPr="00324EEB">
        <w:t xml:space="preserve">(for the product category under consideration) </w:t>
      </w:r>
      <w:r w:rsidR="0093397D" w:rsidRPr="00324EEB">
        <w:t xml:space="preserve">itself </w:t>
      </w:r>
      <w:r w:rsidR="004B2896" w:rsidRPr="00324EEB">
        <w:t xml:space="preserve">is either exogenously determined (no linking between the </w:t>
      </w:r>
      <w:r w:rsidR="00585C20" w:rsidRPr="00324EEB">
        <w:t xml:space="preserve">instance-specific </w:t>
      </w:r>
      <w:r w:rsidR="004B2896" w:rsidRPr="00324EEB">
        <w:t xml:space="preserve">single choice </w:t>
      </w:r>
      <w:r w:rsidR="006B73F6" w:rsidRPr="00324EEB">
        <w:t>model</w:t>
      </w:r>
      <w:r w:rsidR="00585C20" w:rsidRPr="00324EEB">
        <w:t>s</w:t>
      </w:r>
      <w:r w:rsidR="006B73F6" w:rsidRPr="00324EEB">
        <w:t xml:space="preserve"> at each instance </w:t>
      </w:r>
      <w:r w:rsidR="004B2896" w:rsidRPr="00324EEB">
        <w:t>and the budget) or endogenously determined</w:t>
      </w:r>
      <w:r w:rsidR="006B73F6" w:rsidRPr="00324EEB">
        <w:t xml:space="preserve"> (linking present between the single choice model and the </w:t>
      </w:r>
      <w:r w:rsidR="006B73F6" w:rsidRPr="00F7350D">
        <w:t>budget)</w:t>
      </w:r>
      <w:r w:rsidR="004B2896" w:rsidRPr="00F7350D">
        <w:t xml:space="preserve">. </w:t>
      </w:r>
      <w:r w:rsidR="006B73F6" w:rsidRPr="00F7350D">
        <w:t xml:space="preserve">Examples of the former exogenous </w:t>
      </w:r>
      <w:r w:rsidR="003A3F71" w:rsidRPr="00F7350D">
        <w:t>budget method</w:t>
      </w:r>
      <w:r w:rsidR="006B73F6" w:rsidRPr="00F7350D">
        <w:t xml:space="preserve"> include Morey et al., 1993</w:t>
      </w:r>
      <w:r w:rsidR="009A6445" w:rsidRPr="00F7350D">
        <w:t>,</w:t>
      </w:r>
      <w:r w:rsidR="006B73F6" w:rsidRPr="00F7350D">
        <w:t xml:space="preserve"> </w:t>
      </w:r>
      <w:r w:rsidR="00E10758" w:rsidRPr="00F7350D">
        <w:t xml:space="preserve">Hendel, 1999, and </w:t>
      </w:r>
      <w:r w:rsidR="0026596D" w:rsidRPr="00F7350D">
        <w:t>Paleti et al., 201</w:t>
      </w:r>
      <w:r w:rsidR="00E10758" w:rsidRPr="00F7350D">
        <w:t>4</w:t>
      </w:r>
      <w:r w:rsidR="004B2896" w:rsidRPr="00F7350D">
        <w:t xml:space="preserve">. </w:t>
      </w:r>
      <w:r w:rsidR="009A6445" w:rsidRPr="00F7350D">
        <w:t xml:space="preserve">This exogenous </w:t>
      </w:r>
      <w:r w:rsidR="00EE7803" w:rsidRPr="00F7350D">
        <w:t>budget method</w:t>
      </w:r>
      <w:r w:rsidR="009A6445" w:rsidRPr="00F7350D">
        <w:t xml:space="preserve">, while easy to estimate and implement, does not explicitly consider the substitution and income effects that are likely to lead to a change in the budget because of a change in a variable that impacts the single discrete choice. The structure without this linkage is also not consistent with utility theory (see </w:t>
      </w:r>
      <w:r w:rsidR="009A6445" w:rsidRPr="00BC4386">
        <w:t>Bhat et al., 201</w:t>
      </w:r>
      <w:r w:rsidR="00360D7C" w:rsidRPr="00BC4386">
        <w:t>5</w:t>
      </w:r>
      <w:r w:rsidR="005815CC" w:rsidRPr="00BC4386">
        <w:t>a</w:t>
      </w:r>
      <w:r w:rsidR="009A6445" w:rsidRPr="00BC4386">
        <w:t>). I</w:t>
      </w:r>
      <w:r w:rsidR="0026596D" w:rsidRPr="00BC4386">
        <w:t xml:space="preserve">n the latter endogenous </w:t>
      </w:r>
      <w:r w:rsidR="008B1FE2" w:rsidRPr="00BC4386">
        <w:t>linking</w:t>
      </w:r>
      <w:r w:rsidR="00EE7803" w:rsidRPr="00BC4386">
        <w:t xml:space="preserve"> method</w:t>
      </w:r>
      <w:r w:rsidR="0026596D" w:rsidRPr="00BC4386">
        <w:t xml:space="preserve">, </w:t>
      </w:r>
      <w:r w:rsidR="009F15A6" w:rsidRPr="00BC4386">
        <w:t xml:space="preserve">the single discrete choice model </w:t>
      </w:r>
      <w:r w:rsidR="00B22C71" w:rsidRPr="00BC4386">
        <w:t xml:space="preserve">corresponding </w:t>
      </w:r>
      <w:proofErr w:type="gramStart"/>
      <w:r w:rsidR="00B22C71" w:rsidRPr="00BC4386">
        <w:t>to</w:t>
      </w:r>
      <w:r w:rsidR="00F7350D" w:rsidRPr="00BC4386">
        <w:t xml:space="preserve"> </w:t>
      </w:r>
      <w:r w:rsidR="009F15A6" w:rsidRPr="00BC4386">
        <w:t>choice</w:t>
      </w:r>
      <w:proofErr w:type="gramEnd"/>
      <w:r w:rsidR="009F15A6" w:rsidRPr="00BC4386">
        <w:t xml:space="preserve"> instance</w:t>
      </w:r>
      <w:r w:rsidR="00B22C71" w:rsidRPr="00BC4386">
        <w:t>s</w:t>
      </w:r>
      <w:r w:rsidR="009F15A6" w:rsidRPr="00BC4386">
        <w:t xml:space="preserve"> is linked to the budget. </w:t>
      </w:r>
      <w:r w:rsidR="002A1FE8" w:rsidRPr="00BC4386">
        <w:t>Examples of the use of this method include Bockstael et al., 1987, Mannering and Hamed, 1990, Hausman et al., 1995, Rouwendal and Boter, 2009, Bhat</w:t>
      </w:r>
      <w:r w:rsidR="00360D7C" w:rsidRPr="00BC4386">
        <w:t xml:space="preserve"> et al.,</w:t>
      </w:r>
      <w:r w:rsidR="002A1FE8" w:rsidRPr="00BC4386">
        <w:t xml:space="preserve"> 201</w:t>
      </w:r>
      <w:r w:rsidR="00360D7C" w:rsidRPr="00BC4386">
        <w:t>5</w:t>
      </w:r>
      <w:r w:rsidR="005815CC" w:rsidRPr="00BC4386">
        <w:t>a</w:t>
      </w:r>
      <w:r w:rsidR="002A1FE8" w:rsidRPr="00BC4386">
        <w:t>, and Wa</w:t>
      </w:r>
      <w:r w:rsidR="00360D7C" w:rsidRPr="00E413FC">
        <w:t>gner</w:t>
      </w:r>
      <w:r w:rsidR="002A1FE8" w:rsidRPr="00E413FC">
        <w:t xml:space="preserve"> et al., 2019)</w:t>
      </w:r>
      <w:r w:rsidR="00C81D9B" w:rsidRPr="00E413FC">
        <w:t>.</w:t>
      </w:r>
      <w:r w:rsidR="00C81D9B" w:rsidRPr="00F7350D">
        <w:t xml:space="preserve"> </w:t>
      </w:r>
      <w:r w:rsidR="00A262A2" w:rsidRPr="00F7350D">
        <w:t xml:space="preserve">When the </w:t>
      </w:r>
      <w:r w:rsidR="00563CAC" w:rsidRPr="00F7350D">
        <w:t xml:space="preserve">single </w:t>
      </w:r>
      <w:r w:rsidR="00A262A2" w:rsidRPr="00F7350D">
        <w:t>discrete choice</w:t>
      </w:r>
      <w:r w:rsidR="00F91B72" w:rsidRPr="00F7350D">
        <w:t xml:space="preserve"> for alternatives within a product category </w:t>
      </w:r>
      <w:r w:rsidR="00563CAC" w:rsidRPr="00F7350D">
        <w:t xml:space="preserve">at any choice instance </w:t>
      </w:r>
      <w:r w:rsidR="00A262A2" w:rsidRPr="00F7350D">
        <w:t>is based</w:t>
      </w:r>
      <w:r w:rsidR="00A262A2" w:rsidRPr="00324EEB">
        <w:t xml:space="preserve"> on the typically used multivariate extreme-value error terms (such as based on logit or nested logit or other GEV models), Rouwendal and Boter (2009) show that the </w:t>
      </w:r>
      <w:r w:rsidR="00F91B72" w:rsidRPr="00324EEB">
        <w:t xml:space="preserve">use of the </w:t>
      </w:r>
      <w:r w:rsidR="00A262A2" w:rsidRPr="00324EEB">
        <w:t xml:space="preserve">expected maximum utility from the </w:t>
      </w:r>
      <w:r w:rsidR="00BF0539" w:rsidRPr="00324EEB">
        <w:t>discrete choice</w:t>
      </w:r>
      <w:r w:rsidR="00A262A2" w:rsidRPr="00324EEB">
        <w:t xml:space="preserve"> model as the </w:t>
      </w:r>
      <w:r w:rsidR="00F91B72" w:rsidRPr="00324EEB">
        <w:t xml:space="preserve">price index for the product group </w:t>
      </w:r>
      <w:r w:rsidR="00DD5FCA">
        <w:t xml:space="preserve">as the </w:t>
      </w:r>
      <w:r w:rsidR="00F91B72" w:rsidRPr="00324EEB">
        <w:t xml:space="preserve">linkage to </w:t>
      </w:r>
      <w:r w:rsidR="00A262A2" w:rsidRPr="00324EEB">
        <w:t xml:space="preserve">the budget equation </w:t>
      </w:r>
      <w:r w:rsidR="00DD5FCA">
        <w:t xml:space="preserve">for that product group </w:t>
      </w:r>
      <w:r w:rsidR="00466B46" w:rsidRPr="00324EEB">
        <w:t xml:space="preserve">is consistent with a </w:t>
      </w:r>
      <w:r w:rsidR="00BF0539" w:rsidRPr="00324EEB">
        <w:t xml:space="preserve">two-stage budgeting </w:t>
      </w:r>
      <w:r w:rsidR="00466B46" w:rsidRPr="00324EEB">
        <w:t>utility maximizing framework if the linkage is motivated from a separable indirect utility function approach</w:t>
      </w:r>
      <w:r w:rsidR="00DD5FCA">
        <w:t xml:space="preserve"> across product groups</w:t>
      </w:r>
      <w:r w:rsidR="00466B46" w:rsidRPr="00324EEB">
        <w:t xml:space="preserve">. </w:t>
      </w:r>
      <w:r w:rsidR="003A7717" w:rsidRPr="00324EEB">
        <w:t xml:space="preserve">But all these </w:t>
      </w:r>
      <w:r w:rsidR="00EE7803" w:rsidRPr="00324EEB">
        <w:t xml:space="preserve">methods and </w:t>
      </w:r>
      <w:r w:rsidR="001B40F9" w:rsidRPr="00324EEB">
        <w:t>strategies</w:t>
      </w:r>
      <w:r w:rsidR="003A7717" w:rsidRPr="00324EEB">
        <w:t xml:space="preserve"> of this second </w:t>
      </w:r>
      <w:r w:rsidR="00804BA6" w:rsidRPr="00324EEB">
        <w:t xml:space="preserve">vertical choice making approach assume </w:t>
      </w:r>
      <w:r w:rsidR="00563CAC" w:rsidRPr="00324EEB">
        <w:t xml:space="preserve">that </w:t>
      </w:r>
      <w:r w:rsidR="00804BA6" w:rsidRPr="00324EEB">
        <w:t xml:space="preserve">the multiple discrete-continuous observations are a result of repeated </w:t>
      </w:r>
      <w:r w:rsidR="00515B5F" w:rsidRPr="00324EEB">
        <w:t>single</w:t>
      </w:r>
      <w:r w:rsidR="00804BA6" w:rsidRPr="00324EEB">
        <w:t xml:space="preserve"> discrete</w:t>
      </w:r>
      <w:r w:rsidR="00EE6BED" w:rsidRPr="00324EEB">
        <w:t xml:space="preserve">-continuous (SDC) </w:t>
      </w:r>
      <w:r w:rsidR="00804BA6" w:rsidRPr="00324EEB">
        <w:t>choice occasions</w:t>
      </w:r>
      <w:r w:rsidR="00563CAC" w:rsidRPr="00324EEB">
        <w:t>.</w:t>
      </w:r>
      <w:r w:rsidR="00804BA6" w:rsidRPr="00324EEB">
        <w:t xml:space="preserve"> Such a </w:t>
      </w:r>
      <w:r w:rsidR="00515B5F" w:rsidRPr="00324EEB">
        <w:t xml:space="preserve">vertical choice behavior </w:t>
      </w:r>
      <w:r w:rsidR="00804BA6" w:rsidRPr="00324EEB">
        <w:t xml:space="preserve">process based </w:t>
      </w:r>
      <w:r w:rsidR="003A7717" w:rsidRPr="00324EEB">
        <w:t xml:space="preserve">on the aggregate </w:t>
      </w:r>
      <w:r w:rsidR="00515B5F" w:rsidRPr="00324EEB">
        <w:t xml:space="preserve">accumulation </w:t>
      </w:r>
      <w:r w:rsidR="003A7717" w:rsidRPr="00324EEB">
        <w:t>of single discrete choice decisions at each of the many event instances</w:t>
      </w:r>
      <w:r w:rsidR="005B1F55">
        <w:t>,</w:t>
      </w:r>
      <w:r w:rsidR="003A7717" w:rsidRPr="00324EEB">
        <w:t xml:space="preserve"> </w:t>
      </w:r>
      <w:r w:rsidR="00804BA6" w:rsidRPr="00324EEB">
        <w:t xml:space="preserve">does not consider the possibility that the multiple discrete-continuous observations may originate from a single horizontal choice of multiple alternatives simultaneously, </w:t>
      </w:r>
      <w:r w:rsidR="003A3F71" w:rsidRPr="00324EEB">
        <w:t>as discussed next.</w:t>
      </w:r>
      <w:r w:rsidR="00804BA6" w:rsidRPr="00324EEB">
        <w:t xml:space="preserve"> </w:t>
      </w:r>
    </w:p>
    <w:p w:rsidR="00B616ED" w:rsidRPr="00324EEB" w:rsidRDefault="00BD1655" w:rsidP="00324EEB">
      <w:pPr>
        <w:autoSpaceDE w:val="0"/>
        <w:autoSpaceDN w:val="0"/>
        <w:adjustRightInd w:val="0"/>
        <w:spacing w:line="276" w:lineRule="auto"/>
        <w:ind w:firstLine="720"/>
        <w:jc w:val="both"/>
      </w:pPr>
      <w:r w:rsidRPr="00324EEB">
        <w:t xml:space="preserve">The third approach, the “horizontal choice-making behavior” approach, considers the multiple discreteness as arising fundamentally from </w:t>
      </w:r>
      <w:r w:rsidR="004B2896" w:rsidRPr="00324EEB">
        <w:t xml:space="preserve">inherently imperfect substitutes at </w:t>
      </w:r>
      <w:r w:rsidRPr="00324EEB">
        <w:t xml:space="preserve">a single </w:t>
      </w:r>
      <w:r w:rsidR="004B2896" w:rsidRPr="00324EEB">
        <w:t xml:space="preserve">choice occasion (see </w:t>
      </w:r>
      <w:r w:rsidR="008C17E3">
        <w:t xml:space="preserve">Wales and Woodland, 1983, </w:t>
      </w:r>
      <w:r w:rsidR="004B2896" w:rsidRPr="00324EEB">
        <w:t xml:space="preserve">Kim </w:t>
      </w:r>
      <w:r w:rsidR="004B2896" w:rsidRPr="00F7350D">
        <w:t>et al.,</w:t>
      </w:r>
      <w:r w:rsidR="004B2896" w:rsidRPr="00324EEB">
        <w:t xml:space="preserve"> 2002</w:t>
      </w:r>
      <w:r w:rsidR="008C17E3">
        <w:t>, von Haefen and Phaneuf, 2003,</w:t>
      </w:r>
      <w:r w:rsidR="004B2896" w:rsidRPr="00324EEB">
        <w:t xml:space="preserve"> and Bhat, 2005).</w:t>
      </w:r>
      <w:r w:rsidR="00736817" w:rsidRPr="00324EEB">
        <w:t xml:space="preserve"> </w:t>
      </w:r>
      <w:r w:rsidR="00E4689A" w:rsidRPr="00324EEB">
        <w:t>This approach is the one of interest in the current paper</w:t>
      </w:r>
      <w:r w:rsidR="00FC2915">
        <w:t xml:space="preserve">, and so will be discussed </w:t>
      </w:r>
      <w:r w:rsidR="00A9452E">
        <w:t>at</w:t>
      </w:r>
      <w:r w:rsidR="00FC2915">
        <w:t xml:space="preserve"> some length here</w:t>
      </w:r>
      <w:r w:rsidR="00E4689A" w:rsidRPr="00324EEB">
        <w:t xml:space="preserve">. </w:t>
      </w:r>
      <w:r w:rsidR="00DD5FCA">
        <w:t>Basically, i</w:t>
      </w:r>
      <w:r w:rsidRPr="00324EEB">
        <w:t xml:space="preserve">n many choice situations, each decision agent may choose multiple alternatives (from the set of available alternatives) horizontally and simultaneously. For example, </w:t>
      </w:r>
      <w:r w:rsidRPr="00324EEB">
        <w:rPr>
          <w:color w:val="000000"/>
        </w:rPr>
        <w:t xml:space="preserve">in the recreational literature, the interest may be on the annual expenditure on fishing trips, and the split of this annual expenditure to different angler sites based on site </w:t>
      </w:r>
      <w:r w:rsidR="00D86BCC" w:rsidRPr="00324EEB">
        <w:rPr>
          <w:color w:val="000000"/>
        </w:rPr>
        <w:t>amenities</w:t>
      </w:r>
      <w:r w:rsidRPr="00324EEB">
        <w:rPr>
          <w:color w:val="000000"/>
        </w:rPr>
        <w:t xml:space="preserve">, </w:t>
      </w:r>
      <w:r w:rsidR="00D86BCC" w:rsidRPr="00324EEB">
        <w:rPr>
          <w:color w:val="000000"/>
        </w:rPr>
        <w:t xml:space="preserve">fish catch rates, fish size, target species, bag </w:t>
      </w:r>
      <w:r w:rsidRPr="00324EEB">
        <w:rPr>
          <w:color w:val="000000"/>
        </w:rPr>
        <w:t xml:space="preserve">costs, </w:t>
      </w:r>
      <w:r w:rsidR="00DD5FCA">
        <w:rPr>
          <w:color w:val="000000"/>
        </w:rPr>
        <w:t xml:space="preserve">trip </w:t>
      </w:r>
      <w:r w:rsidRPr="00324EEB">
        <w:rPr>
          <w:color w:val="000000"/>
        </w:rPr>
        <w:t>distance</w:t>
      </w:r>
      <w:r w:rsidR="00D86BCC" w:rsidRPr="00324EEB">
        <w:rPr>
          <w:color w:val="000000"/>
        </w:rPr>
        <w:t xml:space="preserve">, and </w:t>
      </w:r>
      <w:r w:rsidR="00D86BCC" w:rsidRPr="00324EEB">
        <w:rPr>
          <w:color w:val="000000"/>
        </w:rPr>
        <w:lastRenderedPageBreak/>
        <w:t>angler characteristics</w:t>
      </w:r>
      <w:r w:rsidRPr="00324EEB">
        <w:rPr>
          <w:color w:val="000000"/>
        </w:rPr>
        <w:t>. Similarly, in the transportation field, the focus may be on the time spent in leisure activities over a weekend day and the split of this time across different leisure activity types based on</w:t>
      </w:r>
      <w:r w:rsidR="00D86BCC" w:rsidRPr="00324EEB">
        <w:rPr>
          <w:color w:val="000000"/>
        </w:rPr>
        <w:t xml:space="preserve"> </w:t>
      </w:r>
      <w:r w:rsidRPr="00324EEB">
        <w:rPr>
          <w:color w:val="000000"/>
        </w:rPr>
        <w:t>built environment characteristics, activity participation costs</w:t>
      </w:r>
      <w:r w:rsidR="00D86BCC" w:rsidRPr="00324EEB">
        <w:rPr>
          <w:color w:val="000000"/>
        </w:rPr>
        <w:t>, and individual/household characteristics</w:t>
      </w:r>
      <w:r w:rsidRPr="00324EEB">
        <w:rPr>
          <w:color w:val="000000"/>
        </w:rPr>
        <w:t xml:space="preserve">. </w:t>
      </w:r>
      <w:r w:rsidRPr="00324EEB">
        <w:t>In</w:t>
      </w:r>
      <w:r w:rsidR="00D86BCC" w:rsidRPr="00324EEB">
        <w:t xml:space="preserve"> </w:t>
      </w:r>
      <w:r w:rsidRPr="00324EEB">
        <w:t xml:space="preserve">these choice situations, </w:t>
      </w:r>
      <w:r w:rsidR="00D86BCC" w:rsidRPr="00324EEB">
        <w:t xml:space="preserve">it is only reasonable to assume that </w:t>
      </w:r>
      <w:r w:rsidRPr="00324EEB">
        <w:t xml:space="preserve">satiation </w:t>
      </w:r>
      <w:r w:rsidR="00C22DED" w:rsidRPr="00324EEB">
        <w:t xml:space="preserve">(or variety-seeking) </w:t>
      </w:r>
      <w:r w:rsidRPr="00324EEB">
        <w:t xml:space="preserve">effects set in as the </w:t>
      </w:r>
      <w:r w:rsidR="00D86BCC" w:rsidRPr="00324EEB">
        <w:t xml:space="preserve">intensity of </w:t>
      </w:r>
      <w:r w:rsidRPr="00324EEB">
        <w:t xml:space="preserve">investment </w:t>
      </w:r>
      <w:r w:rsidR="00D86BCC" w:rsidRPr="00324EEB">
        <w:t xml:space="preserve">(of expenditures and times) </w:t>
      </w:r>
      <w:r w:rsidRPr="00324EEB">
        <w:t xml:space="preserve">in any single alternative increases. In other words, </w:t>
      </w:r>
      <w:r w:rsidR="00C22DED" w:rsidRPr="00324EEB">
        <w:t xml:space="preserve">consumers </w:t>
      </w:r>
      <w:r w:rsidR="00F54013" w:rsidRPr="00324EEB">
        <w:t xml:space="preserve">horizontally </w:t>
      </w:r>
      <w:r w:rsidR="00C22DED" w:rsidRPr="00324EEB">
        <w:t>select an assortment of goods due to diminishing marginal effects (that is, satiation or variety-seeking effects)</w:t>
      </w:r>
      <w:r w:rsidR="003A3F71" w:rsidRPr="00324EEB">
        <w:t xml:space="preserve"> </w:t>
      </w:r>
      <w:r w:rsidRPr="00324EEB">
        <w:t xml:space="preserve">for each </w:t>
      </w:r>
      <w:r w:rsidR="003A3F71" w:rsidRPr="00324EEB">
        <w:t>good</w:t>
      </w:r>
      <w:r w:rsidR="00F54013" w:rsidRPr="00324EEB">
        <w:t xml:space="preserve"> rather than as a vertical collection of </w:t>
      </w:r>
      <w:r w:rsidR="00DD5FCA">
        <w:t xml:space="preserve">multiple </w:t>
      </w:r>
      <w:r w:rsidR="00F54013" w:rsidRPr="00324EEB">
        <w:t xml:space="preserve">single choice instances. </w:t>
      </w:r>
      <w:r w:rsidR="00B616ED" w:rsidRPr="00324EEB">
        <w:t>In th</w:t>
      </w:r>
      <w:r w:rsidR="007E631B" w:rsidRPr="00324EEB">
        <w:t>is</w:t>
      </w:r>
      <w:r w:rsidR="00B616ED" w:rsidRPr="00324EEB">
        <w:t xml:space="preserve"> horizontal choice-making behavior approach, </w:t>
      </w:r>
      <w:r w:rsidR="00B616ED" w:rsidRPr="00324EEB">
        <w:rPr>
          <w:color w:val="000000"/>
        </w:rPr>
        <w:t xml:space="preserve">consumers are assumed to maximize a direct utility function </w:t>
      </w:r>
      <w:r w:rsidR="004973B8" w:rsidRPr="00324EEB">
        <w:rPr>
          <w:rFonts w:eastAsia="Calibri"/>
          <w:color w:val="000000"/>
          <w:position w:val="-10"/>
        </w:rPr>
        <w:object w:dxaOrig="552" w:dyaOrig="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3pt;height:15.85pt" o:ole="" o:preferrelative="f">
            <v:imagedata r:id="rId12" o:title=""/>
            <o:lock v:ext="edit" aspectratio="f"/>
          </v:shape>
          <o:OLEObject Type="Embed" ProgID="Equation.3" ShapeID="_x0000_i1025" DrawAspect="Content" ObjectID="_1722089519" r:id="rId13"/>
        </w:object>
      </w:r>
      <w:r w:rsidR="00B616ED" w:rsidRPr="00324EEB">
        <w:rPr>
          <w:color w:val="000000"/>
        </w:rPr>
        <w:t xml:space="preserve">over a set of non-negative consumption quantities </w:t>
      </w:r>
      <w:r w:rsidR="004973B8" w:rsidRPr="00324EEB">
        <w:rPr>
          <w:rFonts w:eastAsia="Calibri"/>
          <w:color w:val="000000"/>
          <w:position w:val="-12"/>
        </w:rPr>
        <w:object w:dxaOrig="1968" w:dyaOrig="372">
          <v:shape id="_x0000_i1026" type="#_x0000_t75" style="width:97.3pt;height:18pt" o:ole="" o:preferrelative="f">
            <v:imagedata r:id="rId14" o:title=""/>
            <o:lock v:ext="edit" aspectratio="f"/>
          </v:shape>
          <o:OLEObject Type="Embed" ProgID="Equation.3" ShapeID="_x0000_i1026" DrawAspect="Content" ObjectID="_1722089520" r:id="rId15"/>
        </w:object>
      </w:r>
      <w:r w:rsidR="00B616ED" w:rsidRPr="00324EEB">
        <w:rPr>
          <w:color w:val="000000"/>
        </w:rPr>
        <w:t xml:space="preserve"> subject to a budget constraint, as below:</w:t>
      </w:r>
    </w:p>
    <w:p w:rsidR="00B616ED" w:rsidRPr="00324EEB" w:rsidRDefault="00B616ED" w:rsidP="000C44EE">
      <w:pPr>
        <w:tabs>
          <w:tab w:val="right" w:pos="9360"/>
        </w:tabs>
        <w:spacing w:before="120" w:after="120" w:line="276" w:lineRule="auto"/>
        <w:jc w:val="both"/>
        <w:rPr>
          <w:color w:val="000000"/>
        </w:rPr>
      </w:pPr>
      <w:r w:rsidRPr="00324EEB">
        <w:rPr>
          <w:i/>
          <w:iCs/>
          <w:color w:val="000000"/>
        </w:rPr>
        <w:t xml:space="preserve">Max </w:t>
      </w:r>
      <w:r w:rsidR="004973B8" w:rsidRPr="00324EEB">
        <w:rPr>
          <w:rFonts w:eastAsia="Calibri"/>
          <w:color w:val="000000"/>
          <w:position w:val="-10"/>
        </w:rPr>
        <w:object w:dxaOrig="552" w:dyaOrig="312">
          <v:shape id="_x0000_i1027" type="#_x0000_t75" style="width:28.3pt;height:15.85pt" o:ole="" o:preferrelative="f">
            <v:imagedata r:id="rId12" o:title=""/>
            <o:lock v:ext="edit" aspectratio="f"/>
          </v:shape>
          <o:OLEObject Type="Embed" ProgID="Equation.3" ShapeID="_x0000_i1027" DrawAspect="Content" ObjectID="_1722089521" r:id="rId16"/>
        </w:object>
      </w:r>
      <w:r w:rsidRPr="00324EEB">
        <w:rPr>
          <w:color w:val="000000"/>
        </w:rPr>
        <w:t xml:space="preserve">such that </w:t>
      </w:r>
      <w:r w:rsidR="004973B8" w:rsidRPr="00324EEB">
        <w:rPr>
          <w:rFonts w:eastAsia="Calibri"/>
          <w:color w:val="000000"/>
          <w:position w:val="-10"/>
        </w:rPr>
        <w:object w:dxaOrig="756" w:dyaOrig="312">
          <v:shape id="_x0000_i1028" type="#_x0000_t75" style="width:39pt;height:15.85pt" o:ole="" o:preferrelative="f">
            <v:imagedata r:id="rId17" o:title=""/>
            <o:lock v:ext="edit" aspectratio="f"/>
          </v:shape>
          <o:OLEObject Type="Embed" ProgID="Equation.3" ShapeID="_x0000_i1028" DrawAspect="Content" ObjectID="_1722089522" r:id="rId18"/>
        </w:object>
      </w:r>
      <w:r w:rsidRPr="00324EEB">
        <w:rPr>
          <w:color w:val="000000"/>
        </w:rPr>
        <w:t xml:space="preserve"> and </w:t>
      </w:r>
      <w:r w:rsidR="004973B8" w:rsidRPr="00324EEB">
        <w:rPr>
          <w:rFonts w:eastAsia="Calibri"/>
          <w:i/>
          <w:color w:val="000000"/>
          <w:position w:val="-12"/>
        </w:rPr>
        <w:object w:dxaOrig="612" w:dyaOrig="372">
          <v:shape id="_x0000_i1029" type="#_x0000_t75" style="width:31.7pt;height:18pt" o:ole="" o:preferrelative="f">
            <v:imagedata r:id="rId19" o:title=""/>
            <o:lock v:ext="edit" aspectratio="f"/>
          </v:shape>
          <o:OLEObject Type="Embed" ProgID="Equation.3" ShapeID="_x0000_i1029" DrawAspect="Content" ObjectID="_1722089523" r:id="rId20"/>
        </w:object>
      </w:r>
      <w:r w:rsidR="004A2A32" w:rsidRPr="004A2A32">
        <w:rPr>
          <w:rFonts w:eastAsia="Calibri"/>
          <w:color w:val="000000"/>
        </w:rPr>
        <w:t>,</w:t>
      </w:r>
      <w:r w:rsidR="000C44EE">
        <w:rPr>
          <w:color w:val="000000"/>
          <w:position w:val="-12"/>
        </w:rPr>
        <w:tab/>
      </w:r>
      <w:r w:rsidRPr="00324EEB">
        <w:rPr>
          <w:color w:val="000000"/>
        </w:rPr>
        <w:t>(1)</w:t>
      </w:r>
    </w:p>
    <w:p w:rsidR="00385976" w:rsidRDefault="00B616ED" w:rsidP="00324EEB">
      <w:pPr>
        <w:spacing w:line="276" w:lineRule="auto"/>
        <w:jc w:val="both"/>
      </w:pPr>
      <w:r w:rsidRPr="00324EEB">
        <w:rPr>
          <w:color w:val="000000"/>
        </w:rPr>
        <w:t xml:space="preserve">where </w:t>
      </w:r>
      <w:r w:rsidR="004973B8" w:rsidRPr="00324EEB">
        <w:rPr>
          <w:rFonts w:eastAsia="Calibri"/>
          <w:color w:val="000000"/>
          <w:position w:val="-10"/>
        </w:rPr>
        <w:object w:dxaOrig="552" w:dyaOrig="312">
          <v:shape id="_x0000_i1030" type="#_x0000_t75" style="width:28.3pt;height:15.85pt" o:ole="" o:preferrelative="f">
            <v:imagedata r:id="rId12" o:title=""/>
            <o:lock v:ext="edit" aspectratio="f"/>
          </v:shape>
          <o:OLEObject Type="Embed" ProgID="Equation.3" ShapeID="_x0000_i1030" DrawAspect="Content" ObjectID="_1722089524" r:id="rId21"/>
        </w:object>
      </w:r>
      <w:r w:rsidR="00F7350D">
        <w:rPr>
          <w:rFonts w:eastAsia="Calibri"/>
          <w:color w:val="000000"/>
        </w:rPr>
        <w:t xml:space="preserve"> </w:t>
      </w:r>
      <w:r w:rsidRPr="00324EEB">
        <w:rPr>
          <w:color w:val="000000"/>
        </w:rPr>
        <w:t xml:space="preserve">is a quasi-concave, increasing and continuously differentiable </w:t>
      </w:r>
      <w:r w:rsidR="00EE6BED" w:rsidRPr="00324EEB">
        <w:rPr>
          <w:color w:val="000000"/>
        </w:rPr>
        <w:t xml:space="preserve">non-linear </w:t>
      </w:r>
      <w:r w:rsidRPr="00324EEB">
        <w:rPr>
          <w:color w:val="000000"/>
        </w:rPr>
        <w:t>utility function with respect to the consumption quantity vector,</w:t>
      </w:r>
      <w:r w:rsidR="004973B8">
        <w:rPr>
          <w:color w:val="000000"/>
        </w:rPr>
        <w:t xml:space="preserve"> </w:t>
      </w:r>
      <w:r w:rsidR="004973B8" w:rsidRPr="004973B8">
        <w:rPr>
          <w:b/>
          <w:color w:val="000000"/>
        </w:rPr>
        <w:t>p</w:t>
      </w:r>
      <w:r w:rsidR="00A9452E">
        <w:rPr>
          <w:rFonts w:eastAsia="Calibri"/>
          <w:b/>
          <w:i/>
          <w:color w:val="000000"/>
        </w:rPr>
        <w:t xml:space="preserve"> </w:t>
      </w:r>
      <w:r w:rsidRPr="00324EEB">
        <w:rPr>
          <w:color w:val="000000"/>
        </w:rPr>
        <w:t xml:space="preserve">is the vector of unit prices for all goods, and </w:t>
      </w:r>
      <w:r w:rsidRPr="00324EEB">
        <w:rPr>
          <w:i/>
          <w:color w:val="000000"/>
        </w:rPr>
        <w:t>E</w:t>
      </w:r>
      <w:r w:rsidRPr="00324EEB">
        <w:rPr>
          <w:color w:val="000000"/>
        </w:rPr>
        <w:t xml:space="preserve"> is the total expenditure (or income).</w:t>
      </w:r>
      <w:r w:rsidR="003C1C5F" w:rsidRPr="00324EEB">
        <w:rPr>
          <w:rStyle w:val="FootnoteReference"/>
          <w:color w:val="000000"/>
        </w:rPr>
        <w:t xml:space="preserve"> </w:t>
      </w:r>
      <w:r w:rsidR="00D204CA" w:rsidRPr="00324EEB">
        <w:t>Again, it is common to use an incomplete demand system, typically in the form of the use of a Hicksian composite commodity</w:t>
      </w:r>
      <w:r w:rsidR="00DD5FCA">
        <w:t xml:space="preserve"> approach</w:t>
      </w:r>
      <w:r w:rsidR="00D204CA" w:rsidRPr="00324EEB">
        <w:t xml:space="preserve"> in which the analyst assumes that the prices of elementary goods within each broad product group of consumption items vary proportionally. </w:t>
      </w:r>
      <w:r w:rsidR="00385976">
        <w:t>This Hicksian composite group approach is discussed more in the next section.</w:t>
      </w:r>
    </w:p>
    <w:p w:rsidR="00385976" w:rsidRDefault="00385976" w:rsidP="00324EEB">
      <w:pPr>
        <w:spacing w:line="276" w:lineRule="auto"/>
        <w:jc w:val="both"/>
      </w:pPr>
    </w:p>
    <w:p w:rsidR="00F14D05" w:rsidRPr="00F7350D" w:rsidRDefault="00F14D05" w:rsidP="00385976">
      <w:pPr>
        <w:numPr>
          <w:ilvl w:val="1"/>
          <w:numId w:val="6"/>
        </w:numPr>
        <w:autoSpaceDE w:val="0"/>
        <w:autoSpaceDN w:val="0"/>
        <w:adjustRightInd w:val="0"/>
        <w:spacing w:line="276" w:lineRule="auto"/>
        <w:jc w:val="both"/>
        <w:rPr>
          <w:b/>
          <w:color w:val="000000"/>
        </w:rPr>
      </w:pPr>
      <w:r w:rsidRPr="00F7350D">
        <w:rPr>
          <w:b/>
          <w:color w:val="000000"/>
        </w:rPr>
        <w:t>The Hicksian Composite Group Approach</w:t>
      </w:r>
    </w:p>
    <w:p w:rsidR="00F439FB" w:rsidRPr="00324EEB" w:rsidRDefault="00385976" w:rsidP="007422BF">
      <w:pPr>
        <w:spacing w:line="276" w:lineRule="auto"/>
        <w:jc w:val="both"/>
      </w:pPr>
      <w:r>
        <w:t xml:space="preserve">The Hicksian approach works by </w:t>
      </w:r>
      <w:r w:rsidRPr="00324EEB">
        <w:t>replac</w:t>
      </w:r>
      <w:r>
        <w:t xml:space="preserve">ing </w:t>
      </w:r>
      <w:r w:rsidRPr="00324EEB">
        <w:t>all the elementary alternatives within each broad group (that is not of primary interest) by a single composite alternative representing the broad group. The analysis proceeds by considering the composite goods as “outside” goods and considering consumption in these outside goods as well as the “inside” goods representing the product group of main interest to the analyst. It is common in practice in this Hicksian approach to include a single outside good (considered essential in that there is some positive consumption of this essential good) with the inside goods (</w:t>
      </w:r>
      <w:r w:rsidRPr="007367AA">
        <w:t>see von Haefen, 2010).</w:t>
      </w:r>
      <w:r w:rsidRPr="00324EEB">
        <w:t xml:space="preserve">  </w:t>
      </w:r>
      <w:r w:rsidRPr="00324EEB">
        <w:rPr>
          <w:color w:val="000000"/>
        </w:rPr>
        <w:t xml:space="preserve">Generally, the outside good is treated as a numeraire with unit price, implying that the prices and characteristics of all goods grouped into the outside category do not influence the expenditure allocation among the inside goods (see Deaton and Muellbauer, 1980). The outside good allows for the overall demand for the inside goods to change due to changes in prices and other influential factors of the inside goods. </w:t>
      </w:r>
      <w:r>
        <w:rPr>
          <w:color w:val="000000"/>
        </w:rPr>
        <w:t>In this way, the Hicksian approach may be viewed a</w:t>
      </w:r>
      <w:r w:rsidR="00FF5DB0">
        <w:rPr>
          <w:color w:val="000000"/>
        </w:rPr>
        <w:t xml:space="preserve">s a </w:t>
      </w:r>
      <w:r w:rsidR="00FF5DB0" w:rsidRPr="00324EEB">
        <w:t>single stage utility-theoretic approach</w:t>
      </w:r>
      <w:r w:rsidR="00FF5DB0">
        <w:t>, where changes in the price (or other attribute) of a</w:t>
      </w:r>
      <w:r w:rsidR="00DD5FCA">
        <w:t xml:space="preserve">ny </w:t>
      </w:r>
      <w:r w:rsidR="00FF5DB0">
        <w:t xml:space="preserve">inside good lead to reallocations between the outside good and the many inside goods. </w:t>
      </w:r>
      <w:r w:rsidR="00C02B52">
        <w:t xml:space="preserve">Typically, within this Hicksian approach, a direct utility approach is taken to </w:t>
      </w:r>
      <w:r w:rsidR="00C02B52" w:rsidRPr="00324EEB">
        <w:rPr>
          <w:color w:val="000000"/>
        </w:rPr>
        <w:t>solving the constrained utility maximization problem</w:t>
      </w:r>
      <w:r w:rsidR="00C02B52">
        <w:rPr>
          <w:color w:val="000000"/>
        </w:rPr>
        <w:t xml:space="preserve"> of Equation (</w:t>
      </w:r>
      <w:r w:rsidR="00DD5FCA">
        <w:rPr>
          <w:color w:val="000000"/>
        </w:rPr>
        <w:t>1</w:t>
      </w:r>
      <w:r w:rsidR="00C02B52">
        <w:rPr>
          <w:color w:val="000000"/>
        </w:rPr>
        <w:t xml:space="preserve">), in which </w:t>
      </w:r>
      <w:r w:rsidR="00C02B52" w:rsidRPr="00324EEB">
        <w:rPr>
          <w:color w:val="000000"/>
        </w:rPr>
        <w:t xml:space="preserve">the utility function </w:t>
      </w:r>
      <w:r w:rsidR="0030729D" w:rsidRPr="00324EEB">
        <w:rPr>
          <w:rFonts w:eastAsia="Calibri"/>
          <w:color w:val="000000"/>
          <w:position w:val="-10"/>
        </w:rPr>
        <w:object w:dxaOrig="552" w:dyaOrig="312">
          <v:shape id="_x0000_i1031" type="#_x0000_t75" style="width:28.3pt;height:15.85pt" o:ole="" o:preferrelative="f">
            <v:imagedata r:id="rId12" o:title=""/>
            <o:lock v:ext="edit" aspectratio="f"/>
          </v:shape>
          <o:OLEObject Type="Embed" ProgID="Equation.3" ShapeID="_x0000_i1031" DrawAspect="Content" ObjectID="_1722089525" r:id="rId22"/>
        </w:object>
      </w:r>
      <w:r w:rsidR="00C02B52" w:rsidRPr="00324EEB">
        <w:rPr>
          <w:noProof/>
          <w:color w:val="000000"/>
          <w:position w:val="-10"/>
        </w:rPr>
        <w:t xml:space="preserve"> </w:t>
      </w:r>
      <w:r w:rsidR="00C02B52">
        <w:rPr>
          <w:color w:val="000000"/>
        </w:rPr>
        <w:t>is considered t</w:t>
      </w:r>
      <w:r w:rsidR="00C02B52" w:rsidRPr="00324EEB">
        <w:rPr>
          <w:color w:val="000000"/>
        </w:rPr>
        <w:t>o be random over the population</w:t>
      </w:r>
      <w:r w:rsidR="00C02B52">
        <w:rPr>
          <w:color w:val="000000"/>
        </w:rPr>
        <w:t>. T</w:t>
      </w:r>
      <w:r w:rsidR="00C02B52" w:rsidRPr="00324EEB">
        <w:rPr>
          <w:color w:val="000000"/>
        </w:rPr>
        <w:t>hen</w:t>
      </w:r>
      <w:r w:rsidR="00C02B52">
        <w:rPr>
          <w:color w:val="000000"/>
        </w:rPr>
        <w:t>,</w:t>
      </w:r>
      <w:r w:rsidR="00C02B52" w:rsidRPr="00324EEB">
        <w:rPr>
          <w:color w:val="000000"/>
        </w:rPr>
        <w:t xml:space="preserve"> apply</w:t>
      </w:r>
      <w:r w:rsidR="00C02B52">
        <w:rPr>
          <w:color w:val="000000"/>
        </w:rPr>
        <w:t>ing</w:t>
      </w:r>
      <w:r w:rsidR="00C02B52" w:rsidRPr="00324EEB">
        <w:rPr>
          <w:color w:val="000000"/>
        </w:rPr>
        <w:t xml:space="preserve"> the Karush-Kuhn-Tucker (KKT) first-order</w:t>
      </w:r>
      <w:r w:rsidR="00F7350D">
        <w:rPr>
          <w:color w:val="000000"/>
        </w:rPr>
        <w:t xml:space="preserve"> </w:t>
      </w:r>
      <w:r w:rsidR="00C02B52" w:rsidRPr="00324EEB">
        <w:rPr>
          <w:color w:val="000000"/>
        </w:rPr>
        <w:t xml:space="preserve">conditions, </w:t>
      </w:r>
      <w:r w:rsidR="00C02B52">
        <w:rPr>
          <w:color w:val="000000"/>
        </w:rPr>
        <w:t xml:space="preserve">one can </w:t>
      </w:r>
      <w:r w:rsidR="00C02B52" w:rsidRPr="00324EEB">
        <w:rPr>
          <w:color w:val="000000"/>
        </w:rPr>
        <w:t>deriv</w:t>
      </w:r>
      <w:r w:rsidR="00C02B52">
        <w:rPr>
          <w:color w:val="000000"/>
        </w:rPr>
        <w:t>e</w:t>
      </w:r>
      <w:r w:rsidR="00C02B52" w:rsidRPr="00324EEB">
        <w:rPr>
          <w:color w:val="000000"/>
        </w:rPr>
        <w:t xml:space="preserve"> </w:t>
      </w:r>
      <w:r w:rsidR="00C02B52">
        <w:rPr>
          <w:color w:val="000000"/>
        </w:rPr>
        <w:t xml:space="preserve">the </w:t>
      </w:r>
      <w:r w:rsidR="00C02B52" w:rsidRPr="00324EEB">
        <w:rPr>
          <w:color w:val="000000"/>
        </w:rPr>
        <w:lastRenderedPageBreak/>
        <w:t xml:space="preserve">probabilities for </w:t>
      </w:r>
      <w:r w:rsidR="00C02B52">
        <w:rPr>
          <w:color w:val="000000"/>
        </w:rPr>
        <w:t xml:space="preserve">any </w:t>
      </w:r>
      <w:r w:rsidR="00C02B52" w:rsidRPr="00324EEB">
        <w:rPr>
          <w:color w:val="000000"/>
        </w:rPr>
        <w:t xml:space="preserve">consumption pattern (including corner solutions; see </w:t>
      </w:r>
      <w:r w:rsidR="00C02B52" w:rsidRPr="00324EEB">
        <w:t xml:space="preserve">Wales and Woodland, 1983, Kim et al., 2002, von Haefen and Phaneuf, 2003, and Bhat, 2005). </w:t>
      </w:r>
    </w:p>
    <w:p w:rsidR="00F439FB" w:rsidRPr="00263EBE" w:rsidRDefault="00385976" w:rsidP="007422BF">
      <w:pPr>
        <w:spacing w:line="276" w:lineRule="auto"/>
        <w:ind w:firstLine="720"/>
        <w:jc w:val="both"/>
      </w:pPr>
      <w:r>
        <w:t xml:space="preserve">Within the </w:t>
      </w:r>
      <w:r w:rsidR="00C02B52">
        <w:t xml:space="preserve">Hicksian </w:t>
      </w:r>
      <w:r>
        <w:t>direct utility approach, a</w:t>
      </w:r>
      <w:r w:rsidR="00F439FB" w:rsidRPr="00324EEB">
        <w:t xml:space="preserve"> number of different utility forms for </w:t>
      </w:r>
      <w:r w:rsidR="00AA0BE1" w:rsidRPr="00324EEB">
        <w:rPr>
          <w:rFonts w:eastAsia="Calibri"/>
          <w:color w:val="000000"/>
          <w:position w:val="-10"/>
        </w:rPr>
        <w:object w:dxaOrig="552" w:dyaOrig="312">
          <v:shape id="_x0000_i1032" type="#_x0000_t75" style="width:28.3pt;height:15.85pt" o:ole="" o:preferrelative="f">
            <v:imagedata r:id="rId12" o:title=""/>
            <o:lock v:ext="edit" aspectratio="f"/>
          </v:shape>
          <o:OLEObject Type="Embed" ProgID="Equation.3" ShapeID="_x0000_i1032" DrawAspect="Content" ObjectID="_1722089526" r:id="rId23"/>
        </w:object>
      </w:r>
      <w:r w:rsidR="00F7350D">
        <w:rPr>
          <w:rFonts w:eastAsia="Calibri"/>
          <w:color w:val="000000"/>
        </w:rPr>
        <w:t xml:space="preserve"> </w:t>
      </w:r>
      <w:r w:rsidR="00F439FB" w:rsidRPr="00324EEB">
        <w:t>have been used in the literature for the MDC case. Most of these assume additive separability of preferences in the utility form (but see Vasquez-Lavin and Hanemann</w:t>
      </w:r>
      <w:r w:rsidR="005815CC">
        <w:t xml:space="preserve">, </w:t>
      </w:r>
      <w:r w:rsidR="00F439FB" w:rsidRPr="00324EEB">
        <w:t xml:space="preserve">2008 and </w:t>
      </w:r>
      <w:r w:rsidR="00F439FB" w:rsidRPr="007367AA">
        <w:t>Bhat et al.</w:t>
      </w:r>
      <w:r w:rsidR="005815CC" w:rsidRPr="007367AA">
        <w:t xml:space="preserve">, </w:t>
      </w:r>
      <w:r w:rsidR="00F439FB" w:rsidRPr="007367AA">
        <w:t>2015</w:t>
      </w:r>
      <w:r w:rsidR="005815CC" w:rsidRPr="007367AA">
        <w:t>b</w:t>
      </w:r>
      <w:r w:rsidR="00F439FB" w:rsidRPr="007367AA">
        <w:t xml:space="preserve"> for relaxations of this assumption). Bhat (2008) proposed a Box-Cox utility function form for the inside good utilities </w:t>
      </w:r>
      <w:r w:rsidR="001022A7" w:rsidRPr="007367AA">
        <w:t>and a non-l</w:t>
      </w:r>
      <w:r w:rsidR="001022A7" w:rsidRPr="00324EEB">
        <w:t xml:space="preserve">inear utility form for the outside good utility </w:t>
      </w:r>
      <w:r w:rsidR="00F439FB" w:rsidRPr="00324EEB">
        <w:t xml:space="preserve">that is quite general and subsumes earlier utility specifications as special cases, and that is consistent with the notion of weak complementarity (Mäler, 1974), which implies that the consumer receives no utility from a non-essential good’s attributes if she/he does not consume it. Then, if a multiplicative log-extreme value error term is superimposed to accommodate unobserved heterogeneity in the baseline </w:t>
      </w:r>
      <w:r w:rsidR="0053220B" w:rsidRPr="00324EEB">
        <w:t xml:space="preserve">utility </w:t>
      </w:r>
      <w:r w:rsidR="00F439FB" w:rsidRPr="00324EEB">
        <w:t>preference for each alternative, the result is the MDCEV model, which has a closed-form probability expression and collapses to the MNL in the case that each (and every) decision-maker chooses only one alternative. Alternative error term specifications</w:t>
      </w:r>
      <w:r w:rsidR="0053220B" w:rsidRPr="00324EEB">
        <w:t xml:space="preserve"> in the bas</w:t>
      </w:r>
      <w:r w:rsidR="007F3766">
        <w:t>e</w:t>
      </w:r>
      <w:r w:rsidR="0053220B" w:rsidRPr="00324EEB">
        <w:t>line utility preference</w:t>
      </w:r>
      <w:r w:rsidR="00F439FB" w:rsidRPr="00324EEB">
        <w:t xml:space="preserve"> have also been used, leading to the MDC probit (MDCP) model and </w:t>
      </w:r>
      <w:r w:rsidR="001022A7" w:rsidRPr="00324EEB">
        <w:t xml:space="preserve">finite mixture MDCP models (for example, </w:t>
      </w:r>
      <w:r w:rsidR="00DD5FCA">
        <w:t xml:space="preserve">Bhat et al., 2013, </w:t>
      </w:r>
      <w:r w:rsidR="001022A7" w:rsidRPr="00324EEB">
        <w:t>Bhat et al</w:t>
      </w:r>
      <w:r w:rsidR="00F7350D">
        <w:t>.</w:t>
      </w:r>
      <w:r w:rsidR="00DD5FCA">
        <w:t xml:space="preserve"> 2016</w:t>
      </w:r>
      <w:r w:rsidR="002C68BE">
        <w:t xml:space="preserve">, </w:t>
      </w:r>
      <w:r w:rsidR="002C68BE" w:rsidRPr="00263EBE">
        <w:t>and Saxena et al., 2022b</w:t>
      </w:r>
      <w:r w:rsidR="001022A7" w:rsidRPr="00263EBE">
        <w:t xml:space="preserve">). </w:t>
      </w:r>
    </w:p>
    <w:p w:rsidR="00B2529F" w:rsidRDefault="00C02B52" w:rsidP="007422BF">
      <w:pPr>
        <w:spacing w:line="276" w:lineRule="auto"/>
        <w:ind w:firstLine="720"/>
        <w:jc w:val="both"/>
      </w:pPr>
      <w:r w:rsidRPr="00263EBE">
        <w:t>Regardless of the error distribution</w:t>
      </w:r>
      <w:r>
        <w:t xml:space="preserve"> assumption made, the application of the Hicksian composite approach with non-linear utility forms for the inside and outside goods necessarily requires the budget </w:t>
      </w:r>
      <w:r w:rsidRPr="00C02B52">
        <w:rPr>
          <w:i/>
        </w:rPr>
        <w:t>E</w:t>
      </w:r>
      <w:r>
        <w:t xml:space="preserve"> to be observed. </w:t>
      </w:r>
      <w:r w:rsidR="00F439FB" w:rsidRPr="00324EEB">
        <w:t xml:space="preserve">In recent years, a variant of </w:t>
      </w:r>
      <w:r w:rsidR="001022A7" w:rsidRPr="00324EEB">
        <w:t xml:space="preserve">Bhat’s (2008) utility form has received increasing attention (Bhat, 2018, Bhat et al., 2020, </w:t>
      </w:r>
      <w:r w:rsidR="007132B0" w:rsidRPr="00324EEB">
        <w:t xml:space="preserve">and </w:t>
      </w:r>
      <w:r w:rsidR="001022A7" w:rsidRPr="00324EEB">
        <w:t>Saxena et al., 202</w:t>
      </w:r>
      <w:r w:rsidR="007132B0" w:rsidRPr="00324EEB">
        <w:t>2</w:t>
      </w:r>
      <w:r w:rsidR="002C68BE">
        <w:t>a</w:t>
      </w:r>
      <w:r w:rsidR="001022A7" w:rsidRPr="00324EEB">
        <w:t>)</w:t>
      </w:r>
      <w:r w:rsidR="00F439FB" w:rsidRPr="00324EEB">
        <w:t xml:space="preserve">, based on employing a linear utility structure for </w:t>
      </w:r>
      <w:r w:rsidR="001022A7" w:rsidRPr="00324EEB">
        <w:t xml:space="preserve">the </w:t>
      </w:r>
      <w:r w:rsidR="00F439FB" w:rsidRPr="00324EEB">
        <w:t>outside good</w:t>
      </w:r>
      <w:r w:rsidR="0053220B" w:rsidRPr="00324EEB">
        <w:t xml:space="preserve">. </w:t>
      </w:r>
      <w:r w:rsidR="00F439FB" w:rsidRPr="00324EEB">
        <w:t xml:space="preserve">Such a </w:t>
      </w:r>
      <w:r w:rsidR="0053220B" w:rsidRPr="00324EEB">
        <w:t xml:space="preserve">linear outside good utility </w:t>
      </w:r>
      <w:r w:rsidR="00F439FB" w:rsidRPr="00324EEB">
        <w:t xml:space="preserve">structure has the advantage of not needing </w:t>
      </w:r>
      <w:r>
        <w:t xml:space="preserve">observation of </w:t>
      </w:r>
      <w:r w:rsidR="00F439FB" w:rsidRPr="00324EEB">
        <w:t>the budget quantity, which indeed may be unobserved in many situations</w:t>
      </w:r>
      <w:r w:rsidR="008D2CBA">
        <w:t>.</w:t>
      </w:r>
      <w:r w:rsidR="008D2CBA">
        <w:rPr>
          <w:rStyle w:val="FootnoteReference"/>
        </w:rPr>
        <w:footnoteReference w:id="1"/>
      </w:r>
      <w:r w:rsidR="008D2CBA">
        <w:t xml:space="preserve"> </w:t>
      </w:r>
      <w:r w:rsidR="00F439FB" w:rsidRPr="00324EEB">
        <w:t xml:space="preserve"> </w:t>
      </w:r>
      <w:r w:rsidR="007132B0" w:rsidRPr="00324EEB">
        <w:t xml:space="preserve">This utility variant also will generally provide better discrete component predictions than the traditional </w:t>
      </w:r>
      <w:r w:rsidR="004211A3">
        <w:t xml:space="preserve">non-linear outside good </w:t>
      </w:r>
      <w:r w:rsidR="007132B0" w:rsidRPr="00324EEB">
        <w:t>utility form, especially when the outside good takes up a substantial share of the continuous consumption.</w:t>
      </w:r>
      <w:r w:rsidR="00F62F4D">
        <w:rPr>
          <w:rStyle w:val="FootnoteReference"/>
        </w:rPr>
        <w:footnoteReference w:id="2"/>
      </w:r>
      <w:r w:rsidR="00F62F4D" w:rsidRPr="00324EEB">
        <w:t xml:space="preserve"> </w:t>
      </w:r>
      <w:r w:rsidR="007132B0" w:rsidRPr="00324EEB">
        <w:t xml:space="preserve">However, </w:t>
      </w:r>
      <w:r w:rsidR="00F439FB" w:rsidRPr="00324EEB">
        <w:t>as indicated in Saxena et al. (202</w:t>
      </w:r>
      <w:r w:rsidR="002C68BE">
        <w:t>2a</w:t>
      </w:r>
      <w:r w:rsidR="00F439FB" w:rsidRPr="00324EEB">
        <w:t xml:space="preserve">), </w:t>
      </w:r>
      <w:r w:rsidR="007132B0" w:rsidRPr="00324EEB">
        <w:t xml:space="preserve">this </w:t>
      </w:r>
      <w:r w:rsidR="00A9452E">
        <w:t xml:space="preserve">linear outside good utility form </w:t>
      </w:r>
      <w:r w:rsidR="00F439FB" w:rsidRPr="00324EEB">
        <w:t>may not work well in terms of data fit and prediction ability when the overall budget amount, even if unobserved, is known to be</w:t>
      </w:r>
      <w:r w:rsidR="008630C8">
        <w:t xml:space="preserve"> non-infinite</w:t>
      </w:r>
      <w:r w:rsidR="007132B0" w:rsidRPr="00324EEB">
        <w:t xml:space="preserve"> and the outside good takes up only a small share of the continuous consumption</w:t>
      </w:r>
      <w:r w:rsidR="00F439FB" w:rsidRPr="00324EEB">
        <w:t xml:space="preserve">. The reason is that the formulation, while ensuring the positivity of consumptions of the inside goods (that may or may not be consumed), does not guarantee, within the model formulation and estimation itself, the positivity of the consumption of the essential outside good. </w:t>
      </w:r>
      <w:r w:rsidR="00F439FB" w:rsidRPr="00324EEB">
        <w:lastRenderedPageBreak/>
        <w:t xml:space="preserve">In </w:t>
      </w:r>
      <w:r w:rsidR="0053220B" w:rsidRPr="00324EEB">
        <w:t xml:space="preserve">a recent paper, Bhat et al. (2022) address this situation by making a truncation correction to ensure positivity of the outside good consumption in estimation when the budget is known or a finite limit can be placed to the budget even if unknown. This improves the accuracy of model parameter estimation and the resulting predictions. </w:t>
      </w:r>
      <w:r w:rsidR="00E15100" w:rsidRPr="00324EEB">
        <w:t>There are, however, t</w:t>
      </w:r>
      <w:r w:rsidR="006E1183">
        <w:t>wo</w:t>
      </w:r>
      <w:r w:rsidR="00E15100" w:rsidRPr="00324EEB">
        <w:t xml:space="preserve"> problems with th</w:t>
      </w:r>
      <w:r w:rsidR="00586A6E" w:rsidRPr="00324EEB">
        <w:t xml:space="preserve">is study. First, the overall budget needs to be known or needs to be set. In some cases, the ceiling on the budget may be known, such as the number of hours in a day in a time-use model. But this is not always the case, and ad hoc assumptions will need to be made. Second, the </w:t>
      </w:r>
      <w:r w:rsidR="00E53B18">
        <w:t>study</w:t>
      </w:r>
      <w:r w:rsidR="004211A3">
        <w:t xml:space="preserve">, because it is </w:t>
      </w:r>
      <w:r w:rsidR="00586A6E" w:rsidRPr="00324EEB">
        <w:t xml:space="preserve">based on a Hicksian composite good approach, </w:t>
      </w:r>
      <w:r w:rsidR="00E15100" w:rsidRPr="00324EEB">
        <w:t xml:space="preserve">does not expressly consider potential exogenous variable effects on an overall budget that can then impact individual good consumptions. </w:t>
      </w:r>
      <w:r w:rsidR="00B2529F" w:rsidRPr="00324EEB">
        <w:t>Th</w:t>
      </w:r>
      <w:r w:rsidR="006E1183">
        <w:t xml:space="preserve">at is, </w:t>
      </w:r>
      <w:r w:rsidR="00E15100" w:rsidRPr="00324EEB">
        <w:t>by defining the goods of interest as inside goods, changes in exogenous variables directly impact the consumptions of these inside goods (even if the true effect is an indirect impact through budget changes), co-mingling strict budget effects</w:t>
      </w:r>
      <w:r w:rsidR="00586A6E" w:rsidRPr="00324EEB">
        <w:t xml:space="preserve"> (that is, income effects)</w:t>
      </w:r>
      <w:r w:rsidR="00E15100" w:rsidRPr="00324EEB">
        <w:t xml:space="preserve"> and strict allocation effects</w:t>
      </w:r>
      <w:r w:rsidR="00586A6E" w:rsidRPr="00324EEB">
        <w:t xml:space="preserve"> (that is, substitution effects)</w:t>
      </w:r>
      <w:r w:rsidR="00E15100" w:rsidRPr="00324EEB">
        <w:t xml:space="preserve">. </w:t>
      </w:r>
      <w:r w:rsidR="00586A6E" w:rsidRPr="00324EEB">
        <w:t>For example, consider the case of a price decrease of a particular inside good. This will have a substitution effect in terms of a draw away from other inside goods to the good whose price was lowered. However, the overall consumption on the product group (that comprises all the inside goods) may also increase because the overall group price index has now dropped, leading to an increase in the consumption of each inside good because of an income effect. The net effect on consumption of the inside goods will be a combination of the income and substitution effects, which is not handled by the Hicksian composite good approac</w:t>
      </w:r>
      <w:r w:rsidR="00B2529F" w:rsidRPr="00324EEB">
        <w:t>h.</w:t>
      </w:r>
      <w:r w:rsidR="007422BF">
        <w:rPr>
          <w:rStyle w:val="FootnoteReference"/>
        </w:rPr>
        <w:footnoteReference w:id="3"/>
      </w:r>
      <w:r w:rsidR="00B2529F" w:rsidRPr="00324EEB">
        <w:t xml:space="preserve"> As stated by Bhat et al. (202</w:t>
      </w:r>
      <w:r w:rsidR="00E10758">
        <w:t>0</w:t>
      </w:r>
      <w:r w:rsidR="00B2529F" w:rsidRPr="00324EEB">
        <w:t>), “a</w:t>
      </w:r>
      <w:r w:rsidR="00E15100" w:rsidRPr="00324EEB">
        <w:t>pproaches to handle both an endogenous budget as well as consumption quantities separately but within a single unifying utility-theoretic framework have been elusive; additional investigations in this area are certainly an important direction for further research.</w:t>
      </w:r>
      <w:r w:rsidR="00B2529F" w:rsidRPr="00324EEB">
        <w:t>”</w:t>
      </w:r>
    </w:p>
    <w:p w:rsidR="004973B8" w:rsidRDefault="004973B8" w:rsidP="007422BF">
      <w:pPr>
        <w:spacing w:line="276" w:lineRule="auto"/>
        <w:ind w:firstLine="720"/>
        <w:jc w:val="both"/>
      </w:pPr>
    </w:p>
    <w:p w:rsidR="004211A3" w:rsidRPr="007422BF" w:rsidRDefault="004211A3" w:rsidP="004973B8">
      <w:pPr>
        <w:numPr>
          <w:ilvl w:val="1"/>
          <w:numId w:val="6"/>
        </w:numPr>
        <w:spacing w:line="276" w:lineRule="auto"/>
        <w:jc w:val="both"/>
        <w:rPr>
          <w:b/>
        </w:rPr>
      </w:pPr>
      <w:r w:rsidRPr="007422BF">
        <w:rPr>
          <w:b/>
        </w:rPr>
        <w:t>The Current Paper in Context</w:t>
      </w:r>
    </w:p>
    <w:p w:rsidR="0053220B" w:rsidRPr="00324EEB" w:rsidRDefault="00010516" w:rsidP="004973B8">
      <w:pPr>
        <w:spacing w:line="276" w:lineRule="auto"/>
        <w:jc w:val="both"/>
      </w:pPr>
      <w:r w:rsidRPr="00324EEB">
        <w:t>In this paper, we develop a new framework for MDC models based on a utility-consistent two-stage budgeting approach</w:t>
      </w:r>
      <w:r w:rsidR="002C68BE">
        <w:t xml:space="preserve"> (</w:t>
      </w:r>
      <w:r w:rsidR="004211A3">
        <w:t>rather than the single stage Hicksian composite good approach</w:t>
      </w:r>
      <w:r w:rsidR="002C68BE">
        <w:t>), which</w:t>
      </w:r>
      <w:r w:rsidRPr="00324EEB">
        <w:t xml:space="preserve"> can handle </w:t>
      </w:r>
      <w:r w:rsidRPr="00603756">
        <w:rPr>
          <w:u w:val="single"/>
        </w:rPr>
        <w:t xml:space="preserve">unobserved </w:t>
      </w:r>
      <w:r w:rsidR="00A03163" w:rsidRPr="00603756">
        <w:rPr>
          <w:u w:val="single"/>
        </w:rPr>
        <w:t>but finite and endogenous budgets</w:t>
      </w:r>
      <w:r w:rsidRPr="00324EEB">
        <w:t>. Our approach is based on an endogenous linking of a fractional split MDCEV model with a total budget equation</w:t>
      </w:r>
      <w:r w:rsidR="00C30733">
        <w:t xml:space="preserve"> for the </w:t>
      </w:r>
      <w:r w:rsidR="001F279B">
        <w:t xml:space="preserve">specific </w:t>
      </w:r>
      <w:r w:rsidR="00C30733">
        <w:t>product gr</w:t>
      </w:r>
      <w:r w:rsidR="001F279B">
        <w:t>ou</w:t>
      </w:r>
      <w:r w:rsidR="00C30733">
        <w:t>p</w:t>
      </w:r>
      <w:r w:rsidR="001F279B">
        <w:t xml:space="preserve"> (that contains the inside goods) under consideration</w:t>
      </w:r>
      <w:r w:rsidRPr="00324EEB">
        <w:t xml:space="preserve">. This approach, a first to our knowledge in the econometric literature, is </w:t>
      </w:r>
      <w:r w:rsidR="00603756">
        <w:t xml:space="preserve">also </w:t>
      </w:r>
      <w:r w:rsidRPr="00324EEB">
        <w:t xml:space="preserve">different from earlier MDC efforts that focus exclusively on the set of inside goods and </w:t>
      </w:r>
      <w:r w:rsidR="0000281B">
        <w:t xml:space="preserve">that </w:t>
      </w:r>
      <w:r w:rsidRPr="00324EEB">
        <w:t xml:space="preserve">consider the budget for the inside goods </w:t>
      </w:r>
      <w:r w:rsidR="00E53B18">
        <w:t>as being</w:t>
      </w:r>
      <w:r w:rsidRPr="00324EEB">
        <w:t xml:space="preserve"> determined exogenously</w:t>
      </w:r>
      <w:r w:rsidR="002C68BE">
        <w:t xml:space="preserve"> </w:t>
      </w:r>
      <w:r w:rsidR="00BF0863">
        <w:t>(as in</w:t>
      </w:r>
      <w:r w:rsidR="002C68BE">
        <w:t xml:space="preserve"> Bhat, 2005)</w:t>
      </w:r>
      <w:r w:rsidRPr="00324EEB">
        <w:t xml:space="preserve">. </w:t>
      </w:r>
      <w:r w:rsidR="00A03163" w:rsidRPr="00324EEB">
        <w:t>In such earlier efforts, t</w:t>
      </w:r>
      <w:r w:rsidRPr="00324EEB">
        <w:t>he lack of any linking between the inside good allocations and the total budget for the inside goods</w:t>
      </w:r>
      <w:r w:rsidR="00A03163" w:rsidRPr="00324EEB">
        <w:t xml:space="preserve"> ignores the substitution and income effects that are likely to lead to a change in the budget because of a change in a variable that impacts any single inside good choice. In our endogenous linking, we ensure compatibility with a two-stage budgeting utility maximizing structure by invoking a separable </w:t>
      </w:r>
      <w:r w:rsidR="001F279B">
        <w:t xml:space="preserve">direct </w:t>
      </w:r>
      <w:r w:rsidR="00A03163" w:rsidRPr="00324EEB">
        <w:t xml:space="preserve">utility function between the product category of interest and other product </w:t>
      </w:r>
      <w:r w:rsidR="00A03163" w:rsidRPr="00324EEB">
        <w:lastRenderedPageBreak/>
        <w:t xml:space="preserve">categories. </w:t>
      </w:r>
      <w:r w:rsidR="0000281B">
        <w:t xml:space="preserve">In doing so, we develop an appropriate and economic theory-consistent linking function (which is really a price index for the product group under consideration that can represent the entire product group at the higher level of budget allocation to the product group, followed by the second stage fractional allocation to each good within the product group). </w:t>
      </w:r>
      <w:r w:rsidR="00954A9D">
        <w:t xml:space="preserve">Specifically, we start from Bhat’s (2008) utility formulation </w:t>
      </w:r>
      <w:r w:rsidR="000766AC">
        <w:t xml:space="preserve">for the second stage fractional allocation within a single product group </w:t>
      </w:r>
      <w:r w:rsidR="00954A9D">
        <w:t xml:space="preserve">(with the budget of the fractions across all alternatives </w:t>
      </w:r>
      <w:r w:rsidR="000766AC">
        <w:t xml:space="preserve">in the product group </w:t>
      </w:r>
      <w:r w:rsidR="00954A9D">
        <w:t xml:space="preserve">being equal to one), </w:t>
      </w:r>
      <w:r w:rsidR="000766AC">
        <w:t>and</w:t>
      </w:r>
      <w:r w:rsidR="00954A9D">
        <w:t xml:space="preserve"> adopt a reverse Gumbel distributional assumption for the stochastic terms in the baseline preferences of each of the </w:t>
      </w:r>
      <w:r w:rsidR="000766AC">
        <w:t xml:space="preserve">inside </w:t>
      </w:r>
      <w:r w:rsidR="00954A9D">
        <w:t xml:space="preserve">alternatives. We also consider a reverse Gumbel distribution for the random error term </w:t>
      </w:r>
      <w:r w:rsidR="000766AC">
        <w:t>for the total budget for the product category</w:t>
      </w:r>
      <w:r w:rsidR="002C68BE">
        <w:t xml:space="preserve"> in the first stage</w:t>
      </w:r>
      <w:r w:rsidR="000766AC">
        <w:t xml:space="preserve">, including </w:t>
      </w:r>
      <w:r w:rsidR="002C68BE">
        <w:t xml:space="preserve">a stochastic </w:t>
      </w:r>
      <w:r w:rsidR="000766AC">
        <w:t>group price index for the product category as developed from the second stage as an exogenous stochastic variable. By including censoring in the budget equation</w:t>
      </w:r>
      <w:r w:rsidR="002C68BE">
        <w:t xml:space="preserve"> for the product category of interest</w:t>
      </w:r>
      <w:r w:rsidR="000766AC">
        <w:t xml:space="preserve">, we accommodate the possibility of zero allocation to the product category. </w:t>
      </w:r>
      <w:r w:rsidR="00954A9D">
        <w:t xml:space="preserve">With these assumptions on the statistical distribution of the error terms, </w:t>
      </w:r>
      <w:r w:rsidR="002C68BE">
        <w:t>we formally introduce a new univariate distribution to the statistical literature, which we label as the “</w:t>
      </w:r>
      <w:r w:rsidR="00553744">
        <w:t>minLogistic</w:t>
      </w:r>
      <w:r w:rsidR="002C68BE">
        <w:t>” distribution, and derive its properties and moments.  T</w:t>
      </w:r>
      <w:r w:rsidR="00954A9D">
        <w:t xml:space="preserve">he </w:t>
      </w:r>
      <w:r w:rsidR="002C68BE">
        <w:t>end-</w:t>
      </w:r>
      <w:r w:rsidR="00954A9D">
        <w:t>result is an incredibly surprising closed-form model for the resulting multiple discrete-co</w:t>
      </w:r>
      <w:r w:rsidR="00561FC1">
        <w:t>ntinuous</w:t>
      </w:r>
      <w:r w:rsidR="00954A9D">
        <w:t xml:space="preserve"> extreme val</w:t>
      </w:r>
      <w:r w:rsidR="000766AC">
        <w:t xml:space="preserve">ue </w:t>
      </w:r>
      <w:r w:rsidR="00954A9D">
        <w:t>model that</w:t>
      </w:r>
      <w:r w:rsidR="0062508F">
        <w:t>, to our knowledge,</w:t>
      </w:r>
      <w:r w:rsidR="00954A9D">
        <w:t xml:space="preserve"> is a first of its kind in the econometric literature. </w:t>
      </w:r>
    </w:p>
    <w:p w:rsidR="0053220B" w:rsidRDefault="0053220B" w:rsidP="000C44EE">
      <w:pPr>
        <w:spacing w:line="276" w:lineRule="auto"/>
      </w:pPr>
    </w:p>
    <w:p w:rsidR="0064219E" w:rsidRPr="007422BF" w:rsidRDefault="0064219E" w:rsidP="000C44EE">
      <w:pPr>
        <w:numPr>
          <w:ilvl w:val="0"/>
          <w:numId w:val="6"/>
        </w:numPr>
        <w:spacing w:line="276" w:lineRule="auto"/>
        <w:jc w:val="both"/>
        <w:rPr>
          <w:b/>
          <w:caps/>
          <w:color w:val="000000"/>
        </w:rPr>
      </w:pPr>
      <w:r w:rsidRPr="007422BF">
        <w:rPr>
          <w:b/>
          <w:caps/>
          <w:color w:val="000000"/>
        </w:rPr>
        <w:t xml:space="preserve">Model Formulation and </w:t>
      </w:r>
      <w:r w:rsidR="007422BF" w:rsidRPr="007422BF">
        <w:rPr>
          <w:b/>
          <w:caps/>
          <w:color w:val="000000"/>
        </w:rPr>
        <w:t>S</w:t>
      </w:r>
      <w:r w:rsidRPr="007422BF">
        <w:rPr>
          <w:b/>
          <w:caps/>
          <w:color w:val="000000"/>
        </w:rPr>
        <w:t xml:space="preserve">tatistical </w:t>
      </w:r>
      <w:r w:rsidR="007422BF" w:rsidRPr="007422BF">
        <w:rPr>
          <w:b/>
          <w:caps/>
          <w:color w:val="000000"/>
        </w:rPr>
        <w:t>S</w:t>
      </w:r>
      <w:r w:rsidRPr="007422BF">
        <w:rPr>
          <w:b/>
          <w:caps/>
          <w:color w:val="000000"/>
        </w:rPr>
        <w:t>pecification</w:t>
      </w:r>
    </w:p>
    <w:p w:rsidR="0064219E" w:rsidRPr="007422BF" w:rsidRDefault="00461205" w:rsidP="000C44EE">
      <w:pPr>
        <w:numPr>
          <w:ilvl w:val="1"/>
          <w:numId w:val="6"/>
        </w:numPr>
        <w:spacing w:line="276" w:lineRule="auto"/>
        <w:jc w:val="both"/>
        <w:rPr>
          <w:b/>
        </w:rPr>
      </w:pPr>
      <w:r w:rsidRPr="007422BF">
        <w:rPr>
          <w:b/>
        </w:rPr>
        <w:t xml:space="preserve">Reverse Gumbel </w:t>
      </w:r>
      <w:r w:rsidR="0064219E" w:rsidRPr="007422BF">
        <w:rPr>
          <w:b/>
        </w:rPr>
        <w:t xml:space="preserve">MDCEV </w:t>
      </w:r>
      <w:r w:rsidRPr="007422BF">
        <w:rPr>
          <w:b/>
        </w:rPr>
        <w:t xml:space="preserve">(RG-MDCEV) </w:t>
      </w:r>
      <w:r w:rsidR="0064219E" w:rsidRPr="007422BF">
        <w:rPr>
          <w:b/>
        </w:rPr>
        <w:t>Model of Fractional Split</w:t>
      </w:r>
    </w:p>
    <w:p w:rsidR="00603756" w:rsidRDefault="0064219E" w:rsidP="000C44EE">
      <w:pPr>
        <w:spacing w:line="276" w:lineRule="auto"/>
        <w:jc w:val="both"/>
      </w:pPr>
      <w:r w:rsidRPr="00603756">
        <w:t xml:space="preserve">In this section, we </w:t>
      </w:r>
      <w:r w:rsidR="00CC5497" w:rsidRPr="00603756">
        <w:t xml:space="preserve">start </w:t>
      </w:r>
      <w:r w:rsidR="005F1506" w:rsidRPr="00603756">
        <w:t xml:space="preserve">with </w:t>
      </w:r>
      <w:r w:rsidR="005734B6" w:rsidRPr="00603756">
        <w:t>the</w:t>
      </w:r>
      <w:r w:rsidR="00E473B6" w:rsidRPr="00603756">
        <w:t xml:space="preserve"> second stage of the allocation among</w:t>
      </w:r>
      <w:r w:rsidR="005734B6" w:rsidRPr="00603756">
        <w:t xml:space="preserve"> </w:t>
      </w:r>
      <w:r w:rsidR="00FA5E59" w:rsidRPr="00603756">
        <w:t>inside goods within the product category under consideration</w:t>
      </w:r>
      <w:r w:rsidR="00750BDB" w:rsidRPr="00603756">
        <w:t xml:space="preserve"> (say product category </w:t>
      </w:r>
      <w:r w:rsidR="00750BDB" w:rsidRPr="002C68BE">
        <w:rPr>
          <w:i/>
        </w:rPr>
        <w:t>G</w:t>
      </w:r>
      <w:r w:rsidR="00750BDB" w:rsidRPr="00603756">
        <w:t>)</w:t>
      </w:r>
      <w:r w:rsidR="000D2241" w:rsidRPr="00603756">
        <w:t xml:space="preserve">. </w:t>
      </w:r>
      <w:r w:rsidR="002C68BE">
        <w:t>W</w:t>
      </w:r>
      <w:r w:rsidR="005F1506" w:rsidRPr="00603756">
        <w:t xml:space="preserve">e use the MDCEV framework as a fractional allocation model, with the fractional allocation based on </w:t>
      </w:r>
      <w:r w:rsidR="002C68BE">
        <w:t xml:space="preserve">consumption </w:t>
      </w:r>
      <w:r w:rsidR="005F1506" w:rsidRPr="00603756">
        <w:t>expenditures rather than consumption quantities</w:t>
      </w:r>
      <w:r w:rsidR="002C68BE">
        <w:t xml:space="preserve"> of the inside goods</w:t>
      </w:r>
      <w:r w:rsidR="005F1506" w:rsidRPr="00603756">
        <w:t xml:space="preserve">. </w:t>
      </w:r>
      <w:r w:rsidR="00E473B6" w:rsidRPr="00603756">
        <w:t xml:space="preserve">This facilitates the use of the MDCEV model as a conditional (on total expenditure on the product category) multiple discrete expenditure fractional allocation. </w:t>
      </w:r>
      <w:r w:rsidR="00603756">
        <w:t>As w</w:t>
      </w:r>
      <w:r w:rsidR="005F1506" w:rsidRPr="00603756">
        <w:t>e show later, t</w:t>
      </w:r>
      <w:r w:rsidR="00E473B6" w:rsidRPr="00603756">
        <w:t xml:space="preserve">he use of expenditure allocation (rather than quantity allocation) at the second stage of a two-stage utility-theoretic approach is necessary for consistency with a Gorman polar utility form-based linking with the first stage. </w:t>
      </w:r>
    </w:p>
    <w:p w:rsidR="00ED0164" w:rsidRPr="007422BF" w:rsidRDefault="005F1506" w:rsidP="000C44EE">
      <w:pPr>
        <w:spacing w:line="276" w:lineRule="auto"/>
        <w:ind w:firstLine="720"/>
        <w:jc w:val="both"/>
      </w:pPr>
      <w:r w:rsidRPr="00603756">
        <w:t xml:space="preserve">Consider </w:t>
      </w:r>
      <w:r w:rsidR="00ED0164" w:rsidRPr="00603756">
        <w:t xml:space="preserve">the following constrained </w:t>
      </w:r>
      <w:r w:rsidR="003826EA" w:rsidRPr="00603756">
        <w:t xml:space="preserve">direct </w:t>
      </w:r>
      <w:r w:rsidR="00ED0164" w:rsidRPr="00603756">
        <w:t xml:space="preserve">utility form: </w:t>
      </w:r>
    </w:p>
    <w:p w:rsidR="00ED0164" w:rsidRPr="00603756" w:rsidRDefault="00EB7437" w:rsidP="00CB4D5B">
      <w:pPr>
        <w:tabs>
          <w:tab w:val="right" w:pos="9360"/>
        </w:tabs>
        <w:spacing w:before="60" w:line="276" w:lineRule="auto"/>
        <w:jc w:val="both"/>
      </w:pPr>
      <w:r w:rsidRPr="00603756">
        <w:rPr>
          <w:position w:val="-34"/>
        </w:rPr>
        <w:object w:dxaOrig="2900" w:dyaOrig="800">
          <v:shape id="_x0000_i1033" type="#_x0000_t75" style="width:144.85pt;height:39.85pt" o:ole="">
            <v:imagedata r:id="rId24" o:title=""/>
          </v:shape>
          <o:OLEObject Type="Embed" ProgID="Equation.DSMT4" ShapeID="_x0000_i1033" DrawAspect="Content" ObjectID="_1722089527" r:id="rId25"/>
        </w:object>
      </w:r>
      <w:r w:rsidR="00ED0164" w:rsidRPr="00603756">
        <w:tab/>
        <w:t>(</w:t>
      </w:r>
      <w:r w:rsidR="000C44EE">
        <w:t>2</w:t>
      </w:r>
      <w:r w:rsidR="00ED0164" w:rsidRPr="00603756">
        <w:t>)</w:t>
      </w:r>
    </w:p>
    <w:p w:rsidR="00ED0164" w:rsidRPr="00603756" w:rsidRDefault="00EB7437" w:rsidP="00CB4D5B">
      <w:pPr>
        <w:spacing w:after="60" w:line="276" w:lineRule="auto"/>
        <w:jc w:val="both"/>
      </w:pPr>
      <w:r w:rsidRPr="00603756">
        <w:rPr>
          <w:position w:val="-28"/>
        </w:rPr>
        <w:object w:dxaOrig="1340" w:dyaOrig="680">
          <v:shape id="_x0000_i1034" type="#_x0000_t75" style="width:66.85pt;height:33.85pt" o:ole="">
            <v:imagedata r:id="rId26" o:title=""/>
          </v:shape>
          <o:OLEObject Type="Embed" ProgID="Equation.DSMT4" ShapeID="_x0000_i1034" DrawAspect="Content" ObjectID="_1722089528" r:id="rId27"/>
        </w:object>
      </w:r>
      <w:r w:rsidR="00ED0164" w:rsidRPr="00603756">
        <w:tab/>
      </w:r>
    </w:p>
    <w:p w:rsidR="00ED0164" w:rsidRPr="00603756" w:rsidRDefault="005F1506" w:rsidP="000C44EE">
      <w:pPr>
        <w:spacing w:line="276" w:lineRule="auto"/>
        <w:jc w:val="both"/>
      </w:pPr>
      <w:r w:rsidRPr="00CB4D5B">
        <w:t xml:space="preserve">where </w:t>
      </w:r>
      <w:r w:rsidR="004056DE" w:rsidRPr="00CB4D5B">
        <w:rPr>
          <w:position w:val="-12"/>
        </w:rPr>
        <w:object w:dxaOrig="1440" w:dyaOrig="400">
          <v:shape id="_x0000_i1035" type="#_x0000_t75" style="width:1in;height:20.15pt" o:ole="">
            <v:imagedata r:id="rId28" o:title=""/>
          </v:shape>
          <o:OLEObject Type="Embed" ProgID="Equation.DSMT4" ShapeID="_x0000_i1035" DrawAspect="Content" ObjectID="_1722089529" r:id="rId29"/>
        </w:object>
      </w:r>
      <w:r w:rsidR="00F426A5" w:rsidRPr="00CB4D5B">
        <w:t>and</w:t>
      </w:r>
      <w:r w:rsidR="004056DE">
        <w:t xml:space="preserve"> </w:t>
      </w:r>
      <w:r w:rsidR="00C35B34" w:rsidRPr="0002761A">
        <w:rPr>
          <w:position w:val="-10"/>
        </w:rPr>
        <w:object w:dxaOrig="220" w:dyaOrig="260">
          <v:shape id="_x0000_i1036" type="#_x0000_t75" style="width:11.15pt;height:12.85pt" o:ole="">
            <v:imagedata r:id="rId30" o:title=""/>
          </v:shape>
          <o:OLEObject Type="Embed" ProgID="Equation.DSMT4" ShapeID="_x0000_i1036" DrawAspect="Content" ObjectID="_1722089530" r:id="rId31"/>
        </w:object>
      </w:r>
      <w:r w:rsidR="004056DE">
        <w:t xml:space="preserve"> is the total budget allocated to product category </w:t>
      </w:r>
      <w:r w:rsidR="00C35B34" w:rsidRPr="00AA0BE1">
        <w:rPr>
          <w:i/>
        </w:rPr>
        <w:t>G</w:t>
      </w:r>
      <w:r w:rsidR="004056DE">
        <w:t>.</w:t>
      </w:r>
      <w:r w:rsidRPr="00603756">
        <w:t xml:space="preserve"> </w:t>
      </w:r>
      <w:r w:rsidR="00C35B34" w:rsidRPr="00603756">
        <w:t xml:space="preserve">An important point to note is that the utility function </w:t>
      </w:r>
      <w:r w:rsidR="00C35B34">
        <w:t xml:space="preserve">of Equation (2) </w:t>
      </w:r>
      <w:r w:rsidR="00C35B34" w:rsidRPr="00603756">
        <w:t xml:space="preserve">is written in the form of continuous fractional splits (allocations) of consumption of the total </w:t>
      </w:r>
      <w:r w:rsidR="00C35B34">
        <w:t xml:space="preserve">non-zero </w:t>
      </w:r>
      <w:r w:rsidR="00C35B34" w:rsidRPr="00603756">
        <w:t xml:space="preserve">budget </w:t>
      </w:r>
      <w:r w:rsidR="00C35B34">
        <w:t>(</w:t>
      </w:r>
      <w:r w:rsidR="00C35B34" w:rsidRPr="0002761A">
        <w:rPr>
          <w:position w:val="-10"/>
        </w:rPr>
        <w:object w:dxaOrig="220" w:dyaOrig="260">
          <v:shape id="_x0000_i1037" type="#_x0000_t75" style="width:11.15pt;height:12.85pt" o:ole="">
            <v:imagedata r:id="rId32" o:title=""/>
          </v:shape>
          <o:OLEObject Type="Embed" ProgID="Equation.DSMT4" ShapeID="_x0000_i1037" DrawAspect="Content" ObjectID="_1722089531" r:id="rId33"/>
        </w:object>
      </w:r>
      <w:r w:rsidR="00C35B34">
        <w:t xml:space="preserve">&gt;0) </w:t>
      </w:r>
      <w:r w:rsidR="00C35B34" w:rsidRPr="00603756">
        <w:t xml:space="preserve">allocated to the product category of interest, such that the fractions sum to one </w:t>
      </w:r>
      <w:r w:rsidR="00C35B34">
        <w:t>conditional on</w:t>
      </w:r>
      <w:r w:rsidR="00C35B34" w:rsidRPr="00603756">
        <w:t xml:space="preserve"> a non-zero allocation to the product category</w:t>
      </w:r>
      <w:r w:rsidR="00C35B34">
        <w:t>. T</w:t>
      </w:r>
      <w:r w:rsidR="00C35B34" w:rsidRPr="00603756">
        <w:t xml:space="preserve">he possibility of zero allocation to the product category </w:t>
      </w:r>
      <w:r w:rsidR="00C35B34">
        <w:lastRenderedPageBreak/>
        <w:t>(</w:t>
      </w:r>
      <w:r w:rsidR="00C35B34" w:rsidRPr="0002761A">
        <w:rPr>
          <w:position w:val="-10"/>
        </w:rPr>
        <w:object w:dxaOrig="220" w:dyaOrig="260">
          <v:shape id="_x0000_i1038" type="#_x0000_t75" style="width:11.15pt;height:12.85pt" o:ole="">
            <v:imagedata r:id="rId34" o:title=""/>
          </v:shape>
          <o:OLEObject Type="Embed" ProgID="Equation.DSMT4" ShapeID="_x0000_i1038" DrawAspect="Content" ObjectID="_1722089532" r:id="rId35"/>
        </w:object>
      </w:r>
      <w:r w:rsidR="00C35B34">
        <w:t xml:space="preserve">=0) </w:t>
      </w:r>
      <w:r w:rsidR="00C35B34" w:rsidRPr="00603756">
        <w:t>is handled through a censoring mechanism in the total budget for the product category, as discussed later.</w:t>
      </w:r>
      <w:r w:rsidR="00C35B34">
        <w:t xml:space="preserve"> Also, i</w:t>
      </w:r>
      <w:r w:rsidR="00ED0164" w:rsidRPr="00603756">
        <w:t xml:space="preserve">n the above utility function, </w:t>
      </w:r>
      <w:r w:rsidR="00EB7437" w:rsidRPr="00603756">
        <w:rPr>
          <w:position w:val="-10"/>
        </w:rPr>
        <w:object w:dxaOrig="540" w:dyaOrig="380">
          <v:shape id="_x0000_i1039" type="#_x0000_t75" style="width:27pt;height:18.85pt" o:ole="">
            <v:imagedata r:id="rId36" o:title=""/>
          </v:shape>
          <o:OLEObject Type="Embed" ProgID="Equation.DSMT4" ShapeID="_x0000_i1039" DrawAspect="Content" ObjectID="_1722089533" r:id="rId37"/>
        </w:object>
      </w:r>
      <w:r w:rsidR="00ED0164" w:rsidRPr="00603756">
        <w:t xml:space="preserve"> is a quasi-concave, increasing, and continuously differentiable function with respect to the fractional consumption quantity (</w:t>
      </w:r>
      <w:r w:rsidR="00ED0164" w:rsidRPr="00603756">
        <w:rPr>
          <w:i/>
        </w:rPr>
        <w:t>K</w:t>
      </w:r>
      <w:r w:rsidR="000C44EE">
        <w:t>×</w:t>
      </w:r>
      <w:r w:rsidR="00ED0164" w:rsidRPr="00603756">
        <w:t xml:space="preserve">1)-vector </w:t>
      </w:r>
      <w:r w:rsidR="00EB7437" w:rsidRPr="00603756">
        <w:rPr>
          <w:position w:val="-4"/>
        </w:rPr>
        <w:object w:dxaOrig="180" w:dyaOrig="320">
          <v:shape id="_x0000_i1040" type="#_x0000_t75" style="width:9pt;height:15.85pt" o:ole="">
            <v:imagedata r:id="rId38" o:title=""/>
          </v:shape>
          <o:OLEObject Type="Embed" ProgID="Equation.DSMT4" ShapeID="_x0000_i1040" DrawAspect="Content" ObjectID="_1722089534" r:id="rId39"/>
        </w:object>
      </w:r>
      <w:r w:rsidR="00EB7437" w:rsidRPr="00603756">
        <w:t xml:space="preserve"> </w:t>
      </w:r>
      <w:r w:rsidR="00ED0164" w:rsidRPr="00603756">
        <w:t>(</w:t>
      </w:r>
      <w:r w:rsidR="00EB7437" w:rsidRPr="00603756">
        <w:rPr>
          <w:position w:val="-12"/>
        </w:rPr>
        <w:object w:dxaOrig="960" w:dyaOrig="400">
          <v:shape id="_x0000_i1041" type="#_x0000_t75" style="width:48pt;height:20.15pt" o:ole="">
            <v:imagedata r:id="rId40" o:title=""/>
          </v:shape>
          <o:OLEObject Type="Embed" ProgID="Equation.DSMT4" ShapeID="_x0000_i1041" DrawAspect="Content" ObjectID="_1722089535" r:id="rId41"/>
        </w:object>
      </w:r>
      <w:r w:rsidR="00ED0164" w:rsidRPr="00603756">
        <w:t xml:space="preserve"> for all </w:t>
      </w:r>
      <w:r w:rsidR="00ED0164" w:rsidRPr="00603756">
        <w:rPr>
          <w:i/>
        </w:rPr>
        <w:t>k</w:t>
      </w:r>
      <w:r w:rsidR="00ED0164" w:rsidRPr="00603756">
        <w:t xml:space="preserve">), and </w:t>
      </w:r>
      <w:r w:rsidR="00ED0164" w:rsidRPr="00603756">
        <w:rPr>
          <w:position w:val="-12"/>
        </w:rPr>
        <w:object w:dxaOrig="324" w:dyaOrig="372">
          <v:shape id="_x0000_i1042" type="#_x0000_t75" style="width:16.3pt;height:18.45pt" o:ole="">
            <v:imagedata r:id="rId42" o:title=""/>
          </v:shape>
          <o:OLEObject Type="Embed" ProgID="Equation.3" ShapeID="_x0000_i1042" DrawAspect="Content" ObjectID="_1722089536" r:id="rId43"/>
        </w:object>
      </w:r>
      <w:r w:rsidR="00ED0164" w:rsidRPr="00603756">
        <w:t xml:space="preserve"> </w:t>
      </w:r>
      <w:proofErr w:type="spellStart"/>
      <w:r w:rsidR="00A9452E">
        <w:t>and</w:t>
      </w:r>
      <w:proofErr w:type="spellEnd"/>
      <w:r w:rsidR="00A9452E">
        <w:t xml:space="preserve"> </w:t>
      </w:r>
      <w:r w:rsidR="00ED0164" w:rsidRPr="00603756">
        <w:rPr>
          <w:position w:val="-12"/>
        </w:rPr>
        <w:object w:dxaOrig="288" w:dyaOrig="372">
          <v:shape id="_x0000_i1043" type="#_x0000_t75" style="width:14.55pt;height:18.45pt" o:ole="">
            <v:imagedata r:id="rId44" o:title=""/>
          </v:shape>
          <o:OLEObject Type="Embed" ProgID="Equation.3" ShapeID="_x0000_i1043" DrawAspect="Content" ObjectID="_1722089537" r:id="rId45"/>
        </w:object>
      </w:r>
      <w:r w:rsidR="00ED0164" w:rsidRPr="00603756">
        <w:t xml:space="preserve"> are parameters associated with good </w:t>
      </w:r>
      <w:r w:rsidR="00ED0164" w:rsidRPr="00603756">
        <w:rPr>
          <w:i/>
        </w:rPr>
        <w:t>k</w:t>
      </w:r>
      <w:r w:rsidR="00ED0164" w:rsidRPr="00603756">
        <w:t>.</w:t>
      </w:r>
      <w:r w:rsidR="00ED0164" w:rsidRPr="00603756">
        <w:rPr>
          <w:rStyle w:val="FootnoteReference"/>
        </w:rPr>
        <w:footnoteReference w:id="4"/>
      </w:r>
      <w:r w:rsidR="00ED0164" w:rsidRPr="00603756">
        <w:t xml:space="preserve"> The function</w:t>
      </w:r>
      <w:r w:rsidR="009E1177" w:rsidRPr="00603756">
        <w:t xml:space="preserve"> </w:t>
      </w:r>
      <w:r w:rsidR="009E1177" w:rsidRPr="00603756">
        <w:rPr>
          <w:position w:val="-10"/>
        </w:rPr>
        <w:object w:dxaOrig="540" w:dyaOrig="380">
          <v:shape id="_x0000_i1044" type="#_x0000_t75" style="width:27pt;height:18.85pt" o:ole="">
            <v:imagedata r:id="rId46" o:title=""/>
          </v:shape>
          <o:OLEObject Type="Embed" ProgID="Equation.DSMT4" ShapeID="_x0000_i1044" DrawAspect="Content" ObjectID="_1722089538" r:id="rId47"/>
        </w:object>
      </w:r>
      <w:r w:rsidR="00ED0164" w:rsidRPr="00603756">
        <w:t>in Equation (</w:t>
      </w:r>
      <w:r w:rsidR="000C44EE">
        <w:t>2</w:t>
      </w:r>
      <w:r w:rsidR="00ED0164" w:rsidRPr="00603756">
        <w:t xml:space="preserve">) is a valid utility function if </w:t>
      </w:r>
      <w:r w:rsidR="00ED0164" w:rsidRPr="00603756">
        <w:rPr>
          <w:position w:val="-12"/>
        </w:rPr>
        <w:object w:dxaOrig="696" w:dyaOrig="360">
          <v:shape id="_x0000_i1045" type="#_x0000_t75" style="width:34.7pt;height:18pt" o:ole="">
            <v:imagedata r:id="rId48" o:title=""/>
          </v:shape>
          <o:OLEObject Type="Embed" ProgID="Equation.3" ShapeID="_x0000_i1045" DrawAspect="Content" ObjectID="_1722089539" r:id="rId49"/>
        </w:object>
      </w:r>
      <w:r w:rsidR="00ED0164" w:rsidRPr="00603756">
        <w:t xml:space="preserve">, and </w:t>
      </w:r>
      <w:r w:rsidR="00ED0164" w:rsidRPr="00603756">
        <w:rPr>
          <w:position w:val="-12"/>
        </w:rPr>
        <w:object w:dxaOrig="660" w:dyaOrig="360">
          <v:shape id="_x0000_i1046" type="#_x0000_t75" style="width:33pt;height:18pt" o:ole="">
            <v:imagedata r:id="rId50" o:title=""/>
          </v:shape>
          <o:OLEObject Type="Embed" ProgID="Equation.3" ShapeID="_x0000_i1046" DrawAspect="Content" ObjectID="_1722089540" r:id="rId51"/>
        </w:object>
      </w:r>
      <w:r w:rsidR="00ED0164" w:rsidRPr="00603756">
        <w:t xml:space="preserve"> for all </w:t>
      </w:r>
      <w:r w:rsidR="00ED0164" w:rsidRPr="00603756">
        <w:rPr>
          <w:i/>
        </w:rPr>
        <w:t>k</w:t>
      </w:r>
      <w:r w:rsidR="000D3B73" w:rsidRPr="00603756">
        <w:t xml:space="preserve"> (we will use the terms “good” and “alternative” interchangeably to refer to any good</w:t>
      </w:r>
      <w:r w:rsidR="00ED0164" w:rsidRPr="00603756">
        <w:t xml:space="preserve"> </w:t>
      </w:r>
      <w:r w:rsidR="000D3B73" w:rsidRPr="00603756">
        <w:rPr>
          <w:i/>
        </w:rPr>
        <w:t>k</w:t>
      </w:r>
      <w:r w:rsidR="000D3B73" w:rsidRPr="00603756">
        <w:t xml:space="preserve">). </w:t>
      </w:r>
      <w:r w:rsidR="00ED0164" w:rsidRPr="00603756">
        <w:t xml:space="preserve">As discussed in detail in Bhat (2008), </w:t>
      </w:r>
      <w:r w:rsidR="00ED0164" w:rsidRPr="00603756">
        <w:rPr>
          <w:position w:val="-12"/>
        </w:rPr>
        <w:object w:dxaOrig="324" w:dyaOrig="360">
          <v:shape id="_x0000_i1047" type="#_x0000_t75" style="width:16.3pt;height:18pt" o:ole="">
            <v:imagedata r:id="rId52" o:title=""/>
          </v:shape>
          <o:OLEObject Type="Embed" ProgID="Equation.3" ShapeID="_x0000_i1047" DrawAspect="Content" ObjectID="_1722089541" r:id="rId53"/>
        </w:object>
      </w:r>
      <w:r w:rsidR="00ED0164" w:rsidRPr="00603756">
        <w:t xml:space="preserve"> represents the baseline marginal utility, and </w:t>
      </w:r>
      <w:r w:rsidR="00ED0164" w:rsidRPr="00603756">
        <w:rPr>
          <w:position w:val="-12"/>
        </w:rPr>
        <w:object w:dxaOrig="276" w:dyaOrig="360">
          <v:shape id="_x0000_i1048" type="#_x0000_t75" style="width:13.7pt;height:18pt" o:ole="">
            <v:imagedata r:id="rId54" o:title=""/>
          </v:shape>
          <o:OLEObject Type="Embed" ProgID="Equation.3" ShapeID="_x0000_i1048" DrawAspect="Content" ObjectID="_1722089542" r:id="rId55"/>
        </w:object>
      </w:r>
      <w:r w:rsidR="00ED0164" w:rsidRPr="00603756">
        <w:t xml:space="preserve"> is the vehicle to introduce corner solutions (that is, zero fractional splits) for the goods, but also serves the role of a satiation parameter (higher values of </w:t>
      </w:r>
      <w:r w:rsidR="00ED0164" w:rsidRPr="00603756">
        <w:rPr>
          <w:position w:val="-12"/>
        </w:rPr>
        <w:object w:dxaOrig="276" w:dyaOrig="360">
          <v:shape id="_x0000_i1049" type="#_x0000_t75" style="width:13.7pt;height:18pt" o:ole="">
            <v:imagedata r:id="rId54" o:title=""/>
          </v:shape>
          <o:OLEObject Type="Embed" ProgID="Equation.3" ShapeID="_x0000_i1049" DrawAspect="Content" ObjectID="_1722089543" r:id="rId56"/>
        </w:object>
      </w:r>
      <w:r w:rsidR="00ED0164" w:rsidRPr="00603756">
        <w:t xml:space="preserve"> imply less satiation). The satiation operates at the fractional split level, so that the marginal utility of a good decreases as the fractional split investment in the good increases. </w:t>
      </w:r>
    </w:p>
    <w:p w:rsidR="00ED0164" w:rsidRDefault="00ED0164" w:rsidP="000C44EE">
      <w:pPr>
        <w:spacing w:line="276" w:lineRule="auto"/>
        <w:ind w:firstLine="720"/>
        <w:jc w:val="both"/>
      </w:pPr>
      <w:r>
        <w:t xml:space="preserve">To ensure the non-negativity of the baseline marginal utility, while also allowing it to vary across individuals based on observed and unobserved characteristics, </w:t>
      </w:r>
      <w:r>
        <w:rPr>
          <w:position w:val="-12"/>
        </w:rPr>
        <w:object w:dxaOrig="324" w:dyaOrig="360">
          <v:shape id="_x0000_i1050" type="#_x0000_t75" style="width:16.3pt;height:18pt" o:ole="" o:preferrelative="f">
            <v:imagedata r:id="rId52" o:title=""/>
            <o:lock v:ext="edit" aspectratio="f"/>
          </v:shape>
          <o:OLEObject Type="Embed" ProgID="Equation.3" ShapeID="_x0000_i1050" DrawAspect="Content" ObjectID="_1722089544" r:id="rId57"/>
        </w:object>
      </w:r>
      <w:r>
        <w:t xml:space="preserve"> is parameterized as follows:</w:t>
      </w:r>
    </w:p>
    <w:p w:rsidR="00ED0164" w:rsidRDefault="004973B8" w:rsidP="00CB4D5B">
      <w:pPr>
        <w:tabs>
          <w:tab w:val="right" w:pos="9360"/>
        </w:tabs>
        <w:spacing w:before="60" w:after="60" w:line="276" w:lineRule="auto"/>
        <w:jc w:val="both"/>
      </w:pPr>
      <w:r w:rsidRPr="003625B6">
        <w:rPr>
          <w:position w:val="-28"/>
        </w:rPr>
        <w:object w:dxaOrig="2920" w:dyaOrig="680">
          <v:shape id="_x0000_i1051" type="#_x0000_t75" style="width:146.15pt;height:33.85pt" o:ole="" o:preferrelative="f">
            <v:imagedata r:id="rId58" o:title=""/>
            <o:lock v:ext="edit" aspectratio="f"/>
          </v:shape>
          <o:OLEObject Type="Embed" ProgID="Equation.DSMT4" ShapeID="_x0000_i1051" DrawAspect="Content" ObjectID="_1722089545" r:id="rId59"/>
        </w:object>
      </w:r>
      <w:r w:rsidR="00ED0164">
        <w:t xml:space="preserve">, </w:t>
      </w:r>
      <w:r w:rsidR="00ED0164">
        <w:rPr>
          <w:position w:val="-10"/>
        </w:rPr>
        <w:object w:dxaOrig="1344" w:dyaOrig="312">
          <v:shape id="_x0000_i1052" type="#_x0000_t75" style="width:67.3pt;height:15.45pt" o:ole="">
            <v:imagedata r:id="rId60" o:title=""/>
          </v:shape>
          <o:OLEObject Type="Embed" ProgID="Equation.3" ShapeID="_x0000_i1052" DrawAspect="Content" ObjectID="_1722089546" r:id="rId61"/>
        </w:object>
      </w:r>
      <w:r w:rsidR="00ED0164">
        <w:tab/>
        <w:t xml:space="preserve"> (</w:t>
      </w:r>
      <w:r w:rsidR="000C44EE">
        <w:t>3</w:t>
      </w:r>
      <w:r w:rsidR="00ED0164">
        <w:t>)</w:t>
      </w:r>
    </w:p>
    <w:p w:rsidR="00ED0164" w:rsidRDefault="00ED0164" w:rsidP="000C44EE">
      <w:pPr>
        <w:spacing w:line="276" w:lineRule="auto"/>
        <w:jc w:val="both"/>
      </w:pPr>
      <w:r>
        <w:t xml:space="preserve">where </w:t>
      </w:r>
      <w:r>
        <w:rPr>
          <w:position w:val="-12"/>
        </w:rPr>
        <w:object w:dxaOrig="288" w:dyaOrig="360">
          <v:shape id="_x0000_i1053" type="#_x0000_t75" style="width:14.55pt;height:18pt" o:ole="">
            <v:imagedata r:id="rId62" o:title=""/>
          </v:shape>
          <o:OLEObject Type="Embed" ProgID="Equation.DSMT4" ShapeID="_x0000_i1053" DrawAspect="Content" ObjectID="_1722089547" r:id="rId63"/>
        </w:object>
      </w:r>
      <w:r>
        <w:t xml:space="preserve"> is a set of attributes that characterize alternative </w:t>
      </w:r>
      <w:r>
        <w:rPr>
          <w:i/>
        </w:rPr>
        <w:t>k</w:t>
      </w:r>
      <w:r>
        <w:t xml:space="preserve"> and the decision maker (including a constant), </w:t>
      </w:r>
      <w:r w:rsidRPr="003625B6">
        <w:rPr>
          <w:position w:val="-12"/>
        </w:rPr>
        <w:object w:dxaOrig="300" w:dyaOrig="360">
          <v:shape id="_x0000_i1054" type="#_x0000_t75" style="width:15pt;height:18pt" o:ole="">
            <v:imagedata r:id="rId64" o:title=""/>
          </v:shape>
          <o:OLEObject Type="Embed" ProgID="Equation.DSMT4" ShapeID="_x0000_i1054" DrawAspect="Content" ObjectID="_1722089548" r:id="rId65"/>
        </w:object>
      </w:r>
      <w:r>
        <w:t xml:space="preserve"> is the unit price for good </w:t>
      </w:r>
      <w:r w:rsidRPr="00A9452E">
        <w:rPr>
          <w:i/>
        </w:rPr>
        <w:t>k</w:t>
      </w:r>
      <w:r>
        <w:t xml:space="preserve">, the inverse of </w:t>
      </w:r>
      <w:r w:rsidRPr="003625B6">
        <w:rPr>
          <w:position w:val="-6"/>
        </w:rPr>
        <w:object w:dxaOrig="240" w:dyaOrig="220">
          <v:shape id="_x0000_i1055" type="#_x0000_t75" style="width:12pt;height:11.15pt" o:ole="">
            <v:imagedata r:id="rId66" o:title=""/>
          </v:shape>
          <o:OLEObject Type="Embed" ProgID="Equation.DSMT4" ShapeID="_x0000_i1055" DrawAspect="Content" ObjectID="_1722089549" r:id="rId67"/>
        </w:object>
      </w:r>
      <w:r>
        <w:t xml:space="preserve"> </w:t>
      </w:r>
      <w:r w:rsidR="002C68BE">
        <w:t>(</w:t>
      </w:r>
      <w:r w:rsidR="002C68BE" w:rsidRPr="003625B6">
        <w:rPr>
          <w:position w:val="-6"/>
        </w:rPr>
        <w:object w:dxaOrig="240" w:dyaOrig="220">
          <v:shape id="_x0000_i1056" type="#_x0000_t75" style="width:12pt;height:11.15pt" o:ole="">
            <v:imagedata r:id="rId66" o:title=""/>
          </v:shape>
          <o:OLEObject Type="Embed" ProgID="Equation.DSMT4" ShapeID="_x0000_i1056" DrawAspect="Content" ObjectID="_1722089550" r:id="rId68"/>
        </w:object>
      </w:r>
      <w:r w:rsidR="002C68BE">
        <w:t xml:space="preserve">&gt;0) </w:t>
      </w:r>
      <w:r>
        <w:t xml:space="preserve">is the coefficient on </w:t>
      </w:r>
      <w:r w:rsidRPr="003625B6">
        <w:rPr>
          <w:position w:val="-12"/>
        </w:rPr>
        <w:object w:dxaOrig="520" w:dyaOrig="360">
          <v:shape id="_x0000_i1057" type="#_x0000_t75" style="width:26.15pt;height:18pt" o:ole="">
            <v:imagedata r:id="rId69" o:title=""/>
          </v:shape>
          <o:OLEObject Type="Embed" ProgID="Equation.DSMT4" ShapeID="_x0000_i1057" DrawAspect="Content" ObjectID="_1722089551" r:id="rId70"/>
        </w:object>
      </w:r>
      <w:r>
        <w:t xml:space="preserve">, and </w:t>
      </w:r>
      <w:r>
        <w:rPr>
          <w:position w:val="-12"/>
        </w:rPr>
        <w:object w:dxaOrig="288" w:dyaOrig="360">
          <v:shape id="_x0000_i1058" type="#_x0000_t75" style="width:14.55pt;height:18pt" o:ole="">
            <v:imagedata r:id="rId71" o:title=""/>
          </v:shape>
          <o:OLEObject Type="Embed" ProgID="Equation.3" ShapeID="_x0000_i1058" DrawAspect="Content" ObjectID="_1722089552" r:id="rId72"/>
        </w:object>
      </w:r>
      <w:r>
        <w:t xml:space="preserve"> </w:t>
      </w:r>
      <w:r w:rsidR="002C68BE">
        <w:t xml:space="preserve">is a standardized scale error tern that </w:t>
      </w:r>
      <w:r>
        <w:t xml:space="preserve">captures the idiosyncratic (unobserved) characteristics that impact the baseline utility of good </w:t>
      </w:r>
      <w:r>
        <w:rPr>
          <w:i/>
        </w:rPr>
        <w:t>k</w:t>
      </w:r>
      <w:r>
        <w:t xml:space="preserve">. A constant cannot be identified in the </w:t>
      </w:r>
      <w:r>
        <w:rPr>
          <w:b/>
        </w:rPr>
        <w:t>β</w:t>
      </w:r>
      <w:r>
        <w:t xml:space="preserve"> term for one of the </w:t>
      </w:r>
      <w:r>
        <w:rPr>
          <w:i/>
        </w:rPr>
        <w:t>K</w:t>
      </w:r>
      <w:r>
        <w:t xml:space="preserve"> alternatives. Similarly, individual-specific variables are introduced in the vector </w:t>
      </w:r>
      <w:r>
        <w:rPr>
          <w:position w:val="-12"/>
        </w:rPr>
        <w:object w:dxaOrig="288" w:dyaOrig="360">
          <v:shape id="_x0000_i1059" type="#_x0000_t75" style="width:14.55pt;height:18pt" o:ole="">
            <v:imagedata r:id="rId62" o:title=""/>
          </v:shape>
          <o:OLEObject Type="Embed" ProgID="Equation.DSMT4" ShapeID="_x0000_i1059" DrawAspect="Content" ObjectID="_1722089553" r:id="rId73"/>
        </w:object>
      </w:r>
      <w:r>
        <w:t xml:space="preserve"> for (</w:t>
      </w:r>
      <w:r>
        <w:rPr>
          <w:i/>
        </w:rPr>
        <w:t>K</w:t>
      </w:r>
      <w:r>
        <w:t>–1) alternatives, with the remaining alternative serving as the base.</w:t>
      </w:r>
      <w:r>
        <w:rPr>
          <w:rStyle w:val="FootnoteReference"/>
        </w:rPr>
        <w:footnoteReference w:id="5"/>
      </w:r>
      <w:r>
        <w:t xml:space="preserve"> </w:t>
      </w:r>
      <w:r w:rsidR="000F3B0C">
        <w:t xml:space="preserve">Also, </w:t>
      </w:r>
      <w:r w:rsidR="00E4270C">
        <w:t xml:space="preserve">the parameter </w:t>
      </w:r>
      <w:r w:rsidR="00E4270C" w:rsidRPr="003625B6">
        <w:rPr>
          <w:position w:val="-6"/>
        </w:rPr>
        <w:object w:dxaOrig="240" w:dyaOrig="220">
          <v:shape id="_x0000_i1060" type="#_x0000_t75" style="width:12pt;height:11.15pt" o:ole="">
            <v:imagedata r:id="rId66" o:title=""/>
          </v:shape>
          <o:OLEObject Type="Embed" ProgID="Equation.DSMT4" ShapeID="_x0000_i1060" DrawAspect="Content" ObjectID="_1722089554" r:id="rId74"/>
        </w:object>
      </w:r>
      <w:r w:rsidR="00E4270C">
        <w:t xml:space="preserve"> is estimable if there is price variation across the inside goods</w:t>
      </w:r>
      <w:r w:rsidR="002C68BE">
        <w:t xml:space="preserve"> (and may be normalized to one when there is no price variation)</w:t>
      </w:r>
      <w:r w:rsidR="00E4270C">
        <w:t xml:space="preserve">. </w:t>
      </w:r>
      <w:r>
        <w:t xml:space="preserve">For later use, </w:t>
      </w:r>
      <w:r w:rsidR="00056DC9">
        <w:t xml:space="preserve">we will write the baseline marginal utility </w:t>
      </w:r>
      <w:r>
        <w:rPr>
          <w:position w:val="-12"/>
        </w:rPr>
        <w:object w:dxaOrig="324" w:dyaOrig="360">
          <v:shape id="_x0000_i1061" type="#_x0000_t75" style="width:16.3pt;height:18pt" o:ole="">
            <v:imagedata r:id="rId75" o:title=""/>
          </v:shape>
          <o:OLEObject Type="Embed" ProgID="Equation.DSMT4" ShapeID="_x0000_i1061" DrawAspect="Content" ObjectID="_1722089555" r:id="rId76"/>
        </w:object>
      </w:r>
      <w:r>
        <w:t xml:space="preserve"> in Equation (</w:t>
      </w:r>
      <w:r w:rsidR="000C44EE">
        <w:t>3</w:t>
      </w:r>
      <w:r>
        <w:t>) as:</w:t>
      </w:r>
    </w:p>
    <w:p w:rsidR="00ED0164" w:rsidRDefault="00595556" w:rsidP="00CB4D5B">
      <w:pPr>
        <w:tabs>
          <w:tab w:val="right" w:pos="9360"/>
        </w:tabs>
        <w:spacing w:before="60" w:after="60" w:line="276" w:lineRule="auto"/>
        <w:jc w:val="both"/>
      </w:pPr>
      <w:r w:rsidRPr="00056DC9">
        <w:rPr>
          <w:position w:val="-32"/>
        </w:rPr>
        <w:object w:dxaOrig="4500" w:dyaOrig="760">
          <v:shape id="_x0000_i1062" type="#_x0000_t75" style="width:225pt;height:38.15pt" o:ole="">
            <v:imagedata r:id="rId77" o:title=""/>
          </v:shape>
          <o:OLEObject Type="Embed" ProgID="Equation.DSMT4" ShapeID="_x0000_i1062" DrawAspect="Content" ObjectID="_1722089556" r:id="rId78"/>
        </w:object>
      </w:r>
      <w:r w:rsidR="004A2A32">
        <w:t>.</w:t>
      </w:r>
      <w:r w:rsidR="00CD6211">
        <w:t xml:space="preserve">                                          </w:t>
      </w:r>
      <w:r w:rsidR="00304E38">
        <w:tab/>
        <w:t xml:space="preserve"> </w:t>
      </w:r>
      <w:r w:rsidR="00CD6211">
        <w:t>(</w:t>
      </w:r>
      <w:r w:rsidR="000C44EE">
        <w:t>4</w:t>
      </w:r>
      <w:r w:rsidR="00CD6211">
        <w:t>)</w:t>
      </w:r>
    </w:p>
    <w:p w:rsidR="0064219E" w:rsidRDefault="00595556" w:rsidP="000C44EE">
      <w:pPr>
        <w:spacing w:line="276" w:lineRule="auto"/>
        <w:jc w:val="both"/>
      </w:pPr>
      <w:r w:rsidRPr="00550A2E">
        <w:rPr>
          <w:position w:val="-12"/>
        </w:rPr>
        <w:object w:dxaOrig="300" w:dyaOrig="360">
          <v:shape id="_x0000_i1063" type="#_x0000_t75" style="width:15pt;height:18pt" o:ole="">
            <v:imagedata r:id="rId79" o:title=""/>
          </v:shape>
          <o:OLEObject Type="Embed" ProgID="Equation.DSMT4" ShapeID="_x0000_i1063" DrawAspect="Content" ObjectID="_1722089557" r:id="rId80"/>
        </w:object>
      </w:r>
      <w:r>
        <w:t xml:space="preserve"> </w:t>
      </w:r>
      <w:r w:rsidR="00E3134A">
        <w:t xml:space="preserve">corresponds to the systematic part of the baseline utility of alternative </w:t>
      </w:r>
      <w:r w:rsidR="00E3134A" w:rsidRPr="003C07AD">
        <w:rPr>
          <w:i/>
        </w:rPr>
        <w:t>k</w:t>
      </w:r>
      <w:r w:rsidR="00E3134A">
        <w:t xml:space="preserve">. </w:t>
      </w:r>
      <w:r w:rsidR="0064219E">
        <w:t xml:space="preserve">In the current paper, and unlike Bhat (2008) and many other MDCEV applications, we will assume a standard extreme value type 1 (Gumbel) distribution based on the limiting distribution of the minimum of random variables (that is, a standardized reverse Gumbel specification) for the </w:t>
      </w:r>
      <w:r w:rsidR="0064219E">
        <w:rPr>
          <w:position w:val="-12"/>
        </w:rPr>
        <w:object w:dxaOrig="288" w:dyaOrig="360">
          <v:shape id="_x0000_i1064" type="#_x0000_t75" style="width:14.55pt;height:18pt" o:ole="">
            <v:imagedata r:id="rId71" o:title=""/>
          </v:shape>
          <o:OLEObject Type="Embed" ProgID="Equation.3" ShapeID="_x0000_i1064" DrawAspect="Content" ObjectID="_1722089558" r:id="rId81"/>
        </w:object>
      </w:r>
      <w:r w:rsidR="0064219E">
        <w:t xml:space="preserve"> terms (the reason for this will become clear later):</w:t>
      </w:r>
    </w:p>
    <w:p w:rsidR="0064219E" w:rsidRDefault="000A4E95" w:rsidP="00CB4D5B">
      <w:pPr>
        <w:tabs>
          <w:tab w:val="right" w:pos="9360"/>
        </w:tabs>
        <w:spacing w:before="60" w:after="60" w:line="276" w:lineRule="auto"/>
        <w:jc w:val="both"/>
      </w:pPr>
      <w:r>
        <w:rPr>
          <w:position w:val="-14"/>
        </w:rPr>
        <w:object w:dxaOrig="6500" w:dyaOrig="440">
          <v:shape id="_x0000_i1065" type="#_x0000_t75" style="width:324.45pt;height:21.45pt" o:ole="" o:preferrelative="f">
            <v:imagedata r:id="rId82" o:title=""/>
            <o:lock v:ext="edit" aspectratio="f"/>
          </v:shape>
          <o:OLEObject Type="Embed" ProgID="Equation.DSMT4" ShapeID="_x0000_i1065" DrawAspect="Content" ObjectID="_1722089559" r:id="rId83"/>
        </w:object>
      </w:r>
      <w:r w:rsidR="004A2A32">
        <w:t>.</w:t>
      </w:r>
      <w:r w:rsidR="000C44EE">
        <w:t xml:space="preserve"> </w:t>
      </w:r>
      <w:r w:rsidR="000C44EE">
        <w:tab/>
      </w:r>
      <w:r w:rsidR="0064219E">
        <w:t>(</w:t>
      </w:r>
      <w:r w:rsidR="000C44EE">
        <w:t>5</w:t>
      </w:r>
      <w:r w:rsidR="0064219E">
        <w:t xml:space="preserve">)                                                </w:t>
      </w:r>
    </w:p>
    <w:p w:rsidR="0064219E" w:rsidRDefault="00543511" w:rsidP="000C44EE">
      <w:pPr>
        <w:tabs>
          <w:tab w:val="right" w:pos="9360"/>
        </w:tabs>
        <w:spacing w:before="60" w:after="60" w:line="276" w:lineRule="auto"/>
        <w:jc w:val="both"/>
      </w:pPr>
      <w:r>
        <w:t xml:space="preserve">A similar reverse Gumbel distribution has been assumed </w:t>
      </w:r>
      <w:r w:rsidR="00712F8D">
        <w:t xml:space="preserve">in Mondal and Bhat (2021) and Bhat et al. (2022), though for quite different reasons than the motivation here. </w:t>
      </w:r>
      <w:r w:rsidR="0064219E">
        <w:t xml:space="preserve">Based on the above reverse Gumbel distribution form for each error term, one can write the joint multivariate survival distribution function (SDF) for the error terms </w:t>
      </w:r>
      <w:r w:rsidR="00B61503">
        <w:rPr>
          <w:position w:val="-12"/>
        </w:rPr>
        <w:object w:dxaOrig="1120" w:dyaOrig="360">
          <v:shape id="_x0000_i1066" type="#_x0000_t75" style="width:56.15pt;height:18pt" o:ole="">
            <v:imagedata r:id="rId84" o:title=""/>
          </v:shape>
          <o:OLEObject Type="Embed" ProgID="Equation.DSMT4" ShapeID="_x0000_i1066" DrawAspect="Content" ObjectID="_1722089560" r:id="rId85"/>
        </w:object>
      </w:r>
      <w:r w:rsidR="0064219E">
        <w:t xml:space="preserve"> as follows</w:t>
      </w:r>
      <w:r w:rsidR="004973B8">
        <w:t>:</w:t>
      </w:r>
      <w:r w:rsidR="0064219E">
        <w:rPr>
          <w:rStyle w:val="FootnoteReference"/>
        </w:rPr>
        <w:footnoteReference w:id="6"/>
      </w:r>
      <w:r w:rsidR="0064219E">
        <w:rPr>
          <w:rStyle w:val="FootnoteReference"/>
        </w:rPr>
        <w:t xml:space="preserve"> </w:t>
      </w:r>
    </w:p>
    <w:bookmarkStart w:id="0" w:name="_Hlk41922053"/>
    <w:p w:rsidR="0064219E" w:rsidRDefault="007C7BC2" w:rsidP="00CB4D5B">
      <w:pPr>
        <w:tabs>
          <w:tab w:val="right" w:pos="9360"/>
        </w:tabs>
        <w:spacing w:before="60" w:after="60" w:line="276" w:lineRule="auto"/>
        <w:jc w:val="both"/>
      </w:pPr>
      <w:r>
        <w:rPr>
          <w:position w:val="-64"/>
        </w:rPr>
        <w:object w:dxaOrig="6140" w:dyaOrig="1020">
          <v:shape id="_x0000_i1067" type="#_x0000_t75" style="width:306.85pt;height:51pt" o:ole="">
            <v:imagedata r:id="rId86" o:title=""/>
          </v:shape>
          <o:OLEObject Type="Embed" ProgID="Equation.DSMT4" ShapeID="_x0000_i1067" DrawAspect="Content" ObjectID="_1722089561" r:id="rId87"/>
        </w:object>
      </w:r>
      <w:bookmarkEnd w:id="0"/>
      <w:r w:rsidR="004A2A32">
        <w:t>.</w:t>
      </w:r>
      <w:r w:rsidR="00304E38">
        <w:tab/>
      </w:r>
      <w:r w:rsidR="0064219E">
        <w:t xml:space="preserve"> (</w:t>
      </w:r>
      <w:r w:rsidR="000C44EE">
        <w:t>6</w:t>
      </w:r>
      <w:r w:rsidR="0064219E">
        <w:t>)</w:t>
      </w:r>
    </w:p>
    <w:p w:rsidR="0064219E" w:rsidRDefault="0064219E" w:rsidP="000C44EE">
      <w:pPr>
        <w:spacing w:line="276" w:lineRule="auto"/>
        <w:jc w:val="both"/>
      </w:pPr>
      <w:r>
        <w:t>The multivariate cumulative distribution function (CDF) of the</w:t>
      </w:r>
      <w:r>
        <w:rPr>
          <w:b/>
          <w:i/>
        </w:rPr>
        <w:t xml:space="preserve"> </w:t>
      </w:r>
      <w:r w:rsidR="00B61503">
        <w:rPr>
          <w:position w:val="-12"/>
        </w:rPr>
        <w:object w:dxaOrig="1440" w:dyaOrig="360">
          <v:shape id="_x0000_i1068" type="#_x0000_t75" style="width:1in;height:18pt" o:ole="">
            <v:imagedata r:id="rId88" o:title=""/>
          </v:shape>
          <o:OLEObject Type="Embed" ProgID="Equation.DSMT4" ShapeID="_x0000_i1068" DrawAspect="Content" ObjectID="_1722089562" r:id="rId89"/>
        </w:object>
      </w:r>
      <w:r>
        <w:t>vector can be written as a function of the SDFs corresponding to the random variates as follows:</w:t>
      </w:r>
    </w:p>
    <w:p w:rsidR="0064219E" w:rsidRDefault="007C7BC2" w:rsidP="00CB4D5B">
      <w:pPr>
        <w:tabs>
          <w:tab w:val="right" w:pos="9360"/>
        </w:tabs>
        <w:spacing w:before="60" w:after="60" w:line="276" w:lineRule="auto"/>
        <w:jc w:val="both"/>
      </w:pPr>
      <w:r>
        <w:rPr>
          <w:position w:val="-30"/>
        </w:rPr>
        <w:object w:dxaOrig="7740" w:dyaOrig="700">
          <v:shape id="_x0000_i1069" type="#_x0000_t75" style="width:387pt;height:35.15pt" o:ole="">
            <v:imagedata r:id="rId90" o:title=""/>
          </v:shape>
          <o:OLEObject Type="Embed" ProgID="Equation.DSMT4" ShapeID="_x0000_i1069" DrawAspect="Content" ObjectID="_1722089563" r:id="rId91"/>
        </w:object>
      </w:r>
      <w:r w:rsidR="0064219E">
        <w:t xml:space="preserve">           </w:t>
      </w:r>
      <w:r w:rsidR="000C44EE">
        <w:tab/>
      </w:r>
      <w:r w:rsidR="0064219E">
        <w:t>(</w:t>
      </w:r>
      <w:r w:rsidR="000C44EE">
        <w:t>7</w:t>
      </w:r>
      <w:r w:rsidR="0064219E">
        <w:t>)</w:t>
      </w:r>
    </w:p>
    <w:p w:rsidR="00AA2F15" w:rsidRDefault="0064219E" w:rsidP="000C44EE">
      <w:pPr>
        <w:spacing w:line="276" w:lineRule="auto"/>
        <w:jc w:val="both"/>
      </w:pPr>
      <w:r>
        <w:t xml:space="preserve">where </w:t>
      </w:r>
      <w:r>
        <w:rPr>
          <w:position w:val="-12"/>
        </w:rPr>
        <w:object w:dxaOrig="348" w:dyaOrig="372">
          <v:shape id="_x0000_i1070" type="#_x0000_t75" style="width:17.55pt;height:18.45pt" o:ole="">
            <v:imagedata r:id="rId92" o:title=""/>
          </v:shape>
          <o:OLEObject Type="Embed" ProgID="Equation.DSMT4" ShapeID="_x0000_i1070" DrawAspect="Content" ObjectID="_1722089564" r:id="rId93"/>
        </w:object>
      </w:r>
      <w:r>
        <w:t xml:space="preserve">(.) is the SDF of dimension </w:t>
      </w:r>
      <w:r>
        <w:rPr>
          <w:i/>
        </w:rPr>
        <w:t>D</w:t>
      </w:r>
      <w:r>
        <w:t xml:space="preserve">, </w:t>
      </w:r>
      <w:r>
        <w:rPr>
          <w:i/>
        </w:rPr>
        <w:t>D</w:t>
      </w:r>
      <w:r>
        <w:t xml:space="preserve"> represents a specific combination of the </w:t>
      </w:r>
      <w:r w:rsidR="006770D6">
        <w:rPr>
          <w:position w:val="-10"/>
        </w:rPr>
        <w:object w:dxaOrig="200" w:dyaOrig="320">
          <v:shape id="_x0000_i1071" type="#_x0000_t75" style="width:9.85pt;height:15.85pt" o:ole="">
            <v:imagedata r:id="rId94" o:title=""/>
          </v:shape>
          <o:OLEObject Type="Embed" ProgID="Equation.DSMT4" ShapeID="_x0000_i1071" DrawAspect="Content" ObjectID="_1722089565" r:id="rId95"/>
        </w:object>
      </w:r>
      <w:r>
        <w:t xml:space="preserve"> terms (representing a specific sub-vector of the </w:t>
      </w:r>
      <w:r w:rsidR="006770D6" w:rsidRPr="0002761A">
        <w:rPr>
          <w:position w:val="-10"/>
        </w:rPr>
        <w:object w:dxaOrig="200" w:dyaOrig="320">
          <v:shape id="_x0000_i1072" type="#_x0000_t75" style="width:9.85pt;height:15.85pt" o:ole="">
            <v:imagedata r:id="rId96" o:title=""/>
          </v:shape>
          <o:OLEObject Type="Embed" ProgID="Equation.DSMT4" ShapeID="_x0000_i1072" DrawAspect="Content" ObjectID="_1722089566" r:id="rId97"/>
        </w:object>
      </w:r>
      <w:r w:rsidR="006770D6">
        <w:t xml:space="preserve"> </w:t>
      </w:r>
      <w:r>
        <w:t xml:space="preserve">vector; there are a total of </w:t>
      </w:r>
      <w:r w:rsidR="000C44EE">
        <w:rPr>
          <w:position w:val="-10"/>
        </w:rPr>
        <w:object w:dxaOrig="6100" w:dyaOrig="360">
          <v:shape id="_x0000_i1073" type="#_x0000_t75" style="width:305.15pt;height:18pt" o:ole="" o:preferrelative="f">
            <v:imagedata r:id="rId98" o:title=""/>
            <o:lock v:ext="edit" aspectratio="f"/>
          </v:shape>
          <o:OLEObject Type="Embed" ProgID="Equation.DSMT4" ShapeID="_x0000_i1073" DrawAspect="Content" ObjectID="_1722089567" r:id="rId99"/>
        </w:object>
      </w:r>
      <w:r>
        <w:t xml:space="preserve"> possible combinations, |</w:t>
      </w:r>
      <w:r>
        <w:rPr>
          <w:i/>
        </w:rPr>
        <w:t>D</w:t>
      </w:r>
      <w:r>
        <w:t xml:space="preserve">| is the cardinality of the specific combination </w:t>
      </w:r>
      <w:r>
        <w:rPr>
          <w:i/>
        </w:rPr>
        <w:t>D</w:t>
      </w:r>
      <w:r>
        <w:t xml:space="preserve">, and </w:t>
      </w:r>
      <w:r w:rsidR="009F7145">
        <w:rPr>
          <w:position w:val="-12"/>
        </w:rPr>
        <w:object w:dxaOrig="279" w:dyaOrig="360">
          <v:shape id="_x0000_i1074" type="#_x0000_t75" style="width:14.15pt;height:18pt" o:ole="">
            <v:imagedata r:id="rId100" o:title=""/>
          </v:shape>
          <o:OLEObject Type="Embed" ProgID="Equation.DSMT4" ShapeID="_x0000_i1074" DrawAspect="Content" ObjectID="_1722089568" r:id="rId101"/>
        </w:object>
      </w:r>
      <w:r>
        <w:t xml:space="preserve"> is a sub-vector of the vector </w:t>
      </w:r>
      <w:r w:rsidR="009F7145">
        <w:rPr>
          <w:position w:val="-12"/>
        </w:rPr>
        <w:object w:dxaOrig="1520" w:dyaOrig="360">
          <v:shape id="_x0000_i1075" type="#_x0000_t75" style="width:75.85pt;height:18pt" o:ole="">
            <v:imagedata r:id="rId102" o:title=""/>
          </v:shape>
          <o:OLEObject Type="Embed" ProgID="Equation.DSMT4" ShapeID="_x0000_i1075" DrawAspect="Content" ObjectID="_1722089569" r:id="rId103"/>
        </w:object>
      </w:r>
      <w:r>
        <w:t xml:space="preserve"> with the appropriate elements corresponding to the combination </w:t>
      </w:r>
      <w:r>
        <w:rPr>
          <w:i/>
        </w:rPr>
        <w:t>D</w:t>
      </w:r>
      <w:r>
        <w:t xml:space="preserve"> extracted. </w:t>
      </w:r>
      <w:r w:rsidR="0054673E">
        <w:t>The probability density function corresponding to Equation (</w:t>
      </w:r>
      <w:r w:rsidR="000C44EE">
        <w:t>6</w:t>
      </w:r>
      <w:r w:rsidR="00AA2F15">
        <w:t>) and Equation (</w:t>
      </w:r>
      <w:r w:rsidR="000C44EE">
        <w:t>7</w:t>
      </w:r>
      <w:r w:rsidR="00AA2F15">
        <w:t>) may be derived in a straightforward manner as below:</w:t>
      </w:r>
    </w:p>
    <w:p w:rsidR="00AA2F15" w:rsidRDefault="003F528F" w:rsidP="00CB4D5B">
      <w:pPr>
        <w:tabs>
          <w:tab w:val="right" w:pos="9360"/>
        </w:tabs>
        <w:spacing w:before="60" w:after="120" w:line="276" w:lineRule="auto"/>
        <w:jc w:val="both"/>
      </w:pPr>
      <w:r w:rsidRPr="00156B7F">
        <w:rPr>
          <w:position w:val="-110"/>
        </w:rPr>
        <w:object w:dxaOrig="7000" w:dyaOrig="2320">
          <v:shape id="_x0000_i1076" type="#_x0000_t75" style="width:350.15pt;height:116.15pt" o:ole="">
            <v:imagedata r:id="rId104" o:title=""/>
          </v:shape>
          <o:OLEObject Type="Embed" ProgID="Equation.DSMT4" ShapeID="_x0000_i1076" DrawAspect="Content" ObjectID="_1722089570" r:id="rId105"/>
        </w:object>
      </w:r>
      <w:r w:rsidR="000C44EE">
        <w:tab/>
      </w:r>
      <w:r w:rsidR="00CD6211">
        <w:t>(</w:t>
      </w:r>
      <w:r w:rsidR="000C44EE">
        <w:t>8</w:t>
      </w:r>
      <w:r w:rsidR="00CD6211">
        <w:t>)</w:t>
      </w:r>
    </w:p>
    <w:p w:rsidR="0064219E" w:rsidRDefault="0064219E" w:rsidP="000C44EE">
      <w:pPr>
        <w:spacing w:line="276" w:lineRule="auto"/>
        <w:ind w:firstLine="720"/>
        <w:jc w:val="both"/>
      </w:pPr>
      <w:r>
        <w:lastRenderedPageBreak/>
        <w:t>To find the optimal fractional splits of goods, the Lagrangian is constructed and the first order equations are derived based on the Karush-Kuhn-Tucker (KKT) conditions. The procedure is identical to Bhat (2008), except with a different error distribution than in Bhat (2008). Specifically, the Lagrangian function for the model, when combined with the budget constraint, is:</w:t>
      </w:r>
    </w:p>
    <w:p w:rsidR="0064219E" w:rsidRDefault="009E1177" w:rsidP="00CB4D5B">
      <w:pPr>
        <w:tabs>
          <w:tab w:val="right" w:pos="9360"/>
        </w:tabs>
        <w:spacing w:before="60" w:after="60" w:line="276" w:lineRule="auto"/>
        <w:jc w:val="both"/>
      </w:pPr>
      <w:r>
        <w:rPr>
          <w:position w:val="-30"/>
        </w:rPr>
        <w:object w:dxaOrig="2340" w:dyaOrig="720">
          <v:shape id="_x0000_i1077" type="#_x0000_t75" style="width:117pt;height:36pt" o:ole="" o:preferrelative="f">
            <v:imagedata r:id="rId106" o:title=""/>
            <o:lock v:ext="edit" aspectratio="f"/>
          </v:shape>
          <o:OLEObject Type="Embed" ProgID="Equation.DSMT4" ShapeID="_x0000_i1077" DrawAspect="Content" ObjectID="_1722089571" r:id="rId107"/>
        </w:object>
      </w:r>
      <w:r w:rsidR="0064219E">
        <w:t xml:space="preserve">, </w:t>
      </w:r>
      <w:r w:rsidR="0064219E">
        <w:tab/>
        <w:t>(</w:t>
      </w:r>
      <w:r w:rsidR="000C44EE">
        <w:t>9</w:t>
      </w:r>
      <w:r w:rsidR="0064219E">
        <w:t>)</w:t>
      </w:r>
    </w:p>
    <w:p w:rsidR="0064219E" w:rsidRDefault="0064219E" w:rsidP="000C44EE">
      <w:pPr>
        <w:keepNext/>
        <w:keepLines/>
        <w:spacing w:line="276" w:lineRule="auto"/>
        <w:jc w:val="both"/>
      </w:pPr>
      <w:r>
        <w:t xml:space="preserve">where </w:t>
      </w:r>
      <w:r w:rsidR="004973B8">
        <w:rPr>
          <w:position w:val="-6"/>
        </w:rPr>
        <w:object w:dxaOrig="216" w:dyaOrig="276">
          <v:shape id="_x0000_i1078" type="#_x0000_t75" style="width:10.7pt;height:13.7pt" o:ole="" o:preferrelative="f">
            <v:imagedata r:id="rId108" o:title=""/>
            <o:lock v:ext="edit" aspectratio="f"/>
          </v:shape>
          <o:OLEObject Type="Embed" ProgID="Equation.3" ShapeID="_x0000_i1078" DrawAspect="Content" ObjectID="_1722089572" r:id="rId109"/>
        </w:object>
      </w:r>
      <w:r>
        <w:t xml:space="preserve"> is a Lagrangian multiplier for the constraint. The KKT first</w:t>
      </w:r>
      <w:r w:rsidR="00B77574">
        <w:t>-</w:t>
      </w:r>
      <w:r>
        <w:t>order conditions for optimal fractional allocations (</w:t>
      </w:r>
      <w:r w:rsidR="00650C1F">
        <w:rPr>
          <w:position w:val="-12"/>
        </w:rPr>
        <w:object w:dxaOrig="400" w:dyaOrig="400">
          <v:shape id="_x0000_i1079" type="#_x0000_t75" style="width:20.15pt;height:20.15pt" o:ole="">
            <v:imagedata r:id="rId110" o:title=""/>
          </v:shape>
          <o:OLEObject Type="Embed" ProgID="Equation.DSMT4" ShapeID="_x0000_i1079" DrawAspect="Content" ObjectID="_1722089573" r:id="rId111"/>
        </w:object>
      </w:r>
      <w:r>
        <w:t>) are as follows:</w:t>
      </w:r>
    </w:p>
    <w:p w:rsidR="0064219E" w:rsidRDefault="008E2B3D" w:rsidP="00CB4D5B">
      <w:pPr>
        <w:tabs>
          <w:tab w:val="right" w:pos="9360"/>
        </w:tabs>
        <w:spacing w:before="60" w:after="60" w:line="276" w:lineRule="auto"/>
        <w:jc w:val="both"/>
      </w:pPr>
      <w:r>
        <w:rPr>
          <w:position w:val="-32"/>
        </w:rPr>
        <w:object w:dxaOrig="2220" w:dyaOrig="820">
          <v:shape id="_x0000_i1080" type="#_x0000_t75" style="width:111pt;height:41.15pt" o:ole="">
            <v:imagedata r:id="rId112" o:title=""/>
          </v:shape>
          <o:OLEObject Type="Embed" ProgID="Equation.DSMT4" ShapeID="_x0000_i1080" DrawAspect="Content" ObjectID="_1722089574" r:id="rId113"/>
        </w:object>
      </w:r>
      <w:r w:rsidR="0064219E">
        <w:t xml:space="preserve">, if </w:t>
      </w:r>
      <w:r>
        <w:rPr>
          <w:position w:val="-12"/>
        </w:rPr>
        <w:object w:dxaOrig="780" w:dyaOrig="400">
          <v:shape id="_x0000_i1081" type="#_x0000_t75" style="width:39pt;height:20.15pt" o:ole="">
            <v:imagedata r:id="rId114" o:title=""/>
          </v:shape>
          <o:OLEObject Type="Embed" ProgID="Equation.DSMT4" ShapeID="_x0000_i1081" DrawAspect="Content" ObjectID="_1722089575" r:id="rId115"/>
        </w:object>
      </w:r>
      <w:r w:rsidR="0064219E">
        <w:t xml:space="preserve">, </w:t>
      </w:r>
      <w:r w:rsidR="0064219E">
        <w:rPr>
          <w:i/>
        </w:rPr>
        <w:t>k</w:t>
      </w:r>
      <w:r w:rsidR="0064219E">
        <w:t xml:space="preserve"> = 1, 2,…, </w:t>
      </w:r>
      <w:r w:rsidR="0064219E">
        <w:rPr>
          <w:i/>
        </w:rPr>
        <w:t>K</w:t>
      </w:r>
      <w:r w:rsidR="0064219E">
        <w:t xml:space="preserve"> </w:t>
      </w:r>
      <w:r w:rsidR="000C44EE">
        <w:tab/>
      </w:r>
      <w:r w:rsidR="0064219E">
        <w:t>(</w:t>
      </w:r>
      <w:r w:rsidR="000C44EE">
        <w:t>10</w:t>
      </w:r>
      <w:r w:rsidR="0064219E">
        <w:t>)</w:t>
      </w:r>
    </w:p>
    <w:p w:rsidR="0064219E" w:rsidRPr="004A2A32" w:rsidRDefault="0064219E" w:rsidP="00CB4D5B">
      <w:pPr>
        <w:spacing w:after="60" w:line="276" w:lineRule="auto"/>
        <w:jc w:val="both"/>
      </w:pPr>
      <w:r>
        <w:rPr>
          <w:position w:val="-12"/>
        </w:rPr>
        <w:object w:dxaOrig="1176" w:dyaOrig="360">
          <v:shape id="_x0000_i1082" type="#_x0000_t75" style="width:58.7pt;height:18pt" o:ole="">
            <v:imagedata r:id="rId116" o:title=""/>
          </v:shape>
          <o:OLEObject Type="Embed" ProgID="Equation.DSMT4" ShapeID="_x0000_i1082" DrawAspect="Content" ObjectID="_1722089576" r:id="rId117"/>
        </w:object>
      </w:r>
      <w:r>
        <w:t xml:space="preserve">, if </w:t>
      </w:r>
      <w:r w:rsidR="008E2B3D">
        <w:rPr>
          <w:position w:val="-12"/>
        </w:rPr>
        <w:object w:dxaOrig="780" w:dyaOrig="400">
          <v:shape id="_x0000_i1083" type="#_x0000_t75" style="width:39pt;height:20.15pt" o:ole="">
            <v:imagedata r:id="rId118" o:title=""/>
          </v:shape>
          <o:OLEObject Type="Embed" ProgID="Equation.DSMT4" ShapeID="_x0000_i1083" DrawAspect="Content" ObjectID="_1722089577" r:id="rId119"/>
        </w:object>
      </w:r>
      <w:r>
        <w:t xml:space="preserve">, </w:t>
      </w:r>
      <w:r>
        <w:rPr>
          <w:i/>
        </w:rPr>
        <w:t>k</w:t>
      </w:r>
      <w:r>
        <w:t xml:space="preserve"> = 1, 2,…, </w:t>
      </w:r>
      <w:r>
        <w:rPr>
          <w:i/>
        </w:rPr>
        <w:t>K</w:t>
      </w:r>
      <w:r w:rsidR="004A2A32">
        <w:t>.</w:t>
      </w:r>
    </w:p>
    <w:p w:rsidR="0064219E" w:rsidRDefault="0064219E" w:rsidP="000C44EE">
      <w:pPr>
        <w:spacing w:line="276" w:lineRule="auto"/>
        <w:jc w:val="both"/>
      </w:pPr>
      <w:r>
        <w:t>The optimal fractional allocation satisfies the conditions in Equation (</w:t>
      </w:r>
      <w:r w:rsidR="000C44EE">
        <w:t>10</w:t>
      </w:r>
      <w:r>
        <w:t xml:space="preserve">) plus the constraint </w:t>
      </w:r>
      <w:r w:rsidR="008E2B3D">
        <w:rPr>
          <w:position w:val="-28"/>
        </w:rPr>
        <w:object w:dxaOrig="1180" w:dyaOrig="680">
          <v:shape id="_x0000_i1084" type="#_x0000_t75" style="width:59.15pt;height:33.85pt" o:ole="">
            <v:imagedata r:id="rId120" o:title=""/>
          </v:shape>
          <o:OLEObject Type="Embed" ProgID="Equation.DSMT4" ShapeID="_x0000_i1084" DrawAspect="Content" ObjectID="_1722089578" r:id="rId121"/>
        </w:object>
      </w:r>
      <w:r>
        <w:t xml:space="preserve"> The unit sum constraint for the fractions implies that only </w:t>
      </w:r>
      <w:r>
        <w:rPr>
          <w:i/>
        </w:rPr>
        <w:t>K</w:t>
      </w:r>
      <w:r w:rsidR="00AB6D76">
        <w:t>–</w:t>
      </w:r>
      <w:r>
        <w:t xml:space="preserve">1 of the </w:t>
      </w:r>
      <w:r w:rsidR="008E2B3D">
        <w:rPr>
          <w:position w:val="-12"/>
        </w:rPr>
        <w:object w:dxaOrig="400" w:dyaOrig="400">
          <v:shape id="_x0000_i1085" type="#_x0000_t75" style="width:20.15pt;height:20.15pt" o:ole="">
            <v:imagedata r:id="rId122" o:title=""/>
          </v:shape>
          <o:OLEObject Type="Embed" ProgID="Equation.DSMT4" ShapeID="_x0000_i1085" DrawAspect="Content" ObjectID="_1722089579" r:id="rId123"/>
        </w:object>
      </w:r>
      <w:r>
        <w:t xml:space="preserve"> values need to be estimated, since the fractional allocation to one good is automatically determined from the fractional allocations of all the other goods.  To accommodate this constraint, designate activity purpose 1 as a purpose to which the individual allocates some non-zero fraction of consumption</w:t>
      </w:r>
      <w:r w:rsidR="008E2B3D">
        <w:t>.</w:t>
      </w:r>
      <w:r>
        <w:t xml:space="preserve"> For the first good, the KKT condition may then be written as:</w:t>
      </w:r>
    </w:p>
    <w:p w:rsidR="0064219E" w:rsidRDefault="008E2B3D" w:rsidP="00CB4D5B">
      <w:pPr>
        <w:keepNext/>
        <w:keepLines/>
        <w:spacing w:before="60" w:after="60" w:line="276" w:lineRule="auto"/>
        <w:jc w:val="both"/>
      </w:pPr>
      <w:r>
        <w:rPr>
          <w:position w:val="-32"/>
        </w:rPr>
        <w:object w:dxaOrig="1760" w:dyaOrig="820">
          <v:shape id="_x0000_i1086" type="#_x0000_t75" style="width:87.85pt;height:41.15pt" o:ole="">
            <v:imagedata r:id="rId124" o:title=""/>
          </v:shape>
          <o:OLEObject Type="Embed" ProgID="Equation.DSMT4" ShapeID="_x0000_i1086" DrawAspect="Content" ObjectID="_1722089580" r:id="rId125"/>
        </w:object>
      </w:r>
      <w:r w:rsidR="00CD6211">
        <w:tab/>
      </w:r>
      <w:r w:rsidR="00CD6211">
        <w:tab/>
      </w:r>
      <w:r w:rsidR="00CD6211">
        <w:tab/>
      </w:r>
      <w:r w:rsidR="00CD6211">
        <w:tab/>
      </w:r>
      <w:r w:rsidR="00CD6211">
        <w:tab/>
      </w:r>
      <w:r w:rsidR="00CD6211">
        <w:tab/>
      </w:r>
      <w:r w:rsidR="00CD6211">
        <w:tab/>
      </w:r>
      <w:r w:rsidR="00CD6211">
        <w:tab/>
      </w:r>
      <w:r w:rsidR="00CD6211">
        <w:tab/>
      </w:r>
      <w:r w:rsidR="00CD6211">
        <w:tab/>
        <w:t xml:space="preserve">     (1</w:t>
      </w:r>
      <w:r w:rsidR="00AB6D76">
        <w:t>1</w:t>
      </w:r>
      <w:r w:rsidR="00CD6211">
        <w:t>)</w:t>
      </w:r>
    </w:p>
    <w:p w:rsidR="0064219E" w:rsidRDefault="0064219E" w:rsidP="000C44EE">
      <w:pPr>
        <w:spacing w:line="276" w:lineRule="auto"/>
        <w:jc w:val="both"/>
      </w:pPr>
      <w:r>
        <w:t xml:space="preserve">Substituting for </w:t>
      </w:r>
      <w:r>
        <w:rPr>
          <w:position w:val="-6"/>
        </w:rPr>
        <w:object w:dxaOrig="216" w:dyaOrig="276">
          <v:shape id="_x0000_i1087" type="#_x0000_t75" style="width:10.7pt;height:13.7pt" o:ole="">
            <v:imagedata r:id="rId126" o:title=""/>
          </v:shape>
          <o:OLEObject Type="Embed" ProgID="Equation.3" ShapeID="_x0000_i1087" DrawAspect="Content" ObjectID="_1722089581" r:id="rId127"/>
        </w:object>
      </w:r>
      <w:r>
        <w:t xml:space="preserve"> from above into Equation (</w:t>
      </w:r>
      <w:r w:rsidR="00AB6D76">
        <w:t>8</w:t>
      </w:r>
      <w:r>
        <w:t>) for the other goods (</w:t>
      </w:r>
      <w:r>
        <w:rPr>
          <w:i/>
        </w:rPr>
        <w:t>k</w:t>
      </w:r>
      <w:r>
        <w:t xml:space="preserve"> = 2,…, </w:t>
      </w:r>
      <w:r>
        <w:rPr>
          <w:i/>
        </w:rPr>
        <w:t>K</w:t>
      </w:r>
      <w:r>
        <w:t>), and taking logarithms, we can rewrite the KKT conditions as:</w:t>
      </w:r>
    </w:p>
    <w:p w:rsidR="0064219E" w:rsidRDefault="003F528F" w:rsidP="00AB6D76">
      <w:pPr>
        <w:spacing w:before="120" w:after="120" w:line="276" w:lineRule="auto"/>
        <w:jc w:val="both"/>
      </w:pPr>
      <w:r>
        <w:rPr>
          <w:position w:val="-12"/>
        </w:rPr>
        <w:object w:dxaOrig="2640" w:dyaOrig="380">
          <v:shape id="_x0000_i1088" type="#_x0000_t75" style="width:132pt;height:18.85pt" o:ole="">
            <v:imagedata r:id="rId128" o:title=""/>
          </v:shape>
          <o:OLEObject Type="Embed" ProgID="Equation.DSMT4" ShapeID="_x0000_i1088" DrawAspect="Content" ObjectID="_1722089582" r:id="rId129"/>
        </w:object>
      </w:r>
      <w:r w:rsidR="0064219E">
        <w:t xml:space="preserve">   if fractional split =</w:t>
      </w:r>
      <w:r w:rsidR="008E2B3D">
        <w:rPr>
          <w:position w:val="-12"/>
        </w:rPr>
        <w:object w:dxaOrig="400" w:dyaOrig="400">
          <v:shape id="_x0000_i1089" type="#_x0000_t75" style="width:20.15pt;height:20.15pt" o:ole="">
            <v:imagedata r:id="rId130" o:title=""/>
          </v:shape>
          <o:OLEObject Type="Embed" ProgID="Equation.DSMT4" ShapeID="_x0000_i1089" DrawAspect="Content" ObjectID="_1722089583" r:id="rId131"/>
        </w:object>
      </w:r>
      <w:r w:rsidR="0064219E">
        <w:t xml:space="preserve"> (</w:t>
      </w:r>
      <w:r w:rsidR="0064219E">
        <w:rPr>
          <w:i/>
        </w:rPr>
        <w:t>k</w:t>
      </w:r>
      <w:r w:rsidR="0064219E">
        <w:t xml:space="preserve"> = 2, 3,…, </w:t>
      </w:r>
      <w:r w:rsidR="0064219E">
        <w:rPr>
          <w:i/>
        </w:rPr>
        <w:t>K</w:t>
      </w:r>
      <w:r w:rsidR="0064219E">
        <w:t xml:space="preserve">), </w:t>
      </w:r>
      <w:r w:rsidR="008E2B3D">
        <w:rPr>
          <w:position w:val="-12"/>
        </w:rPr>
        <w:object w:dxaOrig="780" w:dyaOrig="400">
          <v:shape id="_x0000_i1090" type="#_x0000_t75" style="width:39pt;height:20.15pt" o:ole="">
            <v:imagedata r:id="rId132" o:title=""/>
          </v:shape>
          <o:OLEObject Type="Embed" ProgID="Equation.DSMT4" ShapeID="_x0000_i1090" DrawAspect="Content" ObjectID="_1722089584" r:id="rId133"/>
        </w:object>
      </w:r>
      <w:r w:rsidR="0064219E">
        <w:t>(</w:t>
      </w:r>
      <w:r w:rsidR="0064219E">
        <w:rPr>
          <w:i/>
        </w:rPr>
        <w:t>k</w:t>
      </w:r>
      <w:r w:rsidR="0064219E">
        <w:t xml:space="preserve"> = 2, 3,…, </w:t>
      </w:r>
      <w:r w:rsidR="0064219E">
        <w:rPr>
          <w:i/>
        </w:rPr>
        <w:t>K</w:t>
      </w:r>
      <w:r w:rsidR="0064219E">
        <w:t>)</w:t>
      </w:r>
    </w:p>
    <w:p w:rsidR="0064219E" w:rsidRDefault="003F528F" w:rsidP="00AB6D76">
      <w:pPr>
        <w:tabs>
          <w:tab w:val="right" w:pos="9360"/>
        </w:tabs>
        <w:spacing w:line="276" w:lineRule="auto"/>
        <w:jc w:val="both"/>
      </w:pPr>
      <w:r>
        <w:rPr>
          <w:position w:val="-12"/>
        </w:rPr>
        <w:object w:dxaOrig="2760" w:dyaOrig="380">
          <v:shape id="_x0000_i1091" type="#_x0000_t75" style="width:138pt;height:18.85pt" o:ole="">
            <v:imagedata r:id="rId134" o:title=""/>
          </v:shape>
          <o:OLEObject Type="Embed" ProgID="Equation.DSMT4" ShapeID="_x0000_i1091" DrawAspect="Content" ObjectID="_1722089585" r:id="rId135"/>
        </w:object>
      </w:r>
      <w:r w:rsidR="0064219E">
        <w:t xml:space="preserve"> if </w:t>
      </w:r>
      <w:r w:rsidR="008E2B3D">
        <w:rPr>
          <w:position w:val="-12"/>
        </w:rPr>
        <w:object w:dxaOrig="780" w:dyaOrig="400">
          <v:shape id="_x0000_i1092" type="#_x0000_t75" style="width:39pt;height:20.15pt" o:ole="">
            <v:imagedata r:id="rId136" o:title=""/>
          </v:shape>
          <o:OLEObject Type="Embed" ProgID="Equation.DSMT4" ShapeID="_x0000_i1092" DrawAspect="Content" ObjectID="_1722089586" r:id="rId137"/>
        </w:object>
      </w:r>
      <w:r w:rsidR="0064219E">
        <w:t xml:space="preserve"> (</w:t>
      </w:r>
      <w:r w:rsidR="0064219E">
        <w:rPr>
          <w:i/>
        </w:rPr>
        <w:t>k</w:t>
      </w:r>
      <w:r w:rsidR="0064219E">
        <w:t xml:space="preserve"> = 2, 3,…, </w:t>
      </w:r>
      <w:r w:rsidR="0064219E">
        <w:rPr>
          <w:i/>
        </w:rPr>
        <w:t>K</w:t>
      </w:r>
      <w:r w:rsidR="0064219E">
        <w:t>), where</w:t>
      </w:r>
      <w:r w:rsidR="0064219E">
        <w:tab/>
      </w:r>
      <w:r w:rsidR="00CD6211">
        <w:t xml:space="preserve"> </w:t>
      </w:r>
      <w:r w:rsidR="0064219E">
        <w:t>(</w:t>
      </w:r>
      <w:r w:rsidR="00CD6211">
        <w:t>1</w:t>
      </w:r>
      <w:r w:rsidR="00AB6D76">
        <w:t>2</w:t>
      </w:r>
      <w:r w:rsidR="0064219E">
        <w:t xml:space="preserve">)     </w:t>
      </w:r>
    </w:p>
    <w:p w:rsidR="0064219E" w:rsidRDefault="007A5E7B" w:rsidP="00AB6D76">
      <w:pPr>
        <w:spacing w:before="120" w:after="120" w:line="276" w:lineRule="auto"/>
        <w:jc w:val="both"/>
      </w:pPr>
      <w:r>
        <w:rPr>
          <w:position w:val="-32"/>
        </w:rPr>
        <w:object w:dxaOrig="3320" w:dyaOrig="760">
          <v:shape id="_x0000_i1093" type="#_x0000_t75" style="width:166.3pt;height:38.15pt" o:ole="">
            <v:imagedata r:id="rId138" o:title=""/>
          </v:shape>
          <o:OLEObject Type="Embed" ProgID="Equation.DSMT4" ShapeID="_x0000_i1093" DrawAspect="Content" ObjectID="_1722089587" r:id="rId139"/>
        </w:object>
      </w:r>
      <w:r w:rsidR="005602F3">
        <w:t xml:space="preserve"> </w:t>
      </w:r>
      <w:r w:rsidR="0064219E">
        <w:t>(</w:t>
      </w:r>
      <w:r w:rsidR="0064219E">
        <w:rPr>
          <w:i/>
        </w:rPr>
        <w:t>k</w:t>
      </w:r>
      <w:r w:rsidR="0064219E">
        <w:t xml:space="preserve"> = 1, 2,,…,</w:t>
      </w:r>
      <w:r>
        <w:t xml:space="preserve"> </w:t>
      </w:r>
      <w:r w:rsidR="0064219E">
        <w:rPr>
          <w:i/>
        </w:rPr>
        <w:t>K</w:t>
      </w:r>
      <w:r w:rsidR="0064219E">
        <w:t xml:space="preserve">), and </w:t>
      </w:r>
      <w:r w:rsidRPr="00712F8D">
        <w:rPr>
          <w:position w:val="-24"/>
        </w:rPr>
        <w:object w:dxaOrig="2040" w:dyaOrig="620">
          <v:shape id="_x0000_i1094" type="#_x0000_t75" style="width:102pt;height:30.85pt" o:ole="">
            <v:imagedata r:id="rId140" o:title=""/>
          </v:shape>
          <o:OLEObject Type="Embed" ProgID="Equation.DSMT4" ShapeID="_x0000_i1094" DrawAspect="Content" ObjectID="_1722089588" r:id="rId141"/>
        </w:object>
      </w:r>
      <w:r>
        <w:t xml:space="preserve"> </w:t>
      </w:r>
      <w:r w:rsidR="0064219E">
        <w:t>(</w:t>
      </w:r>
      <w:r w:rsidR="0064219E">
        <w:rPr>
          <w:i/>
        </w:rPr>
        <w:t>k</w:t>
      </w:r>
      <w:r w:rsidR="0064219E">
        <w:t xml:space="preserve"> = </w:t>
      </w:r>
      <w:r w:rsidR="00864B13">
        <w:t>1,</w:t>
      </w:r>
      <w:r w:rsidR="005602F3">
        <w:t xml:space="preserve"> </w:t>
      </w:r>
      <w:r w:rsidR="0064219E">
        <w:t>2,…,</w:t>
      </w:r>
      <w:r>
        <w:t xml:space="preserve"> </w:t>
      </w:r>
      <w:r w:rsidR="0064219E">
        <w:rPr>
          <w:i/>
        </w:rPr>
        <w:t>K</w:t>
      </w:r>
      <w:r w:rsidR="0064219E">
        <w:t>).</w:t>
      </w:r>
    </w:p>
    <w:p w:rsidR="0064219E" w:rsidRDefault="0064219E" w:rsidP="005602F3">
      <w:pPr>
        <w:spacing w:line="276" w:lineRule="auto"/>
        <w:jc w:val="both"/>
      </w:pPr>
      <w:r>
        <w:t xml:space="preserve">Then, we get the expression below in the </w:t>
      </w:r>
      <w:r w:rsidR="00717244">
        <w:t xml:space="preserve">reverse Gumbel MDCEV (or </w:t>
      </w:r>
      <w:r>
        <w:t>RG-MDCEV</w:t>
      </w:r>
      <w:r w:rsidR="00717244">
        <w:t>)</w:t>
      </w:r>
      <w:r>
        <w:t xml:space="preserve"> model for the fractional allocation pattern, where the first </w:t>
      </w:r>
      <w:r w:rsidRPr="006448B3">
        <w:rPr>
          <w:i/>
        </w:rPr>
        <w:t>M</w:t>
      </w:r>
      <w:r>
        <w:t xml:space="preserve"> </w:t>
      </w:r>
      <w:r w:rsidR="006448B3">
        <w:t xml:space="preserve">inside </w:t>
      </w:r>
      <w:r>
        <w:t xml:space="preserve">goods are consumed at levels </w:t>
      </w:r>
      <w:r w:rsidR="008E2B3D">
        <w:rPr>
          <w:position w:val="-12"/>
        </w:rPr>
        <w:object w:dxaOrig="400" w:dyaOrig="400">
          <v:shape id="_x0000_i1095" type="#_x0000_t75" style="width:20.15pt;height:20.15pt" o:ole="">
            <v:imagedata r:id="rId142" o:title=""/>
          </v:shape>
          <o:OLEObject Type="Embed" ProgID="Equation.DSMT4" ShapeID="_x0000_i1095" DrawAspect="Content" ObjectID="_1722089589" r:id="rId143"/>
        </w:object>
      </w:r>
      <w:r>
        <w:t xml:space="preserve"> (</w:t>
      </w:r>
      <w:r>
        <w:rPr>
          <w:position w:val="-10"/>
        </w:rPr>
        <w:object w:dxaOrig="1344" w:dyaOrig="324">
          <v:shape id="_x0000_i1096" type="#_x0000_t75" style="width:67.3pt;height:16.3pt" o:ole="">
            <v:imagedata r:id="rId144" o:title=""/>
          </v:shape>
          <o:OLEObject Type="Embed" ProgID="Equation.DSMT4" ShapeID="_x0000_i1096" DrawAspect="Content" ObjectID="_1722089590" r:id="rId145"/>
        </w:object>
      </w:r>
      <w:r>
        <w:t xml:space="preserve">), and </w:t>
      </w:r>
      <w:r w:rsidR="008E2B3D">
        <w:rPr>
          <w:position w:val="-28"/>
        </w:rPr>
        <w:object w:dxaOrig="1579" w:dyaOrig="680">
          <v:shape id="_x0000_i1097" type="#_x0000_t75" style="width:78.85pt;height:33.85pt" o:ole="">
            <v:imagedata r:id="rId146" o:title=""/>
          </v:shape>
          <o:OLEObject Type="Embed" ProgID="Equation.DSMT4" ShapeID="_x0000_i1097" DrawAspect="Content" ObjectID="_1722089591" r:id="rId147"/>
        </w:object>
      </w:r>
      <w:r>
        <w:t xml:space="preserve">: </w:t>
      </w:r>
    </w:p>
    <w:p w:rsidR="0064219E" w:rsidRDefault="006770D6" w:rsidP="000C44EE">
      <w:pPr>
        <w:tabs>
          <w:tab w:val="right" w:pos="9360"/>
        </w:tabs>
        <w:spacing w:before="60" w:after="60" w:line="276" w:lineRule="auto"/>
        <w:jc w:val="both"/>
      </w:pPr>
      <w:r>
        <w:rPr>
          <w:position w:val="-130"/>
        </w:rPr>
        <w:object w:dxaOrig="8760" w:dyaOrig="2360">
          <v:shape id="_x0000_i1098" type="#_x0000_t75" style="width:438pt;height:117.85pt" o:ole="" o:preferrelative="f">
            <v:imagedata r:id="rId148" o:title=""/>
            <o:lock v:ext="edit" aspectratio="f"/>
          </v:shape>
          <o:OLEObject Type="Embed" ProgID="Equation.DSMT4" ShapeID="_x0000_i1098" DrawAspect="Content" ObjectID="_1722089592" r:id="rId149"/>
        </w:object>
      </w:r>
    </w:p>
    <w:p w:rsidR="0064219E" w:rsidRDefault="004F3EB0" w:rsidP="00AB6D76">
      <w:pPr>
        <w:tabs>
          <w:tab w:val="right" w:pos="9360"/>
        </w:tabs>
        <w:spacing w:before="60" w:after="60" w:line="276" w:lineRule="auto"/>
        <w:jc w:val="both"/>
      </w:pPr>
      <w:r w:rsidRPr="001A1085">
        <w:rPr>
          <w:position w:val="-70"/>
        </w:rPr>
        <w:object w:dxaOrig="8440" w:dyaOrig="1520">
          <v:shape id="_x0000_i1099" type="#_x0000_t75" style="width:422.15pt;height:75.85pt" o:ole="" o:preferrelative="f">
            <v:imagedata r:id="rId150" o:title=""/>
            <o:lock v:ext="edit" aspectratio="f"/>
          </v:shape>
          <o:OLEObject Type="Embed" ProgID="Equation.DSMT4" ShapeID="_x0000_i1099" DrawAspect="Content" ObjectID="_1722089593" r:id="rId151"/>
        </w:object>
      </w:r>
      <w:r w:rsidR="0064219E">
        <w:t xml:space="preserve">     </w:t>
      </w:r>
      <w:r w:rsidR="00CD6211">
        <w:t xml:space="preserve"> </w:t>
      </w:r>
      <w:r w:rsidR="00AB6D76">
        <w:tab/>
      </w:r>
      <w:r w:rsidR="0064219E">
        <w:t>(1</w:t>
      </w:r>
      <w:r w:rsidR="00AB6D76">
        <w:t>3</w:t>
      </w:r>
      <w:r w:rsidR="0064219E">
        <w:t>)</w:t>
      </w:r>
    </w:p>
    <w:p w:rsidR="00712F8D" w:rsidRDefault="0064219E" w:rsidP="00CB4D5B">
      <w:pPr>
        <w:spacing w:after="60" w:line="276" w:lineRule="auto"/>
        <w:jc w:val="both"/>
      </w:pPr>
      <w:r>
        <w:t xml:space="preserve">where </w:t>
      </w:r>
      <w:r>
        <w:rPr>
          <w:position w:val="-32"/>
        </w:rPr>
        <w:object w:dxaOrig="3384" w:dyaOrig="756">
          <v:shape id="_x0000_i1100" type="#_x0000_t75" style="width:169.3pt;height:37.7pt" o:ole="">
            <v:imagedata r:id="rId152" o:title=""/>
          </v:shape>
          <o:OLEObject Type="Embed" ProgID="Equation.DSMT4" ShapeID="_x0000_i1100" DrawAspect="Content" ObjectID="_1722089594" r:id="rId153"/>
        </w:object>
      </w:r>
      <w:r w:rsidR="008E2B3D">
        <w:rPr>
          <w:position w:val="-32"/>
        </w:rPr>
        <w:object w:dxaOrig="1500" w:dyaOrig="760">
          <v:shape id="_x0000_i1101" type="#_x0000_t75" style="width:75pt;height:38.15pt" o:ole="">
            <v:imagedata r:id="rId154" o:title=""/>
          </v:shape>
          <o:OLEObject Type="Embed" ProgID="Equation.DSMT4" ShapeID="_x0000_i1101" DrawAspect="Content" ObjectID="_1722089595" r:id="rId155"/>
        </w:object>
      </w:r>
      <w:r>
        <w:t xml:space="preserve">. </w:t>
      </w:r>
    </w:p>
    <w:p w:rsidR="0064219E" w:rsidRDefault="0064219E" w:rsidP="000C44EE">
      <w:pPr>
        <w:spacing w:line="276" w:lineRule="auto"/>
        <w:jc w:val="both"/>
      </w:pPr>
      <w:r>
        <w:t xml:space="preserve">The probability that all the </w:t>
      </w:r>
      <w:r w:rsidR="006448B3">
        <w:t xml:space="preserve">inside </w:t>
      </w:r>
      <w:r>
        <w:t xml:space="preserve">goods are consumed at fractional levels </w:t>
      </w:r>
      <w:r w:rsidR="008E2B3D">
        <w:rPr>
          <w:position w:val="-12"/>
        </w:rPr>
        <w:object w:dxaOrig="1500" w:dyaOrig="400">
          <v:shape id="_x0000_i1102" type="#_x0000_t75" style="width:75pt;height:20.15pt" o:ole="">
            <v:imagedata r:id="rId156" o:title=""/>
          </v:shape>
          <o:OLEObject Type="Embed" ProgID="Equation.DSMT4" ShapeID="_x0000_i1102" DrawAspect="Content" ObjectID="_1722089596" r:id="rId157"/>
        </w:object>
      </w:r>
      <w:r>
        <w:t xml:space="preserve"> is:</w:t>
      </w:r>
    </w:p>
    <w:p w:rsidR="0064219E" w:rsidRDefault="006770D6" w:rsidP="00CB4D5B">
      <w:pPr>
        <w:tabs>
          <w:tab w:val="right" w:pos="9360"/>
        </w:tabs>
        <w:spacing w:before="60" w:after="60" w:line="276" w:lineRule="auto"/>
        <w:jc w:val="both"/>
      </w:pPr>
      <w:r>
        <w:rPr>
          <w:position w:val="-90"/>
        </w:rPr>
        <w:object w:dxaOrig="4940" w:dyaOrig="1920">
          <v:shape id="_x0000_i1103" type="#_x0000_t75" style="width:246.85pt;height:96pt" o:ole="">
            <v:imagedata r:id="rId158" o:title=""/>
          </v:shape>
          <o:OLEObject Type="Embed" ProgID="Equation.DSMT4" ShapeID="_x0000_i1103" DrawAspect="Content" ObjectID="_1722089597" r:id="rId159"/>
        </w:object>
      </w:r>
      <w:r w:rsidR="0064219E">
        <w:t xml:space="preserve">       </w:t>
      </w:r>
      <w:r w:rsidR="0064219E">
        <w:tab/>
        <w:t>(1</w:t>
      </w:r>
      <w:r w:rsidR="00AB6D76">
        <w:t>4</w:t>
      </w:r>
      <w:r w:rsidR="0064219E">
        <w:t xml:space="preserve">)              </w:t>
      </w:r>
    </w:p>
    <w:p w:rsidR="00864B13" w:rsidRPr="002A249E" w:rsidRDefault="00864B13" w:rsidP="000C44EE">
      <w:pPr>
        <w:spacing w:line="276" w:lineRule="auto"/>
        <w:jc w:val="both"/>
      </w:pPr>
      <w:r w:rsidRPr="002A249E">
        <w:t>The probability that none of the inside goods</w:t>
      </w:r>
      <w:r w:rsidR="007271A6">
        <w:t xml:space="preserve"> </w:t>
      </w:r>
      <w:r w:rsidRPr="002A249E">
        <w:t>are consumed is:</w:t>
      </w:r>
    </w:p>
    <w:p w:rsidR="00AB6D76" w:rsidRDefault="004D0FD4" w:rsidP="00CB4D5B">
      <w:pPr>
        <w:tabs>
          <w:tab w:val="right" w:pos="9360"/>
        </w:tabs>
        <w:spacing w:before="60" w:after="60" w:line="276" w:lineRule="auto"/>
        <w:jc w:val="both"/>
      </w:pPr>
      <w:r w:rsidRPr="002A249E">
        <w:rPr>
          <w:position w:val="-64"/>
        </w:rPr>
        <w:object w:dxaOrig="8180" w:dyaOrig="1060">
          <v:shape id="_x0000_i1104" type="#_x0000_t75" style="width:408.85pt;height:53.15pt" o:ole="">
            <v:imagedata r:id="rId160" o:title=""/>
          </v:shape>
          <o:OLEObject Type="Embed" ProgID="Equation.DSMT4" ShapeID="_x0000_i1104" DrawAspect="Content" ObjectID="_1722089598" r:id="rId161"/>
        </w:object>
      </w:r>
      <w:r w:rsidR="00864B13">
        <w:t>.</w:t>
      </w:r>
      <w:r w:rsidR="00864B13" w:rsidRPr="002A249E">
        <w:t xml:space="preserve">  </w:t>
      </w:r>
      <w:r w:rsidR="00AB6D76">
        <w:tab/>
      </w:r>
      <w:r w:rsidR="00CD6211">
        <w:t>(1</w:t>
      </w:r>
      <w:r w:rsidR="00AB6D76">
        <w:t>5</w:t>
      </w:r>
      <w:r w:rsidR="00CD6211">
        <w:t>)</w:t>
      </w:r>
    </w:p>
    <w:p w:rsidR="00F71ABF" w:rsidRPr="00603756" w:rsidRDefault="0064219E" w:rsidP="00AB6D76">
      <w:pPr>
        <w:spacing w:line="276" w:lineRule="auto"/>
        <w:jc w:val="both"/>
      </w:pPr>
      <w:r w:rsidRPr="00603756">
        <w:t xml:space="preserve">The parameters to be estimated in the model above include the </w:t>
      </w:r>
      <w:r w:rsidRPr="00603756">
        <w:rPr>
          <w:position w:val="-10"/>
        </w:rPr>
        <w:object w:dxaOrig="204" w:dyaOrig="324">
          <v:shape id="_x0000_i1105" type="#_x0000_t75" style="width:10.3pt;height:16.3pt" o:ole="">
            <v:imagedata r:id="rId162" o:title=""/>
          </v:shape>
          <o:OLEObject Type="Embed" ProgID="Equation.DSMT4" ShapeID="_x0000_i1105" DrawAspect="Content" ObjectID="_1722089599" r:id="rId163"/>
        </w:object>
      </w:r>
      <w:r w:rsidRPr="00603756">
        <w:t xml:space="preserve"> vector</w:t>
      </w:r>
      <w:r w:rsidR="0069086B" w:rsidRPr="00603756">
        <w:t xml:space="preserve">, </w:t>
      </w:r>
      <w:r w:rsidRPr="00603756">
        <w:t xml:space="preserve">the </w:t>
      </w:r>
      <w:r w:rsidRPr="00603756">
        <w:rPr>
          <w:position w:val="-12"/>
        </w:rPr>
        <w:object w:dxaOrig="1596" w:dyaOrig="360">
          <v:shape id="_x0000_i1106" type="#_x0000_t75" style="width:79.7pt;height:18pt" o:ole="">
            <v:imagedata r:id="rId164" o:title=""/>
          </v:shape>
          <o:OLEObject Type="Embed" ProgID="Equation.DSMT4" ShapeID="_x0000_i1106" DrawAspect="Content" ObjectID="_1722089600" r:id="rId165"/>
        </w:object>
      </w:r>
      <w:r w:rsidRPr="00603756">
        <w:t xml:space="preserve"> vector</w:t>
      </w:r>
      <w:r w:rsidR="0069086B" w:rsidRPr="00603756">
        <w:t xml:space="preserve">, and the </w:t>
      </w:r>
      <w:bookmarkStart w:id="1" w:name="MTBlankEqn"/>
      <w:r w:rsidR="0069086B" w:rsidRPr="00603756">
        <w:rPr>
          <w:position w:val="-6"/>
        </w:rPr>
        <w:object w:dxaOrig="240" w:dyaOrig="220">
          <v:shape id="_x0000_i1107" type="#_x0000_t75" style="width:12pt;height:11.15pt" o:ole="">
            <v:imagedata r:id="rId166" o:title=""/>
          </v:shape>
          <o:OLEObject Type="Embed" ProgID="Equation.DSMT4" ShapeID="_x0000_i1107" DrawAspect="Content" ObjectID="_1722089601" r:id="rId167"/>
        </w:object>
      </w:r>
      <w:bookmarkEnd w:id="1"/>
      <w:r w:rsidR="0069086B" w:rsidRPr="00603756">
        <w:t xml:space="preserve"> scalar</w:t>
      </w:r>
      <w:r w:rsidRPr="00603756">
        <w:t xml:space="preserve">. However, note that these parameters from the </w:t>
      </w:r>
      <w:r w:rsidR="00F71ABF" w:rsidRPr="00603756">
        <w:t>RG-</w:t>
      </w:r>
      <w:r w:rsidR="00F8586C" w:rsidRPr="00603756">
        <w:t>MDCEV</w:t>
      </w:r>
      <w:r w:rsidRPr="00603756">
        <w:t xml:space="preserve"> </w:t>
      </w:r>
      <w:r w:rsidR="00F71ABF" w:rsidRPr="00603756">
        <w:t xml:space="preserve">fractional </w:t>
      </w:r>
      <w:r w:rsidRPr="00603756">
        <w:t xml:space="preserve">model also appear in the total </w:t>
      </w:r>
      <w:r w:rsidR="00F71ABF" w:rsidRPr="00603756">
        <w:t>budget</w:t>
      </w:r>
      <w:r w:rsidRPr="00603756">
        <w:t xml:space="preserve"> model, and hence we discuss the overall estimation procedure in Section 2.3 after first discussing the total </w:t>
      </w:r>
      <w:r w:rsidR="00F71ABF" w:rsidRPr="00603756">
        <w:t xml:space="preserve">budget (in the product group) and the linking approach between the fractional allocation model and the total budget model. </w:t>
      </w:r>
    </w:p>
    <w:p w:rsidR="00911022" w:rsidRDefault="00911022" w:rsidP="000C44EE">
      <w:pPr>
        <w:spacing w:line="276" w:lineRule="auto"/>
        <w:jc w:val="both"/>
      </w:pPr>
    </w:p>
    <w:p w:rsidR="00C22211" w:rsidRPr="007422BF" w:rsidRDefault="003826EA" w:rsidP="000C44EE">
      <w:pPr>
        <w:numPr>
          <w:ilvl w:val="1"/>
          <w:numId w:val="6"/>
        </w:numPr>
        <w:spacing w:line="276" w:lineRule="auto"/>
        <w:jc w:val="both"/>
        <w:rPr>
          <w:b/>
        </w:rPr>
      </w:pPr>
      <w:r w:rsidRPr="007422BF">
        <w:rPr>
          <w:b/>
        </w:rPr>
        <w:t xml:space="preserve">Total </w:t>
      </w:r>
      <w:r w:rsidR="007422BF">
        <w:rPr>
          <w:b/>
        </w:rPr>
        <w:t>B</w:t>
      </w:r>
      <w:r w:rsidRPr="007422BF">
        <w:rPr>
          <w:b/>
        </w:rPr>
        <w:t xml:space="preserve">udget </w:t>
      </w:r>
      <w:r w:rsidR="00E429D7">
        <w:rPr>
          <w:b/>
        </w:rPr>
        <w:t xml:space="preserve">in Product Group </w:t>
      </w:r>
      <w:r w:rsidRPr="007422BF">
        <w:rPr>
          <w:b/>
        </w:rPr>
        <w:t>and Linking with the RG-MDCEV Model</w:t>
      </w:r>
    </w:p>
    <w:p w:rsidR="00C22211" w:rsidRPr="00AB6D76" w:rsidRDefault="00C22211" w:rsidP="000C44EE">
      <w:pPr>
        <w:numPr>
          <w:ilvl w:val="2"/>
          <w:numId w:val="6"/>
        </w:numPr>
        <w:spacing w:line="276" w:lineRule="auto"/>
        <w:jc w:val="both"/>
        <w:rPr>
          <w:i/>
        </w:rPr>
      </w:pPr>
      <w:r w:rsidRPr="00AB6D76">
        <w:rPr>
          <w:i/>
        </w:rPr>
        <w:t>Theoretical Background</w:t>
      </w:r>
    </w:p>
    <w:p w:rsidR="00560D9B" w:rsidRDefault="00A67B6C" w:rsidP="000C44EE">
      <w:pPr>
        <w:spacing w:line="276" w:lineRule="auto"/>
        <w:jc w:val="both"/>
      </w:pPr>
      <w:r>
        <w:t xml:space="preserve">This section is </w:t>
      </w:r>
      <w:r w:rsidR="00560D9B">
        <w:t>motivated by</w:t>
      </w:r>
      <w:r>
        <w:t xml:space="preserve"> </w:t>
      </w:r>
      <w:r w:rsidR="0078607C">
        <w:t xml:space="preserve">the basic idea of two-stage budgeting based on separable </w:t>
      </w:r>
      <w:r w:rsidR="00DB115D">
        <w:t xml:space="preserve">direct </w:t>
      </w:r>
      <w:r w:rsidR="0078607C">
        <w:t>utility functions across mutually disjunct product groups</w:t>
      </w:r>
      <w:r w:rsidR="00552A8F">
        <w:t xml:space="preserve">; that is, the overall utility from consuming in different product groups is the sum of separable sub-utilities for each product group. This implies that once the budget for any specific product group is known, the optimal </w:t>
      </w:r>
      <w:r w:rsidR="00552A8F">
        <w:lastRenderedPageBreak/>
        <w:t xml:space="preserve">allocation to specific commodities within the group is solely a function of the group budget and the vector of prices of individual commodities within the group. </w:t>
      </w:r>
      <w:r w:rsidR="00ED5C2E">
        <w:t xml:space="preserve">The two-stage budgeting concept is then based on the notion that, given an overall separable utility function across product groups, </w:t>
      </w:r>
      <w:r w:rsidR="0078607C">
        <w:t xml:space="preserve">the total overall budget </w:t>
      </w:r>
      <w:r w:rsidR="00A9452E">
        <w:t xml:space="preserve">can </w:t>
      </w:r>
      <w:r w:rsidR="0078607C">
        <w:t xml:space="preserve">first be split across group-level budgets and then followed by the allocation of the group budget over the individual goods within the product group category under consideration (see </w:t>
      </w:r>
      <w:r w:rsidR="0078607C" w:rsidRPr="003C11B9">
        <w:t>Strotz, 1957).</w:t>
      </w:r>
      <w:r w:rsidR="0078607C">
        <w:t xml:space="preserve"> </w:t>
      </w:r>
      <w:r w:rsidR="0078607C" w:rsidRPr="003C11B9">
        <w:t>Gorman (1959</w:t>
      </w:r>
      <w:r w:rsidR="00E040DA" w:rsidRPr="003C11B9">
        <w:t>, 1961</w:t>
      </w:r>
      <w:r w:rsidR="0078607C" w:rsidRPr="003C11B9">
        <w:t>),</w:t>
      </w:r>
      <w:r w:rsidR="0078607C">
        <w:t xml:space="preserve"> building off the two-stage budgeting idea, examined the conditions under which the first level allocation of the total budget to different product groups could be undertaken </w:t>
      </w:r>
      <w:r w:rsidR="00691F4B">
        <w:t xml:space="preserve">without detailed information about the prices of individual goods within each product group. That is, the conditions under which a specific group of commodities can be treated as a single commodity with a single group price index so that, at the first level, the total budget across all product categories can be </w:t>
      </w:r>
      <w:r w:rsidR="00E040DA">
        <w:t>split up across groups based only on the single price index for each group</w:t>
      </w:r>
      <w:r w:rsidR="00691F4B">
        <w:t>. For this, each group</w:t>
      </w:r>
      <w:r w:rsidR="00E040DA">
        <w:t xml:space="preserve"> indirect</w:t>
      </w:r>
      <w:r w:rsidR="00691F4B">
        <w:t xml:space="preserve"> utility function should satisfy Gorman’s polar form </w:t>
      </w:r>
      <w:r w:rsidR="007A5390">
        <w:t xml:space="preserve">(GPF) </w:t>
      </w:r>
      <w:r w:rsidR="00E040DA">
        <w:t>for each product category</w:t>
      </w:r>
      <w:r w:rsidR="00750BDB">
        <w:t xml:space="preserve">. </w:t>
      </w:r>
    </w:p>
    <w:p w:rsidR="003A46A4" w:rsidRDefault="003A46A4" w:rsidP="000C44EE">
      <w:pPr>
        <w:spacing w:line="276" w:lineRule="auto"/>
        <w:jc w:val="both"/>
      </w:pPr>
    </w:p>
    <w:p w:rsidR="003A46A4" w:rsidRPr="00AA0BE1" w:rsidRDefault="003A46A4" w:rsidP="00AA0BE1">
      <w:pPr>
        <w:numPr>
          <w:ilvl w:val="2"/>
          <w:numId w:val="6"/>
        </w:numPr>
        <w:spacing w:line="276" w:lineRule="auto"/>
        <w:jc w:val="both"/>
        <w:rPr>
          <w:i/>
        </w:rPr>
      </w:pPr>
      <w:r w:rsidRPr="00AA0BE1">
        <w:rPr>
          <w:i/>
        </w:rPr>
        <w:t>Unconditional Demand</w:t>
      </w:r>
    </w:p>
    <w:p w:rsidR="00390A8E" w:rsidRDefault="00750BDB" w:rsidP="00AA0BE1">
      <w:pPr>
        <w:spacing w:line="276" w:lineRule="auto"/>
        <w:jc w:val="both"/>
      </w:pPr>
      <w:r>
        <w:t xml:space="preserve">To set the framework, </w:t>
      </w:r>
      <w:r w:rsidR="00390A8E">
        <w:t>we first</w:t>
      </w:r>
      <w:r w:rsidR="000E7A42">
        <w:t xml:space="preserve"> propose</w:t>
      </w:r>
      <w:r w:rsidR="00390A8E">
        <w:t xml:space="preserve"> a </w:t>
      </w:r>
      <w:r w:rsidR="000E7A42">
        <w:t xml:space="preserve">logarithm form </w:t>
      </w:r>
      <w:r w:rsidR="00390A8E">
        <w:t>quality-adjusted price ind</w:t>
      </w:r>
      <w:r w:rsidR="002559BF">
        <w:t>ex</w:t>
      </w:r>
      <w:r w:rsidR="00390A8E">
        <w:t xml:space="preserve"> for </w:t>
      </w:r>
      <w:r w:rsidR="002559BF">
        <w:t xml:space="preserve">each </w:t>
      </w:r>
      <w:r w:rsidR="00390A8E">
        <w:t>inside good</w:t>
      </w:r>
      <w:r w:rsidR="00390A8E" w:rsidRPr="00390A8E">
        <w:rPr>
          <w:i/>
        </w:rPr>
        <w:t xml:space="preserve"> k</w:t>
      </w:r>
      <w:r w:rsidR="00390A8E">
        <w:t xml:space="preserve"> within the product group </w:t>
      </w:r>
      <w:r w:rsidR="00390A8E" w:rsidRPr="003B4EB5">
        <w:rPr>
          <w:i/>
        </w:rPr>
        <w:t>G</w:t>
      </w:r>
      <w:r w:rsidR="00390A8E">
        <w:t xml:space="preserve"> of interest as follows:</w:t>
      </w:r>
    </w:p>
    <w:p w:rsidR="00650F1C" w:rsidRDefault="007A5E7B" w:rsidP="00CB4D5B">
      <w:pPr>
        <w:tabs>
          <w:tab w:val="right" w:pos="9360"/>
        </w:tabs>
        <w:spacing w:before="60" w:after="60" w:line="276" w:lineRule="auto"/>
        <w:jc w:val="both"/>
      </w:pPr>
      <w:r w:rsidRPr="00C11266">
        <w:rPr>
          <w:position w:val="-48"/>
        </w:rPr>
        <w:object w:dxaOrig="7960" w:dyaOrig="1080">
          <v:shape id="_x0000_i1108" type="#_x0000_t75" style="width:398.15pt;height:54pt" o:ole="">
            <v:imagedata r:id="rId168" o:title=""/>
          </v:shape>
          <o:OLEObject Type="Embed" ProgID="Equation.DSMT4" ShapeID="_x0000_i1108" DrawAspect="Content" ObjectID="_1722089602" r:id="rId169"/>
        </w:object>
      </w:r>
      <w:r w:rsidR="00CD6211">
        <w:tab/>
      </w:r>
      <w:r w:rsidR="00304E38">
        <w:t xml:space="preserve"> </w:t>
      </w:r>
      <w:r w:rsidR="00CD6211">
        <w:t>(1</w:t>
      </w:r>
      <w:r w:rsidR="00AB6D76">
        <w:t>6</w:t>
      </w:r>
      <w:r w:rsidR="00CD6211">
        <w:t>)</w:t>
      </w:r>
    </w:p>
    <w:p w:rsidR="00F62299" w:rsidRDefault="00D12411" w:rsidP="000C44EE">
      <w:pPr>
        <w:spacing w:line="276" w:lineRule="auto"/>
        <w:jc w:val="both"/>
      </w:pPr>
      <w:r>
        <w:t xml:space="preserve">For now, assume that </w:t>
      </w:r>
      <w:r w:rsidRPr="00021DE5">
        <w:rPr>
          <w:position w:val="-12"/>
        </w:rPr>
        <w:object w:dxaOrig="1300" w:dyaOrig="380">
          <v:shape id="_x0000_i1109" type="#_x0000_t75" style="width:65.15pt;height:18.85pt" o:ole="">
            <v:imagedata r:id="rId170" o:title=""/>
          </v:shape>
          <o:OLEObject Type="Embed" ProgID="Equation.DSMT4" ShapeID="_x0000_i1109" DrawAspect="Content" ObjectID="_1722089603" r:id="rId171"/>
        </w:object>
      </w:r>
      <w:r>
        <w:t xml:space="preserve"> (we will revisit this issue in the next section). </w:t>
      </w:r>
      <w:r w:rsidR="00C20137">
        <w:t>The second term on the right side of the expression above is a summation over all consumed goods</w:t>
      </w:r>
      <w:r w:rsidR="007A5E7B">
        <w:t xml:space="preserve"> </w:t>
      </w:r>
      <w:r w:rsidR="007A5E7B" w:rsidRPr="007A5E7B">
        <w:rPr>
          <w:position w:val="-10"/>
        </w:rPr>
        <w:object w:dxaOrig="1440" w:dyaOrig="320">
          <v:shape id="_x0000_i1110" type="#_x0000_t75" style="width:1in;height:15.85pt" o:ole="">
            <v:imagedata r:id="rId172" o:title=""/>
          </v:shape>
          <o:OLEObject Type="Embed" ProgID="Equation.DSMT4" ShapeID="_x0000_i1110" DrawAspect="Content" ObjectID="_1722089604" r:id="rId173"/>
        </w:object>
      </w:r>
      <w:r w:rsidR="00C20137">
        <w:t xml:space="preserve">. The reason for this specific form will become clear later. </w:t>
      </w:r>
      <w:r w:rsidR="008056C1">
        <w:t xml:space="preserve">The </w:t>
      </w:r>
      <w:r w:rsidR="00E13AB6">
        <w:t xml:space="preserve">negative sign in front of </w:t>
      </w:r>
      <w:r w:rsidR="00E16559" w:rsidRPr="00E13AB6">
        <w:rPr>
          <w:position w:val="-12"/>
        </w:rPr>
        <w:object w:dxaOrig="520" w:dyaOrig="360">
          <v:shape id="_x0000_i1111" type="#_x0000_t75" style="width:26.15pt;height:18pt" o:ole="">
            <v:imagedata r:id="rId174" o:title=""/>
          </v:shape>
          <o:OLEObject Type="Embed" ProgID="Equation.DSMT4" ShapeID="_x0000_i1111" DrawAspect="Content" ObjectID="_1722089605" r:id="rId175"/>
        </w:object>
      </w:r>
      <w:r w:rsidR="00E13AB6">
        <w:t xml:space="preserve"> on the left </w:t>
      </w:r>
      <w:r w:rsidR="003B4EB5">
        <w:t xml:space="preserve">side </w:t>
      </w:r>
      <w:r w:rsidR="00E13AB6">
        <w:t xml:space="preserve">of the above equation is because </w:t>
      </w:r>
      <w:r w:rsidR="00E16559" w:rsidRPr="00B36C0F">
        <w:rPr>
          <w:position w:val="-12"/>
        </w:rPr>
        <w:object w:dxaOrig="300" w:dyaOrig="360">
          <v:shape id="_x0000_i1112" type="#_x0000_t75" style="width:15pt;height:18pt" o:ole="">
            <v:imagedata r:id="rId176" o:title=""/>
          </v:shape>
          <o:OLEObject Type="Embed" ProgID="Equation.DSMT4" ShapeID="_x0000_i1112" DrawAspect="Content" ObjectID="_1722089606" r:id="rId177"/>
        </w:object>
      </w:r>
      <w:r w:rsidR="00B36C0F">
        <w:t xml:space="preserve"> is a price index, which should increase or decrease as the actual price of good </w:t>
      </w:r>
      <w:r w:rsidR="00B36C0F" w:rsidRPr="00282AFB">
        <w:rPr>
          <w:i/>
        </w:rPr>
        <w:t>k</w:t>
      </w:r>
      <w:r w:rsidR="00B36C0F">
        <w:t xml:space="preserve"> (that is,</w:t>
      </w:r>
      <w:r w:rsidR="00B36C0F" w:rsidRPr="00B36C0F">
        <w:rPr>
          <w:position w:val="-12"/>
        </w:rPr>
        <w:object w:dxaOrig="300" w:dyaOrig="360">
          <v:shape id="_x0000_i1113" type="#_x0000_t75" style="width:15pt;height:18pt" o:ole="">
            <v:imagedata r:id="rId178" o:title=""/>
          </v:shape>
          <o:OLEObject Type="Embed" ProgID="Equation.DSMT4" ShapeID="_x0000_i1113" DrawAspect="Content" ObjectID="_1722089607" r:id="rId179"/>
        </w:object>
      </w:r>
      <w:r w:rsidR="00282AFB">
        <w:t xml:space="preserve"> as embedded within </w:t>
      </w:r>
      <w:r w:rsidR="00282AFB" w:rsidRPr="00650F1C">
        <w:rPr>
          <w:position w:val="-12"/>
        </w:rPr>
        <w:object w:dxaOrig="320" w:dyaOrig="360">
          <v:shape id="_x0000_i1114" type="#_x0000_t75" style="width:15.85pt;height:18pt" o:ole="">
            <v:imagedata r:id="rId180" o:title=""/>
          </v:shape>
          <o:OLEObject Type="Embed" ProgID="Equation.DSMT4" ShapeID="_x0000_i1114" DrawAspect="Content" ObjectID="_1722089608" r:id="rId181"/>
        </w:object>
      </w:r>
      <w:r w:rsidR="00B36C0F">
        <w:t xml:space="preserve">) increases or decreases. </w:t>
      </w:r>
      <w:r w:rsidR="00C11266">
        <w:t xml:space="preserve">Similarly, as </w:t>
      </w:r>
      <w:r w:rsidR="00C11266" w:rsidRPr="00550A2E">
        <w:rPr>
          <w:position w:val="-12"/>
        </w:rPr>
        <w:object w:dxaOrig="279" w:dyaOrig="360">
          <v:shape id="_x0000_i1115" type="#_x0000_t75" style="width:14.15pt;height:18pt" o:ole="">
            <v:imagedata r:id="rId182" o:title=""/>
          </v:shape>
          <o:OLEObject Type="Embed" ProgID="Equation.DSMT4" ShapeID="_x0000_i1115" DrawAspect="Content" ObjectID="_1722089609" r:id="rId183"/>
        </w:object>
      </w:r>
      <w:r w:rsidR="00C11266">
        <w:t xml:space="preserve"> increases, satiation for good </w:t>
      </w:r>
      <w:r w:rsidR="00C11266" w:rsidRPr="007422FC">
        <w:rPr>
          <w:i/>
        </w:rPr>
        <w:t>k</w:t>
      </w:r>
      <w:r w:rsidR="00C11266">
        <w:t xml:space="preserve"> decreases and the desirability of the good increases, which is similar to the effect of a price decrease. </w:t>
      </w:r>
      <w:r w:rsidR="00650F1C">
        <w:t>In effect,</w:t>
      </w:r>
      <w:r w:rsidR="000E7A42">
        <w:t xml:space="preserve"> then, in logarithm form, </w:t>
      </w:r>
      <w:r w:rsidR="00E16559" w:rsidRPr="00550A2E">
        <w:rPr>
          <w:position w:val="-12"/>
        </w:rPr>
        <w:object w:dxaOrig="440" w:dyaOrig="360">
          <v:shape id="_x0000_i1116" type="#_x0000_t75" style="width:21.85pt;height:18pt" o:ole="">
            <v:imagedata r:id="rId184" o:title=""/>
          </v:shape>
          <o:OLEObject Type="Embed" ProgID="Equation.DSMT4" ShapeID="_x0000_i1116" DrawAspect="Content" ObjectID="_1722089610" r:id="rId185"/>
        </w:object>
      </w:r>
      <w:r w:rsidR="008056C1">
        <w:t xml:space="preserve"> </w:t>
      </w:r>
      <w:r w:rsidR="000E7A42">
        <w:t xml:space="preserve">represents the total quality-adjusted utility of good </w:t>
      </w:r>
      <w:r w:rsidR="000E7A42" w:rsidRPr="000E7A42">
        <w:rPr>
          <w:i/>
        </w:rPr>
        <w:t>k</w:t>
      </w:r>
      <w:r w:rsidR="000E7A42">
        <w:t xml:space="preserve">, which is then normalized by the coefficient on the actual log(price) variable (representing the marginal utility of income), so that </w:t>
      </w:r>
      <w:r w:rsidR="00E16559" w:rsidRPr="000E7A42">
        <w:rPr>
          <w:position w:val="-12"/>
        </w:rPr>
        <w:object w:dxaOrig="520" w:dyaOrig="360">
          <v:shape id="_x0000_i1117" type="#_x0000_t75" style="width:26.15pt;height:18pt" o:ole="">
            <v:imagedata r:id="rId186" o:title=""/>
          </v:shape>
          <o:OLEObject Type="Embed" ProgID="Equation.DSMT4" ShapeID="_x0000_i1117" DrawAspect="Content" ObjectID="_1722089611" r:id="rId187"/>
        </w:object>
      </w:r>
      <w:r w:rsidR="000E7A42">
        <w:t xml:space="preserve"> represents, in log form, the quality-adjusted price index</w:t>
      </w:r>
      <w:r w:rsidR="00D7016C">
        <w:t>. S</w:t>
      </w:r>
      <w:r w:rsidR="000E7A42">
        <w:t>uch a logarithmic form has been used for single discrete choice models</w:t>
      </w:r>
      <w:r w:rsidR="001E5B6D">
        <w:t xml:space="preserve"> </w:t>
      </w:r>
      <w:r w:rsidR="000E7A42">
        <w:t xml:space="preserve">in </w:t>
      </w:r>
      <w:r w:rsidR="0042753D">
        <w:t xml:space="preserve">Rouwendal and Boter, 2009 and </w:t>
      </w:r>
      <w:r w:rsidR="000E7A42">
        <w:t>Truong and Hensher, 201</w:t>
      </w:r>
      <w:r w:rsidR="00D53D57">
        <w:t>4</w:t>
      </w:r>
      <w:r w:rsidR="00BF0863">
        <w:t>,</w:t>
      </w:r>
      <w:r w:rsidR="000E7A42">
        <w:t xml:space="preserve"> though our formulation above is for a multiple discrete fractional allocation model</w:t>
      </w:r>
      <w:r w:rsidR="00EC738F">
        <w:t xml:space="preserve">; also of note is that </w:t>
      </w:r>
      <w:r w:rsidR="00D7016C" w:rsidRPr="0002761A">
        <w:rPr>
          <w:position w:val="-12"/>
        </w:rPr>
        <w:object w:dxaOrig="1579" w:dyaOrig="380">
          <v:shape id="_x0000_i1118" type="#_x0000_t75" style="width:78.85pt;height:18.85pt" o:ole="">
            <v:imagedata r:id="rId188" o:title=""/>
          </v:shape>
          <o:OLEObject Type="Embed" ProgID="Equation.DSMT4" ShapeID="_x0000_i1118" DrawAspect="Content" ObjectID="_1722089612" r:id="rId189"/>
        </w:object>
      </w:r>
      <w:r w:rsidR="00D7016C">
        <w:t xml:space="preserve"> is another (reciprocal-based) form of a quality-adjusted utility of good </w:t>
      </w:r>
      <w:r w:rsidR="00D7016C" w:rsidRPr="00AA0BE1">
        <w:rPr>
          <w:i/>
        </w:rPr>
        <w:t>k</w:t>
      </w:r>
      <w:r w:rsidR="00D7016C">
        <w:t>, which</w:t>
      </w:r>
      <w:r w:rsidR="00DD6F76">
        <w:t>,</w:t>
      </w:r>
      <w:r w:rsidR="00D7016C">
        <w:t xml:space="preserve"> like </w:t>
      </w:r>
      <w:r w:rsidR="00D7016C" w:rsidRPr="00550A2E">
        <w:rPr>
          <w:position w:val="-12"/>
        </w:rPr>
        <w:object w:dxaOrig="440" w:dyaOrig="360">
          <v:shape id="_x0000_i1119" type="#_x0000_t75" style="width:21.85pt;height:18pt" o:ole="">
            <v:imagedata r:id="rId184" o:title=""/>
          </v:shape>
          <o:OLEObject Type="Embed" ProgID="Equation.DSMT4" ShapeID="_x0000_i1119" DrawAspect="Content" ObjectID="_1722089613" r:id="rId190"/>
        </w:object>
      </w:r>
      <w:r w:rsidR="00DD6F76">
        <w:t xml:space="preserve">, increases as the price </w:t>
      </w:r>
      <w:r w:rsidR="00DD6F76" w:rsidRPr="00B36C0F">
        <w:rPr>
          <w:position w:val="-12"/>
        </w:rPr>
        <w:object w:dxaOrig="300" w:dyaOrig="360">
          <v:shape id="_x0000_i1120" type="#_x0000_t75" style="width:15pt;height:18pt" o:ole="">
            <v:imagedata r:id="rId178" o:title=""/>
          </v:shape>
          <o:OLEObject Type="Embed" ProgID="Equation.DSMT4" ShapeID="_x0000_i1120" DrawAspect="Content" ObjectID="_1722089614" r:id="rId191"/>
        </w:object>
      </w:r>
      <w:r w:rsidR="00DD6F76">
        <w:t xml:space="preserve"> decreases and decreases as the price</w:t>
      </w:r>
      <w:r w:rsidR="00DD6F76" w:rsidRPr="00B36C0F">
        <w:rPr>
          <w:position w:val="-12"/>
        </w:rPr>
        <w:object w:dxaOrig="300" w:dyaOrig="360">
          <v:shape id="_x0000_i1121" type="#_x0000_t75" style="width:15pt;height:18pt" o:ole="">
            <v:imagedata r:id="rId178" o:title=""/>
          </v:shape>
          <o:OLEObject Type="Embed" ProgID="Equation.DSMT4" ShapeID="_x0000_i1121" DrawAspect="Content" ObjectID="_1722089615" r:id="rId192"/>
        </w:object>
      </w:r>
      <w:r w:rsidR="00DD6F76">
        <w:t xml:space="preserve"> increases (we will revisit this issue </w:t>
      </w:r>
      <w:r w:rsidR="0064142A">
        <w:t xml:space="preserve">again later </w:t>
      </w:r>
      <w:r w:rsidR="00DD6F76">
        <w:t xml:space="preserve">for a </w:t>
      </w:r>
      <w:r w:rsidR="0064142A">
        <w:t>more crisp</w:t>
      </w:r>
      <w:r w:rsidR="00DD6F76">
        <w:t xml:space="preserve"> interpretation of </w:t>
      </w:r>
      <w:r w:rsidR="00DD6F76" w:rsidRPr="0002761A">
        <w:rPr>
          <w:position w:val="-12"/>
        </w:rPr>
        <w:object w:dxaOrig="520" w:dyaOrig="380">
          <v:shape id="_x0000_i1122" type="#_x0000_t75" style="width:26.15pt;height:18.85pt" o:ole="">
            <v:imagedata r:id="rId193" o:title=""/>
          </v:shape>
          <o:OLEObject Type="Embed" ProgID="Equation.DSMT4" ShapeID="_x0000_i1122" DrawAspect="Content" ObjectID="_1722089616" r:id="rId194"/>
        </w:object>
      </w:r>
      <w:r w:rsidR="00DD6F76">
        <w:t>)</w:t>
      </w:r>
      <w:r w:rsidR="000E7A42">
        <w:t>.</w:t>
      </w:r>
      <w:r w:rsidR="00073E8F">
        <w:t xml:space="preserve"> </w:t>
      </w:r>
    </w:p>
    <w:p w:rsidR="00996F97" w:rsidRDefault="00C20137" w:rsidP="00AA0BE1">
      <w:pPr>
        <w:spacing w:line="276" w:lineRule="auto"/>
        <w:ind w:firstLine="720"/>
        <w:jc w:val="both"/>
      </w:pPr>
      <w:r>
        <w:lastRenderedPageBreak/>
        <w:t>C</w:t>
      </w:r>
      <w:r w:rsidR="00EC738F">
        <w:t xml:space="preserve">ollect the quality-adjusted price indices </w:t>
      </w:r>
      <w:r w:rsidR="00EC738F" w:rsidRPr="00A13276">
        <w:rPr>
          <w:position w:val="-12"/>
        </w:rPr>
        <w:object w:dxaOrig="300" w:dyaOrig="360">
          <v:shape id="_x0000_i1123" type="#_x0000_t75" style="width:15pt;height:18pt" o:ole="">
            <v:imagedata r:id="rId195" o:title=""/>
          </v:shape>
          <o:OLEObject Type="Embed" ProgID="Equation.DSMT4" ShapeID="_x0000_i1123" DrawAspect="Content" ObjectID="_1722089617" r:id="rId196"/>
        </w:object>
      </w:r>
      <w:r w:rsidR="00EC738F">
        <w:t xml:space="preserve"> for the inside goods of product category </w:t>
      </w:r>
      <w:r w:rsidR="00EC738F" w:rsidRPr="003B4EB5">
        <w:rPr>
          <w:i/>
        </w:rPr>
        <w:t>G</w:t>
      </w:r>
      <w:r w:rsidR="00EC738F">
        <w:t xml:space="preserve"> in a vector </w:t>
      </w:r>
      <w:r w:rsidR="00EC738F" w:rsidRPr="00560D9B">
        <w:rPr>
          <w:position w:val="-12"/>
        </w:rPr>
        <w:object w:dxaOrig="1820" w:dyaOrig="360">
          <v:shape id="_x0000_i1124" type="#_x0000_t75" style="width:90.85pt;height:18pt" o:ole="">
            <v:imagedata r:id="rId197" o:title=""/>
          </v:shape>
          <o:OLEObject Type="Embed" ProgID="Equation.DSMT4" ShapeID="_x0000_i1124" DrawAspect="Content" ObjectID="_1722089618" r:id="rId198"/>
        </w:object>
      </w:r>
      <w:r w:rsidR="00EC738F">
        <w:t xml:space="preserve"> C</w:t>
      </w:r>
      <w:r w:rsidR="00996F97">
        <w:t>onsider the following indirect utility</w:t>
      </w:r>
      <w:r w:rsidR="009F7145">
        <w:t xml:space="preserve"> </w:t>
      </w:r>
      <w:r w:rsidR="00996F97">
        <w:t xml:space="preserve">function </w:t>
      </w:r>
      <w:r w:rsidR="007A5390">
        <w:t xml:space="preserve">form </w:t>
      </w:r>
      <w:r w:rsidR="00996F97">
        <w:t xml:space="preserve">for group </w:t>
      </w:r>
      <w:r w:rsidR="00996F97" w:rsidRPr="00D82743">
        <w:rPr>
          <w:i/>
        </w:rPr>
        <w:t>G</w:t>
      </w:r>
      <w:r w:rsidR="00D82743">
        <w:t>, assum</w:t>
      </w:r>
      <w:r w:rsidR="00ED5C2E">
        <w:t>ing</w:t>
      </w:r>
      <w:r w:rsidR="002559BF">
        <w:t>,</w:t>
      </w:r>
      <w:r w:rsidR="00ED5C2E">
        <w:t xml:space="preserve"> as discussed earlier</w:t>
      </w:r>
      <w:r w:rsidR="002559BF">
        <w:t>,</w:t>
      </w:r>
      <w:r w:rsidR="00D82743">
        <w:t xml:space="preserve"> that the product category </w:t>
      </w:r>
      <w:r w:rsidR="00D82743" w:rsidRPr="00D82743">
        <w:rPr>
          <w:i/>
        </w:rPr>
        <w:t>G</w:t>
      </w:r>
      <w:r w:rsidR="00D82743">
        <w:t xml:space="preserve"> is separable from other groups of commodities</w:t>
      </w:r>
      <w:r w:rsidR="00ED5C2E">
        <w:t xml:space="preserve"> within the overall direct utility function across all product groups</w:t>
      </w:r>
      <w:r w:rsidR="00996F97">
        <w:t>:</w:t>
      </w:r>
    </w:p>
    <w:p w:rsidR="00996F97" w:rsidRDefault="00D92018" w:rsidP="00CB4D5B">
      <w:pPr>
        <w:tabs>
          <w:tab w:val="right" w:pos="9360"/>
        </w:tabs>
        <w:spacing w:before="60" w:after="60" w:line="276" w:lineRule="auto"/>
        <w:jc w:val="both"/>
      </w:pPr>
      <w:r w:rsidRPr="00CF11B8">
        <w:rPr>
          <w:position w:val="-28"/>
        </w:rPr>
        <w:object w:dxaOrig="3420" w:dyaOrig="700">
          <v:shape id="_x0000_i1125" type="#_x0000_t75" style="width:171pt;height:35.15pt" o:ole="">
            <v:imagedata r:id="rId199" o:title=""/>
          </v:shape>
          <o:OLEObject Type="Embed" ProgID="Equation.DSMT4" ShapeID="_x0000_i1125" DrawAspect="Content" ObjectID="_1722089619" r:id="rId200"/>
        </w:object>
      </w:r>
      <w:r w:rsidR="00996F97">
        <w:t xml:space="preserve"> </w:t>
      </w:r>
      <w:r w:rsidR="00D82743">
        <w:t xml:space="preserve">             </w:t>
      </w:r>
      <w:r w:rsidR="00CD6211">
        <w:tab/>
      </w:r>
      <w:r w:rsidR="00304E38">
        <w:t xml:space="preserve">    </w:t>
      </w:r>
      <w:r w:rsidR="00D82743">
        <w:t>(</w:t>
      </w:r>
      <w:r w:rsidR="00CD6211">
        <w:t>1</w:t>
      </w:r>
      <w:r w:rsidR="00AB6D76">
        <w:t>7</w:t>
      </w:r>
      <w:r w:rsidR="00D82743">
        <w:t>)</w:t>
      </w:r>
    </w:p>
    <w:p w:rsidR="00B172F3" w:rsidRDefault="007A5390" w:rsidP="000C44EE">
      <w:pPr>
        <w:spacing w:line="276" w:lineRule="auto"/>
        <w:jc w:val="both"/>
      </w:pPr>
      <w:r>
        <w:t xml:space="preserve">where </w:t>
      </w:r>
      <w:r w:rsidR="00CC7125" w:rsidRPr="00CF11B8">
        <w:rPr>
          <w:position w:val="-10"/>
        </w:rPr>
        <w:object w:dxaOrig="279" w:dyaOrig="360">
          <v:shape id="_x0000_i1126" type="#_x0000_t75" style="width:14.15pt;height:18pt" o:ole="">
            <v:imagedata r:id="rId201" o:title=""/>
          </v:shape>
          <o:OLEObject Type="Embed" ProgID="Equation.DSMT4" ShapeID="_x0000_i1126" DrawAspect="Content" ObjectID="_1722089620" r:id="rId202"/>
        </w:object>
      </w:r>
      <w:r>
        <w:t xml:space="preserve"> is the budget allocated to group </w:t>
      </w:r>
      <w:r w:rsidRPr="009F7145">
        <w:rPr>
          <w:i/>
        </w:rPr>
        <w:t>G</w:t>
      </w:r>
      <w:r>
        <w:t xml:space="preserve">, </w:t>
      </w:r>
      <w:r w:rsidR="00FD4E21" w:rsidRPr="00CF11B8">
        <w:rPr>
          <w:position w:val="-10"/>
        </w:rPr>
        <w:object w:dxaOrig="499" w:dyaOrig="320">
          <v:shape id="_x0000_i1127" type="#_x0000_t75" style="width:24.85pt;height:15.85pt" o:ole="">
            <v:imagedata r:id="rId203" o:title=""/>
          </v:shape>
          <o:OLEObject Type="Embed" ProgID="Equation.DSMT4" ShapeID="_x0000_i1127" DrawAspect="Content" ObjectID="_1722089621" r:id="rId204"/>
        </w:object>
      </w:r>
      <w:r>
        <w:t xml:space="preserve"> is a group price index for group </w:t>
      </w:r>
      <w:r w:rsidRPr="003B4EB5">
        <w:rPr>
          <w:i/>
        </w:rPr>
        <w:t>G</w:t>
      </w:r>
      <w:r>
        <w:t xml:space="preserve"> </w:t>
      </w:r>
      <w:r w:rsidR="00560D9B">
        <w:t>(which is a composite group price index</w:t>
      </w:r>
      <w:r w:rsidR="00ED295F">
        <w:t xml:space="preserve"> used at the first stage in the two-stage budgeting</w:t>
      </w:r>
      <w:r w:rsidR="003B4EB5">
        <w:t xml:space="preserve"> that </w:t>
      </w:r>
      <w:r w:rsidR="00560D9B">
        <w:t xml:space="preserve">is a function of the quality-adjusted price indices of the inside goods; that is, the elements of the vector </w:t>
      </w:r>
      <w:r w:rsidR="00FD4E21" w:rsidRPr="00560D9B">
        <w:rPr>
          <w:position w:val="-6"/>
        </w:rPr>
        <w:object w:dxaOrig="220" w:dyaOrig="279">
          <v:shape id="_x0000_i1128" type="#_x0000_t75" style="width:11.15pt;height:14.15pt" o:ole="">
            <v:imagedata r:id="rId205" o:title=""/>
          </v:shape>
          <o:OLEObject Type="Embed" ProgID="Equation.DSMT4" ShapeID="_x0000_i1128" DrawAspect="Content" ObjectID="_1722089622" r:id="rId206"/>
        </w:object>
      </w:r>
      <w:r w:rsidR="00D92018">
        <w:t>)</w:t>
      </w:r>
      <w:r w:rsidR="00560D9B">
        <w:t>,</w:t>
      </w:r>
      <w:r w:rsidR="00D92018">
        <w:t xml:space="preserve"> </w:t>
      </w:r>
      <w:r w:rsidR="00FD4E21" w:rsidRPr="00CF11B8">
        <w:rPr>
          <w:position w:val="-10"/>
        </w:rPr>
        <w:object w:dxaOrig="499" w:dyaOrig="320">
          <v:shape id="_x0000_i1129" type="#_x0000_t75" style="width:24.85pt;height:15.85pt" o:ole="">
            <v:imagedata r:id="rId207" o:title=""/>
          </v:shape>
          <o:OLEObject Type="Embed" ProgID="Equation.DSMT4" ShapeID="_x0000_i1129" DrawAspect="Content" ObjectID="_1722089623" r:id="rId208"/>
        </w:object>
      </w:r>
      <w:r w:rsidR="00ED5C2E">
        <w:t>)</w:t>
      </w:r>
      <w:r w:rsidR="00D92018">
        <w:t xml:space="preserve"> is another function of </w:t>
      </w:r>
      <w:r w:rsidR="00D92018" w:rsidRPr="0002761A">
        <w:rPr>
          <w:position w:val="-6"/>
        </w:rPr>
        <w:object w:dxaOrig="220" w:dyaOrig="279">
          <v:shape id="_x0000_i1130" type="#_x0000_t75" style="width:11.15pt;height:14.15pt" o:ole="">
            <v:imagedata r:id="rId209" o:title=""/>
          </v:shape>
          <o:OLEObject Type="Embed" ProgID="Equation.DSMT4" ShapeID="_x0000_i1130" DrawAspect="Content" ObjectID="_1722089624" r:id="rId210"/>
        </w:object>
      </w:r>
      <w:r w:rsidR="00D92018">
        <w:t xml:space="preserve">, and </w:t>
      </w:r>
      <w:r w:rsidR="00D92018" w:rsidRPr="0002761A">
        <w:rPr>
          <w:position w:val="-10"/>
        </w:rPr>
        <w:object w:dxaOrig="260" w:dyaOrig="360">
          <v:shape id="_x0000_i1131" type="#_x0000_t75" style="width:12.85pt;height:18pt" o:ole="">
            <v:imagedata r:id="rId211" o:title=""/>
          </v:shape>
          <o:OLEObject Type="Embed" ProgID="Equation.DSMT4" ShapeID="_x0000_i1131" DrawAspect="Content" ObjectID="_1722089625" r:id="rId212"/>
        </w:object>
      </w:r>
      <w:r w:rsidR="00D92018">
        <w:t xml:space="preserve"> is the total quantity consumed across all elementary commodities within product group </w:t>
      </w:r>
      <w:r w:rsidR="00D92018" w:rsidRPr="00AA0BE1">
        <w:rPr>
          <w:i/>
        </w:rPr>
        <w:t>G</w:t>
      </w:r>
      <w:r w:rsidR="00560D9B">
        <w:t xml:space="preserve">. To be </w:t>
      </w:r>
      <w:r w:rsidR="00ED5C2E">
        <w:t xml:space="preserve">able to use a single group price index for Group </w:t>
      </w:r>
      <w:r w:rsidR="00ED5C2E" w:rsidRPr="00AA0BE1">
        <w:rPr>
          <w:i/>
        </w:rPr>
        <w:t>G</w:t>
      </w:r>
      <w:r w:rsidR="00ED5C2E">
        <w:t xml:space="preserve"> (essentially viewing the entire </w:t>
      </w:r>
      <w:r w:rsidR="00BF620F">
        <w:t xml:space="preserve">product group </w:t>
      </w:r>
      <w:r w:rsidR="00BF620F" w:rsidRPr="00AA0BE1">
        <w:rPr>
          <w:i/>
        </w:rPr>
        <w:t>G</w:t>
      </w:r>
      <w:r w:rsidR="00BF620F">
        <w:t xml:space="preserve"> as one single commodity with a single price index of </w:t>
      </w:r>
      <w:r w:rsidR="00BF620F" w:rsidRPr="00CF11B8">
        <w:rPr>
          <w:position w:val="-10"/>
        </w:rPr>
        <w:object w:dxaOrig="499" w:dyaOrig="320">
          <v:shape id="_x0000_i1132" type="#_x0000_t75" style="width:24.85pt;height:15.85pt" o:ole="">
            <v:imagedata r:id="rId203" o:title=""/>
          </v:shape>
          <o:OLEObject Type="Embed" ProgID="Equation.DSMT4" ShapeID="_x0000_i1132" DrawAspect="Content" ObjectID="_1722089626" r:id="rId213"/>
        </w:object>
      </w:r>
      <w:r w:rsidR="0031457F">
        <w:t xml:space="preserve">, so that </w:t>
      </w:r>
      <w:r w:rsidR="0055405B" w:rsidRPr="00AA0BE1">
        <w:rPr>
          <w:position w:val="-28"/>
        </w:rPr>
        <w:object w:dxaOrig="999" w:dyaOrig="700">
          <v:shape id="_x0000_i1133" type="#_x0000_t75" style="width:50.15pt;height:35.15pt" o:ole="">
            <v:imagedata r:id="rId214" o:title=""/>
          </v:shape>
          <o:OLEObject Type="Embed" ProgID="Equation.DSMT4" ShapeID="_x0000_i1133" DrawAspect="Content" ObjectID="_1722089627" r:id="rId215"/>
        </w:object>
      </w:r>
      <w:r w:rsidR="00BF620F">
        <w:t>)</w:t>
      </w:r>
      <w:r w:rsidR="0014292A">
        <w:t>,</w:t>
      </w:r>
      <w:r w:rsidR="00BF620F">
        <w:t xml:space="preserve"> </w:t>
      </w:r>
      <w:r w:rsidR="0014292A">
        <w:t xml:space="preserve">Equation (17) needs to be </w:t>
      </w:r>
      <w:r w:rsidR="00560D9B">
        <w:t>consistent with GPF</w:t>
      </w:r>
      <w:r w:rsidR="0014292A">
        <w:t>.</w:t>
      </w:r>
      <w:r w:rsidR="00560D9B">
        <w:t xml:space="preserve"> </w:t>
      </w:r>
      <w:r w:rsidR="00CC7125">
        <w:t xml:space="preserve">That is, </w:t>
      </w:r>
      <w:r w:rsidR="007A5E7B" w:rsidRPr="00CF11B8">
        <w:rPr>
          <w:position w:val="-10"/>
        </w:rPr>
        <w:object w:dxaOrig="420" w:dyaOrig="320">
          <v:shape id="_x0000_i1134" type="#_x0000_t75" style="width:21pt;height:15.85pt" o:ole="">
            <v:imagedata r:id="rId216" o:title=""/>
          </v:shape>
          <o:OLEObject Type="Embed" ProgID="Equation.DSMT4" ShapeID="_x0000_i1134" DrawAspect="Content" ObjectID="_1722089628" r:id="rId217"/>
        </w:object>
      </w:r>
      <w:r w:rsidR="00560D9B">
        <w:t xml:space="preserve"> needs to be homogenous of degree 1 and </w:t>
      </w:r>
      <w:r w:rsidR="00FD4E21" w:rsidRPr="00CF11B8">
        <w:rPr>
          <w:position w:val="-10"/>
        </w:rPr>
        <w:object w:dxaOrig="499" w:dyaOrig="320">
          <v:shape id="_x0000_i1135" type="#_x0000_t75" style="width:24.85pt;height:15.85pt" o:ole="">
            <v:imagedata r:id="rId218" o:title=""/>
          </v:shape>
          <o:OLEObject Type="Embed" ProgID="Equation.DSMT4" ShapeID="_x0000_i1135" DrawAspect="Content" ObjectID="_1722089629" r:id="rId219"/>
        </w:object>
      </w:r>
      <w:r w:rsidR="00560D9B">
        <w:t xml:space="preserve"> homogenous of degree </w:t>
      </w:r>
      <w:r w:rsidR="00ED295F">
        <w:t>0. As in Hausman et al.</w:t>
      </w:r>
      <w:r w:rsidR="009F7145">
        <w:t xml:space="preserve"> (1995)</w:t>
      </w:r>
      <w:r w:rsidR="00ED295F">
        <w:t xml:space="preserve">, we assume that </w:t>
      </w:r>
      <w:r w:rsidR="00FD4E21" w:rsidRPr="00CF11B8">
        <w:rPr>
          <w:position w:val="-10"/>
        </w:rPr>
        <w:object w:dxaOrig="499" w:dyaOrig="320">
          <v:shape id="_x0000_i1136" type="#_x0000_t75" style="width:24.85pt;height:15.85pt" o:ole="">
            <v:imagedata r:id="rId220" o:title=""/>
          </v:shape>
          <o:OLEObject Type="Embed" ProgID="Equation.DSMT4" ShapeID="_x0000_i1136" DrawAspect="Content" ObjectID="_1722089630" r:id="rId221"/>
        </w:object>
      </w:r>
      <w:r w:rsidR="00ED295F">
        <w:t>is a constant</w:t>
      </w:r>
      <w:r w:rsidR="00AF35D7">
        <w:t>.</w:t>
      </w:r>
      <w:r w:rsidR="00ED295F">
        <w:t xml:space="preserve"> </w:t>
      </w:r>
      <w:r w:rsidR="00B172F3">
        <w:t>So, we use the constant elasticity of substitution (CES) formulation and write:</w:t>
      </w:r>
    </w:p>
    <w:p w:rsidR="00B172F3" w:rsidRDefault="00FD4E21" w:rsidP="00CB4D5B">
      <w:pPr>
        <w:tabs>
          <w:tab w:val="right" w:pos="9360"/>
        </w:tabs>
        <w:spacing w:before="60" w:after="60" w:line="276" w:lineRule="auto"/>
        <w:jc w:val="both"/>
      </w:pPr>
      <w:r w:rsidRPr="00AF35D7">
        <w:rPr>
          <w:position w:val="-30"/>
        </w:rPr>
        <w:object w:dxaOrig="2480" w:dyaOrig="760">
          <v:shape id="_x0000_i1137" type="#_x0000_t75" style="width:123.85pt;height:38.15pt" o:ole="">
            <v:imagedata r:id="rId222" o:title=""/>
          </v:shape>
          <o:OLEObject Type="Embed" ProgID="Equation.DSMT4" ShapeID="_x0000_i1137" DrawAspect="Content" ObjectID="_1722089631" r:id="rId223"/>
        </w:object>
      </w:r>
      <w:r w:rsidR="00CD6211">
        <w:t xml:space="preserve">   </w:t>
      </w:r>
      <w:r w:rsidR="00CD6211">
        <w:tab/>
        <w:t>(1</w:t>
      </w:r>
      <w:r w:rsidR="00AB6D76">
        <w:t>8</w:t>
      </w:r>
      <w:r w:rsidR="00CD6211">
        <w:t>)</w:t>
      </w:r>
    </w:p>
    <w:p w:rsidR="00D82743" w:rsidRDefault="00D82743" w:rsidP="000C44EE">
      <w:pPr>
        <w:spacing w:line="276" w:lineRule="auto"/>
        <w:jc w:val="both"/>
      </w:pPr>
      <w:r>
        <w:t xml:space="preserve">which is clearly homogenous of degree 1 as required </w:t>
      </w:r>
      <w:proofErr w:type="gramStart"/>
      <w:r>
        <w:t>because</w:t>
      </w:r>
      <w:proofErr w:type="gramEnd"/>
    </w:p>
    <w:p w:rsidR="00D82743" w:rsidRDefault="00FD4E21" w:rsidP="00CB4D5B">
      <w:pPr>
        <w:tabs>
          <w:tab w:val="right" w:pos="9360"/>
        </w:tabs>
        <w:spacing w:before="60" w:after="60" w:line="276" w:lineRule="auto"/>
        <w:jc w:val="both"/>
      </w:pPr>
      <w:r w:rsidRPr="00D82743">
        <w:rPr>
          <w:position w:val="-30"/>
        </w:rPr>
        <w:object w:dxaOrig="2520" w:dyaOrig="760">
          <v:shape id="_x0000_i1138" type="#_x0000_t75" style="width:126pt;height:38.15pt" o:ole="">
            <v:imagedata r:id="rId224" o:title=""/>
          </v:shape>
          <o:OLEObject Type="Embed" ProgID="Equation.DSMT4" ShapeID="_x0000_i1138" DrawAspect="Content" ObjectID="_1722089632" r:id="rId225"/>
        </w:object>
      </w:r>
      <w:r w:rsidR="004A2A32">
        <w:t>.</w:t>
      </w:r>
      <w:r w:rsidR="00CD6211">
        <w:tab/>
        <w:t>(1</w:t>
      </w:r>
      <w:r w:rsidR="00AB6D76">
        <w:t>9</w:t>
      </w:r>
      <w:r w:rsidR="00CD6211">
        <w:t>)</w:t>
      </w:r>
    </w:p>
    <w:p w:rsidR="00872E24" w:rsidRPr="00AA0BE1" w:rsidRDefault="00872E24" w:rsidP="00006197">
      <w:pPr>
        <w:pStyle w:val="FootnoteText"/>
        <w:jc w:val="both"/>
        <w:rPr>
          <w:sz w:val="24"/>
          <w:szCs w:val="24"/>
        </w:rPr>
      </w:pPr>
      <w:r w:rsidRPr="00AA0BE1">
        <w:rPr>
          <w:sz w:val="24"/>
          <w:szCs w:val="24"/>
        </w:rPr>
        <w:t xml:space="preserve">Also, as desired, the group price index </w:t>
      </w:r>
      <w:r w:rsidRPr="00AA0BE1">
        <w:rPr>
          <w:position w:val="-10"/>
          <w:sz w:val="24"/>
          <w:szCs w:val="24"/>
        </w:rPr>
        <w:object w:dxaOrig="499" w:dyaOrig="320">
          <v:shape id="_x0000_i1139" type="#_x0000_t75" style="width:24.85pt;height:15.85pt" o:ole="">
            <v:imagedata r:id="rId226" o:title=""/>
          </v:shape>
          <o:OLEObject Type="Embed" ProgID="Equation.DSMT4" ShapeID="_x0000_i1139" DrawAspect="Content" ObjectID="_1722089633" r:id="rId227"/>
        </w:object>
      </w:r>
      <w:r w:rsidRPr="00AA0BE1">
        <w:rPr>
          <w:sz w:val="24"/>
          <w:szCs w:val="24"/>
        </w:rPr>
        <w:t xml:space="preserve"> increases as the price </w:t>
      </w:r>
      <w:r w:rsidRPr="00AA0BE1">
        <w:rPr>
          <w:position w:val="-12"/>
          <w:sz w:val="24"/>
          <w:szCs w:val="24"/>
        </w:rPr>
        <w:object w:dxaOrig="300" w:dyaOrig="360">
          <v:shape id="_x0000_i1140" type="#_x0000_t75" style="width:15pt;height:18pt" o:ole="">
            <v:imagedata r:id="rId228" o:title=""/>
          </v:shape>
          <o:OLEObject Type="Embed" ProgID="Equation.DSMT4" ShapeID="_x0000_i1140" DrawAspect="Content" ObjectID="_1722089634" r:id="rId229"/>
        </w:object>
      </w:r>
      <w:r w:rsidRPr="00AA0BE1">
        <w:rPr>
          <w:sz w:val="24"/>
          <w:szCs w:val="24"/>
        </w:rPr>
        <w:t xml:space="preserve"> of any good </w:t>
      </w:r>
      <w:r w:rsidRPr="00AA0BE1">
        <w:rPr>
          <w:i/>
          <w:sz w:val="24"/>
          <w:szCs w:val="24"/>
        </w:rPr>
        <w:t>k</w:t>
      </w:r>
      <w:r w:rsidRPr="00AA0BE1">
        <w:rPr>
          <w:sz w:val="24"/>
          <w:szCs w:val="24"/>
        </w:rPr>
        <w:t xml:space="preserve"> increases (note that </w:t>
      </w:r>
      <w:r w:rsidRPr="00AA0BE1">
        <w:rPr>
          <w:position w:val="-10"/>
          <w:sz w:val="24"/>
          <w:szCs w:val="24"/>
        </w:rPr>
        <w:object w:dxaOrig="720" w:dyaOrig="320">
          <v:shape id="_x0000_i1141" type="#_x0000_t75" style="width:36pt;height:15.85pt" o:ole="">
            <v:imagedata r:id="rId230" o:title=""/>
          </v:shape>
          <o:OLEObject Type="Embed" ProgID="Equation.DSMT4" ShapeID="_x0000_i1141" DrawAspect="Content" ObjectID="_1722089635" r:id="rId231"/>
        </w:object>
      </w:r>
    </w:p>
    <w:p w:rsidR="00872E24" w:rsidRDefault="00872E24" w:rsidP="00872E24">
      <w:pPr>
        <w:spacing w:line="276" w:lineRule="auto"/>
        <w:ind w:firstLine="720"/>
        <w:jc w:val="both"/>
      </w:pPr>
      <w:r>
        <w:t>To be sure</w:t>
      </w:r>
      <w:r w:rsidR="00006197" w:rsidRPr="003A5450">
        <w:t>, the GPF is essentially the condition that allows the consideration of an entire set of elementary commod</w:t>
      </w:r>
      <w:r w:rsidR="00006197" w:rsidRPr="00AA0BE1">
        <w:t xml:space="preserve">ities in a product group to be represented as one aggregate commodity with a singular price. In the specific context of the current discussion, defining </w:t>
      </w:r>
      <w:r w:rsidR="00006197" w:rsidRPr="003A5450">
        <w:rPr>
          <w:position w:val="-12"/>
        </w:rPr>
        <w:object w:dxaOrig="279" w:dyaOrig="380">
          <v:shape id="_x0000_i1142" type="#_x0000_t75" style="width:14.15pt;height:18.85pt" o:ole="">
            <v:imagedata r:id="rId232" o:title=""/>
          </v:shape>
          <o:OLEObject Type="Embed" ProgID="Equation.DSMT4" ShapeID="_x0000_i1142" DrawAspect="Content" ObjectID="_1722089636" r:id="rId233"/>
        </w:object>
      </w:r>
      <w:r w:rsidR="00006197" w:rsidRPr="003A5450">
        <w:t xml:space="preserve"> as the quantity allocated to good </w:t>
      </w:r>
      <w:r w:rsidR="00006197" w:rsidRPr="00AA0BE1">
        <w:rPr>
          <w:i/>
        </w:rPr>
        <w:t>k</w:t>
      </w:r>
      <w:r w:rsidR="00006197" w:rsidRPr="003A5450">
        <w:t xml:space="preserve"> within the product category </w:t>
      </w:r>
      <w:r w:rsidR="00006197" w:rsidRPr="003A5450">
        <w:rPr>
          <w:i/>
        </w:rPr>
        <w:t>G</w:t>
      </w:r>
      <w:r w:rsidR="00006197" w:rsidRPr="00AA0BE1">
        <w:t xml:space="preserve"> (so, </w:t>
      </w:r>
      <w:r w:rsidR="00006197" w:rsidRPr="003A5450">
        <w:rPr>
          <w:position w:val="-28"/>
        </w:rPr>
        <w:object w:dxaOrig="1040" w:dyaOrig="680">
          <v:shape id="_x0000_i1143" type="#_x0000_t75" style="width:51.85pt;height:33.85pt" o:ole="">
            <v:imagedata r:id="rId234" o:title=""/>
          </v:shape>
          <o:OLEObject Type="Embed" ProgID="Equation.DSMT4" ShapeID="_x0000_i1143" DrawAspect="Content" ObjectID="_1722089637" r:id="rId235"/>
        </w:object>
      </w:r>
      <w:r w:rsidR="00006197" w:rsidRPr="003A5450">
        <w:t xml:space="preserve">), the GPF conditions on </w:t>
      </w:r>
      <w:r w:rsidR="00006197" w:rsidRPr="003A5450">
        <w:rPr>
          <w:position w:val="-10"/>
        </w:rPr>
        <w:object w:dxaOrig="499" w:dyaOrig="320">
          <v:shape id="_x0000_i1144" type="#_x0000_t75" style="width:24.85pt;height:15.85pt" o:ole="">
            <v:imagedata r:id="rId203" o:title=""/>
          </v:shape>
          <o:OLEObject Type="Embed" ProgID="Equation.DSMT4" ShapeID="_x0000_i1144" DrawAspect="Content" ObjectID="_1722089638" r:id="rId236"/>
        </w:object>
      </w:r>
      <w:r w:rsidR="00006197" w:rsidRPr="003A5450">
        <w:t xml:space="preserve"> and </w:t>
      </w:r>
      <w:r w:rsidR="00006197" w:rsidRPr="003A5450">
        <w:rPr>
          <w:position w:val="-10"/>
        </w:rPr>
        <w:object w:dxaOrig="499" w:dyaOrig="320">
          <v:shape id="_x0000_i1145" type="#_x0000_t75" style="width:24.85pt;height:15.85pt" o:ole="">
            <v:imagedata r:id="rId207" o:title=""/>
          </v:shape>
          <o:OLEObject Type="Embed" ProgID="Equation.DSMT4" ShapeID="_x0000_i1145" DrawAspect="Content" ObjectID="_1722089639" r:id="rId237"/>
        </w:object>
      </w:r>
      <w:r w:rsidR="00006197" w:rsidRPr="003A5450">
        <w:t xml:space="preserve"> i</w:t>
      </w:r>
      <w:r w:rsidR="00006197" w:rsidRPr="00AA0BE1">
        <w:t xml:space="preserve">n Equation (17) is the vehicle that allows us to </w:t>
      </w:r>
      <w:r>
        <w:t xml:space="preserve">view the entire product group </w:t>
      </w:r>
      <w:r w:rsidRPr="00AA0BE1">
        <w:rPr>
          <w:i/>
        </w:rPr>
        <w:t>G</w:t>
      </w:r>
      <w:r>
        <w:t xml:space="preserve"> as one aggregate commodity with </w:t>
      </w:r>
      <w:r w:rsidR="003A46A4">
        <w:t xml:space="preserve">a composite price index of </w:t>
      </w:r>
      <w:r w:rsidR="003A46A4" w:rsidRPr="0002761A">
        <w:rPr>
          <w:position w:val="-10"/>
        </w:rPr>
        <w:object w:dxaOrig="499" w:dyaOrig="320">
          <v:shape id="_x0000_i1146" type="#_x0000_t75" style="width:24.85pt;height:15.85pt" o:ole="">
            <v:imagedata r:id="rId203" o:title=""/>
          </v:shape>
          <o:OLEObject Type="Embed" ProgID="Equation.DSMT4" ShapeID="_x0000_i1146" DrawAspect="Content" ObjectID="_1722089640" r:id="rId238"/>
        </w:object>
      </w:r>
      <w:r w:rsidR="003A46A4">
        <w:t xml:space="preserve">. </w:t>
      </w:r>
      <w:r>
        <w:t xml:space="preserve">To see this, applying Roy’s identity to the Gorman polar indirect utility form of Equation (17) with </w:t>
      </w:r>
      <w:r w:rsidRPr="00FD4E21">
        <w:rPr>
          <w:position w:val="-10"/>
        </w:rPr>
        <w:object w:dxaOrig="499" w:dyaOrig="320">
          <v:shape id="_x0000_i1147" type="#_x0000_t75" style="width:24.85pt;height:15.85pt" o:ole="">
            <v:imagedata r:id="rId239" o:title=""/>
          </v:shape>
          <o:OLEObject Type="Embed" ProgID="Equation.DSMT4" ShapeID="_x0000_i1147" DrawAspect="Content" ObjectID="_1722089641" r:id="rId240"/>
        </w:object>
      </w:r>
      <w:r>
        <w:t xml:space="preserve"> as a constant, one can write the Marshallian demand for good </w:t>
      </w:r>
      <w:r w:rsidRPr="003B4EB5">
        <w:rPr>
          <w:i/>
        </w:rPr>
        <w:t>k</w:t>
      </w:r>
      <w:r>
        <w:t xml:space="preserve"> within the product group </w:t>
      </w:r>
      <w:r w:rsidRPr="003B4EB5">
        <w:rPr>
          <w:i/>
        </w:rPr>
        <w:t>G</w:t>
      </w:r>
      <w:r>
        <w:t xml:space="preserve"> as follows: </w:t>
      </w:r>
    </w:p>
    <w:p w:rsidR="00872E24" w:rsidRDefault="00650C1F" w:rsidP="00CB4D5B">
      <w:pPr>
        <w:tabs>
          <w:tab w:val="right" w:pos="9360"/>
        </w:tabs>
        <w:spacing w:before="60" w:after="60" w:line="276" w:lineRule="auto"/>
        <w:jc w:val="both"/>
      </w:pPr>
      <w:r w:rsidRPr="00966F27">
        <w:rPr>
          <w:position w:val="-48"/>
        </w:rPr>
        <w:object w:dxaOrig="7500" w:dyaOrig="1080">
          <v:shape id="_x0000_i1148" type="#_x0000_t75" style="width:375pt;height:54pt" o:ole="">
            <v:imagedata r:id="rId241" o:title=""/>
          </v:shape>
          <o:OLEObject Type="Embed" ProgID="Equation.DSMT4" ShapeID="_x0000_i1148" DrawAspect="Content" ObjectID="_1722089642" r:id="rId242"/>
        </w:object>
      </w:r>
      <w:r w:rsidR="00872E24">
        <w:tab/>
        <w:t xml:space="preserve"> (20)</w:t>
      </w:r>
    </w:p>
    <w:p w:rsidR="00006197" w:rsidRDefault="00872E24" w:rsidP="003A5450">
      <w:pPr>
        <w:pStyle w:val="FootnoteText"/>
        <w:jc w:val="both"/>
        <w:rPr>
          <w:sz w:val="24"/>
          <w:szCs w:val="24"/>
        </w:rPr>
      </w:pPr>
      <w:r>
        <w:rPr>
          <w:sz w:val="24"/>
          <w:szCs w:val="24"/>
        </w:rPr>
        <w:t>The above equation implies that</w:t>
      </w:r>
      <w:r w:rsidR="003A46A4">
        <w:rPr>
          <w:sz w:val="24"/>
          <w:szCs w:val="24"/>
        </w:rPr>
        <w:t xml:space="preserve"> </w:t>
      </w:r>
      <w:r w:rsidR="007A5E7B" w:rsidRPr="0002761A">
        <w:rPr>
          <w:position w:val="-30"/>
        </w:rPr>
        <w:object w:dxaOrig="3660" w:dyaOrig="720">
          <v:shape id="_x0000_i1149" type="#_x0000_t75" style="width:183pt;height:36pt" o:ole="">
            <v:imagedata r:id="rId243" o:title=""/>
          </v:shape>
          <o:OLEObject Type="Embed" ProgID="Equation.DSMT4" ShapeID="_x0000_i1149" DrawAspect="Content" ObjectID="_1722089643" r:id="rId244"/>
        </w:object>
      </w:r>
      <w:r w:rsidR="003A46A4">
        <w:rPr>
          <w:sz w:val="24"/>
          <w:szCs w:val="24"/>
        </w:rPr>
        <w:t xml:space="preserve"> </w:t>
      </w:r>
      <w:r w:rsidR="00006197" w:rsidRPr="00AA0BE1">
        <w:rPr>
          <w:sz w:val="24"/>
          <w:szCs w:val="24"/>
        </w:rPr>
        <w:t xml:space="preserve">Also, note that another consequence of the GPF condition is that the total budget </w:t>
      </w:r>
      <w:r w:rsidR="00006197" w:rsidRPr="00AA0BE1">
        <w:rPr>
          <w:position w:val="-10"/>
          <w:sz w:val="24"/>
          <w:szCs w:val="24"/>
        </w:rPr>
        <w:object w:dxaOrig="279" w:dyaOrig="360">
          <v:shape id="_x0000_i1150" type="#_x0000_t75" style="width:14.15pt;height:18pt" o:ole="">
            <v:imagedata r:id="rId245" o:title=""/>
          </v:shape>
          <o:OLEObject Type="Embed" ProgID="Equation.DSMT4" ShapeID="_x0000_i1150" DrawAspect="Content" ObjectID="_1722089644" r:id="rId246"/>
        </w:object>
      </w:r>
      <w:r w:rsidR="00006197" w:rsidRPr="00AA0BE1">
        <w:rPr>
          <w:sz w:val="24"/>
          <w:szCs w:val="24"/>
        </w:rPr>
        <w:t xml:space="preserve"> allocated to product group </w:t>
      </w:r>
      <w:r w:rsidR="00006197" w:rsidRPr="00AA0BE1">
        <w:rPr>
          <w:i/>
          <w:sz w:val="24"/>
          <w:szCs w:val="24"/>
        </w:rPr>
        <w:t>G</w:t>
      </w:r>
      <w:r w:rsidR="00006197" w:rsidRPr="00AA0BE1">
        <w:rPr>
          <w:sz w:val="24"/>
          <w:szCs w:val="24"/>
        </w:rPr>
        <w:t xml:space="preserve"> is only dependent on the total consumption </w:t>
      </w:r>
      <w:r w:rsidR="00006197" w:rsidRPr="00AA0BE1">
        <w:rPr>
          <w:position w:val="-10"/>
          <w:sz w:val="24"/>
          <w:szCs w:val="24"/>
        </w:rPr>
        <w:object w:dxaOrig="260" w:dyaOrig="360">
          <v:shape id="_x0000_i1151" type="#_x0000_t75" style="width:12.85pt;height:18pt" o:ole="">
            <v:imagedata r:id="rId247" o:title=""/>
          </v:shape>
          <o:OLEObject Type="Embed" ProgID="Equation.DSMT4" ShapeID="_x0000_i1151" DrawAspect="Content" ObjectID="_1722089645" r:id="rId248"/>
        </w:object>
      </w:r>
      <w:r w:rsidR="007A5E7B">
        <w:rPr>
          <w:sz w:val="24"/>
          <w:szCs w:val="24"/>
        </w:rPr>
        <w:t xml:space="preserve"> </w:t>
      </w:r>
      <w:r w:rsidR="00006197" w:rsidRPr="00AA0BE1">
        <w:rPr>
          <w:sz w:val="24"/>
          <w:szCs w:val="24"/>
        </w:rPr>
        <w:t xml:space="preserve">in the product group, and entirely independent of the allocation </w:t>
      </w:r>
      <w:r w:rsidR="0091465A" w:rsidRPr="00AA0BE1">
        <w:rPr>
          <w:sz w:val="24"/>
          <w:szCs w:val="24"/>
        </w:rPr>
        <w:t xml:space="preserve">(distribution) </w:t>
      </w:r>
      <w:r w:rsidR="00006197" w:rsidRPr="00AA0BE1">
        <w:rPr>
          <w:sz w:val="24"/>
          <w:szCs w:val="24"/>
        </w:rPr>
        <w:t xml:space="preserve">of the budget </w:t>
      </w:r>
      <w:r w:rsidR="00006197" w:rsidRPr="00AA0BE1">
        <w:rPr>
          <w:position w:val="-10"/>
          <w:sz w:val="24"/>
          <w:szCs w:val="24"/>
        </w:rPr>
        <w:object w:dxaOrig="279" w:dyaOrig="360">
          <v:shape id="_x0000_i1152" type="#_x0000_t75" style="width:14.15pt;height:18pt" o:ole="">
            <v:imagedata r:id="rId245" o:title=""/>
          </v:shape>
          <o:OLEObject Type="Embed" ProgID="Equation.DSMT4" ShapeID="_x0000_i1152" DrawAspect="Content" ObjectID="_1722089646" r:id="rId249"/>
        </w:object>
      </w:r>
      <w:r w:rsidR="00006197" w:rsidRPr="00AA0BE1">
        <w:rPr>
          <w:sz w:val="24"/>
          <w:szCs w:val="24"/>
        </w:rPr>
        <w:t xml:space="preserve"> to individual elementary commodities within the product group. </w:t>
      </w:r>
      <w:r w:rsidR="00DF5839" w:rsidRPr="003A5450">
        <w:rPr>
          <w:sz w:val="24"/>
          <w:szCs w:val="24"/>
        </w:rPr>
        <w:t xml:space="preserve">The result is that, as in Hausman et al. (1995), the total budget cannot appear </w:t>
      </w:r>
      <w:r w:rsidR="00DF5839" w:rsidRPr="00AA0BE1">
        <w:rPr>
          <w:sz w:val="24"/>
          <w:szCs w:val="24"/>
        </w:rPr>
        <w:t>as a determinant of the fractional split MDCEV model (in other words, the GPF requires that the group price index</w:t>
      </w:r>
      <w:r w:rsidRPr="00AA0BE1">
        <w:rPr>
          <w:sz w:val="24"/>
          <w:szCs w:val="24"/>
        </w:rPr>
        <w:t>-based linking function</w:t>
      </w:r>
      <w:r w:rsidR="00DF5839" w:rsidRPr="00AA0BE1">
        <w:rPr>
          <w:sz w:val="24"/>
          <w:szCs w:val="24"/>
        </w:rPr>
        <w:t xml:space="preserve"> </w:t>
      </w:r>
      <w:r w:rsidR="007A5E7B" w:rsidRPr="003A5450">
        <w:rPr>
          <w:position w:val="-10"/>
          <w:sz w:val="24"/>
          <w:szCs w:val="24"/>
        </w:rPr>
        <w:object w:dxaOrig="499" w:dyaOrig="320">
          <v:shape id="_x0000_i1153" type="#_x0000_t75" style="width:24.85pt;height:15.85pt" o:ole="">
            <v:imagedata r:id="rId203" o:title=""/>
          </v:shape>
          <o:OLEObject Type="Embed" ProgID="Equation.DSMT4" ShapeID="_x0000_i1153" DrawAspect="Content" ObjectID="_1722089647" r:id="rId250"/>
        </w:object>
      </w:r>
      <w:r w:rsidR="00DF5839" w:rsidRPr="003A5450">
        <w:rPr>
          <w:sz w:val="24"/>
          <w:szCs w:val="24"/>
        </w:rPr>
        <w:t xml:space="preserve"> have </w:t>
      </w:r>
      <w:r w:rsidR="00DF5839" w:rsidRPr="00AA0BE1">
        <w:rPr>
          <w:sz w:val="24"/>
          <w:szCs w:val="24"/>
        </w:rPr>
        <w:t xml:space="preserve">only the quality adjusted price index vector </w:t>
      </w:r>
      <w:r w:rsidR="007A5E7B" w:rsidRPr="00AA0BE1">
        <w:rPr>
          <w:position w:val="-6"/>
          <w:sz w:val="24"/>
          <w:szCs w:val="24"/>
        </w:rPr>
        <w:object w:dxaOrig="220" w:dyaOrig="279">
          <v:shape id="_x0000_i1154" type="#_x0000_t75" style="width:11.15pt;height:13.7pt" o:ole="">
            <v:imagedata r:id="rId251" o:title=""/>
          </v:shape>
          <o:OLEObject Type="Embed" ProgID="Equation.DSMT4" ShapeID="_x0000_i1154" DrawAspect="Content" ObjectID="_1722089648" r:id="rId252"/>
        </w:object>
      </w:r>
      <w:r w:rsidR="007A5E7B">
        <w:rPr>
          <w:sz w:val="24"/>
          <w:szCs w:val="24"/>
        </w:rPr>
        <w:t xml:space="preserve"> </w:t>
      </w:r>
      <w:r w:rsidR="00DF5839" w:rsidRPr="00AA0BE1">
        <w:rPr>
          <w:sz w:val="24"/>
          <w:szCs w:val="24"/>
        </w:rPr>
        <w:t xml:space="preserve">as an argument, and cannot include </w:t>
      </w:r>
      <w:r w:rsidR="00DF5839" w:rsidRPr="00AA0BE1">
        <w:rPr>
          <w:position w:val="-10"/>
          <w:sz w:val="24"/>
          <w:szCs w:val="24"/>
        </w:rPr>
        <w:object w:dxaOrig="279" w:dyaOrig="360">
          <v:shape id="_x0000_i1155" type="#_x0000_t75" style="width:14.15pt;height:18pt" o:ole="">
            <v:imagedata r:id="rId253" o:title=""/>
          </v:shape>
          <o:OLEObject Type="Embed" ProgID="Equation.DSMT4" ShapeID="_x0000_i1155" DrawAspect="Content" ObjectID="_1722089649" r:id="rId254"/>
        </w:object>
      </w:r>
      <w:r w:rsidR="00DF5839" w:rsidRPr="00AA0BE1">
        <w:rPr>
          <w:sz w:val="24"/>
          <w:szCs w:val="24"/>
        </w:rPr>
        <w:t xml:space="preserve">). </w:t>
      </w:r>
      <w:r w:rsidR="009A7B92">
        <w:rPr>
          <w:sz w:val="24"/>
          <w:szCs w:val="24"/>
        </w:rPr>
        <w:t>Further</w:t>
      </w:r>
      <w:r w:rsidRPr="00AA0BE1">
        <w:rPr>
          <w:sz w:val="24"/>
          <w:szCs w:val="24"/>
        </w:rPr>
        <w:t xml:space="preserve">, the linking function needs to be exogenous and strictly upward from the second stage fractional split model to the first stage total budget model (this has implications in the empirical specification). </w:t>
      </w:r>
    </w:p>
    <w:p w:rsidR="009A7B92" w:rsidRDefault="009A7B92" w:rsidP="009A7B92">
      <w:pPr>
        <w:spacing w:line="276" w:lineRule="auto"/>
        <w:jc w:val="both"/>
      </w:pPr>
      <w:r>
        <w:tab/>
        <w:t xml:space="preserve">For further reference before moving forward, note that, corresponding to the demand of Equation (20), we can also write the fractional demand for (allocation of the budget </w:t>
      </w:r>
      <w:r w:rsidRPr="00021DE5">
        <w:rPr>
          <w:position w:val="-10"/>
        </w:rPr>
        <w:object w:dxaOrig="279" w:dyaOrig="360">
          <v:shape id="_x0000_i1156" type="#_x0000_t75" style="width:14.15pt;height:18pt" o:ole="">
            <v:imagedata r:id="rId245" o:title=""/>
          </v:shape>
          <o:OLEObject Type="Embed" ProgID="Equation.DSMT4" ShapeID="_x0000_i1156" DrawAspect="Content" ObjectID="_1722089650" r:id="rId255"/>
        </w:object>
      </w:r>
      <w:r>
        <w:t xml:space="preserve">to) good </w:t>
      </w:r>
      <w:r w:rsidRPr="00021DE5">
        <w:rPr>
          <w:i/>
        </w:rPr>
        <w:t>k</w:t>
      </w:r>
      <w:r>
        <w:t xml:space="preserve"> as follows:</w:t>
      </w:r>
    </w:p>
    <w:p w:rsidR="00006197" w:rsidRDefault="009A7B92" w:rsidP="009A7B92">
      <w:pPr>
        <w:spacing w:line="276" w:lineRule="auto"/>
        <w:jc w:val="both"/>
      </w:pPr>
      <w:r w:rsidRPr="00966F27">
        <w:rPr>
          <w:position w:val="-48"/>
        </w:rPr>
        <w:object w:dxaOrig="3760" w:dyaOrig="1080">
          <v:shape id="_x0000_i1157" type="#_x0000_t75" style="width:188.15pt;height:54pt" o:ole="">
            <v:imagedata r:id="rId256" o:title=""/>
          </v:shape>
          <o:OLEObject Type="Embed" ProgID="Equation.DSMT4" ShapeID="_x0000_i1157" DrawAspect="Content" ObjectID="_1722089651" r:id="rId257"/>
        </w:object>
      </w:r>
      <w:r>
        <w:tab/>
      </w:r>
      <w:r>
        <w:tab/>
      </w:r>
      <w:r>
        <w:tab/>
      </w:r>
      <w:r>
        <w:tab/>
      </w:r>
      <w:r>
        <w:tab/>
      </w:r>
      <w:r>
        <w:tab/>
      </w:r>
      <w:r>
        <w:tab/>
        <w:t xml:space="preserve">    (21)</w:t>
      </w:r>
    </w:p>
    <w:p w:rsidR="00757623" w:rsidRDefault="00757623" w:rsidP="00AA0BE1">
      <w:pPr>
        <w:spacing w:line="276" w:lineRule="auto"/>
        <w:jc w:val="both"/>
      </w:pPr>
    </w:p>
    <w:p w:rsidR="003A46A4" w:rsidRPr="00AA0BE1" w:rsidRDefault="003A46A4" w:rsidP="00AA0BE1">
      <w:pPr>
        <w:numPr>
          <w:ilvl w:val="2"/>
          <w:numId w:val="6"/>
        </w:numPr>
        <w:spacing w:line="276" w:lineRule="auto"/>
        <w:jc w:val="both"/>
        <w:rPr>
          <w:i/>
        </w:rPr>
      </w:pPr>
      <w:r w:rsidRPr="00AA0BE1">
        <w:rPr>
          <w:i/>
        </w:rPr>
        <w:t>Conditional Demand</w:t>
      </w:r>
    </w:p>
    <w:p w:rsidR="009644B7" w:rsidRDefault="00FF1D06" w:rsidP="00EC738F">
      <w:pPr>
        <w:spacing w:line="276" w:lineRule="auto"/>
        <w:jc w:val="both"/>
      </w:pPr>
      <w:r>
        <w:t>Equation</w:t>
      </w:r>
      <w:r w:rsidR="009A7B92">
        <w:t>s</w:t>
      </w:r>
      <w:r>
        <w:t xml:space="preserve"> (20) </w:t>
      </w:r>
      <w:r w:rsidR="009A7B92">
        <w:t xml:space="preserve">and (21) </w:t>
      </w:r>
      <w:r>
        <w:t>provide the notional</w:t>
      </w:r>
      <w:r w:rsidR="00FD3014">
        <w:t xml:space="preserve"> demand</w:t>
      </w:r>
      <w:r>
        <w:t xml:space="preserve"> </w:t>
      </w:r>
      <w:r w:rsidR="009A7B92">
        <w:t xml:space="preserve">and notional fractional demand, respectively, </w:t>
      </w:r>
      <w:r w:rsidR="00FD3014">
        <w:t xml:space="preserve">on </w:t>
      </w:r>
      <w:r>
        <w:t xml:space="preserve">good </w:t>
      </w:r>
      <w:r w:rsidRPr="00AA0BE1">
        <w:rPr>
          <w:i/>
        </w:rPr>
        <w:t>k</w:t>
      </w:r>
      <w:r>
        <w:t xml:space="preserve">, because </w:t>
      </w:r>
      <w:r w:rsidR="009A7B92">
        <w:t>they</w:t>
      </w:r>
      <w:r w:rsidR="00637842">
        <w:t xml:space="preserve"> </w:t>
      </w:r>
      <w:r w:rsidR="009A7B92">
        <w:t xml:space="preserve">are </w:t>
      </w:r>
      <w:r w:rsidR="00637842">
        <w:t xml:space="preserve">critically predicated on the assumption that </w:t>
      </w:r>
      <w:r w:rsidR="00637842" w:rsidRPr="00021DE5">
        <w:rPr>
          <w:position w:val="-12"/>
        </w:rPr>
        <w:object w:dxaOrig="999" w:dyaOrig="380">
          <v:shape id="_x0000_i1158" type="#_x0000_t75" style="width:50.15pt;height:18.85pt" o:ole="">
            <v:imagedata r:id="rId258" o:title=""/>
          </v:shape>
          <o:OLEObject Type="Embed" ProgID="Equation.DSMT4" ShapeID="_x0000_i1158" DrawAspect="Content" ObjectID="_1722089652" r:id="rId259"/>
        </w:object>
      </w:r>
      <w:r w:rsidR="00637842">
        <w:t xml:space="preserve">for all inside goods </w:t>
      </w:r>
      <w:r w:rsidR="00637842" w:rsidRPr="00AA0BE1">
        <w:rPr>
          <w:i/>
        </w:rPr>
        <w:t>k</w:t>
      </w:r>
      <w:r w:rsidR="00637842">
        <w:t xml:space="preserve">. In reality, though, </w:t>
      </w:r>
      <w:r w:rsidR="003A46A4">
        <w:t xml:space="preserve">there is nothing to prevent </w:t>
      </w:r>
      <w:r w:rsidR="00637842" w:rsidRPr="00021DE5">
        <w:rPr>
          <w:position w:val="-12"/>
        </w:rPr>
        <w:object w:dxaOrig="520" w:dyaOrig="380">
          <v:shape id="_x0000_i1159" type="#_x0000_t75" style="width:26.15pt;height:18.85pt" o:ole="">
            <v:imagedata r:id="rId260" o:title=""/>
          </v:shape>
          <o:OLEObject Type="Embed" ProgID="Equation.DSMT4" ShapeID="_x0000_i1159" DrawAspect="Content" ObjectID="_1722089653" r:id="rId261"/>
        </w:object>
      </w:r>
      <w:r w:rsidR="00637842">
        <w:t xml:space="preserve"> from being zero or even negative</w:t>
      </w:r>
      <w:r w:rsidR="00C92306">
        <w:t>.</w:t>
      </w:r>
      <w:r w:rsidR="00637842">
        <w:t xml:space="preserve"> </w:t>
      </w:r>
      <w:r w:rsidR="00C92306">
        <w:t xml:space="preserve">As we will now show, the condition </w:t>
      </w:r>
      <w:r w:rsidR="00D12411" w:rsidRPr="00021DE5">
        <w:rPr>
          <w:position w:val="-12"/>
        </w:rPr>
        <w:object w:dxaOrig="1340" w:dyaOrig="380">
          <v:shape id="_x0000_i1160" type="#_x0000_t75" style="width:66.85pt;height:18.85pt" o:ole="">
            <v:imagedata r:id="rId262" o:title=""/>
          </v:shape>
          <o:OLEObject Type="Embed" ProgID="Equation.DSMT4" ShapeID="_x0000_i1160" DrawAspect="Content" ObjectID="_1722089654" r:id="rId263"/>
        </w:object>
      </w:r>
      <w:r w:rsidR="00D12411">
        <w:t xml:space="preserve"> </w:t>
      </w:r>
      <w:r w:rsidR="00C92306">
        <w:t xml:space="preserve">is equivalent to assuming that all the inside goods are chosen for consumption. </w:t>
      </w:r>
      <w:r w:rsidR="00637842">
        <w:t>Th</w:t>
      </w:r>
      <w:r w:rsidR="00C92306">
        <w:t xml:space="preserve">at is, </w:t>
      </w:r>
      <w:r w:rsidR="00856204">
        <w:t xml:space="preserve">the indirect utility of Equation (17) </w:t>
      </w:r>
      <w:r w:rsidR="0006696D">
        <w:t xml:space="preserve">corresponds to a direct utility maximization problem that does not include the </w:t>
      </w:r>
      <w:r>
        <w:t xml:space="preserve">non-negativity </w:t>
      </w:r>
      <w:r w:rsidR="0006696D">
        <w:t>constraints on the</w:t>
      </w:r>
      <w:r w:rsidR="00FD4E21">
        <w:t xml:space="preserve"> </w:t>
      </w:r>
      <w:r w:rsidR="00CA3946">
        <w:t xml:space="preserve">inside good </w:t>
      </w:r>
      <w:r w:rsidR="00FD4E21">
        <w:t>consumption</w:t>
      </w:r>
      <w:r w:rsidR="00856204">
        <w:t>s</w:t>
      </w:r>
      <w:r w:rsidR="00CA3946">
        <w:t xml:space="preserve"> and assumes that </w:t>
      </w:r>
      <w:r w:rsidR="00CA3946" w:rsidRPr="00021DE5">
        <w:rPr>
          <w:position w:val="-10"/>
        </w:rPr>
        <w:object w:dxaOrig="660" w:dyaOrig="360">
          <v:shape id="_x0000_i1161" type="#_x0000_t75" style="width:33pt;height:18pt" o:ole="">
            <v:imagedata r:id="rId264" o:title=""/>
          </v:shape>
          <o:OLEObject Type="Embed" ProgID="Equation.DSMT4" ShapeID="_x0000_i1161" DrawAspect="Content" ObjectID="_1722089655" r:id="rId265"/>
        </w:object>
      </w:r>
      <w:r w:rsidR="00D12411">
        <w:t>. S</w:t>
      </w:r>
      <w:r w:rsidR="00C92306">
        <w:t>o</w:t>
      </w:r>
      <w:r w:rsidR="00D12411">
        <w:t>,</w:t>
      </w:r>
      <w:r w:rsidR="00C92306">
        <w:t xml:space="preserve"> the entire discussion in the previous section assumes that these non-negativity constraints are automatically honored. But</w:t>
      </w:r>
      <w:r w:rsidR="00FF7F9C">
        <w:t xml:space="preserve"> </w:t>
      </w:r>
      <w:r w:rsidR="00C92306">
        <w:t>let’s consider the more realistic case when, conditional on consumption in the product category</w:t>
      </w:r>
      <w:r w:rsidR="00D12411">
        <w:t xml:space="preserve"> (that is, still assuming </w:t>
      </w:r>
      <w:r w:rsidR="00D12411" w:rsidRPr="00021DE5">
        <w:rPr>
          <w:position w:val="-10"/>
        </w:rPr>
        <w:object w:dxaOrig="660" w:dyaOrig="360">
          <v:shape id="_x0000_i1162" type="#_x0000_t75" style="width:33pt;height:18pt" o:ole="">
            <v:imagedata r:id="rId266" o:title=""/>
          </v:shape>
          <o:OLEObject Type="Embed" ProgID="Equation.DSMT4" ShapeID="_x0000_i1162" DrawAspect="Content" ObjectID="_1722089656" r:id="rId267"/>
        </w:object>
      </w:r>
      <w:r w:rsidR="00D12411">
        <w:t>)</w:t>
      </w:r>
      <w:r w:rsidR="00C92306">
        <w:t xml:space="preserve">, only goods 1 to </w:t>
      </w:r>
      <w:r w:rsidR="00C92306" w:rsidRPr="00AA0BE1">
        <w:rPr>
          <w:i/>
        </w:rPr>
        <w:t>M</w:t>
      </w:r>
      <w:r w:rsidR="00C92306">
        <w:t xml:space="preserve"> are consumed and others are not. In this situation, following Lee and Pitt (1986), t</w:t>
      </w:r>
      <w:r w:rsidR="00FD3014">
        <w:t>h</w:t>
      </w:r>
      <w:r w:rsidR="001F279B">
        <w:t>e</w:t>
      </w:r>
      <w:r w:rsidR="00FD3014">
        <w:t xml:space="preserve"> notional </w:t>
      </w:r>
      <w:r w:rsidR="00C62557">
        <w:t xml:space="preserve">fractional </w:t>
      </w:r>
      <w:r w:rsidR="00FD3014">
        <w:t>demand</w:t>
      </w:r>
      <w:r w:rsidR="001F279B">
        <w:t>s</w:t>
      </w:r>
      <w:r w:rsidR="00FD3014">
        <w:t xml:space="preserve"> </w:t>
      </w:r>
      <w:r w:rsidR="00C92306">
        <w:t xml:space="preserve">can be viewed as </w:t>
      </w:r>
      <w:r w:rsidR="00FD3014">
        <w:t>latent variable</w:t>
      </w:r>
      <w:r w:rsidR="001F279B">
        <w:t>s</w:t>
      </w:r>
      <w:r w:rsidR="00FD3014">
        <w:t xml:space="preserve"> that correspond to the actual observed </w:t>
      </w:r>
      <w:r w:rsidR="006B2CC9">
        <w:t xml:space="preserve">optimal </w:t>
      </w:r>
      <w:r w:rsidR="00C62557">
        <w:t xml:space="preserve">fractional </w:t>
      </w:r>
      <w:r w:rsidR="006B2CC9">
        <w:t>consumption</w:t>
      </w:r>
      <w:r w:rsidR="001F279B">
        <w:t>s</w:t>
      </w:r>
      <w:r w:rsidR="002B5F27">
        <w:t xml:space="preserve"> </w:t>
      </w:r>
      <w:r w:rsidR="00C20137" w:rsidRPr="0002761A">
        <w:rPr>
          <w:position w:val="-12"/>
        </w:rPr>
        <w:object w:dxaOrig="400" w:dyaOrig="400">
          <v:shape id="_x0000_i1163" type="#_x0000_t75" style="width:20.15pt;height:20.15pt" o:ole="">
            <v:imagedata r:id="rId268" o:title=""/>
          </v:shape>
          <o:OLEObject Type="Embed" ProgID="Equation.DSMT4" ShapeID="_x0000_i1163" DrawAspect="Content" ObjectID="_1722089657" r:id="rId269"/>
        </w:object>
      </w:r>
      <w:r w:rsidR="009644B7">
        <w:t xml:space="preserve"> </w:t>
      </w:r>
      <w:r w:rsidR="00301461">
        <w:t>in a specific way</w:t>
      </w:r>
      <w:r w:rsidR="006B2CC9">
        <w:t xml:space="preserve">, which is based on </w:t>
      </w:r>
      <w:r w:rsidR="0006696D">
        <w:t>recognizing the non-negativity constraints</w:t>
      </w:r>
      <w:r w:rsidR="00856204">
        <w:t xml:space="preserve">. </w:t>
      </w:r>
      <w:r w:rsidR="00C20137">
        <w:t>U</w:t>
      </w:r>
      <w:r w:rsidR="00C179FE">
        <w:t xml:space="preserve">se </w:t>
      </w:r>
      <w:r w:rsidR="00EC738F">
        <w:t xml:space="preserve">a </w:t>
      </w:r>
      <w:r w:rsidR="006B2CC9">
        <w:t xml:space="preserve">transformation from the vector </w:t>
      </w:r>
      <w:r w:rsidR="006B2CC9" w:rsidRPr="0002761A">
        <w:rPr>
          <w:position w:val="-6"/>
        </w:rPr>
        <w:object w:dxaOrig="220" w:dyaOrig="279">
          <v:shape id="_x0000_i1164" type="#_x0000_t75" style="width:11.15pt;height:14.15pt" o:ole="">
            <v:imagedata r:id="rId270" o:title=""/>
          </v:shape>
          <o:OLEObject Type="Embed" ProgID="Equation.DSMT4" ShapeID="_x0000_i1164" DrawAspect="Content" ObjectID="_1722089658" r:id="rId271"/>
        </w:object>
      </w:r>
      <w:r w:rsidR="006B2CC9">
        <w:t xml:space="preserve"> to </w:t>
      </w:r>
      <w:r w:rsidR="00EC738F">
        <w:t>a</w:t>
      </w:r>
      <w:r w:rsidR="006B2CC9">
        <w:t xml:space="preserve"> strictly non-negative vector of virtual prices </w:t>
      </w:r>
      <w:r w:rsidR="00A34F87" w:rsidRPr="00021DE5">
        <w:rPr>
          <w:position w:val="-12"/>
        </w:rPr>
        <w:object w:dxaOrig="1780" w:dyaOrig="360">
          <v:shape id="_x0000_i1165" type="#_x0000_t75" style="width:89.15pt;height:18pt" o:ole="">
            <v:imagedata r:id="rId272" o:title=""/>
          </v:shape>
          <o:OLEObject Type="Embed" ProgID="Equation.DSMT4" ShapeID="_x0000_i1165" DrawAspect="Content" ObjectID="_1722089659" r:id="rId273"/>
        </w:object>
      </w:r>
      <w:r w:rsidR="00EC738F">
        <w:t xml:space="preserve"> </w:t>
      </w:r>
      <w:r w:rsidR="00B65D33">
        <w:t xml:space="preserve">that support the non-negative </w:t>
      </w:r>
      <w:r w:rsidR="00A34F87">
        <w:t xml:space="preserve">fractional </w:t>
      </w:r>
      <w:r w:rsidR="00B65D33">
        <w:t>demands</w:t>
      </w:r>
      <w:r w:rsidR="00C20137">
        <w:t xml:space="preserve">, conditional on </w:t>
      </w:r>
      <w:r w:rsidR="00A34F87" w:rsidRPr="00021DE5">
        <w:rPr>
          <w:position w:val="-10"/>
        </w:rPr>
        <w:object w:dxaOrig="660" w:dyaOrig="360">
          <v:shape id="_x0000_i1166" type="#_x0000_t75" style="width:33pt;height:18pt" o:ole="">
            <v:imagedata r:id="rId274" o:title=""/>
          </v:shape>
          <o:OLEObject Type="Embed" ProgID="Equation.DSMT4" ShapeID="_x0000_i1166" DrawAspect="Content" ObjectID="_1722089660" r:id="rId275"/>
        </w:object>
      </w:r>
      <w:r w:rsidR="00A34F87">
        <w:t>,</w:t>
      </w:r>
      <w:r w:rsidR="00C20137">
        <w:t xml:space="preserve"> </w:t>
      </w:r>
      <w:r w:rsidR="00B65D33">
        <w:t xml:space="preserve"> </w:t>
      </w:r>
      <w:r w:rsidR="00EC738F">
        <w:lastRenderedPageBreak/>
        <w:t xml:space="preserve">such that </w:t>
      </w:r>
      <w:r w:rsidR="0064142A" w:rsidRPr="0002761A">
        <w:rPr>
          <w:position w:val="-12"/>
        </w:rPr>
        <w:object w:dxaOrig="4680" w:dyaOrig="380">
          <v:shape id="_x0000_i1167" type="#_x0000_t75" style="width:234pt;height:18.85pt" o:ole="">
            <v:imagedata r:id="rId276" o:title=""/>
          </v:shape>
          <o:OLEObject Type="Embed" ProgID="Equation.DSMT4" ShapeID="_x0000_i1167" DrawAspect="Content" ObjectID="_1722089661" r:id="rId277"/>
        </w:object>
      </w:r>
      <w:r w:rsidR="0064142A">
        <w:t xml:space="preserve">As we show in Appendix B, the inequality </w:t>
      </w:r>
      <w:r w:rsidR="0064142A" w:rsidRPr="0002761A">
        <w:rPr>
          <w:position w:val="-12"/>
        </w:rPr>
        <w:object w:dxaOrig="900" w:dyaOrig="380">
          <v:shape id="_x0000_i1168" type="#_x0000_t75" style="width:45pt;height:18.85pt" o:ole="">
            <v:imagedata r:id="rId278" o:title=""/>
          </v:shape>
          <o:OLEObject Type="Embed" ProgID="Equation.DSMT4" ShapeID="_x0000_i1168" DrawAspect="Content" ObjectID="_1722089662" r:id="rId279"/>
        </w:object>
      </w:r>
      <w:r w:rsidR="0064142A">
        <w:t xml:space="preserve">, in fact, is just another way of writing the condition for zero consumption of good </w:t>
      </w:r>
      <w:r w:rsidR="0064142A" w:rsidRPr="00AA0BE1">
        <w:rPr>
          <w:i/>
        </w:rPr>
        <w:t>k</w:t>
      </w:r>
      <w:r w:rsidR="0064142A">
        <w:t xml:space="preserve"> based on the KKT conditions in </w:t>
      </w:r>
      <w:r w:rsidR="009644B7">
        <w:t>Equation (10)</w:t>
      </w:r>
      <w:r w:rsidR="00A34F87">
        <w:t xml:space="preserve"> (that is, the strictly non-negative virtual price vector </w:t>
      </w:r>
      <w:r w:rsidR="00A34F87" w:rsidRPr="00021DE5">
        <w:rPr>
          <w:position w:val="-6"/>
        </w:rPr>
        <w:object w:dxaOrig="220" w:dyaOrig="220">
          <v:shape id="_x0000_i1169" type="#_x0000_t75" style="width:11.15pt;height:11.15pt" o:ole="">
            <v:imagedata r:id="rId280" o:title=""/>
          </v:shape>
          <o:OLEObject Type="Embed" ProgID="Equation.DSMT4" ShapeID="_x0000_i1169" DrawAspect="Content" ObjectID="_1722089663" r:id="rId281"/>
        </w:object>
      </w:r>
      <w:r w:rsidR="00A34F87">
        <w:t xml:space="preserve"> represents shadow prices corresponding to the indirect utility function of Equation (17), but now accommodating the non-negativity constraints of the direct utility function). With this, we </w:t>
      </w:r>
      <w:r w:rsidR="00BD6A24">
        <w:t xml:space="preserve">can </w:t>
      </w:r>
      <w:r w:rsidR="009644B7">
        <w:t xml:space="preserve">define a switching regime where good </w:t>
      </w:r>
      <w:r w:rsidR="009644B7" w:rsidRPr="00AA0BE1">
        <w:rPr>
          <w:i/>
        </w:rPr>
        <w:t>k</w:t>
      </w:r>
      <w:r w:rsidR="009644B7">
        <w:t xml:space="preserve"> is consumed if </w:t>
      </w:r>
      <w:r w:rsidR="00A34F87" w:rsidRPr="0002761A">
        <w:rPr>
          <w:position w:val="-12"/>
        </w:rPr>
        <w:object w:dxaOrig="900" w:dyaOrig="380">
          <v:shape id="_x0000_i1170" type="#_x0000_t75" style="width:45pt;height:18.85pt" o:ole="">
            <v:imagedata r:id="rId282" o:title=""/>
          </v:shape>
          <o:OLEObject Type="Embed" ProgID="Equation.DSMT4" ShapeID="_x0000_i1170" DrawAspect="Content" ObjectID="_1722089664" r:id="rId283"/>
        </w:object>
      </w:r>
      <w:r w:rsidR="009644B7">
        <w:t xml:space="preserve"> </w:t>
      </w:r>
      <w:r w:rsidR="00A34F87">
        <w:t>(</w:t>
      </w:r>
      <w:r w:rsidR="00A34F87" w:rsidRPr="00021DE5">
        <w:rPr>
          <w:position w:val="-12"/>
        </w:rPr>
        <w:object w:dxaOrig="1240" w:dyaOrig="380">
          <v:shape id="_x0000_i1171" type="#_x0000_t75" style="width:62.15pt;height:18.85pt" o:ole="">
            <v:imagedata r:id="rId284" o:title=""/>
          </v:shape>
          <o:OLEObject Type="Embed" ProgID="Equation.DSMT4" ShapeID="_x0000_i1171" DrawAspect="Content" ObjectID="_1722089665" r:id="rId285"/>
        </w:object>
      </w:r>
      <w:r w:rsidR="00A34F87">
        <w:t xml:space="preserve">) </w:t>
      </w:r>
      <w:r w:rsidR="009644B7">
        <w:t xml:space="preserve">and not consumed if </w:t>
      </w:r>
      <w:r w:rsidR="00A34F87" w:rsidRPr="0002761A">
        <w:rPr>
          <w:position w:val="-12"/>
        </w:rPr>
        <w:object w:dxaOrig="2020" w:dyaOrig="380">
          <v:shape id="_x0000_i1172" type="#_x0000_t75" style="width:101.15pt;height:18.85pt" o:ole="">
            <v:imagedata r:id="rId286" o:title=""/>
          </v:shape>
          <o:OLEObject Type="Embed" ProgID="Equation.DSMT4" ShapeID="_x0000_i1172" DrawAspect="Content" ObjectID="_1722089666" r:id="rId287"/>
        </w:object>
      </w:r>
      <w:r w:rsidR="009644B7">
        <w:t xml:space="preserve">. In this regard, </w:t>
      </w:r>
      <w:r w:rsidR="0006696D" w:rsidRPr="0002761A">
        <w:rPr>
          <w:position w:val="-12"/>
        </w:rPr>
        <w:object w:dxaOrig="520" w:dyaOrig="380">
          <v:shape id="_x0000_i1173" type="#_x0000_t75" style="width:26.15pt;height:18.85pt" o:ole="">
            <v:imagedata r:id="rId288" o:title=""/>
          </v:shape>
          <o:OLEObject Type="Embed" ProgID="Equation.DSMT4" ShapeID="_x0000_i1173" DrawAspect="Content" ObjectID="_1722089667" r:id="rId289"/>
        </w:object>
      </w:r>
      <w:r w:rsidR="009644B7">
        <w:t xml:space="preserve"> may be viewed as the threshold quality-adjusted utility of good </w:t>
      </w:r>
      <w:r w:rsidR="009644B7" w:rsidRPr="00AA0BE1">
        <w:rPr>
          <w:i/>
        </w:rPr>
        <w:t>k</w:t>
      </w:r>
      <w:r w:rsidR="009644B7">
        <w:t xml:space="preserve"> that needs to be </w:t>
      </w:r>
      <w:r w:rsidR="0006696D">
        <w:t xml:space="preserve">positive </w:t>
      </w:r>
      <w:r w:rsidR="009644B7">
        <w:t xml:space="preserve">for positive consumption of good </w:t>
      </w:r>
      <w:r w:rsidR="009644B7" w:rsidRPr="00AA0BE1">
        <w:rPr>
          <w:i/>
        </w:rPr>
        <w:t>k</w:t>
      </w:r>
      <w:r w:rsidR="009644B7">
        <w:t>. Th</w:t>
      </w:r>
      <w:r w:rsidR="00BD6A24">
        <w:t>en</w:t>
      </w:r>
      <w:r w:rsidR="009644B7">
        <w:t xml:space="preserve">, the </w:t>
      </w:r>
      <w:r w:rsidR="0006696D">
        <w:t xml:space="preserve">non-negative observed fractional </w:t>
      </w:r>
      <w:r w:rsidR="009644B7">
        <w:t>demand</w:t>
      </w:r>
      <w:r w:rsidR="0006696D">
        <w:t>s</w:t>
      </w:r>
      <w:r w:rsidR="009644B7">
        <w:t xml:space="preserve"> corresponding to Equation (</w:t>
      </w:r>
      <w:r w:rsidR="000865EE">
        <w:t>21</w:t>
      </w:r>
      <w:r w:rsidR="009644B7">
        <w:t>) may be written as follows:</w:t>
      </w:r>
    </w:p>
    <w:p w:rsidR="009644B7" w:rsidRDefault="00C20137" w:rsidP="00CB4D5B">
      <w:pPr>
        <w:spacing w:before="60" w:after="60" w:line="276" w:lineRule="auto"/>
        <w:jc w:val="both"/>
      </w:pPr>
      <w:r w:rsidRPr="003A5450">
        <w:rPr>
          <w:position w:val="-50"/>
        </w:rPr>
        <w:object w:dxaOrig="3739" w:dyaOrig="1120">
          <v:shape id="_x0000_i1174" type="#_x0000_t75" style="width:186.85pt;height:56.15pt" o:ole="">
            <v:imagedata r:id="rId290" o:title=""/>
          </v:shape>
          <o:OLEObject Type="Embed" ProgID="Equation.DSMT4" ShapeID="_x0000_i1174" DrawAspect="Content" ObjectID="_1722089668" r:id="rId291"/>
        </w:object>
      </w:r>
      <w:r w:rsidR="000865EE">
        <w:tab/>
      </w:r>
      <w:r w:rsidR="000865EE">
        <w:tab/>
      </w:r>
      <w:r w:rsidR="000865EE">
        <w:tab/>
      </w:r>
      <w:r w:rsidR="000865EE">
        <w:tab/>
      </w:r>
      <w:r w:rsidR="000865EE">
        <w:tab/>
      </w:r>
      <w:r w:rsidR="000865EE">
        <w:tab/>
      </w:r>
      <w:r w:rsidR="000865EE">
        <w:tab/>
      </w:r>
      <w:r w:rsidR="001F279B">
        <w:t xml:space="preserve">    </w:t>
      </w:r>
      <w:r w:rsidR="000865EE">
        <w:t>(22)</w:t>
      </w:r>
    </w:p>
    <w:p w:rsidR="002B5F27" w:rsidRDefault="00AF47B2" w:rsidP="000C44EE">
      <w:pPr>
        <w:spacing w:line="276" w:lineRule="auto"/>
        <w:jc w:val="both"/>
      </w:pPr>
      <w:r>
        <w:t>Thus, f</w:t>
      </w:r>
      <w:r w:rsidR="009A10C3">
        <w:t xml:space="preserve">rom an economic standpoint, </w:t>
      </w:r>
      <w:r w:rsidR="00657676">
        <w:t xml:space="preserve">the second stage </w:t>
      </w:r>
      <w:r w:rsidR="008056C1">
        <w:t xml:space="preserve">expenditure-based </w:t>
      </w:r>
      <w:r w:rsidR="00BD6A24">
        <w:t>conditional (on consumption</w:t>
      </w:r>
      <w:r w:rsidR="00B65D33">
        <w:t xml:space="preserve"> in the product group</w:t>
      </w:r>
      <w:r w:rsidR="00BD6A24">
        <w:t xml:space="preserve">) </w:t>
      </w:r>
      <w:r w:rsidR="00966F27">
        <w:t>fractional allocation MDCEV model</w:t>
      </w:r>
      <w:r w:rsidR="009A10C3">
        <w:t xml:space="preserve"> </w:t>
      </w:r>
      <w:r w:rsidR="008056C1">
        <w:t xml:space="preserve">should </w:t>
      </w:r>
      <w:r w:rsidR="002B5F27">
        <w:t>be:</w:t>
      </w:r>
    </w:p>
    <w:p w:rsidR="002B5F27" w:rsidRDefault="0013301C" w:rsidP="000C44EE">
      <w:pPr>
        <w:spacing w:line="276" w:lineRule="auto"/>
        <w:jc w:val="both"/>
      </w:pPr>
      <w:r w:rsidRPr="003A5450">
        <w:rPr>
          <w:position w:val="-124"/>
        </w:rPr>
        <w:object w:dxaOrig="9180" w:dyaOrig="2600">
          <v:shape id="_x0000_i1175" type="#_x0000_t75" style="width:440.55pt;height:124.7pt" o:ole="">
            <v:imagedata r:id="rId292" o:title=""/>
          </v:shape>
          <o:OLEObject Type="Embed" ProgID="Equation.DSMT4" ShapeID="_x0000_i1175" DrawAspect="Content" ObjectID="_1722089669" r:id="rId293"/>
        </w:object>
      </w:r>
      <w:r w:rsidR="00D12411">
        <w:t xml:space="preserve"> </w:t>
      </w:r>
      <w:r w:rsidR="000865EE">
        <w:t>(23)</w:t>
      </w:r>
    </w:p>
    <w:p w:rsidR="00BC7F9A" w:rsidRDefault="00BC7F9A" w:rsidP="00BC7F9A">
      <w:pPr>
        <w:spacing w:line="276" w:lineRule="auto"/>
        <w:jc w:val="both"/>
      </w:pPr>
      <w:r>
        <w:t>The denominator in the first expression above takes the form as shown because of the following equality:</w:t>
      </w:r>
    </w:p>
    <w:p w:rsidR="00BC7F9A" w:rsidRDefault="00BC7F9A" w:rsidP="00CB4D5B">
      <w:pPr>
        <w:spacing w:after="60" w:line="276" w:lineRule="auto"/>
        <w:jc w:val="both"/>
      </w:pPr>
      <w:r w:rsidRPr="0002761A">
        <w:rPr>
          <w:position w:val="-46"/>
        </w:rPr>
        <w:object w:dxaOrig="8840" w:dyaOrig="1040">
          <v:shape id="_x0000_i1176" type="#_x0000_t75" style="width:426pt;height:50.55pt" o:ole="">
            <v:imagedata r:id="rId294" o:title=""/>
          </v:shape>
          <o:OLEObject Type="Embed" ProgID="Equation.DSMT4" ShapeID="_x0000_i1176" DrawAspect="Content" ObjectID="_1722089670" r:id="rId295"/>
        </w:object>
      </w:r>
      <w:r>
        <w:t xml:space="preserve">  </w:t>
      </w:r>
      <w:r w:rsidR="008A237E">
        <w:t xml:space="preserve"> </w:t>
      </w:r>
      <w:r>
        <w:t xml:space="preserve"> (24)</w:t>
      </w:r>
    </w:p>
    <w:p w:rsidR="00943564" w:rsidRDefault="00943564" w:rsidP="00943564">
      <w:pPr>
        <w:spacing w:line="276" w:lineRule="auto"/>
        <w:jc w:val="both"/>
      </w:pPr>
      <w:r>
        <w:t xml:space="preserve">Thus, from a theoretical standpoint, using the </w:t>
      </w:r>
      <w:r w:rsidR="000865EE">
        <w:t xml:space="preserve">unconditional </w:t>
      </w:r>
      <w:r>
        <w:t xml:space="preserve">linking form </w:t>
      </w:r>
      <w:r w:rsidR="00AF47B2">
        <w:t>of Equation (18)</w:t>
      </w:r>
      <w:r>
        <w:t xml:space="preserve"> as the product group price index from the expenditure-based fractional split model to the total expenditure (in product group) first stage model is consistent with utility-based two-stage budgeting as long as the </w:t>
      </w:r>
      <w:r w:rsidR="000865EE">
        <w:t xml:space="preserve">(conditional on </w:t>
      </w:r>
      <w:r w:rsidR="00757623">
        <w:t xml:space="preserve">product category </w:t>
      </w:r>
      <w:r w:rsidR="000865EE">
        <w:t xml:space="preserve">consumption) </w:t>
      </w:r>
      <w:r>
        <w:t xml:space="preserve">fractional split model among </w:t>
      </w:r>
      <w:r w:rsidR="000865EE">
        <w:t xml:space="preserve">the consumed </w:t>
      </w:r>
      <w:r>
        <w:t xml:space="preserve">inside goods takes the form </w:t>
      </w:r>
      <w:r w:rsidR="00AF47B2">
        <w:t>in Equation (23).</w:t>
      </w:r>
      <w:r w:rsidR="007B0D50">
        <w:t xml:space="preserve"> </w:t>
      </w:r>
      <w:r>
        <w:t xml:space="preserve">As we discuss later, </w:t>
      </w:r>
      <w:r w:rsidR="00B65D33">
        <w:t>E</w:t>
      </w:r>
      <w:r>
        <w:t xml:space="preserve">quation </w:t>
      </w:r>
      <w:r w:rsidR="00B65D33">
        <w:t>(23)</w:t>
      </w:r>
      <w:r>
        <w:t xml:space="preserve"> is exactly the form for forecasting the fractional splits among consumed goods in the product category, conditional on positive investment in the product category. Thus, our proposed theoretical framework</w:t>
      </w:r>
      <w:r w:rsidR="00AF47B2">
        <w:t xml:space="preserve"> with the unconditional linking form of Equation (18)</w:t>
      </w:r>
      <w:r>
        <w:t xml:space="preserve"> is consistent with two-stage utility-based economic theory. Also, the MDCEV fractional allocation model is to be </w:t>
      </w:r>
      <w:r>
        <w:lastRenderedPageBreak/>
        <w:t xml:space="preserve">interpreted as a conditional budget share model, and not a quantity share model, consistent with the discussion earlier in this section. </w:t>
      </w:r>
    </w:p>
    <w:p w:rsidR="00FF7F9C" w:rsidRDefault="00FF7F9C" w:rsidP="00943564">
      <w:pPr>
        <w:spacing w:line="276" w:lineRule="auto"/>
        <w:jc w:val="both"/>
      </w:pPr>
      <w:r>
        <w:tab/>
        <w:t xml:space="preserve">Finally, </w:t>
      </w:r>
      <w:r w:rsidR="00757623">
        <w:t xml:space="preserve">the entire analysis above is predicated on </w:t>
      </w:r>
      <w:r w:rsidR="00757623" w:rsidRPr="0002761A">
        <w:rPr>
          <w:position w:val="-10"/>
        </w:rPr>
        <w:object w:dxaOrig="700" w:dyaOrig="360">
          <v:shape id="_x0000_i1177" type="#_x0000_t75" style="width:35.15pt;height:18pt" o:ole="">
            <v:imagedata r:id="rId296" o:title=""/>
          </v:shape>
          <o:OLEObject Type="Embed" ProgID="Equation.DSMT4" ShapeID="_x0000_i1177" DrawAspect="Content" ObjectID="_1722089671" r:id="rId297"/>
        </w:object>
      </w:r>
      <w:r w:rsidR="00757623">
        <w:t xml:space="preserve"> That is, fractional consumptions of inside goods within the product category </w:t>
      </w:r>
      <w:r w:rsidR="00757623" w:rsidRPr="00AA0BE1">
        <w:rPr>
          <w:i/>
        </w:rPr>
        <w:t>G</w:t>
      </w:r>
      <w:r w:rsidR="00757623">
        <w:t xml:space="preserve"> are relevant only if </w:t>
      </w:r>
      <w:r w:rsidR="00757623" w:rsidRPr="0002761A">
        <w:rPr>
          <w:position w:val="-10"/>
        </w:rPr>
        <w:object w:dxaOrig="700" w:dyaOrig="360">
          <v:shape id="_x0000_i1178" type="#_x0000_t75" style="width:35.15pt;height:18pt" o:ole="">
            <v:imagedata r:id="rId296" o:title=""/>
          </v:shape>
          <o:OLEObject Type="Embed" ProgID="Equation.DSMT4" ShapeID="_x0000_i1178" DrawAspect="Content" ObjectID="_1722089672" r:id="rId298"/>
        </w:object>
      </w:r>
      <w:r w:rsidR="00757623">
        <w:t xml:space="preserve"> So, we treat </w:t>
      </w:r>
      <w:r w:rsidR="00757623" w:rsidRPr="00021DE5">
        <w:rPr>
          <w:position w:val="-10"/>
        </w:rPr>
        <w:object w:dxaOrig="279" w:dyaOrig="360">
          <v:shape id="_x0000_i1179" type="#_x0000_t75" style="width:14.15pt;height:18pt" o:ole="">
            <v:imagedata r:id="rId299" o:title=""/>
          </v:shape>
          <o:OLEObject Type="Embed" ProgID="Equation.DSMT4" ShapeID="_x0000_i1179" DrawAspect="Content" ObjectID="_1722089673" r:id="rId300"/>
        </w:object>
      </w:r>
      <w:r w:rsidR="00757623">
        <w:t xml:space="preserve"> as a latent variable</w:t>
      </w:r>
      <w:r w:rsidR="0095527E">
        <w:t xml:space="preserve"> for modeling purposes</w:t>
      </w:r>
      <w:r w:rsidR="00757623">
        <w:t>, and relate the</w:t>
      </w:r>
      <w:r>
        <w:t xml:space="preserve"> </w:t>
      </w:r>
      <w:r w:rsidR="00757623">
        <w:t xml:space="preserve">actual </w:t>
      </w:r>
      <w:r>
        <w:t xml:space="preserve">observed budget </w:t>
      </w:r>
      <w:r w:rsidRPr="00021DE5">
        <w:rPr>
          <w:i/>
        </w:rPr>
        <w:t>y</w:t>
      </w:r>
      <w:r>
        <w:t xml:space="preserve"> to </w:t>
      </w:r>
      <w:r w:rsidRPr="0002761A">
        <w:rPr>
          <w:position w:val="-10"/>
        </w:rPr>
        <w:object w:dxaOrig="279" w:dyaOrig="360">
          <v:shape id="_x0000_i1180" type="#_x0000_t75" style="width:14.15pt;height:18pt" o:ole="">
            <v:imagedata r:id="rId301" o:title=""/>
          </v:shape>
          <o:OLEObject Type="Embed" ProgID="Equation.DSMT4" ShapeID="_x0000_i1180" DrawAspect="Content" ObjectID="_1722089674" r:id="rId302"/>
        </w:object>
      </w:r>
      <w:r>
        <w:t xml:space="preserve"> such that </w:t>
      </w:r>
      <w:r w:rsidR="00757623" w:rsidRPr="0002761A">
        <w:rPr>
          <w:position w:val="-10"/>
        </w:rPr>
        <w:object w:dxaOrig="3159" w:dyaOrig="360">
          <v:shape id="_x0000_i1181" type="#_x0000_t75" style="width:158.15pt;height:18pt" o:ole="">
            <v:imagedata r:id="rId303" o:title=""/>
          </v:shape>
          <o:OLEObject Type="Embed" ProgID="Equation.DSMT4" ShapeID="_x0000_i1181" DrawAspect="Content" ObjectID="_1722089675" r:id="rId304"/>
        </w:object>
      </w:r>
      <w:r>
        <w:t xml:space="preserve"> This positivity condition is based on the structure of first budget equation, as discussed </w:t>
      </w:r>
      <w:r w:rsidR="00757623">
        <w:t>next</w:t>
      </w:r>
      <w:r>
        <w:t>.</w:t>
      </w:r>
    </w:p>
    <w:p w:rsidR="00657676" w:rsidRDefault="00C22211" w:rsidP="000C44EE">
      <w:pPr>
        <w:spacing w:line="276" w:lineRule="auto"/>
        <w:jc w:val="both"/>
      </w:pPr>
      <w:r>
        <w:t xml:space="preserve"> </w:t>
      </w:r>
    </w:p>
    <w:p w:rsidR="00C22211" w:rsidRPr="00AB6D76" w:rsidRDefault="00E55436" w:rsidP="000C44EE">
      <w:pPr>
        <w:numPr>
          <w:ilvl w:val="2"/>
          <w:numId w:val="6"/>
        </w:numPr>
        <w:spacing w:line="276" w:lineRule="auto"/>
        <w:jc w:val="both"/>
        <w:rPr>
          <w:i/>
        </w:rPr>
      </w:pPr>
      <w:r w:rsidRPr="00AB6D76">
        <w:rPr>
          <w:i/>
        </w:rPr>
        <w:t xml:space="preserve">Total Budget </w:t>
      </w:r>
      <w:r w:rsidR="00E429D7">
        <w:rPr>
          <w:i/>
        </w:rPr>
        <w:t xml:space="preserve">(in Product Group) </w:t>
      </w:r>
      <w:r w:rsidR="00C22211" w:rsidRPr="00AB6D76">
        <w:rPr>
          <w:i/>
        </w:rPr>
        <w:t>Empirical Specification</w:t>
      </w:r>
    </w:p>
    <w:p w:rsidR="00CD6211" w:rsidRDefault="00207B95" w:rsidP="000C44EE">
      <w:pPr>
        <w:spacing w:line="276" w:lineRule="auto"/>
        <w:jc w:val="both"/>
      </w:pPr>
      <w:r>
        <w:t xml:space="preserve">In the empirical specification, we use the linking function </w:t>
      </w:r>
      <w:r w:rsidR="00714094" w:rsidRPr="00714094">
        <w:rPr>
          <w:position w:val="-30"/>
        </w:rPr>
        <w:object w:dxaOrig="3780" w:dyaOrig="760">
          <v:shape id="_x0000_i1182" type="#_x0000_t75" style="width:189pt;height:38.15pt" o:ole="">
            <v:imagedata r:id="rId305" o:title=""/>
          </v:shape>
          <o:OLEObject Type="Embed" ProgID="Equation.DSMT4" ShapeID="_x0000_i1182" DrawAspect="Content" ObjectID="_1722089676" r:id="rId306"/>
        </w:object>
      </w:r>
      <w:r w:rsidR="00485D23">
        <w:t xml:space="preserve">. As discussed in Section 2.2.2, the linking function has to be completely exogenous to the total budget equation. This generates problems if the stochasticity in </w:t>
      </w:r>
      <w:r w:rsidR="00485D23" w:rsidRPr="00550A2E">
        <w:rPr>
          <w:position w:val="-14"/>
        </w:rPr>
        <w:object w:dxaOrig="1620" w:dyaOrig="400">
          <v:shape id="_x0000_i1183" type="#_x0000_t75" style="width:81pt;height:20.15pt" o:ole="">
            <v:imagedata r:id="rId307" o:title=""/>
          </v:shape>
          <o:OLEObject Type="Embed" ProgID="Equation.DSMT4" ShapeID="_x0000_i1183" DrawAspect="Content" ObjectID="_1722089677" r:id="rId308"/>
        </w:object>
      </w:r>
      <w:r w:rsidR="001F279B">
        <w:t xml:space="preserve"> </w:t>
      </w:r>
      <w:r w:rsidR="00485D23">
        <w:t xml:space="preserve">is carried over as such </w:t>
      </w:r>
      <w:r w:rsidR="007E3123">
        <w:t xml:space="preserve">into the total budget first stage equation, because this engenders a correlation between the first stage budget equation and the second stage MDCEV model. This can be addressed in one of two ways. The first is to use the expected value of </w:t>
      </w:r>
      <w:r w:rsidR="00650C1F" w:rsidRPr="003A5450">
        <w:rPr>
          <w:position w:val="-30"/>
        </w:rPr>
        <w:object w:dxaOrig="1900" w:dyaOrig="760">
          <v:shape id="_x0000_i1184" type="#_x0000_t75" style="width:95.15pt;height:38.15pt" o:ole="">
            <v:imagedata r:id="rId309" o:title=""/>
          </v:shape>
          <o:OLEObject Type="Embed" ProgID="Equation.DSMT4" ShapeID="_x0000_i1184" DrawAspect="Content" ObjectID="_1722089678" r:id="rId310"/>
        </w:object>
      </w:r>
      <w:r w:rsidR="007E3123">
        <w:t xml:space="preserve"> </w:t>
      </w:r>
      <w:r w:rsidR="00714094">
        <w:t xml:space="preserve">(or the expected value of the logarithm of </w:t>
      </w:r>
      <w:r w:rsidR="00650C1F" w:rsidRPr="00650C1F">
        <w:rPr>
          <w:position w:val="-10"/>
        </w:rPr>
        <w:object w:dxaOrig="499" w:dyaOrig="320">
          <v:shape id="_x0000_i1185" type="#_x0000_t75" style="width:24.85pt;height:15.85pt" o:ole="">
            <v:imagedata r:id="rId311" o:title=""/>
          </v:shape>
          <o:OLEObject Type="Embed" ProgID="Equation.DSMT4" ShapeID="_x0000_i1185" DrawAspect="Content" ObjectID="_1722089679" r:id="rId312"/>
        </w:object>
      </w:r>
      <w:r w:rsidR="00714094">
        <w:t xml:space="preserve">) </w:t>
      </w:r>
      <w:r w:rsidR="007E3123">
        <w:t>as the deterministic lin</w:t>
      </w:r>
      <w:r w:rsidR="00443EA6">
        <w:t>k</w:t>
      </w:r>
      <w:r w:rsidR="007E3123">
        <w:t xml:space="preserve">ing function. The second is to </w:t>
      </w:r>
      <w:r>
        <w:t xml:space="preserve">use a different set of error terms </w:t>
      </w:r>
      <w:r w:rsidR="00595556" w:rsidRPr="00550A2E">
        <w:rPr>
          <w:position w:val="-12"/>
        </w:rPr>
        <w:object w:dxaOrig="260" w:dyaOrig="360">
          <v:shape id="_x0000_i1186" type="#_x0000_t75" style="width:12.85pt;height:18pt" o:ole="">
            <v:imagedata r:id="rId313" o:title=""/>
          </v:shape>
          <o:OLEObject Type="Embed" ProgID="Equation.DSMT4" ShapeID="_x0000_i1186" DrawAspect="Content" ObjectID="_1722089680" r:id="rId314"/>
        </w:object>
      </w:r>
      <w:r>
        <w:t xml:space="preserve"> instead of </w:t>
      </w:r>
      <w:r w:rsidRPr="00550A2E">
        <w:rPr>
          <w:position w:val="-12"/>
        </w:rPr>
        <w:object w:dxaOrig="260" w:dyaOrig="360">
          <v:shape id="_x0000_i1187" type="#_x0000_t75" style="width:12.85pt;height:18pt" o:ole="">
            <v:imagedata r:id="rId315" o:title=""/>
          </v:shape>
          <o:OLEObject Type="Embed" ProgID="Equation.DSMT4" ShapeID="_x0000_i1187" DrawAspect="Content" ObjectID="_1722089681" r:id="rId316"/>
        </w:object>
      </w:r>
      <w:r>
        <w:t xml:space="preserve"> </w:t>
      </w:r>
      <w:r w:rsidR="0085760D">
        <w:t xml:space="preserve">in the linking function (with </w:t>
      </w:r>
      <w:r w:rsidR="0085760D" w:rsidRPr="00550A2E">
        <w:rPr>
          <w:position w:val="-12"/>
        </w:rPr>
        <w:object w:dxaOrig="260" w:dyaOrig="360">
          <v:shape id="_x0000_i1188" type="#_x0000_t75" style="width:12.85pt;height:18pt" o:ole="">
            <v:imagedata r:id="rId313" o:title=""/>
          </v:shape>
          <o:OLEObject Type="Embed" ProgID="Equation.DSMT4" ShapeID="_x0000_i1188" DrawAspect="Content" ObjectID="_1722089682" r:id="rId317"/>
        </w:object>
      </w:r>
      <w:r w:rsidR="0085760D">
        <w:t xml:space="preserve"> being independent of </w:t>
      </w:r>
      <w:r w:rsidR="0085760D" w:rsidRPr="00550A2E">
        <w:rPr>
          <w:position w:val="-12"/>
        </w:rPr>
        <w:object w:dxaOrig="260" w:dyaOrig="360">
          <v:shape id="_x0000_i1189" type="#_x0000_t75" style="width:12.85pt;height:18pt" o:ole="">
            <v:imagedata r:id="rId315" o:title=""/>
          </v:shape>
          <o:OLEObject Type="Embed" ProgID="Equation.DSMT4" ShapeID="_x0000_i1189" DrawAspect="Content" ObjectID="_1722089683" r:id="rId318"/>
        </w:object>
      </w:r>
      <w:r w:rsidR="0085760D">
        <w:t xml:space="preserve">), so that </w:t>
      </w:r>
      <w:r w:rsidR="0085760D" w:rsidRPr="00550A2E">
        <w:rPr>
          <w:position w:val="-14"/>
        </w:rPr>
        <w:object w:dxaOrig="1620" w:dyaOrig="400">
          <v:shape id="_x0000_i1190" type="#_x0000_t75" style="width:81pt;height:20.15pt" o:ole="">
            <v:imagedata r:id="rId319" o:title=""/>
          </v:shape>
          <o:OLEObject Type="Embed" ProgID="Equation.DSMT4" ShapeID="_x0000_i1190" DrawAspect="Content" ObjectID="_1722089684" r:id="rId320"/>
        </w:object>
      </w:r>
      <w:r w:rsidR="0085760D">
        <w:t xml:space="preserve">. In this paper, we adopt the second approach, which, unlike the first approach, recognizes unobserved individual heterogeneity in the linking effect. </w:t>
      </w:r>
      <w:r>
        <w:t xml:space="preserve">We assume for convenience that the error terms </w:t>
      </w:r>
      <w:r w:rsidR="00595556" w:rsidRPr="00550A2E">
        <w:rPr>
          <w:position w:val="-12"/>
        </w:rPr>
        <w:object w:dxaOrig="260" w:dyaOrig="360">
          <v:shape id="_x0000_i1191" type="#_x0000_t75" style="width:12.85pt;height:18pt" o:ole="">
            <v:imagedata r:id="rId313" o:title=""/>
          </v:shape>
          <o:OLEObject Type="Embed" ProgID="Equation.DSMT4" ShapeID="_x0000_i1191" DrawAspect="Content" ObjectID="_1722089685" r:id="rId321"/>
        </w:object>
      </w:r>
      <w:r>
        <w:t xml:space="preserve"> are independent across inside goods,</w:t>
      </w:r>
      <w:r w:rsidR="0085760D">
        <w:t xml:space="preserve"> </w:t>
      </w:r>
      <w:r w:rsidR="00CD6211">
        <w:t xml:space="preserve">The linking function </w:t>
      </w:r>
      <w:r>
        <w:t xml:space="preserve">then </w:t>
      </w:r>
      <w:r w:rsidR="00CD6211">
        <w:t>may be written as:</w:t>
      </w:r>
    </w:p>
    <w:p w:rsidR="00056DC9" w:rsidRDefault="00650C1F" w:rsidP="00CB4D5B">
      <w:pPr>
        <w:tabs>
          <w:tab w:val="right" w:pos="9360"/>
        </w:tabs>
        <w:spacing w:before="60" w:after="60" w:line="276" w:lineRule="auto"/>
        <w:jc w:val="both"/>
      </w:pPr>
      <w:r w:rsidRPr="00595556">
        <w:rPr>
          <w:position w:val="-30"/>
        </w:rPr>
        <w:object w:dxaOrig="6720" w:dyaOrig="760">
          <v:shape id="_x0000_i1192" type="#_x0000_t75" style="width:336pt;height:38.15pt" o:ole="">
            <v:imagedata r:id="rId322" o:title=""/>
          </v:shape>
          <o:OLEObject Type="Embed" ProgID="Equation.DSMT4" ShapeID="_x0000_i1192" DrawAspect="Content" ObjectID="_1722089686" r:id="rId323"/>
        </w:object>
      </w:r>
      <w:r w:rsidR="00B048C9">
        <w:tab/>
      </w:r>
      <w:r w:rsidR="00304E38">
        <w:t xml:space="preserve"> </w:t>
      </w:r>
      <w:r w:rsidR="00B048C9">
        <w:t>(2</w:t>
      </w:r>
      <w:r w:rsidR="009E526B">
        <w:t>5</w:t>
      </w:r>
      <w:r w:rsidR="00B048C9">
        <w:t>)</w:t>
      </w:r>
    </w:p>
    <w:p w:rsidR="005D5653" w:rsidRDefault="006F696C" w:rsidP="000C44EE">
      <w:pPr>
        <w:spacing w:line="276" w:lineRule="auto"/>
        <w:jc w:val="both"/>
      </w:pPr>
      <w:r>
        <w:t>Th</w:t>
      </w:r>
      <w:r w:rsidR="0088619B">
        <w:t>e</w:t>
      </w:r>
      <w:r>
        <w:t xml:space="preserve"> linking function </w:t>
      </w:r>
      <w:r w:rsidR="00650C1F" w:rsidRPr="00650C1F">
        <w:rPr>
          <w:position w:val="-10"/>
        </w:rPr>
        <w:object w:dxaOrig="499" w:dyaOrig="320">
          <v:shape id="_x0000_i1193" type="#_x0000_t75" style="width:24.85pt;height:15.85pt" o:ole="">
            <v:imagedata r:id="rId324" o:title=""/>
          </v:shape>
          <o:OLEObject Type="Embed" ProgID="Equation.DSMT4" ShapeID="_x0000_i1193" DrawAspect="Content" ObjectID="_1722089687" r:id="rId325"/>
        </w:object>
      </w:r>
      <w:r w:rsidR="0088619B">
        <w:t xml:space="preserve"> </w:t>
      </w:r>
      <w:r>
        <w:t xml:space="preserve">is always positive, by construction. </w:t>
      </w:r>
      <w:r w:rsidR="00056DC9">
        <w:t xml:space="preserve">The total budget </w:t>
      </w:r>
      <w:r w:rsidR="00650C1F" w:rsidRPr="00650C1F">
        <w:rPr>
          <w:position w:val="-10"/>
        </w:rPr>
        <w:object w:dxaOrig="220" w:dyaOrig="260">
          <v:shape id="_x0000_i1194" type="#_x0000_t75" style="width:11.15pt;height:12.85pt" o:ole="">
            <v:imagedata r:id="rId326" o:title=""/>
          </v:shape>
          <o:OLEObject Type="Embed" ProgID="Equation.DSMT4" ShapeID="_x0000_i1194" DrawAspect="Content" ObjectID="_1722089688" r:id="rId327"/>
        </w:object>
      </w:r>
      <w:r w:rsidR="00056DC9">
        <w:t xml:space="preserve"> needs to be non-negative, though it can take the value of zero. For mod</w:t>
      </w:r>
      <w:r>
        <w:t>e</w:t>
      </w:r>
      <w:r w:rsidR="00056DC9">
        <w:t xml:space="preserve">ling purposes, consider </w:t>
      </w:r>
      <w:r>
        <w:t xml:space="preserve">the </w:t>
      </w:r>
      <w:r w:rsidR="005D5653">
        <w:t xml:space="preserve">censored </w:t>
      </w:r>
      <w:r w:rsidR="0088619B">
        <w:t xml:space="preserve">Tobit </w:t>
      </w:r>
      <w:r w:rsidR="005D5653">
        <w:t>regression equation</w:t>
      </w:r>
      <w:r w:rsidR="00056DC9">
        <w:t>:</w:t>
      </w:r>
    </w:p>
    <w:p w:rsidR="005D5653" w:rsidRDefault="00650C1F" w:rsidP="00CB4D5B">
      <w:pPr>
        <w:tabs>
          <w:tab w:val="right" w:pos="9360"/>
        </w:tabs>
        <w:spacing w:before="60" w:after="60" w:line="276" w:lineRule="auto"/>
        <w:jc w:val="both"/>
      </w:pPr>
      <w:r w:rsidRPr="00900893">
        <w:rPr>
          <w:position w:val="-114"/>
        </w:rPr>
        <w:object w:dxaOrig="5620" w:dyaOrig="2320">
          <v:shape id="_x0000_i1195" type="#_x0000_t75" style="width:281.55pt;height:115.7pt" o:ole="" o:preferrelative="f">
            <v:imagedata r:id="rId328" o:title=""/>
            <o:lock v:ext="edit" aspectratio="f"/>
          </v:shape>
          <o:OLEObject Type="Embed" ProgID="Equation.DSMT4" ShapeID="_x0000_i1195" DrawAspect="Content" ObjectID="_1722089689" r:id="rId329"/>
        </w:object>
      </w:r>
      <w:r w:rsidR="00B048C9">
        <w:tab/>
        <w:t>(2</w:t>
      </w:r>
      <w:r w:rsidR="009E526B">
        <w:t>6</w:t>
      </w:r>
      <w:r w:rsidR="00B048C9">
        <w:t>)</w:t>
      </w:r>
    </w:p>
    <w:p w:rsidR="001F279B" w:rsidRDefault="000F18D2" w:rsidP="000C44EE">
      <w:pPr>
        <w:spacing w:line="276" w:lineRule="auto"/>
        <w:jc w:val="both"/>
      </w:pPr>
      <w:r>
        <w:lastRenderedPageBreak/>
        <w:t xml:space="preserve">where </w:t>
      </w:r>
      <w:r w:rsidRPr="00E55436">
        <w:rPr>
          <w:position w:val="-6"/>
        </w:rPr>
        <w:object w:dxaOrig="160" w:dyaOrig="220">
          <v:shape id="_x0000_i1196" type="#_x0000_t75" style="width:8.15pt;height:11.15pt" o:ole="">
            <v:imagedata r:id="rId330" o:title=""/>
          </v:shape>
          <o:OLEObject Type="Embed" ProgID="Equation.DSMT4" ShapeID="_x0000_i1196" DrawAspect="Content" ObjectID="_1722089690" r:id="rId331"/>
        </w:object>
      </w:r>
      <w:r>
        <w:t xml:space="preserve"> is </w:t>
      </w:r>
      <w:r w:rsidR="0042753D">
        <w:t xml:space="preserve">an </w:t>
      </w:r>
      <w:r>
        <w:t xml:space="preserve">exogenous variable vector, </w:t>
      </w:r>
      <w:r w:rsidRPr="00E55436">
        <w:rPr>
          <w:position w:val="-6"/>
        </w:rPr>
        <w:object w:dxaOrig="200" w:dyaOrig="279">
          <v:shape id="_x0000_i1197" type="#_x0000_t75" style="width:9.85pt;height:14.15pt" o:ole="">
            <v:imagedata r:id="rId332" o:title=""/>
          </v:shape>
          <o:OLEObject Type="Embed" ProgID="Equation.DSMT4" ShapeID="_x0000_i1197" DrawAspect="Content" ObjectID="_1722089691" r:id="rId333"/>
        </w:object>
      </w:r>
      <w:r w:rsidR="00BE0B15">
        <w:t xml:space="preserve"> </w:t>
      </w:r>
      <w:r>
        <w:t xml:space="preserve">is a corresponding coefficient vector, </w:t>
      </w:r>
      <w:r w:rsidRPr="00470F23">
        <w:rPr>
          <w:position w:val="-6"/>
        </w:rPr>
        <w:object w:dxaOrig="220" w:dyaOrig="279">
          <v:shape id="_x0000_i1198" type="#_x0000_t75" style="width:10.7pt;height:14.15pt" o:ole="">
            <v:imagedata r:id="rId334" o:title=""/>
          </v:shape>
          <o:OLEObject Type="Embed" ProgID="Equation.DSMT4" ShapeID="_x0000_i1198" DrawAspect="Content" ObjectID="_1722089692" r:id="rId335"/>
        </w:object>
      </w:r>
      <w:r>
        <w:t xml:space="preserve"> is a scalar link parameter (</w:t>
      </w:r>
      <w:r w:rsidRPr="00470F23">
        <w:rPr>
          <w:position w:val="-6"/>
        </w:rPr>
        <w:object w:dxaOrig="220" w:dyaOrig="279">
          <v:shape id="_x0000_i1199" type="#_x0000_t75" style="width:10.7pt;height:14.15pt" o:ole="">
            <v:imagedata r:id="rId334" o:title=""/>
          </v:shape>
          <o:OLEObject Type="Embed" ProgID="Equation.DSMT4" ShapeID="_x0000_i1199" DrawAspect="Content" ObjectID="_1722089693" r:id="rId336"/>
        </w:object>
      </w:r>
      <w:r>
        <w:t xml:space="preserve">&gt;0), and </w:t>
      </w:r>
      <w:r w:rsidRPr="00E00C98">
        <w:rPr>
          <w:position w:val="-10"/>
        </w:rPr>
        <w:object w:dxaOrig="240" w:dyaOrig="320">
          <v:shape id="_x0000_i1200" type="#_x0000_t75" style="width:12pt;height:15.85pt" o:ole="">
            <v:imagedata r:id="rId337" o:title=""/>
          </v:shape>
          <o:OLEObject Type="Embed" ProgID="Equation.DSMT4" ShapeID="_x0000_i1200" DrawAspect="Content" ObjectID="_1722089694" r:id="rId338"/>
        </w:object>
      </w:r>
      <w:r>
        <w:t xml:space="preserve"> is a random variable capturing the effect</w:t>
      </w:r>
      <w:r w:rsidR="0042753D">
        <w:t>s</w:t>
      </w:r>
      <w:r>
        <w:t xml:space="preserve"> of unobserved variables. </w:t>
      </w:r>
      <w:r w:rsidR="00443EA6">
        <w:t xml:space="preserve">The linking parameter appendage to the error term </w:t>
      </w:r>
      <w:r w:rsidR="00443EA6" w:rsidRPr="0002761A">
        <w:rPr>
          <w:position w:val="-10"/>
        </w:rPr>
        <w:object w:dxaOrig="240" w:dyaOrig="320">
          <v:shape id="_x0000_i1201" type="#_x0000_t75" style="width:12pt;height:15.85pt" o:ole="">
            <v:imagedata r:id="rId339" o:title=""/>
          </v:shape>
          <o:OLEObject Type="Embed" ProgID="Equation.DSMT4" ShapeID="_x0000_i1201" DrawAspect="Content" ObjectID="_1722089695" r:id="rId340"/>
        </w:object>
      </w:r>
      <w:r w:rsidR="00443EA6">
        <w:t xml:space="preserve"> in the first line of Equation (2</w:t>
      </w:r>
      <w:r w:rsidR="009E526B">
        <w:t>6</w:t>
      </w:r>
      <w:r w:rsidR="00443EA6">
        <w:t xml:space="preserve">) is innocuous, and is only for presentation ease in the characterization of the error term </w:t>
      </w:r>
      <w:r w:rsidR="00443EA6" w:rsidRPr="0002761A">
        <w:rPr>
          <w:position w:val="-10"/>
        </w:rPr>
        <w:object w:dxaOrig="200" w:dyaOrig="260">
          <v:shape id="_x0000_i1202" type="#_x0000_t75" style="width:9.85pt;height:12.85pt" o:ole="">
            <v:imagedata r:id="rId341" o:title=""/>
          </v:shape>
          <o:OLEObject Type="Embed" ProgID="Equation.DSMT4" ShapeID="_x0000_i1202" DrawAspect="Content" ObjectID="_1722089696" r:id="rId342"/>
        </w:object>
      </w:r>
      <w:r w:rsidR="00443EA6">
        <w:t xml:space="preserve">. </w:t>
      </w:r>
      <w:r w:rsidR="0088619B">
        <w:t xml:space="preserve">As the price of any inside good </w:t>
      </w:r>
      <w:r w:rsidR="0088619B" w:rsidRPr="0088619B">
        <w:rPr>
          <w:i/>
        </w:rPr>
        <w:t>k</w:t>
      </w:r>
      <w:r w:rsidR="0088619B">
        <w:t xml:space="preserve"> (</w:t>
      </w:r>
      <w:r w:rsidR="0088619B" w:rsidRPr="0088619B">
        <w:rPr>
          <w:position w:val="-12"/>
        </w:rPr>
        <w:object w:dxaOrig="300" w:dyaOrig="380">
          <v:shape id="_x0000_i1203" type="#_x0000_t75" style="width:15pt;height:18.85pt" o:ole="">
            <v:imagedata r:id="rId343" o:title=""/>
          </v:shape>
          <o:OLEObject Type="Embed" ProgID="Equation.DSMT4" ShapeID="_x0000_i1203" DrawAspect="Content" ObjectID="_1722089697" r:id="rId344"/>
        </w:object>
      </w:r>
      <w:r w:rsidR="0088619B">
        <w:t xml:space="preserve">) decreases, or as the non-cost systematic (log) baseline utility element for any inside good </w:t>
      </w:r>
      <w:r w:rsidR="0088619B" w:rsidRPr="0088619B">
        <w:rPr>
          <w:i/>
        </w:rPr>
        <w:t xml:space="preserve">k </w:t>
      </w:r>
      <w:r w:rsidR="0088619B">
        <w:t>(</w:t>
      </w:r>
      <w:r w:rsidR="0088619B" w:rsidRPr="0088619B">
        <w:rPr>
          <w:position w:val="-12"/>
        </w:rPr>
        <w:object w:dxaOrig="440" w:dyaOrig="360">
          <v:shape id="_x0000_i1204" type="#_x0000_t75" style="width:21.85pt;height:18pt" o:ole="">
            <v:imagedata r:id="rId345" o:title=""/>
          </v:shape>
          <o:OLEObject Type="Embed" ProgID="Equation.DSMT4" ShapeID="_x0000_i1204" DrawAspect="Content" ObjectID="_1722089698" r:id="rId346"/>
        </w:object>
      </w:r>
      <w:r w:rsidR="0088619B">
        <w:t xml:space="preserve">) increases, </w:t>
      </w:r>
      <w:r w:rsidR="005D5653">
        <w:t xml:space="preserve">the value of </w:t>
      </w:r>
      <w:r w:rsidR="00B61503" w:rsidRPr="00C820BE">
        <w:rPr>
          <w:position w:val="-10"/>
        </w:rPr>
        <w:object w:dxaOrig="200" w:dyaOrig="260">
          <v:shape id="_x0000_i1205" type="#_x0000_t75" style="width:9.85pt;height:12.85pt" o:ole="">
            <v:imagedata r:id="rId347" o:title=""/>
          </v:shape>
          <o:OLEObject Type="Embed" ProgID="Equation.DSMT4" ShapeID="_x0000_i1205" DrawAspect="Content" ObjectID="_1722089699" r:id="rId348"/>
        </w:object>
      </w:r>
      <w:r w:rsidR="005D5653">
        <w:t xml:space="preserve"> falls, and the value of the </w:t>
      </w:r>
      <w:r w:rsidR="003C07AD">
        <w:t xml:space="preserve">budget allocated to group </w:t>
      </w:r>
      <w:r w:rsidR="003C07AD" w:rsidRPr="00E00C98">
        <w:rPr>
          <w:i/>
        </w:rPr>
        <w:t>G</w:t>
      </w:r>
      <w:r w:rsidR="003C07AD">
        <w:t xml:space="preserve">, </w:t>
      </w:r>
      <w:r w:rsidR="008F4031" w:rsidRPr="008F4031">
        <w:rPr>
          <w:position w:val="-10"/>
        </w:rPr>
        <w:object w:dxaOrig="260" w:dyaOrig="260">
          <v:shape id="_x0000_i1206" type="#_x0000_t75" style="width:12.85pt;height:12.85pt" o:ole="" o:preferrelative="f">
            <v:imagedata r:id="rId349" o:title=""/>
            <o:lock v:ext="edit" aspectratio="f"/>
          </v:shape>
          <o:OLEObject Type="Embed" ProgID="Equation.DSMT4" ShapeID="_x0000_i1206" DrawAspect="Content" ObjectID="_1722089700" r:id="rId350"/>
        </w:object>
      </w:r>
      <w:r w:rsidR="003C07AD">
        <w:t xml:space="preserve"> increases. </w:t>
      </w:r>
    </w:p>
    <w:p w:rsidR="00E63E1B" w:rsidRDefault="005D5653" w:rsidP="001F279B">
      <w:pPr>
        <w:spacing w:line="276" w:lineRule="auto"/>
        <w:ind w:firstLine="720"/>
        <w:jc w:val="both"/>
      </w:pPr>
      <w:r>
        <w:t xml:space="preserve">To continue with the model formulation, </w:t>
      </w:r>
      <w:r w:rsidR="003C07AD">
        <w:t xml:space="preserve">one needs the distribution of the underlying latent variable </w:t>
      </w:r>
      <w:r w:rsidR="009E526B" w:rsidRPr="00562B55">
        <w:rPr>
          <w:position w:val="-12"/>
        </w:rPr>
        <w:object w:dxaOrig="279" w:dyaOrig="380">
          <v:shape id="_x0000_i1207" type="#_x0000_t75" style="width:14.15pt;height:18.85pt" o:ole="">
            <v:imagedata r:id="rId351" o:title=""/>
          </v:shape>
          <o:OLEObject Type="Embed" ProgID="Equation.DSMT4" ShapeID="_x0000_i1207" DrawAspect="Content" ObjectID="_1722089701" r:id="rId352"/>
        </w:object>
      </w:r>
      <w:r w:rsidR="003C07AD">
        <w:t>, or</w:t>
      </w:r>
      <w:r w:rsidR="005D0800">
        <w:t>,</w:t>
      </w:r>
      <w:r w:rsidR="003C07AD">
        <w:t xml:space="preserve"> equivalently, the distribution of the random variable </w:t>
      </w:r>
      <w:r w:rsidR="00B61503" w:rsidRPr="00562B55">
        <w:rPr>
          <w:position w:val="-10"/>
        </w:rPr>
        <w:object w:dxaOrig="200" w:dyaOrig="260">
          <v:shape id="_x0000_i1208" type="#_x0000_t75" style="width:9.85pt;height:12.85pt" o:ole="">
            <v:imagedata r:id="rId353" o:title=""/>
          </v:shape>
          <o:OLEObject Type="Embed" ProgID="Equation.DSMT4" ShapeID="_x0000_i1208" DrawAspect="Content" ObjectID="_1722089702" r:id="rId354"/>
        </w:object>
      </w:r>
      <w:r w:rsidR="003C07AD">
        <w:t xml:space="preserve">. We now assume that the random variable </w:t>
      </w:r>
      <w:r w:rsidR="003C07AD" w:rsidRPr="003C07AD">
        <w:rPr>
          <w:position w:val="-10"/>
        </w:rPr>
        <w:object w:dxaOrig="240" w:dyaOrig="320">
          <v:shape id="_x0000_i1209" type="#_x0000_t75" style="width:12pt;height:15.85pt" o:ole="">
            <v:imagedata r:id="rId355" o:title=""/>
          </v:shape>
          <o:OLEObject Type="Embed" ProgID="Equation.DSMT4" ShapeID="_x0000_i1209" DrawAspect="Content" ObjectID="_1722089703" r:id="rId356"/>
        </w:object>
      </w:r>
      <w:r w:rsidR="003C07AD">
        <w:t xml:space="preserve"> is reverse Gumbel distributed with a scale </w:t>
      </w:r>
      <w:r w:rsidR="00443EA6" w:rsidRPr="000A2BFF">
        <w:rPr>
          <w:position w:val="-6"/>
        </w:rPr>
        <w:object w:dxaOrig="240" w:dyaOrig="220">
          <v:shape id="_x0000_i1210" type="#_x0000_t75" style="width:12pt;height:11.15pt" o:ole="">
            <v:imagedata r:id="rId357" o:title=""/>
          </v:shape>
          <o:OLEObject Type="Embed" ProgID="Equation.DSMT4" ShapeID="_x0000_i1210" DrawAspect="Content" ObjectID="_1722089704" r:id="rId358"/>
        </w:object>
      </w:r>
      <w:r w:rsidR="003C07AD">
        <w:t xml:space="preserve">. With this assumption, the distribution of the random variable </w:t>
      </w:r>
      <w:r w:rsidR="00B61503" w:rsidRPr="00562B55">
        <w:rPr>
          <w:position w:val="-10"/>
        </w:rPr>
        <w:object w:dxaOrig="200" w:dyaOrig="260">
          <v:shape id="_x0000_i1211" type="#_x0000_t75" style="width:9.85pt;height:12.85pt" o:ole="">
            <v:imagedata r:id="rId359" o:title=""/>
          </v:shape>
          <o:OLEObject Type="Embed" ProgID="Equation.DSMT4" ShapeID="_x0000_i1211" DrawAspect="Content" ObjectID="_1722089705" r:id="rId360"/>
        </w:object>
      </w:r>
      <w:r w:rsidR="003C07AD">
        <w:t xml:space="preserve"> </w:t>
      </w:r>
      <w:r>
        <w:t xml:space="preserve">takes a surprisingly elegant form because </w:t>
      </w:r>
      <w:r w:rsidRPr="002A249E">
        <w:t xml:space="preserve">the survival distribution function (SDF) of the difference between a reverse Gumbel distribution </w:t>
      </w:r>
      <w:r>
        <w:t xml:space="preserve">with scale  </w:t>
      </w:r>
      <w:r w:rsidR="00C3608B" w:rsidRPr="000A2BFF">
        <w:rPr>
          <w:position w:val="-6"/>
        </w:rPr>
        <w:object w:dxaOrig="240" w:dyaOrig="220">
          <v:shape id="_x0000_i1212" type="#_x0000_t75" style="width:12pt;height:11.15pt" o:ole="">
            <v:imagedata r:id="rId361" o:title=""/>
          </v:shape>
          <o:OLEObject Type="Embed" ProgID="Equation.DSMT4" ShapeID="_x0000_i1212" DrawAspect="Content" ObjectID="_1722089706" r:id="rId362"/>
        </w:object>
      </w:r>
      <w:r>
        <w:t xml:space="preserve"> </w:t>
      </w:r>
      <w:r w:rsidRPr="002A249E">
        <w:t xml:space="preserve">and </w:t>
      </w:r>
      <w:r w:rsidR="00C3608B" w:rsidRPr="000A2BFF">
        <w:rPr>
          <w:position w:val="-6"/>
        </w:rPr>
        <w:object w:dxaOrig="240" w:dyaOrig="220">
          <v:shape id="_x0000_i1213" type="#_x0000_t75" style="width:12pt;height:11.15pt" o:ole="">
            <v:imagedata r:id="rId363" o:title=""/>
          </v:shape>
          <o:OLEObject Type="Embed" ProgID="Equation.DSMT4" ShapeID="_x0000_i1213" DrawAspect="Content" ObjectID="_1722089707" r:id="rId364"/>
        </w:object>
      </w:r>
      <w:r>
        <w:t xml:space="preserve"> times </w:t>
      </w:r>
      <w:r w:rsidRPr="002A249E">
        <w:t xml:space="preserve">the logarithm of the weighted sum of independent </w:t>
      </w:r>
      <w:r>
        <w:t xml:space="preserve">standard </w:t>
      </w:r>
      <w:r w:rsidRPr="002A249E">
        <w:t xml:space="preserve">exponentially distributed random variables </w:t>
      </w:r>
      <w:r>
        <w:t>has a closed form</w:t>
      </w:r>
      <w:r w:rsidR="0045195C">
        <w:t xml:space="preserve"> (</w:t>
      </w:r>
      <w:r w:rsidR="0045195C" w:rsidRPr="002A249E">
        <w:t xml:space="preserve">note that </w:t>
      </w:r>
      <w:r w:rsidR="00073E8F" w:rsidRPr="002A249E">
        <w:rPr>
          <w:position w:val="-12"/>
        </w:rPr>
        <w:object w:dxaOrig="780" w:dyaOrig="360">
          <v:shape id="_x0000_i1214" type="#_x0000_t75" style="width:39pt;height:18pt" o:ole="">
            <v:imagedata r:id="rId365" o:title=""/>
          </v:shape>
          <o:OLEObject Type="Embed" ProgID="Equation.DSMT4" ShapeID="_x0000_i1214" DrawAspect="Content" ObjectID="_1722089708" r:id="rId366"/>
        </w:object>
      </w:r>
      <w:r w:rsidR="0045195C">
        <w:t xml:space="preserve"> </w:t>
      </w:r>
      <w:r w:rsidR="0045195C" w:rsidRPr="002A249E">
        <w:t xml:space="preserve">is </w:t>
      </w:r>
      <w:r w:rsidR="0045195C">
        <w:t xml:space="preserve">standard </w:t>
      </w:r>
      <w:r w:rsidR="0045195C" w:rsidRPr="002A249E">
        <w:t>exponentially distributed</w:t>
      </w:r>
      <w:r w:rsidR="0045195C">
        <w:t xml:space="preserve">, </w:t>
      </w:r>
      <w:r w:rsidR="0042753D">
        <w:t xml:space="preserve">because </w:t>
      </w:r>
      <w:r w:rsidR="00073E8F" w:rsidRPr="007F71BA">
        <w:rPr>
          <w:position w:val="-12"/>
        </w:rPr>
        <w:object w:dxaOrig="260" w:dyaOrig="360">
          <v:shape id="_x0000_i1215" type="#_x0000_t75" style="width:12.85pt;height:18pt" o:ole="">
            <v:imagedata r:id="rId367" o:title=""/>
          </v:shape>
          <o:OLEObject Type="Embed" ProgID="Equation.DSMT4" ShapeID="_x0000_i1215" DrawAspect="Content" ObjectID="_1722089709" r:id="rId368"/>
        </w:object>
      </w:r>
      <w:r w:rsidR="0045195C">
        <w:t xml:space="preserve"> is standard reverse-Gumbel; also, note that, by construction, </w:t>
      </w:r>
      <w:r w:rsidR="0045195C" w:rsidRPr="005B1A69">
        <w:rPr>
          <w:position w:val="-12"/>
        </w:rPr>
        <w:object w:dxaOrig="279" w:dyaOrig="360">
          <v:shape id="_x0000_i1216" type="#_x0000_t75" style="width:14.15pt;height:18pt" o:ole="">
            <v:imagedata r:id="rId369" o:title=""/>
          </v:shape>
          <o:OLEObject Type="Embed" ProgID="Equation.DSMT4" ShapeID="_x0000_i1216" DrawAspect="Content" ObjectID="_1722089710" r:id="rId370"/>
        </w:object>
      </w:r>
      <w:r w:rsidR="0045195C">
        <w:t xml:space="preserve">&gt;0 for all </w:t>
      </w:r>
      <w:r w:rsidR="0045195C" w:rsidRPr="005B1A69">
        <w:rPr>
          <w:i/>
        </w:rPr>
        <w:t>k</w:t>
      </w:r>
      <w:r w:rsidR="0045195C" w:rsidRPr="002A249E">
        <w:t>)</w:t>
      </w:r>
      <w:r w:rsidR="00E63E1B">
        <w:t>.</w:t>
      </w:r>
      <w:r w:rsidR="00BA6E8E" w:rsidRPr="00BA6E8E">
        <w:rPr>
          <w:rStyle w:val="FootnoteReference"/>
        </w:rPr>
        <w:t xml:space="preserve"> </w:t>
      </w:r>
      <w:r w:rsidR="00E63E1B">
        <w:t xml:space="preserve">This univariate distribution for </w:t>
      </w:r>
      <w:r w:rsidR="00B61503" w:rsidRPr="00562B55">
        <w:rPr>
          <w:position w:val="-10"/>
        </w:rPr>
        <w:object w:dxaOrig="200" w:dyaOrig="260">
          <v:shape id="_x0000_i1217" type="#_x0000_t75" style="width:9.85pt;height:12.85pt" o:ole="">
            <v:imagedata r:id="rId371" o:title=""/>
          </v:shape>
          <o:OLEObject Type="Embed" ProgID="Equation.DSMT4" ShapeID="_x0000_i1217" DrawAspect="Content" ObjectID="_1722089711" r:id="rId372"/>
        </w:object>
      </w:r>
      <w:r w:rsidR="0042753D">
        <w:t>, to our knowledge,</w:t>
      </w:r>
      <w:r w:rsidR="00E63E1B">
        <w:t xml:space="preserve"> has not appeared in the statistical literature, but is what we will refer to as the </w:t>
      </w:r>
      <w:r w:rsidR="00553744">
        <w:t>minLogistic</w:t>
      </w:r>
      <w:r w:rsidR="00E63E1B">
        <w:t xml:space="preserve"> distribution.</w:t>
      </w:r>
      <w:r w:rsidR="0042753D">
        <w:rPr>
          <w:rStyle w:val="FootnoteReference"/>
        </w:rPr>
        <w:footnoteReference w:id="7"/>
      </w:r>
      <w:r w:rsidR="00E63E1B">
        <w:t xml:space="preserve"> </w:t>
      </w:r>
      <w:r w:rsidR="00916B88">
        <w:t xml:space="preserve">The precise distributional shape </w:t>
      </w:r>
      <w:r w:rsidR="0042753D">
        <w:t xml:space="preserve">of </w:t>
      </w:r>
      <w:r w:rsidR="00B61503" w:rsidRPr="00562B55">
        <w:rPr>
          <w:position w:val="-10"/>
        </w:rPr>
        <w:object w:dxaOrig="200" w:dyaOrig="260">
          <v:shape id="_x0000_i1218" type="#_x0000_t75" style="width:9.85pt;height:12.85pt" o:ole="">
            <v:imagedata r:id="rId373" o:title=""/>
          </v:shape>
          <o:OLEObject Type="Embed" ProgID="Equation.DSMT4" ShapeID="_x0000_i1218" DrawAspect="Content" ObjectID="_1722089712" r:id="rId374"/>
        </w:object>
      </w:r>
      <w:r w:rsidR="0042753D">
        <w:t xml:space="preserve"> </w:t>
      </w:r>
      <w:r w:rsidR="00916B88">
        <w:t xml:space="preserve">will depend on the values of </w:t>
      </w:r>
      <w:r w:rsidR="00916B88" w:rsidRPr="005B1A69">
        <w:rPr>
          <w:position w:val="-12"/>
        </w:rPr>
        <w:object w:dxaOrig="279" w:dyaOrig="360">
          <v:shape id="_x0000_i1219" type="#_x0000_t75" style="width:14.15pt;height:18pt" o:ole="">
            <v:imagedata r:id="rId375" o:title=""/>
          </v:shape>
          <o:OLEObject Type="Embed" ProgID="Equation.DSMT4" ShapeID="_x0000_i1219" DrawAspect="Content" ObjectID="_1722089713" r:id="rId376"/>
        </w:object>
      </w:r>
      <w:r w:rsidR="00916B88">
        <w:t xml:space="preserve">, but the distribution is skewed toward the left, similar to that of a reverse Gumbel distribution (except for the case when </w:t>
      </w:r>
      <w:r w:rsidR="00916B88" w:rsidRPr="008D1BB0">
        <w:rPr>
          <w:i/>
        </w:rPr>
        <w:t>K</w:t>
      </w:r>
      <w:r w:rsidR="00916B88">
        <w:t xml:space="preserve">=1, in which case the </w:t>
      </w:r>
      <w:bookmarkStart w:id="2" w:name="_GoBack"/>
      <w:r w:rsidR="00553744">
        <w:t>minLogistic</w:t>
      </w:r>
      <w:bookmarkEnd w:id="2"/>
      <w:r w:rsidR="00916B88">
        <w:t xml:space="preserve"> distribution collapses to a simple symmetric logistic distribution).</w:t>
      </w:r>
      <w:r w:rsidR="00BA6E8E">
        <w:rPr>
          <w:rStyle w:val="FootnoteReference"/>
        </w:rPr>
        <w:footnoteReference w:id="8"/>
      </w:r>
      <w:r w:rsidR="00696ACF" w:rsidRPr="00AA0BE1">
        <w:rPr>
          <w:vertAlign w:val="superscript"/>
        </w:rPr>
        <w:t>,</w:t>
      </w:r>
      <w:r w:rsidR="00696ACF">
        <w:rPr>
          <w:rStyle w:val="FootnoteReference"/>
        </w:rPr>
        <w:footnoteReference w:id="9"/>
      </w:r>
      <w:r w:rsidR="00916B88">
        <w:t xml:space="preserve"> Figure </w:t>
      </w:r>
      <w:r w:rsidR="00C55C4B">
        <w:t>1</w:t>
      </w:r>
      <w:r w:rsidR="00916B88">
        <w:t xml:space="preserve"> </w:t>
      </w:r>
      <w:r w:rsidR="00916B88">
        <w:lastRenderedPageBreak/>
        <w:t>provides a sample plot of the distribution for a situation with three goods (</w:t>
      </w:r>
      <w:r w:rsidR="00916B88" w:rsidRPr="005B1A69">
        <w:rPr>
          <w:i/>
        </w:rPr>
        <w:t>K</w:t>
      </w:r>
      <w:r w:rsidR="00916B88">
        <w:t xml:space="preserve">=3) with  </w:t>
      </w:r>
      <w:r w:rsidR="005C6AE5" w:rsidRPr="005B1A69">
        <w:rPr>
          <w:position w:val="-12"/>
        </w:rPr>
        <w:object w:dxaOrig="2400" w:dyaOrig="360">
          <v:shape id="_x0000_i1220" type="#_x0000_t75" style="width:120pt;height:18pt" o:ole="">
            <v:imagedata r:id="rId377" o:title=""/>
          </v:shape>
          <o:OLEObject Type="Embed" ProgID="Equation.DSMT4" ShapeID="_x0000_i1220" DrawAspect="Content" ObjectID="_1722089714" r:id="rId378"/>
        </w:object>
      </w:r>
      <w:r w:rsidR="00C55C4B">
        <w:t xml:space="preserve">, and </w:t>
      </w:r>
      <w:r w:rsidR="00C55C4B" w:rsidRPr="000A2BFF">
        <w:rPr>
          <w:position w:val="-6"/>
        </w:rPr>
        <w:object w:dxaOrig="240" w:dyaOrig="220">
          <v:shape id="_x0000_i1221" type="#_x0000_t75" style="width:12pt;height:11.15pt" o:ole="">
            <v:imagedata r:id="rId361" o:title=""/>
          </v:shape>
          <o:OLEObject Type="Embed" ProgID="Equation.DSMT4" ShapeID="_x0000_i1221" DrawAspect="Content" ObjectID="_1722089715" r:id="rId379"/>
        </w:object>
      </w:r>
      <w:r w:rsidR="00C55C4B">
        <w:t>=1.</w:t>
      </w:r>
      <w:r w:rsidR="00916B88">
        <w:t xml:space="preserve"> Additional </w:t>
      </w:r>
      <w:r w:rsidR="00E63E1B">
        <w:t xml:space="preserve">properties of this new </w:t>
      </w:r>
      <w:r w:rsidR="00553744">
        <w:t>minLogistic</w:t>
      </w:r>
      <w:r w:rsidR="00E63E1B">
        <w:t xml:space="preserve"> distribution </w:t>
      </w:r>
      <w:r w:rsidR="00916B88">
        <w:t xml:space="preserve">of the random variable </w:t>
      </w:r>
      <w:r w:rsidR="00916B88" w:rsidRPr="00562B55">
        <w:rPr>
          <w:position w:val="-10"/>
        </w:rPr>
        <w:object w:dxaOrig="200" w:dyaOrig="260">
          <v:shape id="_x0000_i1222" type="#_x0000_t75" style="width:9.85pt;height:12.85pt" o:ole="">
            <v:imagedata r:id="rId380" o:title=""/>
          </v:shape>
          <o:OLEObject Type="Embed" ProgID="Equation.DSMT4" ShapeID="_x0000_i1222" DrawAspect="Content" ObjectID="_1722089716" r:id="rId381"/>
        </w:object>
      </w:r>
      <w:r w:rsidR="00916B88">
        <w:t xml:space="preserve"> </w:t>
      </w:r>
      <w:r w:rsidR="001E5B6D" w:rsidRPr="005B1A69">
        <w:rPr>
          <w:position w:val="-12"/>
        </w:rPr>
        <w:object w:dxaOrig="1200" w:dyaOrig="360">
          <v:shape id="_x0000_i1223" type="#_x0000_t75" style="width:60pt;height:18pt" o:ole="">
            <v:imagedata r:id="rId382" o:title=""/>
          </v:shape>
          <o:OLEObject Type="Embed" ProgID="Equation.DSMT4" ShapeID="_x0000_i1223" DrawAspect="Content" ObjectID="_1722089717" r:id="rId383"/>
        </w:object>
      </w:r>
      <w:r w:rsidR="00916B88">
        <w:t xml:space="preserve"> </w:t>
      </w:r>
      <w:r w:rsidR="00044816">
        <w:t xml:space="preserve">with scale </w:t>
      </w:r>
      <w:r w:rsidR="00044816" w:rsidRPr="000A2BFF">
        <w:rPr>
          <w:position w:val="-6"/>
        </w:rPr>
        <w:object w:dxaOrig="240" w:dyaOrig="220">
          <v:shape id="_x0000_i1224" type="#_x0000_t75" style="width:12pt;height:11.15pt" o:ole="">
            <v:imagedata r:id="rId361" o:title=""/>
          </v:shape>
          <o:OLEObject Type="Embed" ProgID="Equation.DSMT4" ShapeID="_x0000_i1224" DrawAspect="Content" ObjectID="_1722089718" r:id="rId384"/>
        </w:object>
      </w:r>
      <w:r w:rsidR="00044816">
        <w:t xml:space="preserve"> </w:t>
      </w:r>
      <w:r w:rsidR="00E63E1B">
        <w:t>are now presented (with proofs) below</w:t>
      </w:r>
      <w:r w:rsidR="00B4405F">
        <w:t xml:space="preserve"> (the expressions have also been verified through simulation experiments)</w:t>
      </w:r>
      <w:r w:rsidR="00E63E1B">
        <w:t>:</w:t>
      </w:r>
    </w:p>
    <w:p w:rsidR="00E63E1B" w:rsidRDefault="00E63E1B" w:rsidP="000C44EE">
      <w:pPr>
        <w:spacing w:line="276" w:lineRule="auto"/>
        <w:jc w:val="both"/>
      </w:pPr>
    </w:p>
    <w:p w:rsidR="008D1BB0" w:rsidRDefault="008D1BB0" w:rsidP="000C44EE">
      <w:pPr>
        <w:spacing w:line="276" w:lineRule="auto"/>
        <w:jc w:val="both"/>
        <w:rPr>
          <w:b/>
          <w:bCs/>
          <w:i/>
          <w:iCs/>
        </w:rPr>
      </w:pPr>
      <w:r w:rsidRPr="00304685">
        <w:rPr>
          <w:b/>
          <w:i/>
          <w:iCs/>
        </w:rPr>
        <w:t>Property 1</w:t>
      </w:r>
    </w:p>
    <w:p w:rsidR="005D5653" w:rsidRDefault="008D1BB0" w:rsidP="000C44EE">
      <w:pPr>
        <w:spacing w:line="276" w:lineRule="auto"/>
        <w:jc w:val="both"/>
      </w:pPr>
      <w:r w:rsidRPr="009B6859">
        <w:t>With the above</w:t>
      </w:r>
      <w:r>
        <w:t>-</w:t>
      </w:r>
      <w:r w:rsidRPr="009B6859">
        <w:t xml:space="preserve">mentioned distributional assumptions on the error terms </w:t>
      </w:r>
      <w:r w:rsidRPr="009B6859">
        <w:rPr>
          <w:position w:val="-12"/>
        </w:rPr>
        <w:object w:dxaOrig="260" w:dyaOrig="360">
          <v:shape id="_x0000_i1225" type="#_x0000_t75" style="width:12.85pt;height:18pt" o:ole="" o:preferrelative="f">
            <v:imagedata r:id="rId385" o:title=""/>
            <o:lock v:ext="edit" aspectratio="f"/>
          </v:shape>
          <o:OLEObject Type="Embed" ProgID="Equation.DSMT4" ShapeID="_x0000_i1225" DrawAspect="Content" ObjectID="_1722089719" r:id="rId386"/>
        </w:object>
      </w:r>
      <w:r>
        <w:t xml:space="preserve"> and </w:t>
      </w:r>
      <w:r w:rsidRPr="008D1BB0">
        <w:rPr>
          <w:position w:val="-10"/>
        </w:rPr>
        <w:object w:dxaOrig="240" w:dyaOrig="320">
          <v:shape id="_x0000_i1226" type="#_x0000_t75" style="width:12pt;height:15.85pt" o:ole="">
            <v:imagedata r:id="rId387" o:title=""/>
          </v:shape>
          <o:OLEObject Type="Embed" ProgID="Equation.DSMT4" ShapeID="_x0000_i1226" DrawAspect="Content" ObjectID="_1722089720" r:id="rId388"/>
        </w:object>
      </w:r>
      <w:r w:rsidRPr="009B6859">
        <w:t>, the</w:t>
      </w:r>
      <w:r>
        <w:t xml:space="preserve"> </w:t>
      </w:r>
      <w:r w:rsidRPr="009B6859">
        <w:t xml:space="preserve">survival distribution function (SDF) of </w:t>
      </w:r>
      <w:r w:rsidR="00091E9C" w:rsidRPr="00562B55">
        <w:rPr>
          <w:position w:val="-10"/>
        </w:rPr>
        <w:object w:dxaOrig="200" w:dyaOrig="260">
          <v:shape id="_x0000_i1227" type="#_x0000_t75" style="width:9.85pt;height:12.85pt" o:ole="">
            <v:imagedata r:id="rId380" o:title=""/>
          </v:shape>
          <o:OLEObject Type="Embed" ProgID="Equation.DSMT4" ShapeID="_x0000_i1227" DrawAspect="Content" ObjectID="_1722089721" r:id="rId389"/>
        </w:object>
      </w:r>
      <w:r w:rsidR="00091E9C">
        <w:t xml:space="preserve"> </w:t>
      </w:r>
      <w:r w:rsidRPr="009B6859">
        <w:t>takes a closed-form as follows</w:t>
      </w:r>
      <w:r>
        <w:t xml:space="preserve"> </w:t>
      </w:r>
      <w:r w:rsidR="005D5653">
        <w:t>(see Appendix A</w:t>
      </w:r>
      <w:r w:rsidR="001D02E1">
        <w:t>.1</w:t>
      </w:r>
      <w:r w:rsidR="005D5653">
        <w:t xml:space="preserve"> for the derivation)</w:t>
      </w:r>
      <w:r>
        <w:t>:</w:t>
      </w:r>
    </w:p>
    <w:p w:rsidR="005D5653" w:rsidRDefault="005B1A69" w:rsidP="00CB4D5B">
      <w:pPr>
        <w:tabs>
          <w:tab w:val="right" w:pos="9360"/>
        </w:tabs>
        <w:spacing w:before="60" w:after="60" w:line="276" w:lineRule="auto"/>
        <w:jc w:val="both"/>
      </w:pPr>
      <w:r w:rsidRPr="008F0943">
        <w:rPr>
          <w:position w:val="-60"/>
        </w:rPr>
        <w:object w:dxaOrig="4640" w:dyaOrig="980">
          <v:shape id="_x0000_i1228" type="#_x0000_t75" style="width:231.85pt;height:48.85pt" o:ole="">
            <v:imagedata r:id="rId390" o:title=""/>
          </v:shape>
          <o:OLEObject Type="Embed" ProgID="Equation.DSMT4" ShapeID="_x0000_i1228" DrawAspect="Content" ObjectID="_1722089722" r:id="rId391"/>
        </w:object>
      </w:r>
      <w:r w:rsidR="00B048C9">
        <w:tab/>
      </w:r>
      <w:r>
        <w:t xml:space="preserve"> </w:t>
      </w:r>
      <w:r w:rsidR="00B048C9">
        <w:t>(2</w:t>
      </w:r>
      <w:r w:rsidR="00E717BF">
        <w:t>7</w:t>
      </w:r>
      <w:r w:rsidR="00B048C9">
        <w:t>)</w:t>
      </w:r>
    </w:p>
    <w:p w:rsidR="00091E9C" w:rsidRDefault="008D1BB0" w:rsidP="000C44EE">
      <w:pPr>
        <w:spacing w:line="276" w:lineRule="auto"/>
        <w:jc w:val="both"/>
      </w:pPr>
      <w:r>
        <w:t xml:space="preserve">The corresponding cumulative distribution function </w:t>
      </w:r>
      <w:r w:rsidR="00F70F5E">
        <w:t xml:space="preserve">and density functions are </w:t>
      </w:r>
      <w:r>
        <w:t>readily obtained as</w:t>
      </w:r>
      <w:r w:rsidR="00F70F5E">
        <w:rPr>
          <w:rStyle w:val="FootnoteReference"/>
          <w:iCs/>
        </w:rPr>
        <w:footnoteReference w:id="10"/>
      </w:r>
      <w:r>
        <w:t>:</w:t>
      </w:r>
      <w:r w:rsidR="00DB2BBE">
        <w:tab/>
        <w:t xml:space="preserve"> </w:t>
      </w:r>
    </w:p>
    <w:p w:rsidR="008E70B5" w:rsidRDefault="008E70B5" w:rsidP="000C44EE">
      <w:pPr>
        <w:spacing w:line="276" w:lineRule="auto"/>
        <w:jc w:val="both"/>
        <w:rPr>
          <w:b/>
          <w:i/>
          <w:iCs/>
        </w:rPr>
      </w:pPr>
      <w:r w:rsidRPr="004F1E34">
        <w:rPr>
          <w:position w:val="-102"/>
        </w:rPr>
        <w:object w:dxaOrig="5160" w:dyaOrig="2160">
          <v:shape id="_x0000_i1229" type="#_x0000_t75" style="width:257.55pt;height:108pt" o:ole="">
            <v:imagedata r:id="rId392" o:title=""/>
          </v:shape>
          <o:OLEObject Type="Embed" ProgID="Equation.DSMT4" ShapeID="_x0000_i1229" DrawAspect="Content" ObjectID="_1722089723" r:id="rId393"/>
        </w:object>
      </w:r>
      <w:r>
        <w:tab/>
      </w:r>
      <w:r>
        <w:tab/>
      </w:r>
      <w:r>
        <w:tab/>
      </w:r>
      <w:r>
        <w:tab/>
      </w:r>
      <w:r>
        <w:tab/>
        <w:t xml:space="preserve">     (28)</w:t>
      </w:r>
    </w:p>
    <w:p w:rsidR="008E70B5" w:rsidRPr="00CB4D5B" w:rsidRDefault="008E70B5" w:rsidP="000C44EE">
      <w:pPr>
        <w:spacing w:line="276" w:lineRule="auto"/>
        <w:jc w:val="both"/>
        <w:rPr>
          <w:iCs/>
        </w:rPr>
      </w:pPr>
    </w:p>
    <w:p w:rsidR="008D1BB0" w:rsidRDefault="008D1BB0" w:rsidP="000C44EE">
      <w:pPr>
        <w:spacing w:line="276" w:lineRule="auto"/>
        <w:jc w:val="both"/>
        <w:rPr>
          <w:b/>
          <w:bCs/>
          <w:i/>
          <w:iCs/>
        </w:rPr>
      </w:pPr>
      <w:r w:rsidRPr="00304685">
        <w:rPr>
          <w:b/>
          <w:i/>
          <w:iCs/>
        </w:rPr>
        <w:t xml:space="preserve">Property </w:t>
      </w:r>
      <w:r>
        <w:rPr>
          <w:b/>
          <w:i/>
          <w:iCs/>
        </w:rPr>
        <w:t>2</w:t>
      </w:r>
    </w:p>
    <w:p w:rsidR="008D1BB0" w:rsidRPr="003128CF" w:rsidRDefault="008D1BB0" w:rsidP="000C44EE">
      <w:pPr>
        <w:spacing w:line="276" w:lineRule="auto"/>
        <w:jc w:val="both"/>
      </w:pPr>
      <w:r w:rsidRPr="003128CF">
        <w:t xml:space="preserve">The </w:t>
      </w:r>
      <w:r w:rsidR="00553744">
        <w:t>minLogistic</w:t>
      </w:r>
      <w:r w:rsidR="005B1A69" w:rsidRPr="003128CF">
        <w:t xml:space="preserve"> distribution is </w:t>
      </w:r>
      <w:r w:rsidR="00CE32CA" w:rsidRPr="003128CF">
        <w:t xml:space="preserve">strongly </w:t>
      </w:r>
      <w:r w:rsidR="005B1A69" w:rsidRPr="003128CF">
        <w:t>unimoda</w:t>
      </w:r>
      <w:r w:rsidRPr="003128CF">
        <w:t>l</w:t>
      </w:r>
      <w:r w:rsidR="007D47D6" w:rsidRPr="003128CF">
        <w:t xml:space="preserve"> (see Appendix </w:t>
      </w:r>
      <w:r w:rsidR="001D02E1">
        <w:t>A.2</w:t>
      </w:r>
      <w:r w:rsidR="007D47D6" w:rsidRPr="003128CF">
        <w:t>)</w:t>
      </w:r>
      <w:r w:rsidRPr="003128CF">
        <w:t>. The mode does not have a closed-form expression</w:t>
      </w:r>
      <w:r w:rsidR="00C37364">
        <w:t xml:space="preserve"> in the general case when </w:t>
      </w:r>
      <w:r w:rsidR="00C37364" w:rsidRPr="00C37364">
        <w:rPr>
          <w:i/>
        </w:rPr>
        <w:t>K</w:t>
      </w:r>
      <w:r w:rsidR="00C37364">
        <w:t>&gt;1</w:t>
      </w:r>
      <w:r w:rsidRPr="003128CF">
        <w:t>, but is the solution to the following equation that can be obtained numerically</w:t>
      </w:r>
      <w:r w:rsidR="005B1A69" w:rsidRPr="003128CF">
        <w:t xml:space="preserve"> </w:t>
      </w:r>
      <w:r w:rsidR="00073E8F">
        <w:t>(see Appendix A.2)</w:t>
      </w:r>
      <w:r w:rsidRPr="003128CF">
        <w:t>:</w:t>
      </w:r>
    </w:p>
    <w:p w:rsidR="008D1BB0" w:rsidRDefault="008F4031" w:rsidP="00CB4D5B">
      <w:pPr>
        <w:tabs>
          <w:tab w:val="right" w:pos="9360"/>
        </w:tabs>
        <w:spacing w:before="60" w:after="60" w:line="276" w:lineRule="auto"/>
        <w:jc w:val="both"/>
      </w:pPr>
      <w:r w:rsidRPr="003128CF">
        <w:rPr>
          <w:position w:val="-62"/>
        </w:rPr>
        <w:object w:dxaOrig="7119" w:dyaOrig="1359">
          <v:shape id="_x0000_i1230" type="#_x0000_t75" style="width:355.7pt;height:67.7pt" o:ole="" o:preferrelative="f">
            <v:imagedata r:id="rId394" o:title=""/>
            <o:lock v:ext="edit" aspectratio="f"/>
          </v:shape>
          <o:OLEObject Type="Embed" ProgID="Equation.DSMT4" ShapeID="_x0000_i1230" DrawAspect="Content" ObjectID="_1722089724" r:id="rId395"/>
        </w:object>
      </w:r>
      <w:r w:rsidR="004A2A32">
        <w:t>.</w:t>
      </w:r>
      <w:r w:rsidR="00304E38">
        <w:t xml:space="preserve"> </w:t>
      </w:r>
      <w:r w:rsidR="00BE0B15">
        <w:tab/>
      </w:r>
      <w:r w:rsidR="00304E38">
        <w:t>(2</w:t>
      </w:r>
      <w:r w:rsidR="00E717BF">
        <w:t>9</w:t>
      </w:r>
      <w:r w:rsidR="00304E38">
        <w:t>)</w:t>
      </w:r>
    </w:p>
    <w:p w:rsidR="00C37364" w:rsidRDefault="00C37364" w:rsidP="0001701E">
      <w:pPr>
        <w:spacing w:line="276" w:lineRule="auto"/>
        <w:jc w:val="both"/>
        <w:rPr>
          <w:iCs/>
        </w:rPr>
      </w:pPr>
      <w:r w:rsidRPr="00C37364">
        <w:rPr>
          <w:iCs/>
        </w:rPr>
        <w:t xml:space="preserve">For the case when </w:t>
      </w:r>
      <w:r w:rsidRPr="00C37364">
        <w:rPr>
          <w:i/>
          <w:iCs/>
        </w:rPr>
        <w:t>K</w:t>
      </w:r>
      <w:r w:rsidRPr="00C37364">
        <w:rPr>
          <w:iCs/>
        </w:rPr>
        <w:t xml:space="preserve">=1, </w:t>
      </w:r>
      <w:r>
        <w:rPr>
          <w:iCs/>
        </w:rPr>
        <w:t xml:space="preserve">the </w:t>
      </w:r>
      <w:r w:rsidR="00553744">
        <w:rPr>
          <w:iCs/>
        </w:rPr>
        <w:t>minLogistic</w:t>
      </w:r>
      <w:r>
        <w:rPr>
          <w:iCs/>
        </w:rPr>
        <w:t xml:space="preserve"> distribution collapses to a symmetric logistic distribution, and </w:t>
      </w:r>
      <w:r w:rsidRPr="00C37364">
        <w:rPr>
          <w:iCs/>
        </w:rPr>
        <w:t xml:space="preserve">there is a closed form solution for the mode, which occurs at </w:t>
      </w:r>
      <w:r w:rsidRPr="00C37364">
        <w:rPr>
          <w:position w:val="-10"/>
        </w:rPr>
        <w:object w:dxaOrig="1440" w:dyaOrig="320">
          <v:shape id="_x0000_i1231" type="#_x0000_t75" style="width:1in;height:15.85pt" o:ole="">
            <v:imagedata r:id="rId396" o:title=""/>
          </v:shape>
          <o:OLEObject Type="Embed" ProgID="Equation.DSMT4" ShapeID="_x0000_i1231" DrawAspect="Content" ObjectID="_1722089725" r:id="rId397"/>
        </w:object>
      </w:r>
      <w:r w:rsidR="009A5972">
        <w:t xml:space="preserve"> </w:t>
      </w:r>
      <w:r w:rsidRPr="00C37364">
        <w:t xml:space="preserve">as can be readily seen by applying the formula above for </w:t>
      </w:r>
      <w:r w:rsidRPr="00304E38">
        <w:rPr>
          <w:i/>
        </w:rPr>
        <w:t>K</w:t>
      </w:r>
      <w:r w:rsidRPr="00C37364">
        <w:t xml:space="preserve">=1. </w:t>
      </w:r>
      <w:r w:rsidR="00304E38">
        <w:rPr>
          <w:iCs/>
        </w:rPr>
        <w:t xml:space="preserve">For the case of the </w:t>
      </w:r>
      <w:r w:rsidR="00553744">
        <w:rPr>
          <w:iCs/>
        </w:rPr>
        <w:t>minLogistic</w:t>
      </w:r>
      <w:r w:rsidR="00304E38">
        <w:rPr>
          <w:iCs/>
        </w:rPr>
        <w:t xml:space="preserve"> distribution plotted in Figure 1, application of the Equation (2</w:t>
      </w:r>
      <w:r w:rsidR="00E717BF">
        <w:rPr>
          <w:iCs/>
        </w:rPr>
        <w:t>9</w:t>
      </w:r>
      <w:r w:rsidR="00304E38">
        <w:rPr>
          <w:iCs/>
        </w:rPr>
        <w:t xml:space="preserve">) reveals a mode at </w:t>
      </w:r>
      <w:r w:rsidR="00A15DCC">
        <w:rPr>
          <w:iCs/>
        </w:rPr>
        <w:t>–</w:t>
      </w:r>
      <w:r w:rsidR="00304E38">
        <w:rPr>
          <w:iCs/>
        </w:rPr>
        <w:t xml:space="preserve">1.78, which, as can be seen from Figure 1, is the point at which the density function reaches its peak value. </w:t>
      </w:r>
    </w:p>
    <w:p w:rsidR="00C37364" w:rsidRPr="00C37364" w:rsidRDefault="00C37364" w:rsidP="0001701E">
      <w:pPr>
        <w:spacing w:line="276" w:lineRule="auto"/>
        <w:jc w:val="both"/>
        <w:rPr>
          <w:iCs/>
        </w:rPr>
      </w:pPr>
    </w:p>
    <w:p w:rsidR="00916B88" w:rsidRPr="005C6AE5" w:rsidRDefault="008D1BB0" w:rsidP="0001701E">
      <w:pPr>
        <w:spacing w:line="276" w:lineRule="auto"/>
        <w:jc w:val="both"/>
        <w:rPr>
          <w:b/>
          <w:bCs/>
          <w:i/>
          <w:iCs/>
        </w:rPr>
      </w:pPr>
      <w:r w:rsidRPr="003128CF">
        <w:rPr>
          <w:b/>
          <w:i/>
          <w:iCs/>
        </w:rPr>
        <w:t>Property 3</w:t>
      </w:r>
    </w:p>
    <w:p w:rsidR="00044816" w:rsidRPr="003128CF" w:rsidRDefault="00097CA3" w:rsidP="0001701E">
      <w:pPr>
        <w:spacing w:line="276" w:lineRule="auto"/>
        <w:jc w:val="both"/>
      </w:pPr>
      <w:r w:rsidRPr="003128CF">
        <w:t xml:space="preserve">The mean </w:t>
      </w:r>
      <w:r w:rsidR="00044816" w:rsidRPr="003128CF">
        <w:t xml:space="preserve">and variance </w:t>
      </w:r>
      <w:r w:rsidRPr="003128CF">
        <w:t xml:space="preserve">of the </w:t>
      </w:r>
      <w:r w:rsidR="00553744">
        <w:t>minLogistic</w:t>
      </w:r>
      <w:r w:rsidR="00044816" w:rsidRPr="003128CF">
        <w:t xml:space="preserve"> </w:t>
      </w:r>
      <w:r w:rsidRPr="003128CF">
        <w:t xml:space="preserve">distribution </w:t>
      </w:r>
      <w:r w:rsidR="00044816" w:rsidRPr="003128CF">
        <w:t>are given by the following closed-form expressions</w:t>
      </w:r>
      <w:r w:rsidR="00B4405F" w:rsidRPr="003128CF">
        <w:t xml:space="preserve"> (see Appendix </w:t>
      </w:r>
      <w:r w:rsidR="001D02E1">
        <w:t>A.3</w:t>
      </w:r>
      <w:r w:rsidR="00B4405F" w:rsidRPr="003128CF">
        <w:t>)</w:t>
      </w:r>
      <w:r w:rsidR="00044816" w:rsidRPr="003128CF">
        <w:t>:</w:t>
      </w:r>
    </w:p>
    <w:bookmarkStart w:id="3" w:name="_Hlk97021112"/>
    <w:p w:rsidR="00044816" w:rsidRPr="003128CF" w:rsidRDefault="00560247" w:rsidP="00CB4D5B">
      <w:pPr>
        <w:tabs>
          <w:tab w:val="right" w:pos="9360"/>
        </w:tabs>
        <w:spacing w:before="60" w:after="60" w:line="276" w:lineRule="auto"/>
        <w:jc w:val="both"/>
      </w:pPr>
      <w:r w:rsidRPr="00AA14DE">
        <w:rPr>
          <w:position w:val="-168"/>
        </w:rPr>
        <w:object w:dxaOrig="6800" w:dyaOrig="3480">
          <v:shape id="_x0000_i1232" type="#_x0000_t75" style="width:339.85pt;height:174pt" o:ole="">
            <v:imagedata r:id="rId398" o:title=""/>
          </v:shape>
          <o:OLEObject Type="Embed" ProgID="Equation.DSMT4" ShapeID="_x0000_i1232" DrawAspect="Content" ObjectID="_1722089726" r:id="rId399"/>
        </w:object>
      </w:r>
      <w:bookmarkEnd w:id="3"/>
      <w:r w:rsidR="00DB2BBE" w:rsidRPr="003128CF">
        <w:tab/>
        <w:t xml:space="preserve"> (</w:t>
      </w:r>
      <w:r w:rsidR="00E717BF">
        <w:t>30</w:t>
      </w:r>
      <w:r w:rsidR="00DB2BBE" w:rsidRPr="003128CF">
        <w:t>)</w:t>
      </w:r>
    </w:p>
    <w:p w:rsidR="005B6CB5" w:rsidRPr="003128CF" w:rsidRDefault="005B6CB5" w:rsidP="0001701E">
      <w:pPr>
        <w:spacing w:line="276" w:lineRule="auto"/>
        <w:jc w:val="both"/>
      </w:pPr>
      <w:r w:rsidRPr="003128CF">
        <w:rPr>
          <w:iCs/>
        </w:rPr>
        <w:t xml:space="preserve">In case one or more of the </w:t>
      </w:r>
      <w:r w:rsidRPr="003128CF">
        <w:rPr>
          <w:position w:val="-12"/>
        </w:rPr>
        <w:object w:dxaOrig="279" w:dyaOrig="360">
          <v:shape id="_x0000_i1233" type="#_x0000_t75" style="width:14.15pt;height:18pt" o:ole="">
            <v:imagedata r:id="rId400" o:title=""/>
          </v:shape>
          <o:OLEObject Type="Embed" ProgID="Equation.DSMT4" ShapeID="_x0000_i1233" DrawAspect="Content" ObjectID="_1722089727" r:id="rId401"/>
        </w:object>
      </w:r>
      <w:r w:rsidR="009A5972">
        <w:t xml:space="preserve"> </w:t>
      </w:r>
      <w:r w:rsidRPr="003128CF">
        <w:t xml:space="preserve">values are equal, the corresponding expressions become rather unwieldy to write in a generic form; however, the nice and elegant expressions above will provide almost the exact values if applied after introducing very small perturbations to the </w:t>
      </w:r>
      <w:r w:rsidRPr="003128CF">
        <w:rPr>
          <w:position w:val="-12"/>
        </w:rPr>
        <w:object w:dxaOrig="279" w:dyaOrig="360">
          <v:shape id="_x0000_i1234" type="#_x0000_t75" style="width:14.15pt;height:18pt" o:ole="">
            <v:imagedata r:id="rId400" o:title=""/>
          </v:shape>
          <o:OLEObject Type="Embed" ProgID="Equation.DSMT4" ShapeID="_x0000_i1234" DrawAspect="Content" ObjectID="_1722089728" r:id="rId402"/>
        </w:object>
      </w:r>
      <w:r w:rsidR="009A5972">
        <w:t xml:space="preserve"> </w:t>
      </w:r>
      <w:r w:rsidRPr="003128CF">
        <w:t xml:space="preserve">values to make them unequal. Note also that, in our current application, the </w:t>
      </w:r>
      <w:r w:rsidRPr="003128CF">
        <w:rPr>
          <w:position w:val="-12"/>
        </w:rPr>
        <w:object w:dxaOrig="279" w:dyaOrig="360">
          <v:shape id="_x0000_i1235" type="#_x0000_t75" style="width:14.15pt;height:18pt" o:ole="">
            <v:imagedata r:id="rId400" o:title=""/>
          </v:shape>
          <o:OLEObject Type="Embed" ProgID="Equation.DSMT4" ShapeID="_x0000_i1235" DrawAspect="Content" ObjectID="_1722089729" r:id="rId403"/>
        </w:object>
      </w:r>
      <w:r w:rsidRPr="003128CF">
        <w:t xml:space="preserve"> values will </w:t>
      </w:r>
      <w:r w:rsidR="0042753D">
        <w:t xml:space="preserve">generally </w:t>
      </w:r>
      <w:r w:rsidRPr="003128CF">
        <w:t xml:space="preserve">not be the same because of alternative specific parameters in the baseline preference utilities. </w:t>
      </w:r>
      <w:r w:rsidR="002D45DC" w:rsidRPr="003128CF">
        <w:t xml:space="preserve">An important issue to note above is that the variance of the error term </w:t>
      </w:r>
      <w:r w:rsidR="002D45DC" w:rsidRPr="003128CF">
        <w:rPr>
          <w:position w:val="-10"/>
        </w:rPr>
        <w:object w:dxaOrig="200" w:dyaOrig="260">
          <v:shape id="_x0000_i1236" type="#_x0000_t75" style="width:9.85pt;height:12.85pt" o:ole="">
            <v:imagedata r:id="rId404" o:title=""/>
          </v:shape>
          <o:OLEObject Type="Embed" ProgID="Equation.DSMT4" ShapeID="_x0000_i1236" DrawAspect="Content" ObjectID="_1722089730" r:id="rId405"/>
        </w:object>
      </w:r>
      <w:r w:rsidR="002D45DC" w:rsidRPr="003128CF">
        <w:t xml:space="preserve"> is heteroscedastic across individuals (as </w:t>
      </w:r>
      <w:r w:rsidR="002D45DC" w:rsidRPr="003128CF">
        <w:rPr>
          <w:position w:val="-12"/>
        </w:rPr>
        <w:object w:dxaOrig="279" w:dyaOrig="360">
          <v:shape id="_x0000_i1237" type="#_x0000_t75" style="width:14.15pt;height:18pt" o:ole="">
            <v:imagedata r:id="rId406" o:title=""/>
          </v:shape>
          <o:OLEObject Type="Embed" ProgID="Equation.DSMT4" ShapeID="_x0000_i1237" DrawAspect="Content" ObjectID="_1722089731" r:id="rId407"/>
        </w:object>
      </w:r>
      <w:r w:rsidR="002D45DC" w:rsidRPr="003128CF">
        <w:t xml:space="preserve"> would vary across individuals), an issue we will get back to later in this paper.</w:t>
      </w:r>
      <w:r w:rsidR="00B3149C">
        <w:rPr>
          <w:rStyle w:val="FootnoteReference"/>
        </w:rPr>
        <w:footnoteReference w:id="11"/>
      </w:r>
      <w:r w:rsidR="002D45DC" w:rsidRPr="003128CF">
        <w:t xml:space="preserve"> </w:t>
      </w:r>
    </w:p>
    <w:p w:rsidR="00BF6FB0" w:rsidRPr="003128CF" w:rsidRDefault="00BF6FB0" w:rsidP="0001701E">
      <w:pPr>
        <w:spacing w:line="276" w:lineRule="auto"/>
        <w:jc w:val="both"/>
        <w:rPr>
          <w:b/>
          <w:i/>
          <w:iCs/>
        </w:rPr>
      </w:pPr>
    </w:p>
    <w:p w:rsidR="00B4405F" w:rsidRPr="005C6AE5" w:rsidRDefault="00B4405F" w:rsidP="0001701E">
      <w:pPr>
        <w:spacing w:line="276" w:lineRule="auto"/>
        <w:jc w:val="both"/>
        <w:rPr>
          <w:b/>
          <w:bCs/>
          <w:i/>
          <w:iCs/>
        </w:rPr>
      </w:pPr>
      <w:r w:rsidRPr="003128CF">
        <w:rPr>
          <w:b/>
          <w:i/>
          <w:iCs/>
        </w:rPr>
        <w:t xml:space="preserve">Property </w:t>
      </w:r>
      <w:r w:rsidR="005B6CB5" w:rsidRPr="003128CF">
        <w:rPr>
          <w:b/>
          <w:i/>
          <w:iCs/>
        </w:rPr>
        <w:t>4</w:t>
      </w:r>
    </w:p>
    <w:p w:rsidR="00B4405F" w:rsidRPr="003128CF" w:rsidRDefault="00B4405F" w:rsidP="0001701E">
      <w:pPr>
        <w:spacing w:line="276" w:lineRule="auto"/>
        <w:jc w:val="both"/>
      </w:pPr>
      <w:r w:rsidRPr="003128CF">
        <w:t xml:space="preserve">The mean and variance of the </w:t>
      </w:r>
      <w:r w:rsidR="00553744">
        <w:t>minLogistic</w:t>
      </w:r>
      <w:r w:rsidRPr="003128CF">
        <w:t xml:space="preserve"> distribution truncated from above at the point </w:t>
      </w:r>
      <w:r w:rsidRPr="009A5972">
        <w:rPr>
          <w:i/>
        </w:rPr>
        <w:t>c</w:t>
      </w:r>
      <w:r w:rsidRPr="003128CF">
        <w:t xml:space="preserve"> are given by the following </w:t>
      </w:r>
      <w:r w:rsidR="004C079D" w:rsidRPr="003128CF">
        <w:t xml:space="preserve">simple </w:t>
      </w:r>
      <w:r w:rsidRPr="003128CF">
        <w:t xml:space="preserve">expressions (see Appendix </w:t>
      </w:r>
      <w:r w:rsidR="001D02E1">
        <w:t>A.4</w:t>
      </w:r>
      <w:r w:rsidRPr="003128CF">
        <w:t>):</w:t>
      </w:r>
    </w:p>
    <w:p w:rsidR="00B4405F" w:rsidRPr="003128CF" w:rsidRDefault="00560247" w:rsidP="00CB4D5B">
      <w:pPr>
        <w:tabs>
          <w:tab w:val="right" w:pos="9360"/>
        </w:tabs>
        <w:spacing w:before="60" w:after="60" w:line="276" w:lineRule="auto"/>
        <w:jc w:val="both"/>
      </w:pPr>
      <w:r w:rsidRPr="003128CF">
        <w:rPr>
          <w:position w:val="-172"/>
        </w:rPr>
        <w:object w:dxaOrig="7960" w:dyaOrig="3560">
          <v:shape id="_x0000_i1238" type="#_x0000_t75" style="width:397.7pt;height:177.85pt" o:ole="">
            <v:imagedata r:id="rId408" o:title=""/>
          </v:shape>
          <o:OLEObject Type="Embed" ProgID="Equation.DSMT4" ShapeID="_x0000_i1238" DrawAspect="Content" ObjectID="_1722089732" r:id="rId409"/>
        </w:object>
      </w:r>
      <w:r w:rsidR="001307B4">
        <w:tab/>
      </w:r>
      <w:r w:rsidR="00DB2BBE" w:rsidRPr="003128CF">
        <w:t>(</w:t>
      </w:r>
      <w:r w:rsidR="00E717BF">
        <w:t>31</w:t>
      </w:r>
      <w:r w:rsidR="00DB2BBE" w:rsidRPr="003128CF">
        <w:t>)</w:t>
      </w:r>
    </w:p>
    <w:p w:rsidR="00B4405F" w:rsidRPr="003128CF" w:rsidRDefault="004C079D" w:rsidP="0001701E">
      <w:pPr>
        <w:spacing w:line="276" w:lineRule="auto"/>
        <w:jc w:val="both"/>
      </w:pPr>
      <w:r w:rsidRPr="003128CF">
        <w:t xml:space="preserve">where </w:t>
      </w:r>
      <w:r w:rsidRPr="003128CF">
        <w:rPr>
          <w:position w:val="-32"/>
        </w:rPr>
        <w:object w:dxaOrig="2299" w:dyaOrig="740">
          <v:shape id="_x0000_i1239" type="#_x0000_t75" style="width:114.85pt;height:36.85pt" o:ole="">
            <v:imagedata r:id="rId410" o:title=""/>
          </v:shape>
          <o:OLEObject Type="Embed" ProgID="Equation.DSMT4" ShapeID="_x0000_i1239" DrawAspect="Content" ObjectID="_1722089733" r:id="rId411"/>
        </w:object>
      </w:r>
      <w:r w:rsidRPr="003128CF">
        <w:t xml:space="preserve">in the variance expression represents the dilogarithm function and is easily computed using one-dimensional integration (even if not having an analytical expression).  However, note that the expected value of the </w:t>
      </w:r>
      <w:r w:rsidR="00553744">
        <w:t>minLogistic</w:t>
      </w:r>
      <w:r w:rsidRPr="003128CF">
        <w:t xml:space="preserve"> distribution truncated from above (first expression in Equation (</w:t>
      </w:r>
      <w:r w:rsidR="00E717BF">
        <w:t>31</w:t>
      </w:r>
      <w:r w:rsidRPr="003128CF">
        <w:t>)</w:t>
      </w:r>
      <w:r w:rsidR="007D47D6" w:rsidRPr="003128CF">
        <w:t>)</w:t>
      </w:r>
      <w:r w:rsidRPr="003128CF">
        <w:t xml:space="preserve"> is a closed-form expression. </w:t>
      </w:r>
    </w:p>
    <w:p w:rsidR="00257FEA" w:rsidRPr="003128CF" w:rsidRDefault="004C079D" w:rsidP="0001701E">
      <w:pPr>
        <w:spacing w:line="276" w:lineRule="auto"/>
        <w:ind w:firstLine="720"/>
        <w:jc w:val="both"/>
      </w:pPr>
      <w:r w:rsidRPr="003128CF">
        <w:t xml:space="preserve">With the above properties in hand, and </w:t>
      </w:r>
      <w:r w:rsidR="00C3608B" w:rsidRPr="003128CF">
        <w:t xml:space="preserve">defining </w:t>
      </w:r>
      <w:r w:rsidR="00C3608B" w:rsidRPr="003128CF">
        <w:rPr>
          <w:position w:val="-10"/>
        </w:rPr>
        <w:object w:dxaOrig="840" w:dyaOrig="320">
          <v:shape id="_x0000_i1240" type="#_x0000_t75" style="width:42pt;height:15.85pt" o:ole="">
            <v:imagedata r:id="rId412" o:title=""/>
          </v:shape>
          <o:OLEObject Type="Embed" ProgID="Equation.DSMT4" ShapeID="_x0000_i1240" DrawAspect="Content" ObjectID="_1722089734" r:id="rId413"/>
        </w:object>
      </w:r>
      <w:r w:rsidR="009A5972">
        <w:t xml:space="preserve"> </w:t>
      </w:r>
      <w:r w:rsidR="005D5653" w:rsidRPr="003128CF">
        <w:t xml:space="preserve">the </w:t>
      </w:r>
      <w:r w:rsidR="007A0890" w:rsidRPr="003128CF">
        <w:t xml:space="preserve">cumulative distribution of </w:t>
      </w:r>
      <w:r w:rsidR="00D441B6" w:rsidRPr="003128CF">
        <w:rPr>
          <w:position w:val="-12"/>
        </w:rPr>
        <w:object w:dxaOrig="279" w:dyaOrig="380">
          <v:shape id="_x0000_i1241" type="#_x0000_t75" style="width:14.15pt;height:18.85pt" o:ole="">
            <v:imagedata r:id="rId414" o:title=""/>
          </v:shape>
          <o:OLEObject Type="Embed" ProgID="Equation.DSMT4" ShapeID="_x0000_i1241" DrawAspect="Content" ObjectID="_1722089735" r:id="rId415"/>
        </w:object>
      </w:r>
      <w:r w:rsidR="00257FEA" w:rsidRPr="003128CF">
        <w:t xml:space="preserve"> may be derived </w:t>
      </w:r>
      <w:r w:rsidR="00DB2BBE" w:rsidRPr="003128CF">
        <w:t>from Equation (2</w:t>
      </w:r>
      <w:r w:rsidR="00E717BF">
        <w:t>6</w:t>
      </w:r>
      <w:r w:rsidR="00DB2BBE" w:rsidRPr="003128CF">
        <w:t xml:space="preserve">) </w:t>
      </w:r>
      <w:r w:rsidR="00257FEA" w:rsidRPr="003128CF">
        <w:t>as:</w:t>
      </w:r>
    </w:p>
    <w:p w:rsidR="00257FEA" w:rsidRPr="003128CF" w:rsidRDefault="00D441B6" w:rsidP="00CB4D5B">
      <w:pPr>
        <w:tabs>
          <w:tab w:val="right" w:pos="9360"/>
        </w:tabs>
        <w:spacing w:before="60" w:line="276" w:lineRule="auto"/>
        <w:jc w:val="both"/>
      </w:pPr>
      <w:r w:rsidRPr="003128CF">
        <w:rPr>
          <w:position w:val="-60"/>
        </w:rPr>
        <w:object w:dxaOrig="8199" w:dyaOrig="1020">
          <v:shape id="_x0000_i1242" type="#_x0000_t75" style="width:409.7pt;height:51pt" o:ole="">
            <v:imagedata r:id="rId416" o:title=""/>
          </v:shape>
          <o:OLEObject Type="Embed" ProgID="Equation.DSMT4" ShapeID="_x0000_i1242" DrawAspect="Content" ObjectID="_1722089736" r:id="rId417"/>
        </w:object>
      </w:r>
      <w:r w:rsidR="00304E38">
        <w:t xml:space="preserve"> </w:t>
      </w:r>
      <w:r w:rsidR="001307B4">
        <w:tab/>
      </w:r>
      <w:r w:rsidR="00B048C9" w:rsidRPr="003128CF">
        <w:t>(</w:t>
      </w:r>
      <w:r w:rsidR="00E717BF">
        <w:t>32</w:t>
      </w:r>
      <w:r w:rsidR="00B048C9" w:rsidRPr="003128CF">
        <w:t>)</w:t>
      </w:r>
    </w:p>
    <w:p w:rsidR="00257FEA" w:rsidRPr="003128CF" w:rsidRDefault="00257FEA" w:rsidP="0001701E">
      <w:pPr>
        <w:spacing w:line="276" w:lineRule="auto"/>
        <w:jc w:val="both"/>
      </w:pPr>
      <w:r w:rsidRPr="003128CF">
        <w:t>and the corresponding density function is:</w:t>
      </w:r>
    </w:p>
    <w:p w:rsidR="00257FEA" w:rsidRPr="003128CF" w:rsidRDefault="00D441B6" w:rsidP="00CB4D5B">
      <w:pPr>
        <w:tabs>
          <w:tab w:val="right" w:pos="9360"/>
        </w:tabs>
        <w:spacing w:before="60" w:line="276" w:lineRule="auto"/>
        <w:jc w:val="both"/>
      </w:pPr>
      <w:r w:rsidRPr="003128CF">
        <w:rPr>
          <w:position w:val="-42"/>
        </w:rPr>
        <w:object w:dxaOrig="4700" w:dyaOrig="800">
          <v:shape id="_x0000_i1243" type="#_x0000_t75" style="width:234.85pt;height:39.85pt" o:ole="">
            <v:imagedata r:id="rId418" o:title=""/>
          </v:shape>
          <o:OLEObject Type="Embed" ProgID="Equation.DSMT4" ShapeID="_x0000_i1243" DrawAspect="Content" ObjectID="_1722089737" r:id="rId419"/>
        </w:object>
      </w:r>
      <w:r w:rsidR="004A2A32">
        <w:t>.</w:t>
      </w:r>
      <w:r w:rsidR="00257FEA" w:rsidRPr="003128CF">
        <w:t xml:space="preserve"> </w:t>
      </w:r>
      <w:r w:rsidR="00B048C9" w:rsidRPr="003128CF">
        <w:tab/>
      </w:r>
      <w:r w:rsidR="00304E38">
        <w:t xml:space="preserve"> </w:t>
      </w:r>
      <w:r w:rsidR="00B048C9" w:rsidRPr="003128CF">
        <w:t>(</w:t>
      </w:r>
      <w:r w:rsidR="001307B4">
        <w:t>3</w:t>
      </w:r>
      <w:r w:rsidR="00E717BF">
        <w:t>3</w:t>
      </w:r>
      <w:r w:rsidR="00B048C9" w:rsidRPr="003128CF">
        <w:t>)</w:t>
      </w:r>
    </w:p>
    <w:p w:rsidR="00E55436" w:rsidRPr="003128CF" w:rsidRDefault="00E55436" w:rsidP="0001701E">
      <w:pPr>
        <w:spacing w:line="276" w:lineRule="auto"/>
        <w:jc w:val="both"/>
      </w:pPr>
    </w:p>
    <w:p w:rsidR="00257FEA" w:rsidRPr="005C6AE5" w:rsidRDefault="00E55436" w:rsidP="0001701E">
      <w:pPr>
        <w:numPr>
          <w:ilvl w:val="0"/>
          <w:numId w:val="6"/>
        </w:numPr>
        <w:spacing w:line="276" w:lineRule="auto"/>
        <w:jc w:val="both"/>
        <w:rPr>
          <w:b/>
          <w:caps/>
        </w:rPr>
      </w:pPr>
      <w:r w:rsidRPr="005C6AE5">
        <w:rPr>
          <w:b/>
          <w:caps/>
        </w:rPr>
        <w:t>Model Estimation</w:t>
      </w:r>
      <w:r w:rsidR="00603756" w:rsidRPr="005C6AE5">
        <w:rPr>
          <w:b/>
          <w:caps/>
        </w:rPr>
        <w:t xml:space="preserve"> and Forecasting</w:t>
      </w:r>
    </w:p>
    <w:p w:rsidR="00E55436" w:rsidRPr="003128CF" w:rsidRDefault="00D67222" w:rsidP="0001701E">
      <w:pPr>
        <w:spacing w:line="276" w:lineRule="auto"/>
        <w:jc w:val="both"/>
      </w:pPr>
      <w:r w:rsidRPr="003128CF">
        <w:t>Collect t</w:t>
      </w:r>
      <w:r w:rsidR="00E55436" w:rsidRPr="003128CF">
        <w:t xml:space="preserve">he parameters to be estimated </w:t>
      </w:r>
      <w:r w:rsidRPr="003128CF">
        <w:t xml:space="preserve">in a vector </w:t>
      </w:r>
      <w:r w:rsidR="00D441B6" w:rsidRPr="003128CF">
        <w:rPr>
          <w:position w:val="-10"/>
        </w:rPr>
        <w:object w:dxaOrig="1800" w:dyaOrig="320">
          <v:shape id="_x0000_i1244" type="#_x0000_t75" style="width:90pt;height:15.85pt" o:ole="">
            <v:imagedata r:id="rId420" o:title=""/>
          </v:shape>
          <o:OLEObject Type="Embed" ProgID="Equation.DSMT4" ShapeID="_x0000_i1244" DrawAspect="Content" ObjectID="_1722089738" r:id="rId421"/>
        </w:object>
      </w:r>
      <w:r w:rsidR="00E00C98" w:rsidRPr="003128CF">
        <w:t xml:space="preserve">. The likelihood function corresponding to no allocation </w:t>
      </w:r>
      <w:r w:rsidRPr="003128CF">
        <w:t xml:space="preserve">to product group </w:t>
      </w:r>
      <w:r w:rsidRPr="003128CF">
        <w:rPr>
          <w:i/>
        </w:rPr>
        <w:t>G</w:t>
      </w:r>
      <w:r w:rsidRPr="003128CF">
        <w:t xml:space="preserve"> is given by: </w:t>
      </w:r>
      <w:r w:rsidR="00E00C98" w:rsidRPr="003128CF">
        <w:t xml:space="preserve"> </w:t>
      </w:r>
    </w:p>
    <w:p w:rsidR="00D67222" w:rsidRPr="003128CF" w:rsidRDefault="00D441B6" w:rsidP="00CB4D5B">
      <w:pPr>
        <w:tabs>
          <w:tab w:val="right" w:pos="9360"/>
        </w:tabs>
        <w:spacing w:before="60" w:after="60" w:line="276" w:lineRule="auto"/>
        <w:jc w:val="both"/>
      </w:pPr>
      <w:r w:rsidRPr="003128CF">
        <w:rPr>
          <w:position w:val="-60"/>
        </w:rPr>
        <w:object w:dxaOrig="4500" w:dyaOrig="980">
          <v:shape id="_x0000_i1245" type="#_x0000_t75" style="width:225pt;height:48.85pt" o:ole="">
            <v:imagedata r:id="rId422" o:title=""/>
          </v:shape>
          <o:OLEObject Type="Embed" ProgID="Equation.DSMT4" ShapeID="_x0000_i1245" DrawAspect="Content" ObjectID="_1722089739" r:id="rId423"/>
        </w:object>
      </w:r>
      <w:r w:rsidR="004A2A32">
        <w:t>.</w:t>
      </w:r>
      <w:r w:rsidR="00D67222" w:rsidRPr="003128CF">
        <w:t xml:space="preserve"> </w:t>
      </w:r>
      <w:r w:rsidR="00B048C9" w:rsidRPr="003128CF">
        <w:tab/>
        <w:t>(</w:t>
      </w:r>
      <w:r w:rsidR="00304E38">
        <w:t>3</w:t>
      </w:r>
      <w:r w:rsidR="00E717BF">
        <w:t>4</w:t>
      </w:r>
      <w:r w:rsidR="00B048C9" w:rsidRPr="003128CF">
        <w:t>)</w:t>
      </w:r>
    </w:p>
    <w:p w:rsidR="009E1177" w:rsidRPr="003128CF" w:rsidRDefault="00D67222" w:rsidP="0001701E">
      <w:pPr>
        <w:spacing w:line="276" w:lineRule="auto"/>
        <w:jc w:val="both"/>
      </w:pPr>
      <w:r w:rsidRPr="003128CF">
        <w:lastRenderedPageBreak/>
        <w:t xml:space="preserve">The likelihood corresponding </w:t>
      </w:r>
      <w:r w:rsidR="001B06F7" w:rsidRPr="003128CF">
        <w:t xml:space="preserve">to non-zero allocation to </w:t>
      </w:r>
      <w:r w:rsidR="00EB7437" w:rsidRPr="003128CF">
        <w:t xml:space="preserve">the </w:t>
      </w:r>
      <w:r w:rsidR="001B06F7" w:rsidRPr="003128CF">
        <w:t xml:space="preserve">product group </w:t>
      </w:r>
      <w:r w:rsidR="00EB7437" w:rsidRPr="003128CF">
        <w:t xml:space="preserve">with a budget allocation of </w:t>
      </w:r>
      <w:r w:rsidR="00D441B6" w:rsidRPr="003128CF">
        <w:rPr>
          <w:position w:val="-12"/>
        </w:rPr>
        <w:object w:dxaOrig="260" w:dyaOrig="380">
          <v:shape id="_x0000_i1246" type="#_x0000_t75" style="width:12.85pt;height:18.85pt" o:ole="">
            <v:imagedata r:id="rId424" o:title=""/>
          </v:shape>
          <o:OLEObject Type="Embed" ProgID="Equation.DSMT4" ShapeID="_x0000_i1246" DrawAspect="Content" ObjectID="_1722089740" r:id="rId425"/>
        </w:object>
      </w:r>
      <w:r w:rsidR="009E1177" w:rsidRPr="003128CF">
        <w:t xml:space="preserve">, and the fractional allocation to the first </w:t>
      </w:r>
      <w:r w:rsidR="009E1177" w:rsidRPr="003128CF">
        <w:rPr>
          <w:i/>
        </w:rPr>
        <w:t>M</w:t>
      </w:r>
      <w:r w:rsidR="009E1177" w:rsidRPr="003128CF">
        <w:t xml:space="preserve"> inside goods in the product group is:</w:t>
      </w:r>
    </w:p>
    <w:p w:rsidR="009E1177" w:rsidRPr="003128CF" w:rsidRDefault="00D441B6" w:rsidP="00CB4D5B">
      <w:pPr>
        <w:tabs>
          <w:tab w:val="right" w:pos="9360"/>
        </w:tabs>
        <w:spacing w:before="60" w:after="60" w:line="276" w:lineRule="auto"/>
        <w:jc w:val="both"/>
      </w:pPr>
      <w:r w:rsidRPr="00BE7D05">
        <w:rPr>
          <w:position w:val="-18"/>
        </w:rPr>
        <w:object w:dxaOrig="3519" w:dyaOrig="480">
          <v:shape id="_x0000_i1247" type="#_x0000_t75" style="width:176.15pt;height:24pt" o:ole="">
            <v:imagedata r:id="rId426" o:title=""/>
          </v:shape>
          <o:OLEObject Type="Embed" ProgID="Equation.DSMT4" ShapeID="_x0000_i1247" DrawAspect="Content" ObjectID="_1722089741" r:id="rId427"/>
        </w:object>
      </w:r>
      <w:r w:rsidR="00446848" w:rsidRPr="003128CF">
        <w:t>,</w:t>
      </w:r>
      <w:r w:rsidR="001307B4">
        <w:tab/>
      </w:r>
      <w:r w:rsidR="00B048C9" w:rsidRPr="003128CF">
        <w:t>(</w:t>
      </w:r>
      <w:r w:rsidR="00304E38">
        <w:t>3</w:t>
      </w:r>
      <w:r w:rsidR="00E717BF">
        <w:t>5</w:t>
      </w:r>
      <w:r w:rsidR="00B048C9" w:rsidRPr="003128CF">
        <w:t>)</w:t>
      </w:r>
    </w:p>
    <w:p w:rsidR="00446848" w:rsidRPr="003128CF" w:rsidRDefault="00446848" w:rsidP="0001701E">
      <w:pPr>
        <w:spacing w:line="276" w:lineRule="auto"/>
        <w:jc w:val="both"/>
      </w:pPr>
      <w:r w:rsidRPr="003128CF">
        <w:t>where the probability of the fractional allocation on the right side of the above equation is provided by Equation (</w:t>
      </w:r>
      <w:r w:rsidR="00D50165" w:rsidRPr="003128CF">
        <w:t>1</w:t>
      </w:r>
      <w:r w:rsidR="001307B4">
        <w:t>3</w:t>
      </w:r>
      <w:r w:rsidRPr="003128CF">
        <w:t xml:space="preserve">). </w:t>
      </w:r>
      <w:r w:rsidR="00073E8F" w:rsidRPr="003128CF">
        <w:t xml:space="preserve">Similar functions may be written for the case of a budget allocation of </w:t>
      </w:r>
      <w:r w:rsidR="008F4031" w:rsidRPr="008F4031">
        <w:rPr>
          <w:position w:val="-10"/>
        </w:rPr>
        <w:object w:dxaOrig="220" w:dyaOrig="260">
          <v:shape id="_x0000_i1248" type="#_x0000_t75" style="width:11.15pt;height:12.85pt" o:ole="">
            <v:imagedata r:id="rId428" o:title=""/>
          </v:shape>
          <o:OLEObject Type="Embed" ProgID="Equation.DSMT4" ShapeID="_x0000_i1248" DrawAspect="Content" ObjectID="_1722089742" r:id="rId429"/>
        </w:object>
      </w:r>
      <w:r w:rsidR="008F4031">
        <w:t xml:space="preserve"> </w:t>
      </w:r>
      <w:r w:rsidR="00073E8F" w:rsidRPr="003128CF">
        <w:t>and fractional allocation to all inside goods (based on Equation (1</w:t>
      </w:r>
      <w:r w:rsidR="00073E8F">
        <w:t>4</w:t>
      </w:r>
      <w:r w:rsidR="00073E8F" w:rsidRPr="003128CF">
        <w:t xml:space="preserve">)) and the case of a budget of </w:t>
      </w:r>
      <w:r w:rsidR="00D441B6" w:rsidRPr="00D441B6">
        <w:rPr>
          <w:position w:val="-10"/>
        </w:rPr>
        <w:object w:dxaOrig="220" w:dyaOrig="260">
          <v:shape id="_x0000_i1249" type="#_x0000_t75" style="width:11.15pt;height:12.85pt" o:ole="">
            <v:imagedata r:id="rId430" o:title=""/>
          </v:shape>
          <o:OLEObject Type="Embed" ProgID="Equation.DSMT4" ShapeID="_x0000_i1249" DrawAspect="Content" ObjectID="_1722089743" r:id="rId431"/>
        </w:object>
      </w:r>
      <w:r w:rsidR="00073E8F" w:rsidRPr="003128CF">
        <w:t xml:space="preserve"> and fractional allocation to only one inside good (based on Equation (1</w:t>
      </w:r>
      <w:r w:rsidR="00073E8F">
        <w:t>5</w:t>
      </w:r>
      <w:r w:rsidR="00073E8F" w:rsidRPr="003128CF">
        <w:t>)).</w:t>
      </w:r>
    </w:p>
    <w:p w:rsidR="009A7FDF" w:rsidRPr="003128CF" w:rsidRDefault="009A7FDF" w:rsidP="0001701E">
      <w:pPr>
        <w:spacing w:line="276" w:lineRule="auto"/>
        <w:ind w:firstLine="720"/>
        <w:jc w:val="both"/>
      </w:pPr>
      <w:r w:rsidRPr="003128CF">
        <w:t xml:space="preserve">The above model formulation does not consider unobserved heterogeneity in the sensitivity to exogenous variables. This may be introduced in a straightforward way by allowing the </w:t>
      </w:r>
      <w:r w:rsidR="00300B1D" w:rsidRPr="003128CF">
        <w:rPr>
          <w:position w:val="-10"/>
        </w:rPr>
        <w:object w:dxaOrig="820" w:dyaOrig="320">
          <v:shape id="_x0000_i1250" type="#_x0000_t75" style="width:41.15pt;height:15.85pt" o:ole="">
            <v:imagedata r:id="rId432" o:title=""/>
          </v:shape>
          <o:OLEObject Type="Embed" ProgID="Equation.DSMT4" ShapeID="_x0000_i1250" DrawAspect="Content" ObjectID="_1722089744" r:id="rId433"/>
        </w:object>
      </w:r>
      <w:r w:rsidRPr="003128CF">
        <w:t xml:space="preserve"> parameters to be randomly distributed. For example, assuming a specific continuous parametric distribution (say </w:t>
      </w:r>
      <w:r w:rsidRPr="003128CF">
        <w:rPr>
          <w:position w:val="-10"/>
        </w:rPr>
        <w:object w:dxaOrig="240" w:dyaOrig="380">
          <v:shape id="_x0000_i1251" type="#_x0000_t75" style="width:12pt;height:18.85pt" o:ole="">
            <v:imagedata r:id="rId434" o:title=""/>
          </v:shape>
          <o:OLEObject Type="Embed" ProgID="Equation.DSMT4" ShapeID="_x0000_i1251" DrawAspect="Content" ObjectID="_1722089745" r:id="rId435"/>
        </w:object>
      </w:r>
      <w:r w:rsidRPr="003128CF">
        <w:t xml:space="preserve">) for </w:t>
      </w:r>
      <w:r w:rsidR="00054D13" w:rsidRPr="003128CF">
        <w:rPr>
          <w:position w:val="-10"/>
        </w:rPr>
        <w:object w:dxaOrig="1140" w:dyaOrig="320">
          <v:shape id="_x0000_i1252" type="#_x0000_t75" style="width:57pt;height:15.85pt" o:ole="">
            <v:imagedata r:id="rId436" o:title=""/>
          </v:shape>
          <o:OLEObject Type="Embed" ProgID="Equation.DSMT4" ShapeID="_x0000_i1252" DrawAspect="Content" ObjectID="_1722089746" r:id="rId437"/>
        </w:object>
      </w:r>
      <w:r w:rsidRPr="003128CF">
        <w:t xml:space="preserve"> with </w:t>
      </w:r>
      <w:r w:rsidR="00B53AEA">
        <w:t xml:space="preserve">an underlying </w:t>
      </w:r>
      <w:r w:rsidRPr="003128CF">
        <w:t>parameter</w:t>
      </w:r>
      <w:r w:rsidR="00B53AEA">
        <w:t xml:space="preserve"> vector</w:t>
      </w:r>
      <w:r w:rsidRPr="003128CF">
        <w:t xml:space="preserve"> </w:t>
      </w:r>
      <w:r w:rsidR="00054D13" w:rsidRPr="003128CF">
        <w:rPr>
          <w:position w:val="-10"/>
        </w:rPr>
        <w:object w:dxaOrig="260" w:dyaOrig="320">
          <v:shape id="_x0000_i1253" type="#_x0000_t75" style="width:12.85pt;height:15.85pt" o:ole="">
            <v:imagedata r:id="rId438" o:title=""/>
          </v:shape>
          <o:OLEObject Type="Embed" ProgID="Equation.DSMT4" ShapeID="_x0000_i1253" DrawAspect="Content" ObjectID="_1722089747" r:id="rId439"/>
        </w:object>
      </w:r>
      <w:r w:rsidRPr="003128CF">
        <w:t xml:space="preserve">, the likelihood function </w:t>
      </w:r>
      <w:r w:rsidR="00D50165" w:rsidRPr="003128CF">
        <w:t xml:space="preserve">for the case of a budget allocation of </w:t>
      </w:r>
      <w:r w:rsidR="00D441B6" w:rsidRPr="00D441B6">
        <w:rPr>
          <w:position w:val="-10"/>
        </w:rPr>
        <w:object w:dxaOrig="220" w:dyaOrig="260">
          <v:shape id="_x0000_i1254" type="#_x0000_t75" style="width:11.15pt;height:12.85pt" o:ole="">
            <v:imagedata r:id="rId440" o:title=""/>
          </v:shape>
          <o:OLEObject Type="Embed" ProgID="Equation.DSMT4" ShapeID="_x0000_i1254" DrawAspect="Content" ObjectID="_1722089748" r:id="rId441"/>
        </w:object>
      </w:r>
      <w:r w:rsidR="00D50165" w:rsidRPr="003128CF">
        <w:t xml:space="preserve">, and the fractional allocation to the first </w:t>
      </w:r>
      <w:r w:rsidR="00D50165" w:rsidRPr="00054D13">
        <w:rPr>
          <w:i/>
        </w:rPr>
        <w:t>M</w:t>
      </w:r>
      <w:r w:rsidR="00D50165" w:rsidRPr="003128CF">
        <w:t xml:space="preserve"> inside goods in the product group, is:</w:t>
      </w:r>
    </w:p>
    <w:p w:rsidR="00D50165" w:rsidRPr="003128CF" w:rsidRDefault="009A7FDF" w:rsidP="00CB4D5B">
      <w:pPr>
        <w:tabs>
          <w:tab w:val="right" w:pos="9360"/>
        </w:tabs>
        <w:spacing w:line="276" w:lineRule="auto"/>
        <w:jc w:val="both"/>
      </w:pPr>
      <w:r w:rsidRPr="003128CF">
        <w:t xml:space="preserve"> </w:t>
      </w:r>
      <w:r w:rsidR="00D441B6" w:rsidRPr="00BE7D05">
        <w:rPr>
          <w:position w:val="-34"/>
        </w:rPr>
        <w:object w:dxaOrig="5940" w:dyaOrig="760">
          <v:shape id="_x0000_i1255" type="#_x0000_t75" style="width:297pt;height:38.15pt" o:ole="">
            <v:imagedata r:id="rId442" o:title=""/>
          </v:shape>
          <o:OLEObject Type="Embed" ProgID="Equation.DSMT4" ShapeID="_x0000_i1255" DrawAspect="Content" ObjectID="_1722089749" r:id="rId443"/>
        </w:object>
      </w:r>
      <w:r w:rsidR="00B048C9" w:rsidRPr="003128CF">
        <w:tab/>
        <w:t>(</w:t>
      </w:r>
      <w:r w:rsidR="00304E38">
        <w:t>3</w:t>
      </w:r>
      <w:r w:rsidR="00E717BF">
        <w:t>6</w:t>
      </w:r>
      <w:r w:rsidR="00B048C9" w:rsidRPr="003128CF">
        <w:t>)</w:t>
      </w:r>
    </w:p>
    <w:p w:rsidR="009A7FDF" w:rsidRPr="003128CF" w:rsidRDefault="00D441B6" w:rsidP="0001701E">
      <w:pPr>
        <w:spacing w:line="276" w:lineRule="auto"/>
        <w:jc w:val="both"/>
      </w:pPr>
      <w:r>
        <w:t xml:space="preserve">In the random parameter specification above, there should be no covariance across the elements of </w:t>
      </w:r>
      <w:r w:rsidRPr="0002761A">
        <w:rPr>
          <w:position w:val="-10"/>
        </w:rPr>
        <w:object w:dxaOrig="820" w:dyaOrig="320">
          <v:shape id="_x0000_i1256" type="#_x0000_t75" style="width:41.15pt;height:15.85pt" o:ole="">
            <v:imagedata r:id="rId444" o:title=""/>
          </v:shape>
          <o:OLEObject Type="Embed" ProgID="Equation.DSMT4" ShapeID="_x0000_i1256" DrawAspect="Content" ObjectID="_1722089750" r:id="rId445"/>
        </w:object>
      </w:r>
      <w:r>
        <w:t xml:space="preserve"> to preserve strict exogeneity of the linking function in the first stage budgeting equation. </w:t>
      </w:r>
      <w:r w:rsidR="009A7FDF" w:rsidRPr="003128CF">
        <w:t>The log-likelihood function may be developed across all individuals, and the parameters may be estimated using maximum</w:t>
      </w:r>
      <w:r w:rsidR="00D50165" w:rsidRPr="003128CF">
        <w:t xml:space="preserve"> </w:t>
      </w:r>
      <w:r w:rsidR="009A7FDF" w:rsidRPr="003128CF">
        <w:t>likelihood estimation</w:t>
      </w:r>
      <w:r w:rsidR="00073E8F">
        <w:t xml:space="preserve">-based </w:t>
      </w:r>
      <w:r w:rsidR="009A7FDF" w:rsidRPr="003128CF">
        <w:t>approach</w:t>
      </w:r>
      <w:r w:rsidR="00073E8F">
        <w:t>es</w:t>
      </w:r>
      <w:r w:rsidR="00D50165" w:rsidRPr="003128CF">
        <w:t xml:space="preserve">. </w:t>
      </w:r>
    </w:p>
    <w:p w:rsidR="00124B67" w:rsidRPr="003128CF" w:rsidRDefault="00B048C9" w:rsidP="0001701E">
      <w:pPr>
        <w:spacing w:line="276" w:lineRule="auto"/>
        <w:ind w:firstLine="720"/>
        <w:jc w:val="both"/>
      </w:pPr>
      <w:r w:rsidRPr="003128CF">
        <w:t xml:space="preserve">For model forecasting, it is </w:t>
      </w:r>
      <w:r w:rsidR="00ED381E" w:rsidRPr="003128CF">
        <w:t xml:space="preserve">easy enough to predict the total </w:t>
      </w:r>
      <w:r w:rsidR="00073E8F">
        <w:t xml:space="preserve">expected </w:t>
      </w:r>
      <w:r w:rsidR="00ED381E" w:rsidRPr="003128CF">
        <w:t xml:space="preserve">budget allocated to the entire product category using the properties of the </w:t>
      </w:r>
      <w:r w:rsidR="00553744">
        <w:t>minLogistic</w:t>
      </w:r>
      <w:r w:rsidR="00ED381E" w:rsidRPr="003128CF">
        <w:t xml:space="preserve"> distribution a</w:t>
      </w:r>
      <w:r w:rsidR="00073E8F">
        <w:t>s follows</w:t>
      </w:r>
      <w:r w:rsidR="00124B67" w:rsidRPr="003128CF">
        <w:t>:</w:t>
      </w:r>
    </w:p>
    <w:p w:rsidR="00124B67" w:rsidRDefault="00D441B6" w:rsidP="00CB4D5B">
      <w:pPr>
        <w:tabs>
          <w:tab w:val="right" w:pos="9360"/>
        </w:tabs>
        <w:spacing w:before="60" w:after="60" w:line="276" w:lineRule="auto"/>
        <w:jc w:val="both"/>
      </w:pPr>
      <w:r w:rsidRPr="0046125A">
        <w:rPr>
          <w:position w:val="-134"/>
        </w:rPr>
        <w:object w:dxaOrig="8919" w:dyaOrig="5220">
          <v:shape id="_x0000_i1257" type="#_x0000_t75" style="width:446.15pt;height:261pt" o:ole="">
            <v:imagedata r:id="rId446" o:title=""/>
          </v:shape>
          <o:OLEObject Type="Embed" ProgID="Equation.DSMT4" ShapeID="_x0000_i1257" DrawAspect="Content" ObjectID="_1722089751" r:id="rId447"/>
        </w:object>
      </w:r>
      <w:r w:rsidR="001307B4">
        <w:tab/>
      </w:r>
      <w:r w:rsidR="00C75279">
        <w:t>(</w:t>
      </w:r>
      <w:r w:rsidR="00304E38">
        <w:t>3</w:t>
      </w:r>
      <w:r w:rsidR="00E717BF">
        <w:t>7</w:t>
      </w:r>
      <w:r w:rsidR="00C75279">
        <w:t>)</w:t>
      </w:r>
    </w:p>
    <w:p w:rsidR="009E0D7F" w:rsidRPr="00603756" w:rsidRDefault="00BE0AA1" w:rsidP="0001701E">
      <w:pPr>
        <w:spacing w:line="276" w:lineRule="auto"/>
        <w:jc w:val="both"/>
      </w:pPr>
      <w:r w:rsidRPr="00603756">
        <w:lastRenderedPageBreak/>
        <w:t xml:space="preserve">The expression above may be used to forecast the expected value </w:t>
      </w:r>
      <w:r w:rsidR="00ED381E" w:rsidRPr="00603756">
        <w:t xml:space="preserve">of the total budget allocation for the product category </w:t>
      </w:r>
      <w:r w:rsidRPr="00603756">
        <w:t xml:space="preserve">for any individual, and also may be used to compute elasticity effects of variables that directly impact the overall budget allocated to the product group under consideration (that is, the effects of variables in the </w:t>
      </w:r>
      <w:r w:rsidRPr="00603756">
        <w:rPr>
          <w:position w:val="-6"/>
        </w:rPr>
        <w:object w:dxaOrig="160" w:dyaOrig="220">
          <v:shape id="_x0000_i1258" type="#_x0000_t75" style="width:8.15pt;height:11.15pt" o:ole="">
            <v:imagedata r:id="rId448" o:title=""/>
          </v:shape>
          <o:OLEObject Type="Embed" ProgID="Equation.DSMT4" ShapeID="_x0000_i1258" DrawAspect="Content" ObjectID="_1722089752" r:id="rId449"/>
        </w:object>
      </w:r>
      <w:r w:rsidRPr="00603756">
        <w:t xml:space="preserve"> vector) or that indirectly impact the overall budget allocated to t</w:t>
      </w:r>
      <w:r w:rsidR="0046125A" w:rsidRPr="00603756">
        <w:t xml:space="preserve">he product group (that is, the effects of variables in the </w:t>
      </w:r>
      <w:r w:rsidR="0046125A" w:rsidRPr="00603756">
        <w:rPr>
          <w:position w:val="-12"/>
        </w:rPr>
        <w:object w:dxaOrig="279" w:dyaOrig="360">
          <v:shape id="_x0000_i1259" type="#_x0000_t75" style="width:14.15pt;height:18pt" o:ole="">
            <v:imagedata r:id="rId450" o:title=""/>
          </v:shape>
          <o:OLEObject Type="Embed" ProgID="Equation.DSMT4" ShapeID="_x0000_i1259" DrawAspect="Content" ObjectID="_1722089753" r:id="rId451"/>
        </w:object>
      </w:r>
      <w:r w:rsidR="0046125A" w:rsidRPr="00603756">
        <w:t xml:space="preserve"> vector or the price variable </w:t>
      </w:r>
      <w:r w:rsidR="008F4031" w:rsidRPr="00603756">
        <w:rPr>
          <w:position w:val="-12"/>
        </w:rPr>
        <w:object w:dxaOrig="300" w:dyaOrig="380">
          <v:shape id="_x0000_i1260" type="#_x0000_t75" style="width:15pt;height:18.85pt" o:ole="">
            <v:imagedata r:id="rId452" o:title=""/>
          </v:shape>
          <o:OLEObject Type="Embed" ProgID="Equation.DSMT4" ShapeID="_x0000_i1260" DrawAspect="Content" ObjectID="_1722089754" r:id="rId453"/>
        </w:object>
      </w:r>
      <w:r w:rsidR="007D47D6" w:rsidRPr="00603756">
        <w:t xml:space="preserve"> on </w:t>
      </w:r>
      <w:r w:rsidR="008F4031" w:rsidRPr="008F4031">
        <w:rPr>
          <w:position w:val="-10"/>
        </w:rPr>
        <w:object w:dxaOrig="220" w:dyaOrig="260">
          <v:shape id="_x0000_i1261" type="#_x0000_t75" style="width:11.15pt;height:12.85pt" o:ole="">
            <v:imagedata r:id="rId454" o:title=""/>
          </v:shape>
          <o:OLEObject Type="Embed" ProgID="Equation.DSMT4" ShapeID="_x0000_i1261" DrawAspect="Content" ObjectID="_1722089755" r:id="rId455"/>
        </w:object>
      </w:r>
      <w:r w:rsidR="0046125A" w:rsidRPr="00603756">
        <w:t xml:space="preserve">). </w:t>
      </w:r>
      <w:r w:rsidR="001E213C" w:rsidRPr="00603756">
        <w:t xml:space="preserve">The variance </w:t>
      </w:r>
      <w:r w:rsidR="009E0D7F" w:rsidRPr="00603756">
        <w:t>maybe computed as follows, using the properties discussed earlier:</w:t>
      </w:r>
    </w:p>
    <w:p w:rsidR="009E0D7F" w:rsidRPr="00603756" w:rsidRDefault="00696ACF" w:rsidP="00CB4D5B">
      <w:pPr>
        <w:tabs>
          <w:tab w:val="right" w:pos="9360"/>
        </w:tabs>
        <w:spacing w:before="60" w:after="60" w:line="276" w:lineRule="auto"/>
        <w:jc w:val="both"/>
      </w:pPr>
      <w:r w:rsidRPr="00603756">
        <w:rPr>
          <w:position w:val="-120"/>
        </w:rPr>
        <w:object w:dxaOrig="6220" w:dyaOrig="2520">
          <v:shape id="_x0000_i1262" type="#_x0000_t75" style="width:310.7pt;height:126pt" o:ole="">
            <v:imagedata r:id="rId456" o:title=""/>
          </v:shape>
          <o:OLEObject Type="Embed" ProgID="Equation.DSMT4" ShapeID="_x0000_i1262" DrawAspect="Content" ObjectID="_1722089756" r:id="rId457"/>
        </w:object>
      </w:r>
      <w:r w:rsidR="003E0B30" w:rsidRPr="00603756">
        <w:tab/>
        <w:t xml:space="preserve"> (</w:t>
      </w:r>
      <w:r w:rsidR="00304E38">
        <w:t>3</w:t>
      </w:r>
      <w:r w:rsidR="00E717BF">
        <w:t>8</w:t>
      </w:r>
      <w:r w:rsidR="003E0B30" w:rsidRPr="00603756">
        <w:t>)</w:t>
      </w:r>
    </w:p>
    <w:p w:rsidR="00B048C9" w:rsidRPr="00603756" w:rsidRDefault="009E0D7F" w:rsidP="009A5972">
      <w:pPr>
        <w:spacing w:after="60" w:line="276" w:lineRule="auto"/>
        <w:jc w:val="both"/>
      </w:pPr>
      <w:r w:rsidRPr="00603756">
        <w:t xml:space="preserve">An issue with </w:t>
      </w:r>
      <w:r w:rsidR="00B048C9" w:rsidRPr="00603756">
        <w:t xml:space="preserve">applying </w:t>
      </w:r>
      <w:r w:rsidR="0062508F" w:rsidRPr="00603756">
        <w:t xml:space="preserve">the above formulas directly, though, is that the procedure </w:t>
      </w:r>
      <w:r w:rsidR="00B048C9" w:rsidRPr="00603756">
        <w:t xml:space="preserve">would always result in some positive allocation to the product group. </w:t>
      </w:r>
      <w:r w:rsidR="00D441B6">
        <w:t xml:space="preserve">This may be okay when computing aggregate budget allocations to the product group across a set of individuals, but may not be appropriate when the forecasts are at an individual level to be embedded within an agent-based model with additional downstream models. </w:t>
      </w:r>
      <w:r w:rsidR="00B048C9" w:rsidRPr="00603756">
        <w:t>An approach to preserve the possibility of zero allocation during forecasting is to first forecast the discrete allocation between zero units for the inside goods and some positive quantity for the goods. And then for those observations that are forecasted to have a positive allocation, the closed form expectation formula derived in this paper can be applied. The approach is as follows:</w:t>
      </w:r>
    </w:p>
    <w:p w:rsidR="00B048C9" w:rsidRPr="00603756" w:rsidRDefault="00B048C9" w:rsidP="009A5972">
      <w:pPr>
        <w:numPr>
          <w:ilvl w:val="0"/>
          <w:numId w:val="2"/>
        </w:numPr>
        <w:spacing w:after="60" w:line="276" w:lineRule="auto"/>
        <w:ind w:left="360"/>
        <w:jc w:val="both"/>
      </w:pPr>
      <w:r w:rsidRPr="00603756">
        <w:t xml:space="preserve">Step 1: Compute the probability of a zero allocation </w:t>
      </w:r>
      <w:r w:rsidR="00787DB1" w:rsidRPr="00603756">
        <w:t xml:space="preserve">for the product group </w:t>
      </w:r>
      <w:r w:rsidR="00787DB1" w:rsidRPr="00603756">
        <w:rPr>
          <w:i/>
        </w:rPr>
        <w:t>G</w:t>
      </w:r>
      <w:r w:rsidR="00787DB1" w:rsidRPr="00603756">
        <w:t xml:space="preserve"> </w:t>
      </w:r>
      <w:r w:rsidRPr="00603756">
        <w:t>using Equation (</w:t>
      </w:r>
      <w:r w:rsidR="00073E8F">
        <w:t>3</w:t>
      </w:r>
      <w:r w:rsidR="00E717BF">
        <w:t>4</w:t>
      </w:r>
      <w:r w:rsidRPr="00603756">
        <w:t xml:space="preserve">). Draw a random variable from the uniform distribution. If this draw is higher than the computed probability of zero allocation, declare a zero allocation for </w:t>
      </w:r>
      <w:r w:rsidR="00787DB1" w:rsidRPr="00603756">
        <w:t xml:space="preserve">product group </w:t>
      </w:r>
      <w:r w:rsidR="00787DB1" w:rsidRPr="00603756">
        <w:rPr>
          <w:i/>
        </w:rPr>
        <w:t>G</w:t>
      </w:r>
      <w:r w:rsidR="00787DB1" w:rsidRPr="00603756">
        <w:t xml:space="preserve"> for </w:t>
      </w:r>
      <w:r w:rsidRPr="00603756">
        <w:t>the observation</w:t>
      </w:r>
      <w:r w:rsidR="000B1A20" w:rsidRPr="00603756">
        <w:t xml:space="preserve"> and p</w:t>
      </w:r>
      <w:r w:rsidR="003C2854" w:rsidRPr="00603756">
        <w:t xml:space="preserve">ut </w:t>
      </w:r>
      <w:r w:rsidR="00E717BF" w:rsidRPr="00603756">
        <w:rPr>
          <w:position w:val="-12"/>
        </w:rPr>
        <w:object w:dxaOrig="3360" w:dyaOrig="360">
          <v:shape id="_x0000_i1263" type="#_x0000_t75" style="width:168pt;height:18pt" o:ole="">
            <v:imagedata r:id="rId458" o:title=""/>
          </v:shape>
          <o:OLEObject Type="Embed" ProgID="Equation.DSMT4" ShapeID="_x0000_i1263" DrawAspect="Content" ObjectID="_1722089757" r:id="rId459"/>
        </w:object>
      </w:r>
      <w:r w:rsidR="003C2854" w:rsidRPr="00603756">
        <w:t xml:space="preserve">. </w:t>
      </w:r>
    </w:p>
    <w:p w:rsidR="0046125A" w:rsidRPr="00603756" w:rsidRDefault="00B048C9" w:rsidP="0001701E">
      <w:pPr>
        <w:numPr>
          <w:ilvl w:val="0"/>
          <w:numId w:val="2"/>
        </w:numPr>
        <w:spacing w:line="276" w:lineRule="auto"/>
        <w:ind w:left="360"/>
        <w:jc w:val="both"/>
      </w:pPr>
      <w:r w:rsidRPr="00603756">
        <w:t xml:space="preserve">Step 2: The expected value </w:t>
      </w:r>
      <w:r w:rsidR="00F00FE7" w:rsidRPr="00603756">
        <w:t xml:space="preserve">for an observation with a non-zero allocation to the product category may be obtained </w:t>
      </w:r>
      <w:r w:rsidR="0046125A" w:rsidRPr="00603756">
        <w:t>as follows</w:t>
      </w:r>
      <w:r w:rsidR="00676938" w:rsidRPr="00603756">
        <w:t xml:space="preserve"> (again using Equation (</w:t>
      </w:r>
      <w:r w:rsidR="00E717BF">
        <w:t>31</w:t>
      </w:r>
      <w:r w:rsidR="00676938" w:rsidRPr="00603756">
        <w:t>))</w:t>
      </w:r>
      <w:r w:rsidR="0046125A" w:rsidRPr="00603756">
        <w:t>:</w:t>
      </w:r>
    </w:p>
    <w:p w:rsidR="00676938" w:rsidRPr="00603756" w:rsidRDefault="003E44E9" w:rsidP="00AF60B4">
      <w:pPr>
        <w:tabs>
          <w:tab w:val="right" w:pos="9360"/>
        </w:tabs>
        <w:spacing w:line="276" w:lineRule="auto"/>
        <w:ind w:left="360"/>
        <w:jc w:val="both"/>
      </w:pPr>
      <w:r w:rsidRPr="00603756">
        <w:rPr>
          <w:position w:val="-82"/>
        </w:rPr>
        <w:object w:dxaOrig="8240" w:dyaOrig="1760">
          <v:shape id="_x0000_i1264" type="#_x0000_t75" style="width:411.85pt;height:87.85pt" o:ole="">
            <v:imagedata r:id="rId460" o:title=""/>
          </v:shape>
          <o:OLEObject Type="Embed" ProgID="Equation.DSMT4" ShapeID="_x0000_i1264" DrawAspect="Content" ObjectID="_1722089758" r:id="rId461"/>
        </w:object>
      </w:r>
      <w:r w:rsidR="0046125A" w:rsidRPr="00603756">
        <w:t xml:space="preserve"> </w:t>
      </w:r>
      <w:r w:rsidR="001D7563">
        <w:rPr>
          <w:rStyle w:val="FootnoteReference"/>
        </w:rPr>
        <w:footnoteReference w:id="12"/>
      </w:r>
      <w:r w:rsidR="00044E20" w:rsidRPr="00603756">
        <w:tab/>
        <w:t>(</w:t>
      </w:r>
      <w:r w:rsidR="003E0B30" w:rsidRPr="00603756">
        <w:t>3</w:t>
      </w:r>
      <w:r w:rsidR="00E717BF">
        <w:t>9</w:t>
      </w:r>
      <w:r w:rsidR="00044E20" w:rsidRPr="00603756">
        <w:t>)</w:t>
      </w:r>
    </w:p>
    <w:p w:rsidR="00AD4EF9" w:rsidRPr="00603756" w:rsidRDefault="00ED381E" w:rsidP="009A5972">
      <w:pPr>
        <w:spacing w:after="60" w:line="276" w:lineRule="auto"/>
        <w:jc w:val="both"/>
      </w:pPr>
      <w:r w:rsidRPr="00603756">
        <w:lastRenderedPageBreak/>
        <w:t xml:space="preserve">However, the central purpose of a multiple discrete-continuous model is to predict the intensity of consumption (including potentially zero consumptions) of the inside goods. To do so, one needs to adopt a simulation technique to consistently predict the </w:t>
      </w:r>
      <w:r w:rsidR="00676938" w:rsidRPr="00603756">
        <w:t xml:space="preserve">second stage </w:t>
      </w:r>
      <w:r w:rsidR="007A5DE3" w:rsidRPr="00603756">
        <w:t xml:space="preserve">fractional </w:t>
      </w:r>
      <w:r w:rsidR="00AD4EF9" w:rsidRPr="00603756">
        <w:t xml:space="preserve">allocation among the goods in the product group </w:t>
      </w:r>
      <w:r w:rsidRPr="00603756">
        <w:t xml:space="preserve">as well as the </w:t>
      </w:r>
      <w:r w:rsidR="00DA67EE" w:rsidRPr="00603756">
        <w:t>intensity of total budget allocated to the entire product group.</w:t>
      </w:r>
      <w:r w:rsidR="00840DD2" w:rsidRPr="00603756">
        <w:t xml:space="preserve"> </w:t>
      </w:r>
      <w:r w:rsidR="00AD4EF9" w:rsidRPr="00603756">
        <w:t xml:space="preserve">The procedure for predicting the MDCEV fractional allocation </w:t>
      </w:r>
      <w:r w:rsidR="00DA67EE" w:rsidRPr="00603756">
        <w:t xml:space="preserve">and actual amount of consumption </w:t>
      </w:r>
      <w:r w:rsidR="00AD4EF9" w:rsidRPr="00603756">
        <w:t>to the inside goods</w:t>
      </w:r>
      <w:r w:rsidR="00DA67EE" w:rsidRPr="00603756">
        <w:t xml:space="preserve"> (including possibly zero allocation)</w:t>
      </w:r>
      <w:r w:rsidR="00AD4EF9" w:rsidRPr="00603756">
        <w:t xml:space="preserve"> may be described as follows</w:t>
      </w:r>
      <w:r w:rsidR="00DB70D4" w:rsidRPr="00603756">
        <w:t xml:space="preserve"> (</w:t>
      </w:r>
      <w:r w:rsidR="000B1A20" w:rsidRPr="00603756">
        <w:t>continuing on from Step 2 from earlier)</w:t>
      </w:r>
      <w:r w:rsidR="00EF3C53" w:rsidRPr="00603756">
        <w:t xml:space="preserve">, </w:t>
      </w:r>
      <w:r w:rsidR="00DB70D4" w:rsidRPr="00603756">
        <w:t xml:space="preserve">assuming a preset number of </w:t>
      </w:r>
      <w:r w:rsidR="00DB70D4" w:rsidRPr="00E935BE">
        <w:rPr>
          <w:i/>
        </w:rPr>
        <w:t>R</w:t>
      </w:r>
      <w:r w:rsidR="00DB70D4" w:rsidRPr="00603756">
        <w:t xml:space="preserve"> draws of the error vector </w:t>
      </w:r>
      <w:r w:rsidR="00DB70D4" w:rsidRPr="00603756">
        <w:rPr>
          <w:position w:val="-12"/>
        </w:rPr>
        <w:object w:dxaOrig="1719" w:dyaOrig="360">
          <v:shape id="_x0000_i1265" type="#_x0000_t75" style="width:84.85pt;height:18pt" o:ole="">
            <v:imagedata r:id="rId462" o:title=""/>
          </v:shape>
          <o:OLEObject Type="Embed" ProgID="Equation.DSMT4" ShapeID="_x0000_i1265" DrawAspect="Content" ObjectID="_1722089759" r:id="rId463"/>
        </w:object>
      </w:r>
      <w:r w:rsidR="00DB70D4" w:rsidRPr="00603756">
        <w:t xml:space="preserve"> to compute the expected value for each observation</w:t>
      </w:r>
      <w:r w:rsidR="00AD4EF9" w:rsidRPr="00603756">
        <w:t>:</w:t>
      </w:r>
    </w:p>
    <w:p w:rsidR="007F49CD" w:rsidRPr="00603756" w:rsidRDefault="006F57CB" w:rsidP="009A5972">
      <w:pPr>
        <w:numPr>
          <w:ilvl w:val="0"/>
          <w:numId w:val="4"/>
        </w:numPr>
        <w:spacing w:after="60" w:line="276" w:lineRule="auto"/>
        <w:ind w:left="360"/>
        <w:jc w:val="both"/>
      </w:pPr>
      <w:r w:rsidRPr="00603756">
        <w:t xml:space="preserve">Step </w:t>
      </w:r>
      <w:r w:rsidR="000B1A20" w:rsidRPr="00603756">
        <w:t>3</w:t>
      </w:r>
      <w:r w:rsidRPr="00603756">
        <w:t xml:space="preserve">: </w:t>
      </w:r>
      <w:r w:rsidR="000B1A20" w:rsidRPr="00603756">
        <w:t xml:space="preserve">If procedure did not stop at Step 1 above as discussed there, </w:t>
      </w:r>
      <w:r w:rsidR="007F49CD" w:rsidRPr="00603756">
        <w:t xml:space="preserve">set </w:t>
      </w:r>
      <w:r w:rsidR="007F49CD" w:rsidRPr="00603756">
        <w:rPr>
          <w:i/>
        </w:rPr>
        <w:t>r</w:t>
      </w:r>
      <w:r w:rsidR="007F49CD" w:rsidRPr="00603756">
        <w:t xml:space="preserve"> = 1.</w:t>
      </w:r>
    </w:p>
    <w:p w:rsidR="00B048C9" w:rsidRPr="00603756" w:rsidRDefault="007F49CD" w:rsidP="009A5972">
      <w:pPr>
        <w:numPr>
          <w:ilvl w:val="0"/>
          <w:numId w:val="4"/>
        </w:numPr>
        <w:spacing w:after="60" w:line="276" w:lineRule="auto"/>
        <w:ind w:left="360"/>
        <w:jc w:val="both"/>
      </w:pPr>
      <w:r w:rsidRPr="00603756">
        <w:t>Step 4: D</w:t>
      </w:r>
      <w:r w:rsidR="00B048C9" w:rsidRPr="00603756">
        <w:t xml:space="preserve">raw </w:t>
      </w:r>
      <w:r w:rsidR="00B048C9" w:rsidRPr="00603756">
        <w:rPr>
          <w:i/>
        </w:rPr>
        <w:t>K</w:t>
      </w:r>
      <w:r w:rsidR="00B048C9" w:rsidRPr="00603756">
        <w:t xml:space="preserve"> independent realizations of </w:t>
      </w:r>
      <w:bookmarkStart w:id="4" w:name="_Hlk88090862"/>
      <w:r w:rsidR="00B048C9" w:rsidRPr="00603756">
        <w:rPr>
          <w:position w:val="-12"/>
        </w:rPr>
        <w:object w:dxaOrig="260" w:dyaOrig="360">
          <v:shape id="_x0000_i1266" type="#_x0000_t75" style="width:12.85pt;height:18pt" o:ole="">
            <v:imagedata r:id="rId464" o:title=""/>
          </v:shape>
          <o:OLEObject Type="Embed" ProgID="Equation.DSMT4" ShapeID="_x0000_i1266" DrawAspect="Content" ObjectID="_1722089760" r:id="rId465"/>
        </w:object>
      </w:r>
      <w:bookmarkEnd w:id="4"/>
      <w:r w:rsidR="00B048C9" w:rsidRPr="00603756">
        <w:t xml:space="preserve">, one for each good </w:t>
      </w:r>
      <w:r w:rsidR="00B048C9" w:rsidRPr="00603756">
        <w:rPr>
          <w:position w:val="-10"/>
        </w:rPr>
        <w:object w:dxaOrig="1620" w:dyaOrig="320">
          <v:shape id="_x0000_i1267" type="#_x0000_t75" style="width:81pt;height:16.3pt" o:ole="">
            <v:imagedata r:id="rId466" o:title=""/>
          </v:shape>
          <o:OLEObject Type="Embed" ProgID="Equation.DSMT4" ShapeID="_x0000_i1267" DrawAspect="Content" ObjectID="_1722089761" r:id="rId467"/>
        </w:object>
      </w:r>
      <w:r w:rsidR="00B048C9" w:rsidRPr="00603756">
        <w:t xml:space="preserve"> from the reverse extreme value distribution with location parameter of 0 and the scale parameter equal to one; label this distribution as </w:t>
      </w:r>
      <w:proofErr w:type="gramStart"/>
      <w:r w:rsidR="00B048C9" w:rsidRPr="00603756">
        <w:t>REV(</w:t>
      </w:r>
      <w:proofErr w:type="gramEnd"/>
      <w:r w:rsidR="00B048C9" w:rsidRPr="00603756">
        <w:t>0,</w:t>
      </w:r>
      <w:r w:rsidR="00B048C9" w:rsidRPr="00603756">
        <w:rPr>
          <w:position w:val="-10"/>
        </w:rPr>
        <w:object w:dxaOrig="240" w:dyaOrig="320">
          <v:shape id="_x0000_i1268" type="#_x0000_t75" style="width:12pt;height:15.85pt" o:ole="">
            <v:imagedata r:id="rId468" o:title=""/>
          </v:shape>
          <o:OLEObject Type="Embed" ProgID="Equation.DSMT4" ShapeID="_x0000_i1268" DrawAspect="Content" ObjectID="_1722089762" r:id="rId469"/>
        </w:object>
      </w:r>
      <w:r w:rsidR="00B048C9" w:rsidRPr="00603756">
        <w:t>.</w:t>
      </w:r>
      <w:r w:rsidR="006F57CB" w:rsidRPr="00603756">
        <w:t xml:space="preserve"> Compute </w:t>
      </w:r>
      <w:r w:rsidR="006F57CB" w:rsidRPr="00603756">
        <w:rPr>
          <w:position w:val="-12"/>
        </w:rPr>
        <w:object w:dxaOrig="320" w:dyaOrig="360">
          <v:shape id="_x0000_i1269" type="#_x0000_t75" style="width:15.85pt;height:18pt" o:ole="">
            <v:imagedata r:id="rId470" o:title=""/>
          </v:shape>
          <o:OLEObject Type="Embed" ProgID="Equation.DSMT4" ShapeID="_x0000_i1269" DrawAspect="Content" ObjectID="_1722089763" r:id="rId471"/>
        </w:object>
      </w:r>
      <w:r w:rsidR="006F57CB" w:rsidRPr="00603756">
        <w:t xml:space="preserve"> using Equation (</w:t>
      </w:r>
      <w:r w:rsidR="0001701E">
        <w:t>3</w:t>
      </w:r>
      <w:r w:rsidR="006F57CB" w:rsidRPr="00603756">
        <w:t>).</w:t>
      </w:r>
    </w:p>
    <w:p w:rsidR="00B048C9" w:rsidRPr="00603756" w:rsidRDefault="00B048C9" w:rsidP="009A5972">
      <w:pPr>
        <w:numPr>
          <w:ilvl w:val="0"/>
          <w:numId w:val="4"/>
        </w:numPr>
        <w:spacing w:after="60" w:line="276" w:lineRule="auto"/>
        <w:ind w:left="360"/>
        <w:jc w:val="both"/>
      </w:pPr>
      <w:r w:rsidRPr="00603756">
        <w:t xml:space="preserve">Step </w:t>
      </w:r>
      <w:r w:rsidR="007F49CD" w:rsidRPr="00603756">
        <w:t>5</w:t>
      </w:r>
      <w:r w:rsidRPr="00603756">
        <w:t>: Re-order the goods in descending order of</w:t>
      </w:r>
      <w:r w:rsidR="00251926" w:rsidRPr="00603756">
        <w:t xml:space="preserve"> </w:t>
      </w:r>
      <w:r w:rsidR="00251926" w:rsidRPr="00603756">
        <w:rPr>
          <w:position w:val="-12"/>
        </w:rPr>
        <w:object w:dxaOrig="320" w:dyaOrig="360">
          <v:shape id="_x0000_i1270" type="#_x0000_t75" style="width:15.85pt;height:18pt" o:ole="">
            <v:imagedata r:id="rId470" o:title=""/>
          </v:shape>
          <o:OLEObject Type="Embed" ProgID="Equation.DSMT4" ShapeID="_x0000_i1270" DrawAspect="Content" ObjectID="_1722089764" r:id="rId472"/>
        </w:object>
      </w:r>
      <w:r w:rsidRPr="00603756">
        <w:t xml:space="preserve">; set a new index </w:t>
      </w:r>
      <w:r w:rsidRPr="00603756">
        <w:rPr>
          <w:i/>
        </w:rPr>
        <w:t>m</w:t>
      </w:r>
      <w:r w:rsidRPr="00603756">
        <w:t xml:space="preserve"> (</w:t>
      </w:r>
      <w:r w:rsidRPr="00603756">
        <w:rPr>
          <w:position w:val="-10"/>
        </w:rPr>
        <w:object w:dxaOrig="1300" w:dyaOrig="320">
          <v:shape id="_x0000_i1271" type="#_x0000_t75" style="width:65.15pt;height:15.85pt" o:ole="">
            <v:imagedata r:id="rId473" o:title=""/>
          </v:shape>
          <o:OLEObject Type="Embed" ProgID="Equation.DSMT4" ShapeID="_x0000_i1271" DrawAspect="Content" ObjectID="_1722089765" r:id="rId474"/>
        </w:object>
      </w:r>
      <w:r w:rsidRPr="00603756">
        <w:t xml:space="preserve">) for this new ordering of the inside goods. Let </w:t>
      </w:r>
      <w:r w:rsidR="004B5105" w:rsidRPr="00603756">
        <w:rPr>
          <w:position w:val="-12"/>
        </w:rPr>
        <w:object w:dxaOrig="340" w:dyaOrig="360">
          <v:shape id="_x0000_i1272" type="#_x0000_t75" style="width:16.7pt;height:18pt" o:ole="">
            <v:imagedata r:id="rId475" o:title=""/>
          </v:shape>
          <o:OLEObject Type="Embed" ProgID="Equation.DSMT4" ShapeID="_x0000_i1272" DrawAspect="Content" ObjectID="_1722089766" r:id="rId476"/>
        </w:object>
      </w:r>
      <w:r w:rsidRPr="00603756">
        <w:t xml:space="preserve"> be the re-ordered vector of values of </w:t>
      </w:r>
      <w:r w:rsidR="004B5105" w:rsidRPr="00603756">
        <w:rPr>
          <w:position w:val="-12"/>
        </w:rPr>
        <w:object w:dxaOrig="320" w:dyaOrig="360">
          <v:shape id="_x0000_i1273" type="#_x0000_t75" style="width:15.85pt;height:18pt" o:ole="">
            <v:imagedata r:id="rId470" o:title=""/>
          </v:shape>
          <o:OLEObject Type="Embed" ProgID="Equation.DSMT4" ShapeID="_x0000_i1273" DrawAspect="Content" ObjectID="_1722089767" r:id="rId477"/>
        </w:object>
      </w:r>
      <w:r w:rsidR="008523F9" w:rsidRPr="00603756">
        <w:t xml:space="preserve"> and </w:t>
      </w:r>
      <w:r w:rsidR="008523F9" w:rsidRPr="00603756">
        <w:rPr>
          <w:position w:val="-12"/>
        </w:rPr>
        <w:object w:dxaOrig="300" w:dyaOrig="360">
          <v:shape id="_x0000_i1274" type="#_x0000_t75" style="width:15pt;height:18pt" o:ole="">
            <v:imagedata r:id="rId478" o:title=""/>
          </v:shape>
          <o:OLEObject Type="Embed" ProgID="Equation.DSMT4" ShapeID="_x0000_i1274" DrawAspect="Content" ObjectID="_1722089768" r:id="rId479"/>
        </w:object>
      </w:r>
      <w:r w:rsidR="008523F9" w:rsidRPr="00603756">
        <w:t xml:space="preserve"> be the re-ordered vector of values of </w:t>
      </w:r>
      <w:r w:rsidR="008523F9" w:rsidRPr="00603756">
        <w:rPr>
          <w:position w:val="-12"/>
        </w:rPr>
        <w:object w:dxaOrig="360" w:dyaOrig="360">
          <v:shape id="_x0000_i1275" type="#_x0000_t75" style="width:18pt;height:18pt" o:ole="">
            <v:imagedata r:id="rId480" o:title=""/>
          </v:shape>
          <o:OLEObject Type="Embed" ProgID="Equation.DSMT4" ShapeID="_x0000_i1275" DrawAspect="Content" ObjectID="_1722089769" r:id="rId481"/>
        </w:object>
      </w:r>
      <w:r w:rsidRPr="00603756">
        <w:t xml:space="preserve"> </w:t>
      </w:r>
    </w:p>
    <w:p w:rsidR="002513A7" w:rsidRPr="00603756" w:rsidRDefault="00B048C9" w:rsidP="008F4031">
      <w:pPr>
        <w:numPr>
          <w:ilvl w:val="0"/>
          <w:numId w:val="4"/>
        </w:numPr>
        <w:spacing w:after="60" w:line="276" w:lineRule="auto"/>
        <w:ind w:left="360"/>
        <w:jc w:val="both"/>
      </w:pPr>
      <w:r w:rsidRPr="00603756">
        <w:t xml:space="preserve">Step </w:t>
      </w:r>
      <w:r w:rsidR="007F49CD" w:rsidRPr="00603756">
        <w:t>6</w:t>
      </w:r>
      <w:r w:rsidRPr="00603756">
        <w:t xml:space="preserve">: Set </w:t>
      </w:r>
      <w:r w:rsidRPr="00603756">
        <w:rPr>
          <w:i/>
        </w:rPr>
        <w:t>M</w:t>
      </w:r>
      <w:r w:rsidR="00E935BE">
        <w:rPr>
          <w:i/>
        </w:rPr>
        <w:t xml:space="preserve"> </w:t>
      </w:r>
      <w:r w:rsidRPr="00603756">
        <w:t>=</w:t>
      </w:r>
      <w:r w:rsidR="00E935BE">
        <w:t xml:space="preserve"> </w:t>
      </w:r>
      <w:r w:rsidRPr="00603756">
        <w:t>2</w:t>
      </w:r>
      <w:r w:rsidR="0079751E" w:rsidRPr="00603756">
        <w:t xml:space="preserve"> and </w:t>
      </w:r>
      <w:r w:rsidR="0079751E" w:rsidRPr="00603756">
        <w:rPr>
          <w:position w:val="-12"/>
        </w:rPr>
        <w:object w:dxaOrig="700" w:dyaOrig="400">
          <v:shape id="_x0000_i1276" type="#_x0000_t75" style="width:35.15pt;height:19.7pt" o:ole="">
            <v:imagedata r:id="rId482" o:title=""/>
          </v:shape>
          <o:OLEObject Type="Embed" ProgID="Equation.DSMT4" ShapeID="_x0000_i1276" DrawAspect="Content" ObjectID="_1722089770" r:id="rId483"/>
        </w:object>
      </w:r>
    </w:p>
    <w:p w:rsidR="00787DB1" w:rsidRPr="00603756" w:rsidRDefault="00B048C9" w:rsidP="008F4031">
      <w:pPr>
        <w:numPr>
          <w:ilvl w:val="0"/>
          <w:numId w:val="2"/>
        </w:numPr>
        <w:spacing w:after="60" w:line="276" w:lineRule="auto"/>
        <w:ind w:left="360"/>
        <w:jc w:val="both"/>
      </w:pPr>
      <w:r w:rsidRPr="00603756">
        <w:t>Step</w:t>
      </w:r>
      <w:r w:rsidR="003C2854" w:rsidRPr="00603756">
        <w:t xml:space="preserve"> </w:t>
      </w:r>
      <w:r w:rsidR="007F49CD" w:rsidRPr="00603756">
        <w:t>7</w:t>
      </w:r>
      <w:r w:rsidRPr="00603756">
        <w:t>:</w:t>
      </w:r>
      <w:r w:rsidR="003C2854" w:rsidRPr="00603756">
        <w:t xml:space="preserve"> </w:t>
      </w:r>
      <w:r w:rsidRPr="00603756">
        <w:t xml:space="preserve">If </w:t>
      </w:r>
      <w:r w:rsidR="00DC5E65" w:rsidRPr="00603756">
        <w:rPr>
          <w:position w:val="-68"/>
        </w:rPr>
        <w:object w:dxaOrig="1520" w:dyaOrig="1060">
          <v:shape id="_x0000_i1277" type="#_x0000_t75" style="width:77.55pt;height:53.15pt" o:ole="">
            <v:imagedata r:id="rId484" o:title=""/>
          </v:shape>
          <o:OLEObject Type="Embed" ProgID="Equation.DSMT4" ShapeID="_x0000_i1277" DrawAspect="Content" ObjectID="_1722089771" r:id="rId485"/>
        </w:object>
      </w:r>
      <w:r w:rsidRPr="00603756">
        <w:t xml:space="preserve"> set </w:t>
      </w:r>
      <w:r w:rsidR="00FE7341" w:rsidRPr="00603756">
        <w:rPr>
          <w:position w:val="-12"/>
        </w:rPr>
        <w:object w:dxaOrig="3340" w:dyaOrig="400">
          <v:shape id="_x0000_i1278" type="#_x0000_t75" style="width:170.55pt;height:20.15pt" o:ole="">
            <v:imagedata r:id="rId486" o:title=""/>
          </v:shape>
          <o:OLEObject Type="Embed" ProgID="Equation.DSMT4" ShapeID="_x0000_i1278" DrawAspect="Content" ObjectID="_1722089772" r:id="rId487"/>
        </w:object>
      </w:r>
      <w:r w:rsidR="00E935BE">
        <w:t>g</w:t>
      </w:r>
      <w:r w:rsidR="00787DB1" w:rsidRPr="00603756">
        <w:t xml:space="preserve">o to Step </w:t>
      </w:r>
      <w:r w:rsidR="007F49CD" w:rsidRPr="00603756">
        <w:t>9</w:t>
      </w:r>
      <w:r w:rsidR="00787DB1" w:rsidRPr="00603756">
        <w:t>. Else,</w:t>
      </w:r>
      <w:r w:rsidR="0079751E" w:rsidRPr="00603756">
        <w:t xml:space="preserve"> </w:t>
      </w:r>
      <w:r w:rsidR="00787DB1" w:rsidRPr="00603756">
        <w:t>set</w:t>
      </w:r>
      <w:r w:rsidR="00044E20" w:rsidRPr="00603756">
        <w:t xml:space="preserve"> </w:t>
      </w:r>
      <w:r w:rsidR="00787DB1" w:rsidRPr="00603756">
        <w:t xml:space="preserve"> </w:t>
      </w:r>
      <w:r w:rsidR="00FE7341" w:rsidRPr="00603756">
        <w:rPr>
          <w:position w:val="-62"/>
        </w:rPr>
        <w:object w:dxaOrig="4400" w:dyaOrig="1500">
          <v:shape id="_x0000_i1279" type="#_x0000_t75" style="width:219.85pt;height:73.7pt" o:ole="">
            <v:imagedata r:id="rId488" o:title=""/>
          </v:shape>
          <o:OLEObject Type="Embed" ProgID="Equation.DSMT4" ShapeID="_x0000_i1279" DrawAspect="Content" ObjectID="_1722089773" r:id="rId489"/>
        </w:object>
      </w:r>
      <w:r w:rsidR="00C04B5C" w:rsidRPr="00603756">
        <w:rPr>
          <w:rStyle w:val="FootnoteReference"/>
        </w:rPr>
        <w:footnoteReference w:id="13"/>
      </w:r>
      <w:r w:rsidR="00044E20" w:rsidRPr="00603756">
        <w:t xml:space="preserve"> </w:t>
      </w:r>
      <w:r w:rsidR="0079751E" w:rsidRPr="00603756">
        <w:t xml:space="preserve"> </w:t>
      </w:r>
      <w:r w:rsidR="008A439E">
        <w:tab/>
      </w:r>
      <w:r w:rsidR="00B11953">
        <w:tab/>
      </w:r>
      <w:r w:rsidR="00B11953">
        <w:tab/>
      </w:r>
      <w:r w:rsidR="00B11953">
        <w:tab/>
      </w:r>
      <w:r w:rsidR="00B11953">
        <w:tab/>
      </w:r>
      <w:r w:rsidR="003E44E9">
        <w:t xml:space="preserve"> </w:t>
      </w:r>
      <w:r w:rsidR="008F4031">
        <w:tab/>
        <w:t xml:space="preserve">  </w:t>
      </w:r>
      <w:proofErr w:type="gramStart"/>
      <w:r w:rsidR="008F4031">
        <w:t xml:space="preserve">   </w:t>
      </w:r>
      <w:r w:rsidR="008A439E">
        <w:t>(</w:t>
      </w:r>
      <w:proofErr w:type="gramEnd"/>
      <w:r w:rsidR="00E717BF">
        <w:t>40</w:t>
      </w:r>
      <w:r w:rsidR="008A439E">
        <w:t>)</w:t>
      </w:r>
    </w:p>
    <w:p w:rsidR="00B048C9" w:rsidRPr="00603756" w:rsidRDefault="00787DB1" w:rsidP="009A5972">
      <w:pPr>
        <w:numPr>
          <w:ilvl w:val="0"/>
          <w:numId w:val="2"/>
        </w:numPr>
        <w:spacing w:after="60" w:line="276" w:lineRule="auto"/>
        <w:ind w:left="360"/>
        <w:jc w:val="both"/>
      </w:pPr>
      <w:r w:rsidRPr="00603756">
        <w:t xml:space="preserve">Step </w:t>
      </w:r>
      <w:r w:rsidR="007F49CD" w:rsidRPr="00603756">
        <w:t>8</w:t>
      </w:r>
      <w:r w:rsidRPr="00603756">
        <w:t xml:space="preserve">: </w:t>
      </w:r>
      <w:r w:rsidR="00B048C9" w:rsidRPr="00603756">
        <w:t xml:space="preserve">Set </w:t>
      </w:r>
      <w:r w:rsidR="00B048C9" w:rsidRPr="00603756">
        <w:rPr>
          <w:i/>
        </w:rPr>
        <w:t>M</w:t>
      </w:r>
      <w:r w:rsidR="00E935BE">
        <w:rPr>
          <w:i/>
        </w:rPr>
        <w:t xml:space="preserve"> </w:t>
      </w:r>
      <w:r w:rsidR="00B048C9" w:rsidRPr="00603756">
        <w:t>=</w:t>
      </w:r>
      <w:r w:rsidR="00E935BE">
        <w:t xml:space="preserve"> </w:t>
      </w:r>
      <w:r w:rsidR="00B048C9" w:rsidRPr="00603756">
        <w:rPr>
          <w:i/>
        </w:rPr>
        <w:t>M</w:t>
      </w:r>
      <w:r w:rsidR="00E935BE">
        <w:rPr>
          <w:i/>
        </w:rPr>
        <w:t xml:space="preserve"> </w:t>
      </w:r>
      <w:r w:rsidR="00B048C9" w:rsidRPr="00603756">
        <w:t>+</w:t>
      </w:r>
      <w:r w:rsidR="00E935BE">
        <w:t xml:space="preserve"> </w:t>
      </w:r>
      <w:r w:rsidR="00B048C9" w:rsidRPr="00603756">
        <w:t xml:space="preserve">1. </w:t>
      </w:r>
      <w:r w:rsidR="00AD0802" w:rsidRPr="00603756">
        <w:t xml:space="preserve">If </w:t>
      </w:r>
      <w:r w:rsidR="00AD0802" w:rsidRPr="00603756">
        <w:rPr>
          <w:i/>
        </w:rPr>
        <w:t>M</w:t>
      </w:r>
      <w:r w:rsidR="00E935BE">
        <w:rPr>
          <w:i/>
        </w:rPr>
        <w:t xml:space="preserve"> </w:t>
      </w:r>
      <w:r w:rsidR="00AD0802" w:rsidRPr="00603756">
        <w:t>=</w:t>
      </w:r>
      <w:r w:rsidR="00E935BE">
        <w:t xml:space="preserve"> </w:t>
      </w:r>
      <w:r w:rsidR="00AD0802" w:rsidRPr="00603756">
        <w:rPr>
          <w:i/>
        </w:rPr>
        <w:t>K</w:t>
      </w:r>
      <w:r w:rsidR="00AD0802" w:rsidRPr="00603756">
        <w:t xml:space="preserve">, go to </w:t>
      </w:r>
      <w:r w:rsidR="0001701E">
        <w:t>S</w:t>
      </w:r>
      <w:r w:rsidR="00AD0802" w:rsidRPr="00603756">
        <w:t xml:space="preserve">tep </w:t>
      </w:r>
      <w:r w:rsidR="007F49CD" w:rsidRPr="00603756">
        <w:t>9</w:t>
      </w:r>
      <w:r w:rsidR="00044E20" w:rsidRPr="00603756">
        <w:t xml:space="preserve"> (discussed later)</w:t>
      </w:r>
      <w:r w:rsidR="00AD0802" w:rsidRPr="00603756">
        <w:t>. Otherwise, g</w:t>
      </w:r>
      <w:r w:rsidR="00B048C9" w:rsidRPr="00603756">
        <w:t xml:space="preserve">o to Step </w:t>
      </w:r>
      <w:r w:rsidR="007F49CD" w:rsidRPr="00603756">
        <w:t>7</w:t>
      </w:r>
      <w:r w:rsidR="00B048C9" w:rsidRPr="00603756">
        <w:t xml:space="preserve">. </w:t>
      </w:r>
    </w:p>
    <w:p w:rsidR="00B048C9" w:rsidRPr="00603756" w:rsidRDefault="00B048C9" w:rsidP="009A5972">
      <w:pPr>
        <w:numPr>
          <w:ilvl w:val="0"/>
          <w:numId w:val="5"/>
        </w:numPr>
        <w:spacing w:after="60" w:line="276" w:lineRule="auto"/>
        <w:jc w:val="both"/>
      </w:pPr>
      <w:r w:rsidRPr="00603756">
        <w:t xml:space="preserve">Step </w:t>
      </w:r>
      <w:r w:rsidR="007F49CD" w:rsidRPr="00603756">
        <w:t>9</w:t>
      </w:r>
      <w:r w:rsidRPr="00603756">
        <w:t>:</w:t>
      </w:r>
      <w:r w:rsidR="008523F9" w:rsidRPr="00603756">
        <w:t xml:space="preserve"> </w:t>
      </w:r>
      <w:r w:rsidR="003E44E9">
        <w:t>If the intent is to predict consumption intensities for each of the inside goods across multiple individuals, c</w:t>
      </w:r>
      <w:r w:rsidR="008523F9" w:rsidRPr="00603756">
        <w:t xml:space="preserve">ompute </w:t>
      </w:r>
      <w:r w:rsidR="00EF3C53" w:rsidRPr="00603756">
        <w:t xml:space="preserve">the predicted </w:t>
      </w:r>
      <w:r w:rsidR="00073E8F">
        <w:t xml:space="preserve">expenditure </w:t>
      </w:r>
      <w:r w:rsidR="00EF3C53" w:rsidRPr="00603756">
        <w:t xml:space="preserve">intensity for each of the inside goods </w:t>
      </w:r>
      <w:r w:rsidR="00EF3C53" w:rsidRPr="00603756">
        <w:lastRenderedPageBreak/>
        <w:t xml:space="preserve">for the specific draw of the vector </w:t>
      </w:r>
      <w:r w:rsidR="00E935BE" w:rsidRPr="00603756">
        <w:rPr>
          <w:position w:val="-12"/>
        </w:rPr>
        <w:object w:dxaOrig="1719" w:dyaOrig="360">
          <v:shape id="_x0000_i1280" type="#_x0000_t75" style="width:85.7pt;height:18pt" o:ole="">
            <v:imagedata r:id="rId462" o:title=""/>
          </v:shape>
          <o:OLEObject Type="Embed" ProgID="Equation.DSMT4" ShapeID="_x0000_i1280" DrawAspect="Content" ObjectID="_1722089774" r:id="rId490"/>
        </w:object>
      </w:r>
      <w:r w:rsidR="00EF3C53" w:rsidRPr="00603756">
        <w:t xml:space="preserve"> </w:t>
      </w:r>
      <w:r w:rsidR="003E44E9">
        <w:t xml:space="preserve">for each individual </w:t>
      </w:r>
      <w:r w:rsidR="00EF3C53" w:rsidRPr="00603756">
        <w:t xml:space="preserve">as the product of the predicted continuous allocation for the product group and the fractional </w:t>
      </w:r>
      <w:r w:rsidR="00073E8F">
        <w:t xml:space="preserve">budget </w:t>
      </w:r>
      <w:r w:rsidR="00EF3C53" w:rsidRPr="00603756">
        <w:t>allocation to each inside good</w:t>
      </w:r>
      <w:r w:rsidR="00E4558C" w:rsidRPr="00603756">
        <w:t xml:space="preserve">: </w:t>
      </w:r>
      <w:r w:rsidR="00FE7341" w:rsidRPr="00603756">
        <w:rPr>
          <w:position w:val="-12"/>
        </w:rPr>
        <w:object w:dxaOrig="3460" w:dyaOrig="400">
          <v:shape id="_x0000_i1281" type="#_x0000_t75" style="width:172.7pt;height:20.15pt" o:ole="">
            <v:imagedata r:id="rId491" o:title=""/>
          </v:shape>
          <o:OLEObject Type="Embed" ProgID="Equation.DSMT4" ShapeID="_x0000_i1281" DrawAspect="Content" ObjectID="_1722089775" r:id="rId492"/>
        </w:object>
      </w:r>
      <w:r w:rsidR="003E44E9">
        <w:t xml:space="preserve"> But if the intent is to predict consumptions at an individual level for embedding into a larger prediction system, keep </w:t>
      </w:r>
      <w:r w:rsidR="00FE7341" w:rsidRPr="0002761A">
        <w:rPr>
          <w:position w:val="-12"/>
        </w:rPr>
        <w:object w:dxaOrig="400" w:dyaOrig="400">
          <v:shape id="_x0000_i1282" type="#_x0000_t75" style="width:20.15pt;height:20.15pt" o:ole="">
            <v:imagedata r:id="rId493" o:title=""/>
          </v:shape>
          <o:OLEObject Type="Embed" ProgID="Equation.DSMT4" ShapeID="_x0000_i1282" DrawAspect="Content" ObjectID="_1722089776" r:id="rId494"/>
        </w:object>
      </w:r>
      <w:r w:rsidR="003E44E9">
        <w:t xml:space="preserve">and compute </w:t>
      </w:r>
      <w:r w:rsidR="003E44E9" w:rsidRPr="0002761A">
        <w:rPr>
          <w:position w:val="-10"/>
        </w:rPr>
        <w:object w:dxaOrig="1180" w:dyaOrig="320">
          <v:shape id="_x0000_i1283" type="#_x0000_t75" style="width:59.15pt;height:15.85pt" o:ole="">
            <v:imagedata r:id="rId495" o:title=""/>
          </v:shape>
          <o:OLEObject Type="Embed" ProgID="Equation.DSMT4" ShapeID="_x0000_i1283" DrawAspect="Content" ObjectID="_1722089777" r:id="rId496"/>
        </w:object>
      </w:r>
      <w:r w:rsidR="003E44E9">
        <w:t xml:space="preserve"> per Step 2.</w:t>
      </w:r>
    </w:p>
    <w:p w:rsidR="007F49CD" w:rsidRPr="00603756" w:rsidRDefault="007F49CD" w:rsidP="009A5972">
      <w:pPr>
        <w:numPr>
          <w:ilvl w:val="0"/>
          <w:numId w:val="5"/>
        </w:numPr>
        <w:spacing w:after="60" w:line="276" w:lineRule="auto"/>
        <w:jc w:val="both"/>
      </w:pPr>
      <w:r w:rsidRPr="00603756">
        <w:t xml:space="preserve">Step 10: Set </w:t>
      </w:r>
      <w:r w:rsidRPr="00603756">
        <w:rPr>
          <w:i/>
        </w:rPr>
        <w:t>r</w:t>
      </w:r>
      <w:r w:rsidRPr="00603756">
        <w:t xml:space="preserve"> = </w:t>
      </w:r>
      <w:r w:rsidRPr="00603756">
        <w:rPr>
          <w:i/>
        </w:rPr>
        <w:t>r</w:t>
      </w:r>
      <w:r w:rsidR="00E935BE">
        <w:rPr>
          <w:i/>
        </w:rPr>
        <w:t xml:space="preserve"> </w:t>
      </w:r>
      <w:r w:rsidRPr="00603756">
        <w:t>+</w:t>
      </w:r>
      <w:r w:rsidR="00E935BE">
        <w:t xml:space="preserve"> </w:t>
      </w:r>
      <w:r w:rsidRPr="00603756">
        <w:t xml:space="preserve">1; if </w:t>
      </w:r>
      <w:r w:rsidRPr="00603756">
        <w:rPr>
          <w:i/>
        </w:rPr>
        <w:t>r</w:t>
      </w:r>
      <w:r w:rsidR="00E935BE">
        <w:rPr>
          <w:i/>
        </w:rPr>
        <w:t xml:space="preserve"> </w:t>
      </w:r>
      <w:r w:rsidRPr="00603756">
        <w:t>=</w:t>
      </w:r>
      <w:r w:rsidR="00E935BE">
        <w:t xml:space="preserve"> </w:t>
      </w:r>
      <w:r w:rsidRPr="00603756">
        <w:rPr>
          <w:i/>
        </w:rPr>
        <w:t>R</w:t>
      </w:r>
      <w:r w:rsidRPr="00603756">
        <w:t xml:space="preserve">, </w:t>
      </w:r>
      <w:r w:rsidR="008C7259" w:rsidRPr="00603756">
        <w:t xml:space="preserve">go to </w:t>
      </w:r>
      <w:r w:rsidR="0001701E">
        <w:t>S</w:t>
      </w:r>
      <w:r w:rsidR="008C7259" w:rsidRPr="00603756">
        <w:t>tep 11</w:t>
      </w:r>
      <w:r w:rsidRPr="00603756">
        <w:t xml:space="preserve">; otherwise go to Step 4. </w:t>
      </w:r>
    </w:p>
    <w:p w:rsidR="008F6E1F" w:rsidRDefault="008C7259" w:rsidP="00E717BF">
      <w:pPr>
        <w:numPr>
          <w:ilvl w:val="0"/>
          <w:numId w:val="5"/>
        </w:numPr>
        <w:spacing w:after="60" w:line="276" w:lineRule="auto"/>
        <w:jc w:val="both"/>
      </w:pPr>
      <w:r w:rsidRPr="00603756">
        <w:t xml:space="preserve">Step 11: </w:t>
      </w:r>
      <w:r w:rsidR="00422356">
        <w:t>If the goal is aggregate predictions, c</w:t>
      </w:r>
      <w:r w:rsidRPr="00603756">
        <w:t xml:space="preserve">ompute the </w:t>
      </w:r>
      <w:r w:rsidR="008A05C9" w:rsidRPr="00603756">
        <w:t xml:space="preserve">mean of </w:t>
      </w:r>
      <w:r w:rsidR="00422356" w:rsidRPr="00603756">
        <w:rPr>
          <w:position w:val="-12"/>
        </w:rPr>
        <w:object w:dxaOrig="279" w:dyaOrig="360">
          <v:shape id="_x0000_i1284" type="#_x0000_t75" style="width:14.15pt;height:18pt" o:ole="">
            <v:imagedata r:id="rId497" o:title=""/>
          </v:shape>
          <o:OLEObject Type="Embed" ProgID="Equation.DSMT4" ShapeID="_x0000_i1284" DrawAspect="Content" ObjectID="_1722089778" r:id="rId498"/>
        </w:object>
      </w:r>
      <w:r w:rsidR="008A05C9" w:rsidRPr="00603756">
        <w:t xml:space="preserve"> </w:t>
      </w:r>
      <w:r w:rsidR="00422356">
        <w:t xml:space="preserve">(as computed from Step 9) for each good </w:t>
      </w:r>
      <w:r w:rsidR="00422356" w:rsidRPr="00AA0BE1">
        <w:rPr>
          <w:i/>
        </w:rPr>
        <w:t>k</w:t>
      </w:r>
      <w:r w:rsidR="00422356">
        <w:t xml:space="preserve"> </w:t>
      </w:r>
      <w:r w:rsidR="008A05C9" w:rsidRPr="00603756">
        <w:t xml:space="preserve">across the different realizations, and declare that as the </w:t>
      </w:r>
      <w:r w:rsidR="00073E8F">
        <w:t xml:space="preserve">expenditure </w:t>
      </w:r>
      <w:r w:rsidR="008A05C9" w:rsidRPr="00603756">
        <w:t xml:space="preserve">estimate. </w:t>
      </w:r>
      <w:r w:rsidR="00422356">
        <w:t xml:space="preserve">If the intent is to get predictions at an individual level, obtain the probability of </w:t>
      </w:r>
      <w:r w:rsidR="00FE7341" w:rsidRPr="0002761A">
        <w:rPr>
          <w:position w:val="-12"/>
        </w:rPr>
        <w:object w:dxaOrig="780" w:dyaOrig="400">
          <v:shape id="_x0000_i1285" type="#_x0000_t75" style="width:39pt;height:20.15pt" o:ole="">
            <v:imagedata r:id="rId499" o:title=""/>
          </v:shape>
          <o:OLEObject Type="Embed" ProgID="Equation.DSMT4" ShapeID="_x0000_i1285" DrawAspect="Content" ObjectID="_1722089779" r:id="rId500"/>
        </w:object>
      </w:r>
      <w:r w:rsidR="00422356">
        <w:t xml:space="preserve"> as the number of times out of </w:t>
      </w:r>
      <w:r w:rsidR="00422356" w:rsidRPr="00AA0BE1">
        <w:rPr>
          <w:i/>
        </w:rPr>
        <w:t>R</w:t>
      </w:r>
      <w:r w:rsidR="00422356">
        <w:t xml:space="preserve"> repetitions that the state occurred, and translate that probability into a deterministic assignment similar to Step 1 undertaken for the total budget allocation to the product group. If the </w:t>
      </w:r>
      <w:r w:rsidR="00B751A3">
        <w:t xml:space="preserve">fractional deterministic </w:t>
      </w:r>
      <w:r w:rsidR="00422356">
        <w:t>assignment is non-zero</w:t>
      </w:r>
      <w:r w:rsidR="00B751A3">
        <w:t xml:space="preserve"> for good </w:t>
      </w:r>
      <w:r w:rsidR="00B751A3" w:rsidRPr="00AA0BE1">
        <w:rPr>
          <w:i/>
        </w:rPr>
        <w:t>k</w:t>
      </w:r>
      <w:r w:rsidR="00B751A3">
        <w:t xml:space="preserve">, predict the budget allocated to good </w:t>
      </w:r>
      <w:r w:rsidR="00B751A3" w:rsidRPr="00AA0BE1">
        <w:rPr>
          <w:i/>
        </w:rPr>
        <w:t>k</w:t>
      </w:r>
      <w:r w:rsidR="00B751A3">
        <w:t xml:space="preserve"> for the individual as the average of the product of the non-zero </w:t>
      </w:r>
      <w:r w:rsidR="00FE7341" w:rsidRPr="0002761A">
        <w:rPr>
          <w:position w:val="-12"/>
        </w:rPr>
        <w:object w:dxaOrig="400" w:dyaOrig="400">
          <v:shape id="_x0000_i1286" type="#_x0000_t75" style="width:20.15pt;height:20.15pt" o:ole="">
            <v:imagedata r:id="rId501" o:title=""/>
          </v:shape>
          <o:OLEObject Type="Embed" ProgID="Equation.DSMT4" ShapeID="_x0000_i1286" DrawAspect="Content" ObjectID="_1722089780" r:id="rId502"/>
        </w:object>
      </w:r>
      <w:r w:rsidR="00B751A3">
        <w:t xml:space="preserve">values and the corresponding </w:t>
      </w:r>
      <w:r w:rsidR="00B751A3" w:rsidRPr="0002761A">
        <w:rPr>
          <w:position w:val="-10"/>
        </w:rPr>
        <w:object w:dxaOrig="1180" w:dyaOrig="320">
          <v:shape id="_x0000_i1287" type="#_x0000_t75" style="width:59.15pt;height:15.85pt" o:ole="">
            <v:imagedata r:id="rId495" o:title=""/>
          </v:shape>
          <o:OLEObject Type="Embed" ProgID="Equation.DSMT4" ShapeID="_x0000_i1287" DrawAspect="Content" ObjectID="_1722089781" r:id="rId503"/>
        </w:object>
      </w:r>
      <w:r w:rsidR="00B751A3">
        <w:t xml:space="preserve"> values across the </w:t>
      </w:r>
      <w:r w:rsidR="00B751A3" w:rsidRPr="00AA0BE1">
        <w:rPr>
          <w:i/>
        </w:rPr>
        <w:t>R</w:t>
      </w:r>
      <w:r w:rsidR="00B751A3">
        <w:t xml:space="preserve"> repetitions.</w:t>
      </w:r>
    </w:p>
    <w:p w:rsidR="00B751A3" w:rsidRDefault="00B751A3" w:rsidP="003A5450">
      <w:pPr>
        <w:spacing w:after="60" w:line="276" w:lineRule="auto"/>
        <w:ind w:left="360"/>
        <w:jc w:val="both"/>
      </w:pPr>
    </w:p>
    <w:p w:rsidR="009E1359" w:rsidRPr="005C6AE5" w:rsidRDefault="009E1359" w:rsidP="0001701E">
      <w:pPr>
        <w:numPr>
          <w:ilvl w:val="0"/>
          <w:numId w:val="6"/>
        </w:numPr>
        <w:spacing w:line="276" w:lineRule="auto"/>
        <w:jc w:val="both"/>
        <w:rPr>
          <w:b/>
          <w:caps/>
        </w:rPr>
      </w:pPr>
      <w:r w:rsidRPr="005C6AE5">
        <w:rPr>
          <w:b/>
          <w:caps/>
        </w:rPr>
        <w:t>An Empirical Demonstration</w:t>
      </w:r>
    </w:p>
    <w:p w:rsidR="004E36B8" w:rsidRPr="005C6AE5" w:rsidRDefault="004E36B8" w:rsidP="0001701E">
      <w:pPr>
        <w:numPr>
          <w:ilvl w:val="1"/>
          <w:numId w:val="6"/>
        </w:numPr>
        <w:spacing w:line="276" w:lineRule="auto"/>
        <w:jc w:val="both"/>
        <w:rPr>
          <w:b/>
        </w:rPr>
      </w:pPr>
      <w:r w:rsidRPr="005C6AE5">
        <w:rPr>
          <w:b/>
        </w:rPr>
        <w:t>Background</w:t>
      </w:r>
    </w:p>
    <w:p w:rsidR="006E2392" w:rsidRPr="004E36B8" w:rsidRDefault="006E2392" w:rsidP="0001701E">
      <w:pPr>
        <w:spacing w:line="276" w:lineRule="auto"/>
        <w:jc w:val="both"/>
      </w:pPr>
      <w:r w:rsidRPr="004E36B8">
        <w:t xml:space="preserve">Travel in the U.S. is predominantly undertaken using private motorized four-wheeler automobiles. This automobile dependence to pursue out-of-home activities may be traced to a number of reasons, including separation of residential locations from activity centers, relatively inexpensive costs of motorized vehicle ownership and maintenance, low gas prices, inadequate options to reach destinations by non-automobile means, and a traditional culture of valuing personal privacy and convenience. This dependence also has far-reaching impacts at multiple societal levels, including activity accessibility inequities across population segments at the individual/household level, and elevated levels of traffic congestion at the regional level (with ensuing repercussions on on-road vehicular travel determinants of fuel consumption and greenhouse gas (GHG) emissions). In fact, household motorized vehicle </w:t>
      </w:r>
      <w:proofErr w:type="gramStart"/>
      <w:r w:rsidRPr="004E36B8">
        <w:t>use</w:t>
      </w:r>
      <w:proofErr w:type="gramEnd"/>
      <w:r w:rsidRPr="004E36B8">
        <w:t xml:space="preserve"> accounts for about 58% of </w:t>
      </w:r>
      <w:r w:rsidRPr="004E36B8">
        <w:rPr>
          <w:color w:val="1B1B1B"/>
          <w:shd w:val="clear" w:color="auto" w:fill="FFFFFF"/>
        </w:rPr>
        <w:t>the GHG emissions from the transportation sector, a sector which itself is the single largest contributor to anthropogenic GHG emissions in the U</w:t>
      </w:r>
      <w:r w:rsidR="002C6B51">
        <w:rPr>
          <w:color w:val="1B1B1B"/>
          <w:shd w:val="clear" w:color="auto" w:fill="FFFFFF"/>
        </w:rPr>
        <w:t>.</w:t>
      </w:r>
      <w:r w:rsidRPr="004E36B8">
        <w:rPr>
          <w:color w:val="1B1B1B"/>
          <w:shd w:val="clear" w:color="auto" w:fill="FFFFFF"/>
        </w:rPr>
        <w:t>S</w:t>
      </w:r>
      <w:r w:rsidR="002C6B51">
        <w:rPr>
          <w:color w:val="1B1B1B"/>
          <w:shd w:val="clear" w:color="auto" w:fill="FFFFFF"/>
        </w:rPr>
        <w:t>.</w:t>
      </w:r>
      <w:r w:rsidRPr="004E36B8">
        <w:rPr>
          <w:color w:val="1B1B1B"/>
          <w:shd w:val="clear" w:color="auto" w:fill="FFFFFF"/>
        </w:rPr>
        <w:t xml:space="preserve"> </w:t>
      </w:r>
      <w:r w:rsidRPr="007367AA">
        <w:rPr>
          <w:color w:val="1B1B1B"/>
          <w:shd w:val="clear" w:color="auto" w:fill="FFFFFF"/>
        </w:rPr>
        <w:t>(EPA, 2021</w:t>
      </w:r>
      <w:r w:rsidR="00CF0541" w:rsidRPr="007367AA">
        <w:rPr>
          <w:color w:val="1B1B1B"/>
          <w:shd w:val="clear" w:color="auto" w:fill="FFFFFF"/>
        </w:rPr>
        <w:t>a</w:t>
      </w:r>
      <w:r w:rsidR="00D30498" w:rsidRPr="007367AA">
        <w:rPr>
          <w:color w:val="1B1B1B"/>
          <w:shd w:val="clear" w:color="auto" w:fill="FFFFFF"/>
        </w:rPr>
        <w:t>, page ES 27</w:t>
      </w:r>
      <w:r w:rsidRPr="007367AA">
        <w:rPr>
          <w:color w:val="1B1B1B"/>
          <w:shd w:val="clear" w:color="auto" w:fill="FFFFFF"/>
        </w:rPr>
        <w:t>). This contribution from household vehicle use to GHG emissions, despite substantial improvements in fuel efficiency through technological advancements, may be explained primarily by the shift in the body type of vehicles owned by households from passenger cars to light duty trucks.</w:t>
      </w:r>
      <w:r w:rsidRPr="007367AA">
        <w:t xml:space="preserve"> In particular, while light duty trucks (including pick-up trucks, minivans, and sport utility vehicles) accounted for just about 20</w:t>
      </w:r>
      <w:r w:rsidR="00B62C62" w:rsidRPr="007367AA">
        <w:t>%</w:t>
      </w:r>
      <w:r w:rsidRPr="007367AA">
        <w:t xml:space="preserve"> of the </w:t>
      </w:r>
      <w:r w:rsidR="00D30498" w:rsidRPr="007367AA">
        <w:t xml:space="preserve">new vehicle market </w:t>
      </w:r>
      <w:r w:rsidRPr="007367AA">
        <w:t>35 years ago and 50% of the fleet</w:t>
      </w:r>
      <w:r w:rsidR="00D30498" w:rsidRPr="007367AA">
        <w:t xml:space="preserve"> less than ten </w:t>
      </w:r>
      <w:r w:rsidRPr="007367AA">
        <w:t>years back, they account</w:t>
      </w:r>
      <w:r w:rsidR="00D30498" w:rsidRPr="007367AA">
        <w:t>ed</w:t>
      </w:r>
      <w:r w:rsidRPr="007367AA">
        <w:t xml:space="preserve"> for about 7</w:t>
      </w:r>
      <w:r w:rsidR="00D30498" w:rsidRPr="007367AA">
        <w:t>0</w:t>
      </w:r>
      <w:r w:rsidRPr="007367AA">
        <w:t xml:space="preserve">% of </w:t>
      </w:r>
      <w:r w:rsidR="00D30498" w:rsidRPr="007367AA">
        <w:t xml:space="preserve">the new </w:t>
      </w:r>
      <w:r w:rsidRPr="007367AA">
        <w:t>vehicle</w:t>
      </w:r>
      <w:r w:rsidR="00D30498" w:rsidRPr="007367AA">
        <w:t xml:space="preserve"> market</w:t>
      </w:r>
      <w:r w:rsidRPr="007367AA">
        <w:t xml:space="preserve"> </w:t>
      </w:r>
      <w:r w:rsidR="00D30498" w:rsidRPr="007367AA">
        <w:t xml:space="preserve">in 2020 </w:t>
      </w:r>
      <w:r w:rsidR="00DE0C9C" w:rsidRPr="007367AA">
        <w:t>(EPA, 2021</w:t>
      </w:r>
      <w:r w:rsidR="00CF0541" w:rsidRPr="007367AA">
        <w:t>b</w:t>
      </w:r>
      <w:r w:rsidR="00D30498" w:rsidRPr="007367AA">
        <w:t>, page 21</w:t>
      </w:r>
      <w:r w:rsidRPr="007367AA">
        <w:t>).</w:t>
      </w:r>
    </w:p>
    <w:p w:rsidR="006B1E66" w:rsidRPr="00A2141B" w:rsidRDefault="006E2392" w:rsidP="0001701E">
      <w:pPr>
        <w:pStyle w:val="ListParagraph"/>
        <w:spacing w:after="0"/>
        <w:ind w:left="0" w:firstLine="720"/>
        <w:contextualSpacing w:val="0"/>
        <w:jc w:val="both"/>
        <w:rPr>
          <w:rFonts w:ascii="Times New Roman" w:hAnsi="Times New Roman"/>
          <w:sz w:val="24"/>
          <w:szCs w:val="24"/>
        </w:rPr>
      </w:pPr>
      <w:r w:rsidRPr="004E36B8">
        <w:rPr>
          <w:rFonts w:ascii="Times New Roman" w:hAnsi="Times New Roman"/>
          <w:sz w:val="24"/>
          <w:szCs w:val="24"/>
        </w:rPr>
        <w:lastRenderedPageBreak/>
        <w:t xml:space="preserve">The importance of modeling and predicting household vehicle holdings by body type and use has not gone unnoticed by travel demand researchers and practitioners. Specifically, while much of the research in the past in the area was focused on the body type of the most recently purchased or most used vehicle in a household, and even that in broad binary classes such as car versus non-car or sports utility vehicle (SUV) versus non-SUV vehicles, more recent studies have considered the entire household vehicle holdings using a more disaggregate classification of vehicle type (see </w:t>
      </w:r>
      <w:r w:rsidRPr="00426F1A">
        <w:rPr>
          <w:rFonts w:ascii="Times New Roman" w:hAnsi="Times New Roman"/>
          <w:sz w:val="24"/>
          <w:szCs w:val="24"/>
        </w:rPr>
        <w:t xml:space="preserve">Ma and Ye, 2019 for a review of such studies). </w:t>
      </w:r>
      <w:r w:rsidR="007B119F" w:rsidRPr="00426F1A">
        <w:rPr>
          <w:rFonts w:ascii="Times New Roman" w:hAnsi="Times New Roman"/>
          <w:sz w:val="24"/>
          <w:szCs w:val="24"/>
        </w:rPr>
        <w:t>Further,</w:t>
      </w:r>
      <w:r w:rsidR="006B1E66" w:rsidRPr="00426F1A">
        <w:rPr>
          <w:rFonts w:ascii="Times New Roman" w:hAnsi="Times New Roman"/>
          <w:sz w:val="24"/>
          <w:szCs w:val="24"/>
        </w:rPr>
        <w:t xml:space="preserve"> because of the increasing interest in, and legislative initiatives to, proactively influence the regional fleet mix of vehicles through environmental policies aimed at reducing mobile-source pollutants and </w:t>
      </w:r>
      <w:r w:rsidR="00E53B18" w:rsidRPr="00426F1A">
        <w:rPr>
          <w:rFonts w:ascii="Times New Roman" w:hAnsi="Times New Roman"/>
          <w:sz w:val="24"/>
          <w:szCs w:val="24"/>
        </w:rPr>
        <w:t xml:space="preserve">GHG </w:t>
      </w:r>
      <w:r w:rsidR="006B1E66" w:rsidRPr="00426F1A">
        <w:rPr>
          <w:rFonts w:ascii="Times New Roman" w:hAnsi="Times New Roman"/>
          <w:sz w:val="24"/>
          <w:szCs w:val="24"/>
        </w:rPr>
        <w:t>emissions, models of household vehicle fleet composition are being embedded within larger activity-based travel and emissions forecasting systems (see, for example, Vyas et al.</w:t>
      </w:r>
      <w:r w:rsidR="00B62C62" w:rsidRPr="00426F1A">
        <w:rPr>
          <w:rFonts w:ascii="Times New Roman" w:hAnsi="Times New Roman"/>
          <w:sz w:val="24"/>
          <w:szCs w:val="24"/>
        </w:rPr>
        <w:t>, 201</w:t>
      </w:r>
      <w:r w:rsidR="00CF0541" w:rsidRPr="00426F1A">
        <w:rPr>
          <w:rFonts w:ascii="Times New Roman" w:hAnsi="Times New Roman"/>
          <w:sz w:val="24"/>
          <w:szCs w:val="24"/>
        </w:rPr>
        <w:t>2</w:t>
      </w:r>
      <w:r w:rsidR="00054D13" w:rsidRPr="00426F1A">
        <w:rPr>
          <w:rFonts w:ascii="Times New Roman" w:hAnsi="Times New Roman"/>
          <w:sz w:val="24"/>
          <w:szCs w:val="24"/>
        </w:rPr>
        <w:t xml:space="preserve">, </w:t>
      </w:r>
      <w:r w:rsidR="006B1E66" w:rsidRPr="00426F1A">
        <w:rPr>
          <w:rFonts w:ascii="Times New Roman" w:hAnsi="Times New Roman"/>
          <w:sz w:val="24"/>
          <w:szCs w:val="24"/>
        </w:rPr>
        <w:t>You et al., 201</w:t>
      </w:r>
      <w:r w:rsidR="00E112BF" w:rsidRPr="00426F1A">
        <w:rPr>
          <w:rFonts w:ascii="Times New Roman" w:hAnsi="Times New Roman"/>
          <w:sz w:val="24"/>
          <w:szCs w:val="24"/>
        </w:rPr>
        <w:t>4</w:t>
      </w:r>
      <w:r w:rsidR="00054D13" w:rsidRPr="00426F1A">
        <w:rPr>
          <w:rFonts w:ascii="Times New Roman" w:hAnsi="Times New Roman"/>
          <w:sz w:val="24"/>
          <w:szCs w:val="24"/>
        </w:rPr>
        <w:t>,</w:t>
      </w:r>
      <w:r w:rsidR="00054D13">
        <w:rPr>
          <w:rFonts w:ascii="Times New Roman" w:hAnsi="Times New Roman"/>
          <w:sz w:val="24"/>
          <w:szCs w:val="24"/>
        </w:rPr>
        <w:t xml:space="preserve"> and </w:t>
      </w:r>
      <w:r w:rsidR="00054D13" w:rsidRPr="00A2141B">
        <w:rPr>
          <w:rFonts w:ascii="Times New Roman" w:hAnsi="Times New Roman"/>
          <w:sz w:val="24"/>
          <w:szCs w:val="24"/>
        </w:rPr>
        <w:t>Cambridge Systematics, 2021</w:t>
      </w:r>
      <w:r w:rsidR="006B1E66" w:rsidRPr="00A2141B">
        <w:rPr>
          <w:rFonts w:ascii="Times New Roman" w:hAnsi="Times New Roman"/>
          <w:sz w:val="24"/>
          <w:szCs w:val="24"/>
        </w:rPr>
        <w:t xml:space="preserve">). </w:t>
      </w:r>
    </w:p>
    <w:p w:rsidR="006E2392" w:rsidRPr="004E36B8" w:rsidRDefault="007B119F" w:rsidP="0001701E">
      <w:pPr>
        <w:spacing w:line="276" w:lineRule="auto"/>
        <w:ind w:firstLine="720"/>
        <w:jc w:val="both"/>
      </w:pPr>
      <w:r w:rsidRPr="00A2141B">
        <w:t xml:space="preserve"> </w:t>
      </w:r>
      <w:r w:rsidR="006E2392" w:rsidRPr="00A2141B">
        <w:t xml:space="preserve">A modeling framework that has received substantial attention in </w:t>
      </w:r>
      <w:r w:rsidR="006B1E66" w:rsidRPr="00A2141B">
        <w:t xml:space="preserve">household vehicle fleet mix and use modeling </w:t>
      </w:r>
      <w:r w:rsidR="006E2392" w:rsidRPr="00A2141B">
        <w:t xml:space="preserve">is the MDCEV model, which incorporates the notion that households own and use different vehicles for different functional purposes. As such, the MDCEV model framework offers an elegant, theoretically consistent, and econometrically integrated approach to jointly model household vehicle ownership, vehicle type, and vehicle usage decisions. But </w:t>
      </w:r>
      <w:r w:rsidR="00304668" w:rsidRPr="00A2141B">
        <w:t xml:space="preserve">the </w:t>
      </w:r>
      <w:r w:rsidR="006E2392" w:rsidRPr="00A2141B">
        <w:t>traditional MDCEV approach (for example, Garikapati et al., 2014</w:t>
      </w:r>
      <w:r w:rsidR="00054D13" w:rsidRPr="00A2141B">
        <w:t xml:space="preserve"> and Cambridge Systematics, 2021</w:t>
      </w:r>
      <w:r w:rsidR="006E2392" w:rsidRPr="00A2141B">
        <w:t>)</w:t>
      </w:r>
      <w:r w:rsidR="006E2392" w:rsidRPr="004E36B8">
        <w:t xml:space="preserve"> need</w:t>
      </w:r>
      <w:r w:rsidR="00304668" w:rsidRPr="004E36B8">
        <w:t>s</w:t>
      </w:r>
      <w:r w:rsidR="006E2392" w:rsidRPr="004E36B8">
        <w:t xml:space="preserve"> an overall budget of miles traveled by all </w:t>
      </w:r>
      <w:r w:rsidR="00304668" w:rsidRPr="004E36B8">
        <w:t>modes</w:t>
      </w:r>
      <w:r w:rsidR="006E2392" w:rsidRPr="004E36B8">
        <w:t xml:space="preserve"> (including by non-motorized modes and other non-</w:t>
      </w:r>
      <w:r w:rsidR="00304668" w:rsidRPr="004E36B8">
        <w:t xml:space="preserve">private vehicle modes) to be able to have the travel by motorized private vehicle modes to be sensitive to such characteristics as individual and household demographics, built environment, and fuel costs. This is achieved </w:t>
      </w:r>
      <w:r w:rsidR="006E2392" w:rsidRPr="004E36B8">
        <w:t>by assum</w:t>
      </w:r>
      <w:r w:rsidR="00304668" w:rsidRPr="004E36B8">
        <w:t>ing</w:t>
      </w:r>
      <w:r w:rsidR="006E2392" w:rsidRPr="004E36B8">
        <w:t xml:space="preserve"> the presence of an outside </w:t>
      </w:r>
      <w:r w:rsidR="00304668" w:rsidRPr="004E36B8">
        <w:t xml:space="preserve">good </w:t>
      </w:r>
      <w:r w:rsidR="006E2392" w:rsidRPr="004E36B8">
        <w:t>label</w:t>
      </w:r>
      <w:r w:rsidR="00304668" w:rsidRPr="004E36B8">
        <w:t>ed, for example,</w:t>
      </w:r>
      <w:r w:rsidR="006E2392" w:rsidRPr="004E36B8">
        <w:t xml:space="preserve"> as the “non</w:t>
      </w:r>
      <w:r w:rsidR="00304668" w:rsidRPr="004E36B8">
        <w:t>-private</w:t>
      </w:r>
      <w:r w:rsidR="006E2392" w:rsidRPr="004E36B8">
        <w:t xml:space="preserve"> mode”</w:t>
      </w:r>
      <w:r w:rsidR="00304668" w:rsidRPr="004E36B8">
        <w:t xml:space="preserve">. But since the mileage traveled by such “non-private modes” is not readily available from typical survey data, </w:t>
      </w:r>
      <w:r w:rsidR="00304668" w:rsidRPr="00054D13">
        <w:rPr>
          <w:i/>
        </w:rPr>
        <w:t>ad hoc</w:t>
      </w:r>
      <w:r w:rsidR="00304668" w:rsidRPr="004E36B8">
        <w:t xml:space="preserve"> assumptions are made for this outside good mileage. Our approach in this paper, however, does </w:t>
      </w:r>
      <w:r w:rsidR="00CA1F08" w:rsidRPr="004E36B8">
        <w:t xml:space="preserve">away with the </w:t>
      </w:r>
      <w:r w:rsidR="00304668" w:rsidRPr="004E36B8">
        <w:t>need</w:t>
      </w:r>
      <w:r w:rsidR="00CA1F08" w:rsidRPr="004E36B8">
        <w:t xml:space="preserve"> to make </w:t>
      </w:r>
      <w:r w:rsidR="00304668" w:rsidRPr="004E36B8">
        <w:t xml:space="preserve">such </w:t>
      </w:r>
      <w:r w:rsidR="00304668" w:rsidRPr="00E53B18">
        <w:rPr>
          <w:i/>
        </w:rPr>
        <w:t>ad hoc</w:t>
      </w:r>
      <w:r w:rsidR="00304668" w:rsidRPr="004E36B8">
        <w:t xml:space="preserve"> assumption</w:t>
      </w:r>
      <w:r w:rsidR="00CA1F08" w:rsidRPr="004E36B8">
        <w:t>s</w:t>
      </w:r>
      <w:r w:rsidR="00304668" w:rsidRPr="004E36B8">
        <w:t xml:space="preserve">. </w:t>
      </w:r>
    </w:p>
    <w:p w:rsidR="004E36B8" w:rsidRPr="004E36B8" w:rsidRDefault="004E36B8" w:rsidP="0001701E">
      <w:pPr>
        <w:spacing w:line="276" w:lineRule="auto"/>
        <w:jc w:val="both"/>
      </w:pPr>
    </w:p>
    <w:p w:rsidR="001128BE" w:rsidRPr="005C6AE5" w:rsidRDefault="001128BE" w:rsidP="0001701E">
      <w:pPr>
        <w:numPr>
          <w:ilvl w:val="1"/>
          <w:numId w:val="6"/>
        </w:numPr>
        <w:spacing w:line="276" w:lineRule="auto"/>
        <w:jc w:val="both"/>
        <w:rPr>
          <w:b/>
        </w:rPr>
      </w:pPr>
      <w:r w:rsidRPr="005C6AE5">
        <w:rPr>
          <w:b/>
        </w:rPr>
        <w:t>The Data</w:t>
      </w:r>
      <w:r w:rsidR="005F3679" w:rsidRPr="005C6AE5">
        <w:rPr>
          <w:b/>
        </w:rPr>
        <w:t xml:space="preserve"> and Sample</w:t>
      </w:r>
      <w:r w:rsidR="006B1E66" w:rsidRPr="005C6AE5">
        <w:rPr>
          <w:b/>
        </w:rPr>
        <w:t xml:space="preserve"> Description</w:t>
      </w:r>
    </w:p>
    <w:p w:rsidR="009A164F" w:rsidRDefault="000C079A" w:rsidP="0001701E">
      <w:pPr>
        <w:spacing w:line="276" w:lineRule="auto"/>
        <w:jc w:val="both"/>
      </w:pPr>
      <w:r w:rsidRPr="004E36B8">
        <w:t xml:space="preserve">The </w:t>
      </w:r>
      <w:r w:rsidR="005F3679" w:rsidRPr="004E36B8">
        <w:t>sample</w:t>
      </w:r>
      <w:r w:rsidR="001128BE" w:rsidRPr="004E36B8">
        <w:t xml:space="preserve"> for this demonstration </w:t>
      </w:r>
      <w:r w:rsidRPr="004E36B8">
        <w:t xml:space="preserve">is based on vehicle ownership and use data from the 2017 National Household Travel Survey in the state of Texas. The </w:t>
      </w:r>
      <w:r w:rsidR="005F3679" w:rsidRPr="004E36B8">
        <w:t xml:space="preserve">motorized private </w:t>
      </w:r>
      <w:r w:rsidRPr="004E36B8">
        <w:t>vehicles owned by each household are categorized into one of five vehicle types: (1) Passenger cars (coupes, sedans, hatchbacks, crossovers, and station wagons</w:t>
      </w:r>
      <w:r w:rsidR="009D20FA">
        <w:t>; cars for short</w:t>
      </w:r>
      <w:r w:rsidRPr="004E36B8">
        <w:t>), (2) Vans, (3) Sports Utility Vehicles (SUVs), (4) Pickup trucks</w:t>
      </w:r>
      <w:r w:rsidR="009D20FA">
        <w:t xml:space="preserve"> (PUTs)</w:t>
      </w:r>
      <w:r w:rsidRPr="004E36B8">
        <w:t xml:space="preserve">, and (5) Other (non-pickup trucks and recreational vehicles). </w:t>
      </w:r>
      <w:r w:rsidR="00674950" w:rsidRPr="004E36B8">
        <w:t>T</w:t>
      </w:r>
      <w:r w:rsidRPr="004E36B8">
        <w:t xml:space="preserve">he final estimation sample includes </w:t>
      </w:r>
      <w:r w:rsidR="00097103">
        <w:t>1423</w:t>
      </w:r>
      <w:r w:rsidRPr="004E36B8">
        <w:t xml:space="preserve"> Texan households </w:t>
      </w:r>
      <w:r w:rsidR="005F3679" w:rsidRPr="004E36B8">
        <w:t>(including those with</w:t>
      </w:r>
      <w:r w:rsidRPr="004E36B8">
        <w:t xml:space="preserve"> </w:t>
      </w:r>
      <w:r w:rsidR="005F3679" w:rsidRPr="004E36B8">
        <w:t xml:space="preserve">zero </w:t>
      </w:r>
      <w:r w:rsidRPr="004E36B8">
        <w:t>vehicle ownership</w:t>
      </w:r>
      <w:r w:rsidR="005F3679" w:rsidRPr="004E36B8">
        <w:t xml:space="preserve">) </w:t>
      </w:r>
      <w:r w:rsidRPr="004E36B8">
        <w:t xml:space="preserve">who owned no more than one vehicle within each of the five vehicle types. Of course, a household might own multiple vehicle types. A separate hold-out validation sample of </w:t>
      </w:r>
      <w:r w:rsidR="00097103">
        <w:t>418</w:t>
      </w:r>
      <w:r w:rsidRPr="004E36B8">
        <w:t xml:space="preserve"> Texan households was also created</w:t>
      </w:r>
      <w:r w:rsidR="005F3679" w:rsidRPr="004E36B8">
        <w:t xml:space="preserve"> (details of the sample formation are provided in Bhat et al., 2020, though the sample in the current study also includes households with zero vehicles that were not included in the earlier study)</w:t>
      </w:r>
      <w:r w:rsidRPr="004E36B8">
        <w:t xml:space="preserve">. The MDC variable corresponds to </w:t>
      </w:r>
      <w:r w:rsidRPr="004E36B8">
        <w:lastRenderedPageBreak/>
        <w:t xml:space="preserve">ownership of each </w:t>
      </w:r>
      <w:r w:rsidR="005F3679" w:rsidRPr="004E36B8">
        <w:t xml:space="preserve">privately owned </w:t>
      </w:r>
      <w:r w:rsidRPr="004E36B8">
        <w:t xml:space="preserve">vehicle type and the </w:t>
      </w:r>
      <w:proofErr w:type="gramStart"/>
      <w:r w:rsidRPr="004E36B8">
        <w:t>amount</w:t>
      </w:r>
      <w:proofErr w:type="gramEnd"/>
      <w:r w:rsidRPr="004E36B8">
        <w:t xml:space="preserve"> of annual miles on each vehicle type</w:t>
      </w:r>
      <w:r w:rsidR="001B2E69" w:rsidRPr="004E36B8">
        <w:t xml:space="preserve"> (zero annual miles using private automobiles is allowed)</w:t>
      </w:r>
      <w:r w:rsidRPr="004E36B8">
        <w:t xml:space="preserve">. </w:t>
      </w:r>
    </w:p>
    <w:p w:rsidR="000C079A" w:rsidRPr="004E36B8" w:rsidRDefault="000C079A" w:rsidP="0001701E">
      <w:pPr>
        <w:spacing w:line="276" w:lineRule="auto"/>
        <w:ind w:firstLine="720"/>
        <w:jc w:val="both"/>
      </w:pPr>
      <w:r w:rsidRPr="004E36B8">
        <w:t>Table 1 provides information on the distribution of vehicle types in the vehicle-use dataset (th</w:t>
      </w:r>
      <w:r w:rsidR="005F3679" w:rsidRPr="004E36B8">
        <w:t>e</w:t>
      </w:r>
      <w:r w:rsidRPr="004E36B8">
        <w:t xml:space="preserve"> table summarizes the statistics across the estimation and validation samples, for a total of </w:t>
      </w:r>
      <w:r w:rsidR="00097103">
        <w:t>1841</w:t>
      </w:r>
      <w:r w:rsidRPr="004E36B8">
        <w:t xml:space="preserve"> households). </w:t>
      </w:r>
      <w:r w:rsidR="001B2E69" w:rsidRPr="004E36B8">
        <w:t xml:space="preserve">Not surprisingly, the percentage of zero-car households is quite low at </w:t>
      </w:r>
      <w:r w:rsidR="00097103">
        <w:t>3.4</w:t>
      </w:r>
      <w:r w:rsidR="001B2E69" w:rsidRPr="004E36B8">
        <w:t>%</w:t>
      </w:r>
      <w:r w:rsidR="00054D13">
        <w:t xml:space="preserve"> (see the last row under the column “zero vehicle HH”)</w:t>
      </w:r>
      <w:r w:rsidR="001B2E69" w:rsidRPr="004E36B8">
        <w:t>. Also, a</w:t>
      </w:r>
      <w:r w:rsidR="003D3EDE" w:rsidRPr="004E36B8">
        <w:t xml:space="preserve">s expected, </w:t>
      </w:r>
      <w:r w:rsidR="001B2E69" w:rsidRPr="004E36B8">
        <w:t xml:space="preserve">the most frequently owned vehicle types (if one or more vehicles are owned) correspond to passenger cars, SUVs, and </w:t>
      </w:r>
      <w:r w:rsidR="009D20FA">
        <w:t>PUTs</w:t>
      </w:r>
      <w:r w:rsidR="001B2E69" w:rsidRPr="004E36B8">
        <w:t xml:space="preserve"> (see the penultimate column of Table 1</w:t>
      </w:r>
      <w:r w:rsidR="009D20FA">
        <w:t>, which shows a total of 1138 households (61.8%) owning cars, 825 (44.8%) households owning SUVs, and 615 (33.4%) households owning PUTs</w:t>
      </w:r>
      <w:r w:rsidR="001B2E69" w:rsidRPr="004E36B8">
        <w:t xml:space="preserve">). </w:t>
      </w:r>
      <w:r w:rsidR="009D20FA" w:rsidRPr="004E36B8">
        <w:t>At the other end, vans and other types of vehicles (non-pickup trucks and recreational vehicles) are the least likely to be present in household vehicle fleets, with only 163 (</w:t>
      </w:r>
      <w:r w:rsidR="009D20FA">
        <w:t>8.9</w:t>
      </w:r>
      <w:r w:rsidR="009D20FA" w:rsidRPr="004E36B8">
        <w:t>%) households owning vans and only 95 households (5.</w:t>
      </w:r>
      <w:r w:rsidR="009D20FA">
        <w:t>2</w:t>
      </w:r>
      <w:r w:rsidR="009D20FA" w:rsidRPr="004E36B8">
        <w:t xml:space="preserve">%) owning non-pickup/recreational vehicles. </w:t>
      </w:r>
      <w:r w:rsidR="007B119F" w:rsidRPr="004E36B8">
        <w:t>T</w:t>
      </w:r>
      <w:r w:rsidRPr="004E36B8">
        <w:t xml:space="preserve">he percentage of pickup trucks and vans in the mix increases within households with more than one vehicle. </w:t>
      </w:r>
      <w:r w:rsidR="00ED7049">
        <w:t xml:space="preserve">Across all households, the vehicle fleet in the sample includes 57% of light duty trucks (vans, SUVs, and PUTs), which is about the range of light duty trucks in the US household vehicle fleet mix about five years back. </w:t>
      </w:r>
      <w:r w:rsidRPr="004E36B8">
        <w:t>In terms of vehicle-use, the last column of Table 1 indicates that SUVs tend to be the most widely used if held by a household, followed by pickup trucks and passenger cars.</w:t>
      </w:r>
    </w:p>
    <w:p w:rsidR="000C079A" w:rsidRPr="004E36B8" w:rsidRDefault="000C079A" w:rsidP="0001701E">
      <w:pPr>
        <w:spacing w:line="276" w:lineRule="auto"/>
        <w:ind w:firstLine="720"/>
        <w:jc w:val="both"/>
      </w:pPr>
    </w:p>
    <w:p w:rsidR="004E36B8" w:rsidRPr="004E36B8" w:rsidRDefault="00D65489" w:rsidP="008F4031">
      <w:pPr>
        <w:spacing w:line="276" w:lineRule="auto"/>
        <w:ind w:left="360" w:hanging="360"/>
        <w:jc w:val="both"/>
        <w:rPr>
          <w:b/>
        </w:rPr>
      </w:pPr>
      <w:r w:rsidRPr="004E36B8">
        <w:rPr>
          <w:b/>
        </w:rPr>
        <w:t>4.</w:t>
      </w:r>
      <w:r w:rsidR="005D76C0">
        <w:rPr>
          <w:b/>
        </w:rPr>
        <w:t>3</w:t>
      </w:r>
      <w:r w:rsidRPr="004E36B8">
        <w:rPr>
          <w:b/>
        </w:rPr>
        <w:t xml:space="preserve">. </w:t>
      </w:r>
      <w:r w:rsidR="005C6AE5">
        <w:rPr>
          <w:b/>
        </w:rPr>
        <w:tab/>
      </w:r>
      <w:r w:rsidRPr="004E36B8">
        <w:rPr>
          <w:b/>
        </w:rPr>
        <w:t>Model Specification</w:t>
      </w:r>
    </w:p>
    <w:p w:rsidR="004E36B8" w:rsidRPr="004E36B8" w:rsidRDefault="004E36B8" w:rsidP="008F4031">
      <w:pPr>
        <w:pStyle w:val="BodyText2"/>
        <w:spacing w:after="0" w:line="276" w:lineRule="auto"/>
        <w:jc w:val="both"/>
      </w:pPr>
      <w:r w:rsidRPr="004E36B8">
        <w:t xml:space="preserve">Several types of variables were considered in the first stage total annual mileage model as well as the second stage fractional MDCEV model. These included household sociodemographics (household size, presence and number of children, number of </w:t>
      </w:r>
      <w:r w:rsidR="00981923">
        <w:t xml:space="preserve">workers, </w:t>
      </w:r>
      <w:r w:rsidRPr="004E36B8">
        <w:t xml:space="preserve">household income, family structure, and dwelling type), </w:t>
      </w:r>
      <w:r w:rsidR="00981923">
        <w:t xml:space="preserve">and </w:t>
      </w:r>
      <w:r w:rsidRPr="004E36B8">
        <w:t xml:space="preserve">residential density and employment density variables. </w:t>
      </w:r>
    </w:p>
    <w:p w:rsidR="00D65489" w:rsidRPr="005D76C0" w:rsidRDefault="00E53B18" w:rsidP="008F4031">
      <w:pPr>
        <w:pStyle w:val="text"/>
        <w:spacing w:line="276" w:lineRule="auto"/>
        <w:ind w:firstLine="720"/>
        <w:jc w:val="both"/>
      </w:pPr>
      <w:r>
        <w:t>T</w:t>
      </w:r>
      <w:r w:rsidR="004E36B8" w:rsidRPr="005D76C0">
        <w:t xml:space="preserve">he focus here is </w:t>
      </w:r>
      <w:r w:rsidR="00D65489" w:rsidRPr="005D76C0">
        <w:t xml:space="preserve">on demonstrating the application of the proposed model rather than necessarily on substantive interpretations and policy implications. But, we </w:t>
      </w:r>
      <w:r w:rsidR="001D3993" w:rsidRPr="005D76C0">
        <w:t xml:space="preserve">did undertake a rigorous specification analysis </w:t>
      </w:r>
      <w:r w:rsidR="004E36B8" w:rsidRPr="005D76C0">
        <w:t xml:space="preserve">with the data available </w:t>
      </w:r>
      <w:r w:rsidR="00D65489" w:rsidRPr="005D76C0">
        <w:t xml:space="preserve">to arrive at the best possible specification (including considering alternative functional forms for continuous independent variables such as income, including a linear form, piecewise linear forms in the form of spline functions, and dummy variable specifications for different groupings). </w:t>
      </w:r>
      <w:r w:rsidR="001D3993" w:rsidRPr="005D76C0">
        <w:t xml:space="preserve">Further, to accommodate heterogeneity across individuals in the effect of observed variables not only in the </w:t>
      </w:r>
      <w:r w:rsidR="00D65489" w:rsidRPr="005D76C0">
        <w:t xml:space="preserve">baseline preference function (the </w:t>
      </w:r>
      <w:r w:rsidR="00D65489" w:rsidRPr="005D76C0">
        <w:rPr>
          <w:position w:val="-12"/>
        </w:rPr>
        <w:object w:dxaOrig="320" w:dyaOrig="360">
          <v:shape id="_x0000_i1288" type="#_x0000_t75" style="width:15.85pt;height:18pt" o:ole="">
            <v:imagedata r:id="rId504" o:title=""/>
          </v:shape>
          <o:OLEObject Type="Embed" ProgID="Equation.DSMT4" ShapeID="_x0000_i1288" DrawAspect="Content" ObjectID="_1722089782" r:id="rId505"/>
        </w:object>
      </w:r>
      <w:r w:rsidR="00D65489" w:rsidRPr="005D76C0">
        <w:t xml:space="preserve"> function as in Equation (</w:t>
      </w:r>
      <w:r w:rsidR="002C6B51">
        <w:t>4</w:t>
      </w:r>
      <w:r w:rsidR="00D65489" w:rsidRPr="005D76C0">
        <w:t xml:space="preserve">)), but also in the satiation parameters (the </w:t>
      </w:r>
      <w:r w:rsidR="00D65489" w:rsidRPr="005D76C0">
        <w:rPr>
          <w:position w:val="-12"/>
        </w:rPr>
        <w:object w:dxaOrig="279" w:dyaOrig="360">
          <v:shape id="_x0000_i1289" type="#_x0000_t75" style="width:14.15pt;height:18pt" o:ole="">
            <v:imagedata r:id="rId54" o:title=""/>
          </v:shape>
          <o:OLEObject Type="Embed" ProgID="Equation.3" ShapeID="_x0000_i1289" DrawAspect="Content" ObjectID="_1722089783" r:id="rId506"/>
        </w:object>
      </w:r>
      <w:r w:rsidR="00D65489" w:rsidRPr="005D76C0">
        <w:t xml:space="preserve"> parameters)</w:t>
      </w:r>
      <w:r w:rsidR="001D3993" w:rsidRPr="005D76C0">
        <w:t xml:space="preserve">, we parameterized the satiation parameters </w:t>
      </w:r>
      <w:r w:rsidR="001D3993" w:rsidRPr="005D76C0">
        <w:rPr>
          <w:lang w:val="en-US"/>
        </w:rPr>
        <w:t xml:space="preserve">as </w:t>
      </w:r>
      <w:r w:rsidR="001D3993" w:rsidRPr="005D76C0">
        <w:rPr>
          <w:position w:val="-12"/>
          <w:lang w:val="en-US"/>
        </w:rPr>
        <w:object w:dxaOrig="1040" w:dyaOrig="360">
          <v:shape id="_x0000_i1290" type="#_x0000_t75" style="width:51.85pt;height:18pt" o:ole="">
            <v:imagedata r:id="rId507" o:title=""/>
          </v:shape>
          <o:OLEObject Type="Embed" ProgID="Equation.DSMT4" ShapeID="_x0000_i1290" DrawAspect="Content" ObjectID="_1722089784" r:id="rId508"/>
        </w:object>
      </w:r>
      <w:r w:rsidR="001D3993" w:rsidRPr="005D76C0">
        <w:rPr>
          <w:lang w:val="en-US"/>
        </w:rPr>
        <w:t xml:space="preserve">, where </w:t>
      </w:r>
      <w:r w:rsidR="001D3993" w:rsidRPr="005D76C0">
        <w:rPr>
          <w:position w:val="-12"/>
          <w:lang w:val="en-US"/>
        </w:rPr>
        <w:object w:dxaOrig="300" w:dyaOrig="360">
          <v:shape id="_x0000_i1291" type="#_x0000_t75" style="width:15pt;height:18pt" o:ole="">
            <v:imagedata r:id="rId509" o:title=""/>
          </v:shape>
          <o:OLEObject Type="Embed" ProgID="Equation.3" ShapeID="_x0000_i1291" DrawAspect="Content" ObjectID="_1722089785" r:id="rId510"/>
        </w:object>
      </w:r>
      <w:r w:rsidR="001D3993" w:rsidRPr="005D76C0">
        <w:rPr>
          <w:lang w:val="en-US"/>
        </w:rPr>
        <w:t xml:space="preserve"> is a vector of decision maker-related characteristics and </w:t>
      </w:r>
      <w:r w:rsidR="001D3993" w:rsidRPr="005D76C0">
        <w:rPr>
          <w:position w:val="-12"/>
          <w:lang w:val="en-US"/>
        </w:rPr>
        <w:object w:dxaOrig="279" w:dyaOrig="360">
          <v:shape id="_x0000_i1292" type="#_x0000_t75" style="width:14.15pt;height:18pt" o:ole="">
            <v:imagedata r:id="rId511" o:title=""/>
          </v:shape>
          <o:OLEObject Type="Embed" ProgID="Equation.DSMT4" ShapeID="_x0000_i1292" DrawAspect="Content" ObjectID="_1722089786" r:id="rId512"/>
        </w:object>
      </w:r>
      <w:r w:rsidR="001D3993" w:rsidRPr="005D76C0">
        <w:rPr>
          <w:lang w:val="en-US"/>
        </w:rPr>
        <w:t xml:space="preserve"> is a vector to be estimated (note that </w:t>
      </w:r>
      <w:r w:rsidR="001D3993" w:rsidRPr="005D76C0">
        <w:rPr>
          <w:position w:val="-12"/>
        </w:rPr>
        <w:object w:dxaOrig="1180" w:dyaOrig="360">
          <v:shape id="_x0000_i1293" type="#_x0000_t75" style="width:59.15pt;height:18pt" o:ole="">
            <v:imagedata r:id="rId513" o:title=""/>
          </v:shape>
          <o:OLEObject Type="Embed" ProgID="Equation.DSMT4" ShapeID="_x0000_i1293" DrawAspect="Content" ObjectID="_1722089787" r:id="rId514"/>
        </w:object>
      </w:r>
      <w:r w:rsidR="001D3993" w:rsidRPr="005D76C0">
        <w:t xml:space="preserve"> This allows the </w:t>
      </w:r>
      <w:r w:rsidR="00D65489" w:rsidRPr="005D76C0">
        <w:t xml:space="preserve">discrete choice </w:t>
      </w:r>
      <w:r w:rsidR="001D3993" w:rsidRPr="005D76C0">
        <w:t xml:space="preserve">decision </w:t>
      </w:r>
      <w:r w:rsidR="00D65489" w:rsidRPr="005D76C0">
        <w:t xml:space="preserve">of consuming an alternative </w:t>
      </w:r>
      <w:r w:rsidR="001D3993" w:rsidRPr="005D76C0">
        <w:t xml:space="preserve">(owning a particular vehicle type) </w:t>
      </w:r>
      <w:r w:rsidR="00D65489" w:rsidRPr="005D76C0">
        <w:t xml:space="preserve">to be less closely tied to the continuous choice of the amount of consumption </w:t>
      </w:r>
      <w:r w:rsidR="001D3993" w:rsidRPr="005D76C0">
        <w:t xml:space="preserve">(that is, vehicle mileage) </w:t>
      </w:r>
      <w:r w:rsidR="00D65489" w:rsidRPr="005D76C0">
        <w:t xml:space="preserve">of that alternative (see Bhat, 2008). </w:t>
      </w:r>
    </w:p>
    <w:p w:rsidR="00B04D14" w:rsidRPr="005D76C0" w:rsidRDefault="00455FEB" w:rsidP="0001701E">
      <w:pPr>
        <w:spacing w:line="276" w:lineRule="auto"/>
        <w:ind w:firstLine="720"/>
        <w:jc w:val="both"/>
      </w:pPr>
      <w:r w:rsidRPr="005D76C0">
        <w:t xml:space="preserve">The performance of our </w:t>
      </w:r>
      <w:r w:rsidR="002C6B51">
        <w:t>t</w:t>
      </w:r>
      <w:r w:rsidR="00461205" w:rsidRPr="005D76C0">
        <w:t>wo-</w:t>
      </w:r>
      <w:r w:rsidR="002C6B51">
        <w:t>s</w:t>
      </w:r>
      <w:r w:rsidR="00461205" w:rsidRPr="005D76C0">
        <w:t xml:space="preserve">tage </w:t>
      </w:r>
      <w:r w:rsidR="00981923" w:rsidRPr="005D76C0">
        <w:t xml:space="preserve">linked </w:t>
      </w:r>
      <w:r w:rsidR="00461205" w:rsidRPr="005D76C0">
        <w:t xml:space="preserve">Reverse Gumbel MDCEV </w:t>
      </w:r>
      <w:r w:rsidR="00AB5217" w:rsidRPr="005D76C0">
        <w:t>(</w:t>
      </w:r>
      <w:r w:rsidR="00461205" w:rsidRPr="005D76C0">
        <w:t xml:space="preserve">or </w:t>
      </w:r>
      <w:r w:rsidR="00AB5217" w:rsidRPr="005D76C0">
        <w:t xml:space="preserve">simply the “linked” </w:t>
      </w:r>
      <w:r w:rsidR="00461205" w:rsidRPr="005D76C0">
        <w:t xml:space="preserve">model for presentation convenience) </w:t>
      </w:r>
      <w:r w:rsidRPr="005D76C0">
        <w:t xml:space="preserve">is examined against a </w:t>
      </w:r>
      <w:r w:rsidR="002C6B51">
        <w:t>t</w:t>
      </w:r>
      <w:r w:rsidR="000B4BF5" w:rsidRPr="005D76C0">
        <w:t>wo-</w:t>
      </w:r>
      <w:r w:rsidR="002C6B51">
        <w:t>s</w:t>
      </w:r>
      <w:r w:rsidR="000B4BF5" w:rsidRPr="005D76C0">
        <w:t xml:space="preserve">tage unlinked MDCEV </w:t>
      </w:r>
      <w:r w:rsidR="00981923" w:rsidRPr="005D76C0">
        <w:t xml:space="preserve">model </w:t>
      </w:r>
      <w:r w:rsidR="00AB5217" w:rsidRPr="005D76C0">
        <w:t xml:space="preserve">(or simply the “unlinked” model for presentation convenience). The latter unlinked model </w:t>
      </w:r>
      <w:r w:rsidR="00AB5217" w:rsidRPr="005D76C0">
        <w:lastRenderedPageBreak/>
        <w:t xml:space="preserve">uses an independent Tobit model for modeling the </w:t>
      </w:r>
      <w:r w:rsidR="00981923" w:rsidRPr="005D76C0">
        <w:t>total budget and an unlinked fractional MDCEV model given the budget</w:t>
      </w:r>
      <w:r w:rsidR="0045195C" w:rsidRPr="005D76C0">
        <w:t xml:space="preserve">. </w:t>
      </w:r>
      <w:r w:rsidR="00B37F50" w:rsidRPr="005D76C0">
        <w:t xml:space="preserve">In this </w:t>
      </w:r>
      <w:r w:rsidR="00AB5217" w:rsidRPr="005D76C0">
        <w:t>unlinked</w:t>
      </w:r>
      <w:r w:rsidR="00B37F50" w:rsidRPr="005D76C0">
        <w:t xml:space="preserve"> model, the </w:t>
      </w:r>
      <w:r w:rsidR="00B04D14" w:rsidRPr="005D76C0">
        <w:t xml:space="preserve">fractional MDCEV component </w:t>
      </w:r>
      <w:r w:rsidR="000B4BF5" w:rsidRPr="005D76C0">
        <w:t xml:space="preserve">and the corresponding forecasting expressions </w:t>
      </w:r>
      <w:r w:rsidR="00B04D14" w:rsidRPr="005D76C0">
        <w:t>remain the same as earlier, but Equation (2</w:t>
      </w:r>
      <w:r w:rsidR="00E717BF">
        <w:t>6</w:t>
      </w:r>
      <w:r w:rsidR="00B04D14" w:rsidRPr="005D76C0">
        <w:t xml:space="preserve">) now takes the </w:t>
      </w:r>
      <w:r w:rsidR="00054D13">
        <w:t xml:space="preserve">following </w:t>
      </w:r>
      <w:r w:rsidR="00B04D14" w:rsidRPr="005D76C0">
        <w:t>unlinked form:</w:t>
      </w:r>
    </w:p>
    <w:p w:rsidR="00B04D14" w:rsidRPr="005D76C0" w:rsidRDefault="00696ACF" w:rsidP="00CB4D5B">
      <w:pPr>
        <w:tabs>
          <w:tab w:val="right" w:pos="9360"/>
        </w:tabs>
        <w:spacing w:before="60" w:after="60" w:line="276" w:lineRule="auto"/>
        <w:jc w:val="both"/>
      </w:pPr>
      <w:r w:rsidRPr="005D76C0">
        <w:rPr>
          <w:position w:val="-34"/>
        </w:rPr>
        <w:object w:dxaOrig="3360" w:dyaOrig="800">
          <v:shape id="_x0000_i1294" type="#_x0000_t75" style="width:168.45pt;height:39.85pt" o:ole="">
            <v:imagedata r:id="rId515" o:title=""/>
            <o:lock v:ext="edit" aspectratio="f"/>
          </v:shape>
          <o:OLEObject Type="Embed" ProgID="Equation.DSMT4" ShapeID="_x0000_i1294" DrawAspect="Content" ObjectID="_1722089788" r:id="rId516"/>
        </w:object>
      </w:r>
      <w:r w:rsidR="00BD420D" w:rsidRPr="005D76C0">
        <w:tab/>
        <w:t xml:space="preserve"> (</w:t>
      </w:r>
      <w:r w:rsidR="00E717BF">
        <w:t>41</w:t>
      </w:r>
      <w:r w:rsidR="00BD420D" w:rsidRPr="005D76C0">
        <w:t>)</w:t>
      </w:r>
    </w:p>
    <w:p w:rsidR="008B37C2" w:rsidRPr="005D76C0" w:rsidRDefault="00B04D14" w:rsidP="0001701E">
      <w:pPr>
        <w:spacing w:line="276" w:lineRule="auto"/>
        <w:jc w:val="both"/>
      </w:pPr>
      <w:r w:rsidRPr="005D76C0">
        <w:t xml:space="preserve">with </w:t>
      </w:r>
      <w:r w:rsidR="00782248" w:rsidRPr="005D76C0">
        <w:rPr>
          <w:position w:val="-10"/>
        </w:rPr>
        <w:object w:dxaOrig="240" w:dyaOrig="380">
          <v:shape id="_x0000_i1295" type="#_x0000_t75" style="width:12pt;height:18.85pt" o:ole="">
            <v:imagedata r:id="rId517" o:title=""/>
          </v:shape>
          <o:OLEObject Type="Embed" ProgID="Equation.DSMT4" ShapeID="_x0000_i1295" DrawAspect="Content" ObjectID="_1722089789" r:id="rId518"/>
        </w:object>
      </w:r>
      <w:r w:rsidRPr="005D76C0">
        <w:t xml:space="preserve"> </w:t>
      </w:r>
      <w:r w:rsidR="00E717BF">
        <w:t xml:space="preserve">now </w:t>
      </w:r>
      <w:r w:rsidRPr="005D76C0">
        <w:t xml:space="preserve">being a reverse </w:t>
      </w:r>
      <w:r w:rsidR="008B37C2" w:rsidRPr="005D76C0">
        <w:t xml:space="preserve">standard </w:t>
      </w:r>
      <w:r w:rsidRPr="005D76C0">
        <w:t>Gumbel variate</w:t>
      </w:r>
      <w:r w:rsidR="008B37C2" w:rsidRPr="005D76C0">
        <w:t>, and</w:t>
      </w:r>
      <w:r w:rsidRPr="005D76C0">
        <w:t xml:space="preserve"> </w:t>
      </w:r>
      <w:r w:rsidR="008B37C2" w:rsidRPr="005D76C0">
        <w:rPr>
          <w:position w:val="-6"/>
        </w:rPr>
        <w:object w:dxaOrig="220" w:dyaOrig="340">
          <v:shape id="_x0000_i1296" type="#_x0000_t75" style="width:11.15pt;height:17.15pt" o:ole="">
            <v:imagedata r:id="rId519" o:title=""/>
          </v:shape>
          <o:OLEObject Type="Embed" ProgID="Equation.DSMT4" ShapeID="_x0000_i1296" DrawAspect="Content" ObjectID="_1722089790" r:id="rId520"/>
        </w:object>
      </w:r>
      <w:r w:rsidR="008B37C2" w:rsidRPr="005D76C0">
        <w:t xml:space="preserve"> being a scale parameter.</w:t>
      </w:r>
      <w:r w:rsidR="0052056C" w:rsidRPr="005D76C0">
        <w:t xml:space="preserve"> </w:t>
      </w:r>
      <w:r w:rsidR="008B37C2" w:rsidRPr="005D76C0">
        <w:t xml:space="preserve">Of course, equivalently, the equation above may be written in terms of a traditional standard Gumbel variate </w:t>
      </w:r>
      <w:r w:rsidR="008B37C2" w:rsidRPr="005D76C0">
        <w:rPr>
          <w:position w:val="-6"/>
        </w:rPr>
        <w:object w:dxaOrig="200" w:dyaOrig="220">
          <v:shape id="_x0000_i1297" type="#_x0000_t75" style="width:9.85pt;height:11.15pt" o:ole="">
            <v:imagedata r:id="rId521" o:title=""/>
          </v:shape>
          <o:OLEObject Type="Embed" ProgID="Equation.DSMT4" ShapeID="_x0000_i1297" DrawAspect="Content" ObjectID="_1722089791" r:id="rId522"/>
        </w:object>
      </w:r>
      <w:r w:rsidR="008B37C2" w:rsidRPr="005D76C0">
        <w:t xml:space="preserve"> as:</w:t>
      </w:r>
    </w:p>
    <w:p w:rsidR="008B37C2" w:rsidRPr="005D76C0" w:rsidRDefault="00696ACF" w:rsidP="00CB4D5B">
      <w:pPr>
        <w:tabs>
          <w:tab w:val="right" w:pos="9360"/>
        </w:tabs>
        <w:spacing w:before="60" w:after="60" w:line="276" w:lineRule="auto"/>
        <w:jc w:val="both"/>
      </w:pPr>
      <w:r w:rsidRPr="005D76C0">
        <w:rPr>
          <w:position w:val="-34"/>
        </w:rPr>
        <w:object w:dxaOrig="3360" w:dyaOrig="800">
          <v:shape id="_x0000_i1298" type="#_x0000_t75" style="width:168.45pt;height:39.85pt" o:ole="">
            <v:imagedata r:id="rId523" o:title=""/>
            <o:lock v:ext="edit" aspectratio="f"/>
          </v:shape>
          <o:OLEObject Type="Embed" ProgID="Equation.DSMT4" ShapeID="_x0000_i1298" DrawAspect="Content" ObjectID="_1722089792" r:id="rId524"/>
        </w:object>
      </w:r>
      <w:r w:rsidR="00BD420D" w:rsidRPr="005D76C0">
        <w:tab/>
        <w:t xml:space="preserve"> (</w:t>
      </w:r>
      <w:r w:rsidR="00E717BF">
        <w:t>42</w:t>
      </w:r>
      <w:r w:rsidR="00BD420D" w:rsidRPr="005D76C0">
        <w:t>)</w:t>
      </w:r>
    </w:p>
    <w:p w:rsidR="00A96CA3" w:rsidRPr="005D76C0" w:rsidRDefault="00A96CA3" w:rsidP="0001701E">
      <w:pPr>
        <w:spacing w:line="276" w:lineRule="auto"/>
        <w:jc w:val="both"/>
      </w:pPr>
      <w:r w:rsidRPr="005D76C0">
        <w:t>The likelihood component for an observation with no budget allocation to the product category in this unlinked case is:</w:t>
      </w:r>
    </w:p>
    <w:p w:rsidR="00A96CA3" w:rsidRPr="005D76C0" w:rsidRDefault="00B751A3" w:rsidP="00CB4D5B">
      <w:pPr>
        <w:tabs>
          <w:tab w:val="right" w:pos="9360"/>
        </w:tabs>
        <w:spacing w:before="60" w:after="60" w:line="276" w:lineRule="auto"/>
        <w:jc w:val="both"/>
      </w:pPr>
      <w:r w:rsidRPr="005D76C0">
        <w:rPr>
          <w:position w:val="-32"/>
        </w:rPr>
        <w:object w:dxaOrig="7720" w:dyaOrig="760">
          <v:shape id="_x0000_i1299" type="#_x0000_t75" style="width:386.15pt;height:38.15pt" o:ole="">
            <v:imagedata r:id="rId525" o:title=""/>
          </v:shape>
          <o:OLEObject Type="Embed" ProgID="Equation.DSMT4" ShapeID="_x0000_i1299" DrawAspect="Content" ObjectID="_1722089793" r:id="rId526"/>
        </w:object>
      </w:r>
      <w:proofErr w:type="gramStart"/>
      <w:r w:rsidR="00A2299E" w:rsidRPr="005D76C0">
        <w:t xml:space="preserve">, </w:t>
      </w:r>
      <w:r w:rsidR="00E717BF">
        <w:t xml:space="preserve">  </w:t>
      </w:r>
      <w:proofErr w:type="gramEnd"/>
      <w:r w:rsidR="00E717BF">
        <w:t xml:space="preserve">                </w:t>
      </w:r>
      <w:r w:rsidR="00BD420D" w:rsidRPr="005D76C0">
        <w:t>(</w:t>
      </w:r>
      <w:r w:rsidR="002C6B51">
        <w:t>4</w:t>
      </w:r>
      <w:r w:rsidR="00E717BF">
        <w:t>3</w:t>
      </w:r>
      <w:r w:rsidR="00BD420D" w:rsidRPr="005D76C0">
        <w:t>)</w:t>
      </w:r>
    </w:p>
    <w:p w:rsidR="00A2299E" w:rsidRPr="005D76C0" w:rsidRDefault="00054D13" w:rsidP="0001701E">
      <w:pPr>
        <w:spacing w:line="276" w:lineRule="auto"/>
        <w:jc w:val="both"/>
      </w:pPr>
      <w:r>
        <w:t>T</w:t>
      </w:r>
      <w:r w:rsidR="00A2299E" w:rsidRPr="005D76C0">
        <w:t xml:space="preserve">he </w:t>
      </w:r>
      <w:r w:rsidR="00A96CA3" w:rsidRPr="005D76C0">
        <w:t xml:space="preserve">corresponding </w:t>
      </w:r>
      <w:r w:rsidR="00A2299E" w:rsidRPr="005D76C0">
        <w:t>likelihood component for an observation with non-zero budget allocation to the product category is:</w:t>
      </w:r>
    </w:p>
    <w:p w:rsidR="00A2299E" w:rsidRPr="005D76C0" w:rsidRDefault="00FE7341" w:rsidP="00CB4D5B">
      <w:pPr>
        <w:tabs>
          <w:tab w:val="right" w:pos="9360"/>
        </w:tabs>
        <w:spacing w:before="60" w:after="60" w:line="276" w:lineRule="auto"/>
        <w:jc w:val="both"/>
      </w:pPr>
      <w:r w:rsidRPr="00DC5E65">
        <w:rPr>
          <w:position w:val="-18"/>
        </w:rPr>
        <w:object w:dxaOrig="3940" w:dyaOrig="480">
          <v:shape id="_x0000_i1300" type="#_x0000_t75" style="width:197.15pt;height:24pt" o:ole="">
            <v:imagedata r:id="rId527" o:title=""/>
          </v:shape>
          <o:OLEObject Type="Embed" ProgID="Equation.DSMT4" ShapeID="_x0000_i1300" DrawAspect="Content" ObjectID="_1722089794" r:id="rId528"/>
        </w:object>
      </w:r>
      <w:r w:rsidR="00A2299E" w:rsidRPr="005D76C0">
        <w:t>with</w:t>
      </w:r>
      <w:r w:rsidR="00696ACF" w:rsidRPr="005D76C0">
        <w:rPr>
          <w:position w:val="-18"/>
        </w:rPr>
        <w:object w:dxaOrig="3200" w:dyaOrig="540">
          <v:shape id="_x0000_i1301" type="#_x0000_t75" style="width:159.85pt;height:27pt" o:ole="">
            <v:imagedata r:id="rId529" o:title=""/>
          </v:shape>
          <o:OLEObject Type="Embed" ProgID="Equation.DSMT4" ShapeID="_x0000_i1301" DrawAspect="Content" ObjectID="_1722089795" r:id="rId530"/>
        </w:object>
      </w:r>
      <w:r w:rsidR="004A2A32">
        <w:t>.</w:t>
      </w:r>
      <w:r w:rsidR="00A2299E" w:rsidRPr="005D76C0">
        <w:t xml:space="preserve"> </w:t>
      </w:r>
      <w:r w:rsidR="00E717BF">
        <w:t xml:space="preserve">              </w:t>
      </w:r>
      <w:r w:rsidR="008F4031">
        <w:tab/>
      </w:r>
      <w:r w:rsidR="00BD420D" w:rsidRPr="005D76C0">
        <w:t>(4</w:t>
      </w:r>
      <w:r w:rsidR="00E717BF">
        <w:t>4</w:t>
      </w:r>
      <w:r w:rsidR="00BD420D" w:rsidRPr="005D76C0">
        <w:t>)</w:t>
      </w:r>
    </w:p>
    <w:p w:rsidR="00770445" w:rsidRPr="005D76C0" w:rsidRDefault="00770445" w:rsidP="0001701E">
      <w:pPr>
        <w:spacing w:line="276" w:lineRule="auto"/>
        <w:jc w:val="both"/>
      </w:pPr>
      <w:r w:rsidRPr="005D76C0">
        <w:t xml:space="preserve">The moments of the resulting censored </w:t>
      </w:r>
      <w:r w:rsidR="008B37C2" w:rsidRPr="005D76C0">
        <w:t xml:space="preserve">traditional </w:t>
      </w:r>
      <w:r w:rsidRPr="005D76C0">
        <w:t xml:space="preserve">Gumbel distribution for </w:t>
      </w:r>
      <w:r w:rsidR="00E717BF" w:rsidRPr="00E717BF">
        <w:rPr>
          <w:position w:val="-10"/>
        </w:rPr>
        <w:object w:dxaOrig="220" w:dyaOrig="260">
          <v:shape id="_x0000_i1302" type="#_x0000_t75" style="width:11.15pt;height:12.85pt" o:ole="">
            <v:imagedata r:id="rId531" o:title=""/>
          </v:shape>
          <o:OLEObject Type="Embed" ProgID="Equation.DSMT4" ShapeID="_x0000_i1302" DrawAspect="Content" ObjectID="_1722089796" r:id="rId532"/>
        </w:object>
      </w:r>
      <w:r w:rsidRPr="005D76C0">
        <w:t xml:space="preserve"> </w:t>
      </w:r>
      <w:r w:rsidR="00BD420D" w:rsidRPr="005D76C0">
        <w:t xml:space="preserve">in this unlinked model </w:t>
      </w:r>
      <w:r w:rsidRPr="005D76C0">
        <w:t>may be readily computed (</w:t>
      </w:r>
      <w:r w:rsidR="005F304D" w:rsidRPr="005D76C0">
        <w:t xml:space="preserve">interestingly, </w:t>
      </w:r>
      <w:r w:rsidR="008B37C2" w:rsidRPr="005D76C0">
        <w:t xml:space="preserve">even the moments of censored versions of the traditional Gumbel distribution appear to have only been recently formally derived and presented; </w:t>
      </w:r>
      <w:r w:rsidRPr="005D76C0">
        <w:t xml:space="preserve">see Baran et al., 2021 and Neamah </w:t>
      </w:r>
      <w:r w:rsidR="00DF01C0">
        <w:t>and Qasim</w:t>
      </w:r>
      <w:r w:rsidRPr="005D76C0">
        <w:t xml:space="preserve">, 2021). </w:t>
      </w:r>
      <w:r w:rsidR="00943CEA" w:rsidRPr="005D76C0">
        <w:t>With the results</w:t>
      </w:r>
      <w:r w:rsidR="00DE0C9C" w:rsidRPr="005D76C0">
        <w:t xml:space="preserve"> from these papers</w:t>
      </w:r>
      <w:r w:rsidRPr="005D76C0">
        <w:t>, the equivalent expressions to Equation (</w:t>
      </w:r>
      <w:r w:rsidR="00E717BF">
        <w:t>31</w:t>
      </w:r>
      <w:r w:rsidRPr="005D76C0">
        <w:t xml:space="preserve">) in this unlinked case </w:t>
      </w:r>
      <w:r w:rsidR="00A96CA3" w:rsidRPr="005D76C0">
        <w:t xml:space="preserve">(as used in model evaluation later) </w:t>
      </w:r>
      <w:r w:rsidR="008B37C2" w:rsidRPr="005D76C0">
        <w:t>are</w:t>
      </w:r>
      <w:r w:rsidRPr="005D76C0">
        <w:t>:</w:t>
      </w:r>
    </w:p>
    <w:p w:rsidR="00770445" w:rsidRPr="005D76C0" w:rsidRDefault="00696ACF" w:rsidP="00CB4D5B">
      <w:pPr>
        <w:tabs>
          <w:tab w:val="right" w:pos="9360"/>
        </w:tabs>
        <w:spacing w:before="60" w:after="60" w:line="276" w:lineRule="auto"/>
        <w:jc w:val="both"/>
      </w:pPr>
      <w:r w:rsidRPr="00643D22">
        <w:rPr>
          <w:position w:val="-146"/>
        </w:rPr>
        <w:object w:dxaOrig="9020" w:dyaOrig="3040">
          <v:shape id="_x0000_i1303" type="#_x0000_t75" style="width:450.85pt;height:152.15pt" o:ole="">
            <v:imagedata r:id="rId533" o:title=""/>
          </v:shape>
          <o:OLEObject Type="Embed" ProgID="Equation.DSMT4" ShapeID="_x0000_i1303" DrawAspect="Content" ObjectID="_1722089797" r:id="rId534"/>
        </w:object>
      </w:r>
      <w:r w:rsidR="00BD420D" w:rsidRPr="005D76C0">
        <w:tab/>
        <w:t>(4</w:t>
      </w:r>
      <w:r w:rsidR="00E717BF">
        <w:t>5</w:t>
      </w:r>
      <w:r w:rsidR="00BD420D" w:rsidRPr="005D76C0">
        <w:t>)</w:t>
      </w:r>
    </w:p>
    <w:p w:rsidR="00770445" w:rsidRPr="005D76C0" w:rsidRDefault="00C0063D" w:rsidP="0001701E">
      <w:pPr>
        <w:spacing w:line="276" w:lineRule="auto"/>
        <w:jc w:val="both"/>
      </w:pPr>
      <w:r w:rsidRPr="005D76C0">
        <w:lastRenderedPageBreak/>
        <w:t xml:space="preserve">where </w:t>
      </w:r>
      <w:r w:rsidRPr="005D76C0">
        <w:rPr>
          <w:position w:val="-14"/>
        </w:rPr>
        <w:object w:dxaOrig="1219" w:dyaOrig="440">
          <v:shape id="_x0000_i1304" type="#_x0000_t75" style="width:60.85pt;height:21.85pt" o:ole="">
            <v:imagedata r:id="rId535" o:title=""/>
          </v:shape>
          <o:OLEObject Type="Embed" ProgID="Equation.DSMT4" ShapeID="_x0000_i1304" DrawAspect="Content" ObjectID="_1722089798" r:id="rId536"/>
        </w:object>
      </w:r>
      <w:r w:rsidRPr="005D76C0">
        <w:t xml:space="preserve">, </w:t>
      </w:r>
      <w:r w:rsidR="00A96CA3" w:rsidRPr="005D76C0">
        <w:rPr>
          <w:position w:val="-32"/>
        </w:rPr>
        <w:object w:dxaOrig="5880" w:dyaOrig="780">
          <v:shape id="_x0000_i1305" type="#_x0000_t75" style="width:294pt;height:39pt" o:ole="">
            <v:imagedata r:id="rId537" o:title=""/>
          </v:shape>
          <o:OLEObject Type="Embed" ProgID="Equation.DSMT4" ShapeID="_x0000_i1305" DrawAspect="Content" ObjectID="_1722089799" r:id="rId538"/>
        </w:object>
      </w:r>
      <w:r w:rsidR="002C6B51">
        <w:t>.</w:t>
      </w:r>
      <w:r w:rsidRPr="005D76C0">
        <w:t xml:space="preserve"> </w:t>
      </w:r>
    </w:p>
    <w:p w:rsidR="009F11CC" w:rsidRPr="005D76C0" w:rsidRDefault="009F11CC" w:rsidP="0001701E">
      <w:pPr>
        <w:spacing w:line="276" w:lineRule="auto"/>
        <w:jc w:val="both"/>
      </w:pPr>
      <w:r w:rsidRPr="005D76C0">
        <w:t xml:space="preserve">We undertake a comparative </w:t>
      </w:r>
      <w:r w:rsidR="00A96CA3" w:rsidRPr="005D76C0">
        <w:t xml:space="preserve">data fit </w:t>
      </w:r>
      <w:r w:rsidRPr="005D76C0">
        <w:t xml:space="preserve">investigation </w:t>
      </w:r>
      <w:r w:rsidR="00A96CA3" w:rsidRPr="005D76C0">
        <w:t xml:space="preserve">of the </w:t>
      </w:r>
      <w:r w:rsidR="00AB5217" w:rsidRPr="005D76C0">
        <w:t>linked</w:t>
      </w:r>
      <w:r w:rsidR="00A96CA3" w:rsidRPr="005D76C0">
        <w:t xml:space="preserve"> and</w:t>
      </w:r>
      <w:r w:rsidR="00AB5217" w:rsidRPr="005D76C0">
        <w:t xml:space="preserve"> unlinked</w:t>
      </w:r>
      <w:r w:rsidR="00A96CA3" w:rsidRPr="005D76C0">
        <w:t xml:space="preserve"> models </w:t>
      </w:r>
      <w:r w:rsidRPr="005D76C0">
        <w:t xml:space="preserve">both in the estimation sample as well as the </w:t>
      </w:r>
      <w:r w:rsidR="00C100D1">
        <w:t xml:space="preserve">hold-out </w:t>
      </w:r>
      <w:r w:rsidRPr="005D76C0">
        <w:t xml:space="preserve">sample, and using both likelihood-based measures as well as more intuitive non-likelihood based measures. </w:t>
      </w:r>
      <w:r w:rsidR="00957572" w:rsidRPr="005D76C0">
        <w:t xml:space="preserve">Because the </w:t>
      </w:r>
      <w:r w:rsidR="00AB5217" w:rsidRPr="005D76C0">
        <w:t xml:space="preserve">direction of </w:t>
      </w:r>
      <w:r w:rsidR="00957572" w:rsidRPr="005D76C0">
        <w:t>effects of variables from the two models were similar, we will not present the results of the</w:t>
      </w:r>
      <w:r w:rsidR="00A96CA3" w:rsidRPr="005D76C0">
        <w:t xml:space="preserve"> </w:t>
      </w:r>
      <w:r w:rsidR="00AB5217" w:rsidRPr="005D76C0">
        <w:t>unlinked</w:t>
      </w:r>
      <w:r w:rsidR="00957572" w:rsidRPr="005D76C0">
        <w:t xml:space="preserve"> model in this paper (this is available from the author)</w:t>
      </w:r>
      <w:r w:rsidR="00B74E64" w:rsidRPr="005D76C0">
        <w:t xml:space="preserve">. However, </w:t>
      </w:r>
      <w:r w:rsidR="00AB5217" w:rsidRPr="005D76C0">
        <w:t xml:space="preserve">some of the substantive differences </w:t>
      </w:r>
      <w:r w:rsidR="00C100D1">
        <w:t xml:space="preserve">between the linked and unlinked models </w:t>
      </w:r>
      <w:r w:rsidR="00B74E64" w:rsidRPr="005D76C0">
        <w:t xml:space="preserve">are discussed, even as our </w:t>
      </w:r>
      <w:r w:rsidR="00957572" w:rsidRPr="005D76C0">
        <w:t xml:space="preserve">focus </w:t>
      </w:r>
      <w:r w:rsidR="00B74E64" w:rsidRPr="005D76C0">
        <w:t xml:space="preserve">will be </w:t>
      </w:r>
      <w:r w:rsidR="00957572" w:rsidRPr="005D76C0">
        <w:t xml:space="preserve">more on the data fit measures between our proposed model and the </w:t>
      </w:r>
      <w:r w:rsidR="0045195C" w:rsidRPr="005D76C0">
        <w:t>unlinked</w:t>
      </w:r>
      <w:r w:rsidR="00957572" w:rsidRPr="005D76C0">
        <w:t xml:space="preserve"> model.</w:t>
      </w:r>
    </w:p>
    <w:p w:rsidR="00D65489" w:rsidRPr="005D76C0" w:rsidRDefault="00D65489" w:rsidP="0001701E">
      <w:pPr>
        <w:spacing w:line="276" w:lineRule="auto"/>
        <w:jc w:val="both"/>
      </w:pPr>
    </w:p>
    <w:p w:rsidR="00D65489" w:rsidRPr="005D76C0" w:rsidRDefault="00D65489" w:rsidP="00143DFB">
      <w:pPr>
        <w:keepNext/>
        <w:keepLines/>
        <w:spacing w:line="276" w:lineRule="auto"/>
        <w:ind w:left="720" w:hanging="720"/>
        <w:jc w:val="both"/>
      </w:pPr>
      <w:r w:rsidRPr="005D76C0">
        <w:rPr>
          <w:b/>
        </w:rPr>
        <w:t>4.</w:t>
      </w:r>
      <w:r w:rsidR="005D76C0">
        <w:rPr>
          <w:b/>
        </w:rPr>
        <w:t>4</w:t>
      </w:r>
      <w:r w:rsidRPr="005D76C0">
        <w:rPr>
          <w:b/>
        </w:rPr>
        <w:t xml:space="preserve">. </w:t>
      </w:r>
      <w:r w:rsidR="00143DFB">
        <w:rPr>
          <w:b/>
        </w:rPr>
        <w:tab/>
      </w:r>
      <w:r w:rsidRPr="005D76C0">
        <w:rPr>
          <w:b/>
        </w:rPr>
        <w:t>Model Results</w:t>
      </w:r>
    </w:p>
    <w:p w:rsidR="00401457" w:rsidRPr="005D76C0" w:rsidRDefault="00D65489" w:rsidP="0001701E">
      <w:pPr>
        <w:keepNext/>
        <w:keepLines/>
        <w:spacing w:line="276" w:lineRule="auto"/>
        <w:jc w:val="both"/>
      </w:pPr>
      <w:r w:rsidRPr="005D76C0">
        <w:t xml:space="preserve">For completeness, we now discuss the substantive results from </w:t>
      </w:r>
      <w:r w:rsidR="00401457" w:rsidRPr="005D76C0">
        <w:t>our proposed</w:t>
      </w:r>
      <w:r w:rsidRPr="005D76C0">
        <w:t xml:space="preserve"> </w:t>
      </w:r>
      <w:r w:rsidR="00B74E64" w:rsidRPr="005D76C0">
        <w:t>linked</w:t>
      </w:r>
      <w:r w:rsidRPr="005D76C0">
        <w:t xml:space="preserve"> model</w:t>
      </w:r>
      <w:r w:rsidR="00401457" w:rsidRPr="005D76C0">
        <w:t xml:space="preserve">. </w:t>
      </w:r>
      <w:r w:rsidR="00401457" w:rsidRPr="005D76C0">
        <w:rPr>
          <w:iCs/>
        </w:rPr>
        <w:t xml:space="preserve">Table </w:t>
      </w:r>
      <w:r w:rsidR="00C100D1">
        <w:rPr>
          <w:iCs/>
        </w:rPr>
        <w:t>2</w:t>
      </w:r>
      <w:r w:rsidR="00401457" w:rsidRPr="005D76C0">
        <w:rPr>
          <w:iCs/>
        </w:rPr>
        <w:t xml:space="preserve"> presents the results</w:t>
      </w:r>
      <w:r w:rsidR="00C100D1">
        <w:rPr>
          <w:iCs/>
        </w:rPr>
        <w:t xml:space="preserve"> for the fractional MDCEV model, and Table 3 presents the results for the Tobit budget model</w:t>
      </w:r>
      <w:r w:rsidR="00401457" w:rsidRPr="005D76C0">
        <w:rPr>
          <w:iCs/>
        </w:rPr>
        <w:t xml:space="preserve">. </w:t>
      </w:r>
    </w:p>
    <w:p w:rsidR="00401457" w:rsidRPr="005D76C0" w:rsidRDefault="00401457" w:rsidP="0001701E">
      <w:pPr>
        <w:spacing w:line="276" w:lineRule="auto"/>
        <w:jc w:val="both"/>
      </w:pPr>
    </w:p>
    <w:p w:rsidR="00F37A3E" w:rsidRPr="002C6B51" w:rsidRDefault="005D76C0" w:rsidP="008F4031">
      <w:pPr>
        <w:spacing w:line="276" w:lineRule="auto"/>
        <w:jc w:val="both"/>
        <w:rPr>
          <w:i/>
        </w:rPr>
      </w:pPr>
      <w:r w:rsidRPr="002C6B51">
        <w:rPr>
          <w:i/>
        </w:rPr>
        <w:t xml:space="preserve">4.4.1. </w:t>
      </w:r>
      <w:r w:rsidR="00F37A3E" w:rsidRPr="002C6B51">
        <w:rPr>
          <w:i/>
        </w:rPr>
        <w:t>MDCEV Fractional Split Model Results</w:t>
      </w:r>
    </w:p>
    <w:p w:rsidR="00C100D1" w:rsidRDefault="00C100D1" w:rsidP="008F4031">
      <w:pPr>
        <w:spacing w:line="276" w:lineRule="auto"/>
        <w:jc w:val="both"/>
      </w:pPr>
      <w:r w:rsidRPr="005D76C0">
        <w:rPr>
          <w:iCs/>
        </w:rPr>
        <w:t xml:space="preserve">The </w:t>
      </w:r>
      <w:r>
        <w:rPr>
          <w:iCs/>
        </w:rPr>
        <w:t xml:space="preserve">parameter estimates in Table 2 </w:t>
      </w:r>
      <w:r w:rsidRPr="005D76C0">
        <w:rPr>
          <w:iCs/>
        </w:rPr>
        <w:t xml:space="preserve">relate to the impact of variables on the logarithm of the baseline preference, except </w:t>
      </w:r>
      <w:r>
        <w:rPr>
          <w:iCs/>
        </w:rPr>
        <w:t xml:space="preserve">for </w:t>
      </w:r>
      <w:r w:rsidRPr="005D76C0">
        <w:rPr>
          <w:iCs/>
        </w:rPr>
        <w:t>the results specific to satiation toward the</w:t>
      </w:r>
      <w:r>
        <w:rPr>
          <w:iCs/>
        </w:rPr>
        <w:t xml:space="preserve"> bottom</w:t>
      </w:r>
      <w:r w:rsidRPr="005D76C0">
        <w:rPr>
          <w:iCs/>
        </w:rPr>
        <w:t xml:space="preserve"> of </w:t>
      </w:r>
      <w:r>
        <w:rPr>
          <w:iCs/>
        </w:rPr>
        <w:t>the table</w:t>
      </w:r>
      <w:r w:rsidRPr="005D76C0">
        <w:rPr>
          <w:iCs/>
        </w:rPr>
        <w:t xml:space="preserve">. The five vehicle type alternatives are </w:t>
      </w:r>
      <w:r w:rsidRPr="005D76C0">
        <w:t>(1) Passenger car, (2) Van, (3) SUV, (4) P</w:t>
      </w:r>
      <w:r>
        <w:t>UT</w:t>
      </w:r>
      <w:r w:rsidRPr="005D76C0">
        <w:t xml:space="preserve">, and (5) Other. In the table, we retain some variables whose coefficients do not rise to a statistical significance level of 0.05, but that still provide intuitive and useful insights. </w:t>
      </w:r>
    </w:p>
    <w:p w:rsidR="00C100D1" w:rsidRPr="005D76C0" w:rsidRDefault="00C100D1" w:rsidP="008F4031">
      <w:pPr>
        <w:spacing w:line="276" w:lineRule="auto"/>
        <w:jc w:val="both"/>
      </w:pPr>
    </w:p>
    <w:p w:rsidR="00401457" w:rsidRPr="005D76C0" w:rsidRDefault="00401457" w:rsidP="0001701E">
      <w:pPr>
        <w:spacing w:line="276" w:lineRule="auto"/>
        <w:jc w:val="both"/>
      </w:pPr>
      <w:r w:rsidRPr="005D76C0">
        <w:rPr>
          <w:b/>
          <w:i/>
          <w:iCs/>
        </w:rPr>
        <w:t>Household sociodemographic</w:t>
      </w:r>
      <w:r w:rsidR="00F37A3E" w:rsidRPr="005D76C0">
        <w:rPr>
          <w:b/>
          <w:i/>
          <w:iCs/>
        </w:rPr>
        <w:t xml:space="preserve"> effects</w:t>
      </w:r>
      <w:r w:rsidRPr="005D76C0">
        <w:rPr>
          <w:b/>
          <w:i/>
        </w:rPr>
        <w:t>:</w:t>
      </w:r>
      <w:r w:rsidRPr="005D76C0">
        <w:t xml:space="preserve"> </w:t>
      </w:r>
      <w:r w:rsidR="00330565" w:rsidRPr="005D76C0">
        <w:t xml:space="preserve">Household </w:t>
      </w:r>
      <w:r w:rsidR="00AD0F77" w:rsidRPr="005D76C0">
        <w:t>demographics have a significant effect on vehicle type choice, particularly</w:t>
      </w:r>
      <w:r w:rsidRPr="005D76C0">
        <w:t xml:space="preserve"> the effect of annual household income</w:t>
      </w:r>
      <w:r w:rsidR="00AD0F77" w:rsidRPr="005D76C0">
        <w:t xml:space="preserve">. </w:t>
      </w:r>
      <w:r w:rsidRPr="005D76C0">
        <w:t xml:space="preserve">Table </w:t>
      </w:r>
      <w:r w:rsidR="00C100D1">
        <w:t>2</w:t>
      </w:r>
      <w:r w:rsidRPr="005D76C0">
        <w:t xml:space="preserve"> indicates that low income households (less than $35,000 annual income) are more likely to own vans</w:t>
      </w:r>
      <w:r w:rsidR="00F70F5E">
        <w:t xml:space="preserve"> and </w:t>
      </w:r>
      <w:r w:rsidR="006E430C">
        <w:t>l</w:t>
      </w:r>
      <w:r w:rsidR="00F70F5E">
        <w:t xml:space="preserve">ess likely to own </w:t>
      </w:r>
      <w:r w:rsidR="006E430C">
        <w:t>“other” (non-pickup and recreational) vehicles</w:t>
      </w:r>
      <w:r w:rsidRPr="005D76C0">
        <w:t xml:space="preserve">, while </w:t>
      </w:r>
      <w:r w:rsidR="00195AD6" w:rsidRPr="005D76C0">
        <w:t xml:space="preserve">increasingly </w:t>
      </w:r>
      <w:r w:rsidRPr="005D76C0">
        <w:t>high</w:t>
      </w:r>
      <w:r w:rsidR="00195AD6" w:rsidRPr="005D76C0">
        <w:t>er</w:t>
      </w:r>
      <w:r w:rsidRPr="005D76C0">
        <w:t xml:space="preserve"> income households</w:t>
      </w:r>
      <w:r w:rsidR="00195AD6" w:rsidRPr="005D76C0">
        <w:t xml:space="preserve"> </w:t>
      </w:r>
      <w:r w:rsidRPr="005D76C0">
        <w:t>are more likely to own SUVs</w:t>
      </w:r>
      <w:r w:rsidR="005738D0" w:rsidRPr="005D76C0">
        <w:t xml:space="preserve">. This </w:t>
      </w:r>
      <w:r w:rsidR="006E430C">
        <w:t xml:space="preserve">latter result </w:t>
      </w:r>
      <w:r w:rsidR="005738D0" w:rsidRPr="005D76C0">
        <w:t xml:space="preserve">is not surprising, because most of the luxury vehicles reside within the SUV class, and SUVs are known to be gas-guzzlers that require quite a bit of fuel cost outlays. Interestingly, the preference for </w:t>
      </w:r>
      <w:r w:rsidR="00C100D1">
        <w:t>PUTs</w:t>
      </w:r>
      <w:r w:rsidR="005738D0" w:rsidRPr="005D76C0">
        <w:t xml:space="preserve"> is highest in the middle income bracket (</w:t>
      </w:r>
      <w:r w:rsidR="002C6B51">
        <w:t>$</w:t>
      </w:r>
      <w:r w:rsidR="005738D0" w:rsidRPr="005D76C0">
        <w:t>75-</w:t>
      </w:r>
      <w:r w:rsidR="002C6B51">
        <w:t>$</w:t>
      </w:r>
      <w:r w:rsidR="005738D0" w:rsidRPr="005D76C0">
        <w:t xml:space="preserve">125K annual income range), though households with higher than </w:t>
      </w:r>
      <w:r w:rsidR="002C6B51">
        <w:t>$</w:t>
      </w:r>
      <w:r w:rsidR="005738D0" w:rsidRPr="005D76C0">
        <w:t xml:space="preserve">35K annual income </w:t>
      </w:r>
      <w:r w:rsidR="00AD0F77" w:rsidRPr="005D76C0">
        <w:t xml:space="preserve">more </w:t>
      </w:r>
      <w:r w:rsidR="005738D0" w:rsidRPr="005D76C0">
        <w:t xml:space="preserve">generally have a higher preference for </w:t>
      </w:r>
      <w:r w:rsidR="00C100D1">
        <w:t xml:space="preserve">PUTs </w:t>
      </w:r>
      <w:r w:rsidR="005738D0" w:rsidRPr="005D76C0">
        <w:t xml:space="preserve">than those with household income less than </w:t>
      </w:r>
      <w:r w:rsidR="002C6B51">
        <w:t>$</w:t>
      </w:r>
      <w:r w:rsidR="005738D0" w:rsidRPr="005D76C0">
        <w:t>35K</w:t>
      </w:r>
      <w:r w:rsidR="00E53B18">
        <w:t>.</w:t>
      </w:r>
      <w:r w:rsidR="005F5EFE" w:rsidRPr="005D76C0">
        <w:t xml:space="preserve"> </w:t>
      </w:r>
      <w:r w:rsidR="005738D0" w:rsidRPr="005D76C0">
        <w:t xml:space="preserve">The </w:t>
      </w:r>
      <w:r w:rsidR="00883BB2" w:rsidRPr="005D76C0">
        <w:t xml:space="preserve">preference </w:t>
      </w:r>
      <w:r w:rsidR="00C100D1">
        <w:t xml:space="preserve">for PUTs </w:t>
      </w:r>
      <w:r w:rsidR="005738D0" w:rsidRPr="005D76C0">
        <w:t xml:space="preserve">in the middle-income bracket may be reflective of the use of such vehicles for work-related </w:t>
      </w:r>
      <w:r w:rsidR="00AD0F77" w:rsidRPr="005D76C0">
        <w:t xml:space="preserve">activities associated with </w:t>
      </w:r>
      <w:r w:rsidR="005738D0" w:rsidRPr="005D76C0">
        <w:t xml:space="preserve">farming and transportation. </w:t>
      </w:r>
      <w:r w:rsidRPr="005D76C0">
        <w:t xml:space="preserve"> </w:t>
      </w:r>
    </w:p>
    <w:p w:rsidR="00401457" w:rsidRPr="005D76C0" w:rsidRDefault="00C100D1" w:rsidP="0001701E">
      <w:pPr>
        <w:spacing w:line="276" w:lineRule="auto"/>
        <w:ind w:firstLine="720"/>
        <w:jc w:val="both"/>
      </w:pPr>
      <w:r>
        <w:t>In terms of household lifecycle effects, t</w:t>
      </w:r>
      <w:r w:rsidR="005738D0" w:rsidRPr="005D76C0">
        <w:t xml:space="preserve">here is a clear preference for vans among households with </w:t>
      </w:r>
      <w:r w:rsidR="00401457" w:rsidRPr="005D76C0">
        <w:t>children</w:t>
      </w:r>
      <w:r w:rsidR="005738D0" w:rsidRPr="005D76C0">
        <w:t xml:space="preserve"> (less than 15 years of age), presumably </w:t>
      </w:r>
      <w:r w:rsidR="00401457" w:rsidRPr="005D76C0">
        <w:t xml:space="preserve">because vans are more spacious, safe, and comfortable for travel with small children. </w:t>
      </w:r>
      <w:r w:rsidR="005738D0" w:rsidRPr="005D76C0">
        <w:t xml:space="preserve">Besides, parents may </w:t>
      </w:r>
      <w:r w:rsidR="000B182A">
        <w:t xml:space="preserve">prefer </w:t>
      </w:r>
      <w:r w:rsidR="005738D0" w:rsidRPr="005D76C0">
        <w:t>a van also because it opens up the possibility of carpooling arrangements of children with other parents, mak</w:t>
      </w:r>
      <w:r w:rsidR="006F1012" w:rsidRPr="005D76C0">
        <w:t>ing</w:t>
      </w:r>
      <w:r w:rsidR="005738D0" w:rsidRPr="005D76C0">
        <w:t xml:space="preserve"> the transportation of children efficient </w:t>
      </w:r>
      <w:r w:rsidR="006F1012" w:rsidRPr="005D76C0">
        <w:t xml:space="preserve">across multiple families </w:t>
      </w:r>
      <w:r w:rsidR="005738D0" w:rsidRPr="005D76C0">
        <w:t xml:space="preserve">and </w:t>
      </w:r>
      <w:r w:rsidR="006F1012" w:rsidRPr="005D76C0">
        <w:t xml:space="preserve">engendering a </w:t>
      </w:r>
      <w:r w:rsidR="005738D0" w:rsidRPr="005D76C0">
        <w:t>mutually beneficial a</w:t>
      </w:r>
      <w:r w:rsidR="006F1012" w:rsidRPr="005D76C0">
        <w:t xml:space="preserve">rrangement for all parents involved. </w:t>
      </w:r>
      <w:r w:rsidR="00401457" w:rsidRPr="005D76C0">
        <w:t>In addition to the effect of children on the preference for vans, the results also indicate that households with more</w:t>
      </w:r>
      <w:r w:rsidR="006E430C">
        <w:t xml:space="preserve"> adult</w:t>
      </w:r>
      <w:r w:rsidR="00401457" w:rsidRPr="005D76C0">
        <w:t xml:space="preserve"> individuals </w:t>
      </w:r>
      <w:r w:rsidR="00401457" w:rsidRPr="005D76C0">
        <w:lastRenderedPageBreak/>
        <w:t>prefer vans to other vehicle types</w:t>
      </w:r>
      <w:r w:rsidR="000678FF" w:rsidRPr="005D76C0">
        <w:t>, and least prefer cars</w:t>
      </w:r>
      <w:r w:rsidR="00401457" w:rsidRPr="005D76C0">
        <w:t xml:space="preserve">. </w:t>
      </w:r>
      <w:r w:rsidR="000678FF" w:rsidRPr="005D76C0">
        <w:t xml:space="preserve">Interestingly, after controlling for number of adults and children, there was no additional effect of number of workers in the household on vehicle type choice. This is, in part, because of a rather high correlation between number of adults and number of workers within the sample of Texan households used here, as well as </w:t>
      </w:r>
      <w:r>
        <w:t xml:space="preserve">because </w:t>
      </w:r>
      <w:r w:rsidR="000678FF" w:rsidRPr="005D76C0">
        <w:t xml:space="preserve">vehicle types </w:t>
      </w:r>
      <w:r>
        <w:t xml:space="preserve">other than </w:t>
      </w:r>
      <w:r w:rsidR="000678FF" w:rsidRPr="005D76C0">
        <w:t xml:space="preserve">cars have become so </w:t>
      </w:r>
      <w:r>
        <w:t xml:space="preserve">mainstream in the vehicle fleets of households, </w:t>
      </w:r>
      <w:r w:rsidR="000678FF" w:rsidRPr="005D76C0">
        <w:t>and serve distinct functionalities in the everyday lives of individuals</w:t>
      </w:r>
      <w:r>
        <w:t>,</w:t>
      </w:r>
      <w:r w:rsidR="000678FF" w:rsidRPr="005D76C0">
        <w:t xml:space="preserve"> that employment status of individuals does not play much of a role</w:t>
      </w:r>
      <w:r w:rsidR="006E430C">
        <w:t xml:space="preserve"> in vehicle type choice</w:t>
      </w:r>
      <w:r w:rsidR="000678FF" w:rsidRPr="005D76C0">
        <w:t xml:space="preserve">. </w:t>
      </w:r>
      <w:r w:rsidR="00C60D44" w:rsidRPr="005D76C0">
        <w:t>Finally, within the category of household demographics</w:t>
      </w:r>
      <w:r w:rsidR="00401457" w:rsidRPr="005D76C0">
        <w:t xml:space="preserve">, the race of the </w:t>
      </w:r>
      <w:r>
        <w:t xml:space="preserve">individuals in a </w:t>
      </w:r>
      <w:r w:rsidR="00401457" w:rsidRPr="005D76C0">
        <w:t xml:space="preserve">household is also found to impact vehicle-type holding and usage, even after controlling for income effects. Specifically, </w:t>
      </w:r>
      <w:r>
        <w:t>all-</w:t>
      </w:r>
      <w:r w:rsidR="000678FF" w:rsidRPr="005D76C0">
        <w:t>w</w:t>
      </w:r>
      <w:r w:rsidR="00401457" w:rsidRPr="005D76C0">
        <w:t xml:space="preserve">hite households are clearly much more likely to own pickup trucks and other vehicle types (other truck types/recreational vehicles). </w:t>
      </w:r>
      <w:r w:rsidR="00C60D44" w:rsidRPr="005D76C0">
        <w:t xml:space="preserve">As also pointed out by Bhat et al. (2020), </w:t>
      </w:r>
      <w:r w:rsidR="00EE4462" w:rsidRPr="005D76C0">
        <w:t xml:space="preserve">pick-up truck ownership statistics do reveal that </w:t>
      </w:r>
      <w:r w:rsidR="00401457" w:rsidRPr="005D76C0">
        <w:t>about 75% of the purchases of the top five pickup trucks</w:t>
      </w:r>
      <w:r w:rsidR="00EE4462" w:rsidRPr="005D76C0">
        <w:t xml:space="preserve"> in the U.S.</w:t>
      </w:r>
      <w:r w:rsidR="00401457" w:rsidRPr="005D76C0">
        <w:t xml:space="preserve"> are by </w:t>
      </w:r>
      <w:r w:rsidR="00AD0F77" w:rsidRPr="005D76C0">
        <w:t>w</w:t>
      </w:r>
      <w:r w:rsidR="00401457" w:rsidRPr="005D76C0">
        <w:t xml:space="preserve">hite households.   </w:t>
      </w:r>
    </w:p>
    <w:p w:rsidR="00401457" w:rsidRPr="005D76C0" w:rsidRDefault="00401457" w:rsidP="0001701E">
      <w:pPr>
        <w:spacing w:line="276" w:lineRule="auto"/>
        <w:ind w:firstLine="720"/>
        <w:jc w:val="both"/>
      </w:pPr>
    </w:p>
    <w:p w:rsidR="00401457" w:rsidRPr="005D76C0" w:rsidRDefault="00401457" w:rsidP="0001701E">
      <w:pPr>
        <w:spacing w:line="276" w:lineRule="auto"/>
        <w:jc w:val="both"/>
      </w:pPr>
      <w:r w:rsidRPr="005D76C0">
        <w:rPr>
          <w:b/>
          <w:i/>
          <w:iCs/>
        </w:rPr>
        <w:t xml:space="preserve">Household </w:t>
      </w:r>
      <w:r w:rsidR="00C60D44" w:rsidRPr="005D76C0">
        <w:rPr>
          <w:b/>
          <w:i/>
          <w:iCs/>
        </w:rPr>
        <w:t xml:space="preserve">and work </w:t>
      </w:r>
      <w:r w:rsidRPr="005D76C0">
        <w:rPr>
          <w:b/>
          <w:i/>
          <w:iCs/>
        </w:rPr>
        <w:t>location attribute</w:t>
      </w:r>
      <w:r w:rsidR="00F37A3E" w:rsidRPr="005D76C0">
        <w:rPr>
          <w:b/>
          <w:i/>
          <w:iCs/>
        </w:rPr>
        <w:t xml:space="preserve"> effects</w:t>
      </w:r>
      <w:r w:rsidRPr="005D76C0">
        <w:rPr>
          <w:b/>
          <w:i/>
        </w:rPr>
        <w:t>:</w:t>
      </w:r>
      <w:r w:rsidRPr="005D76C0">
        <w:t xml:space="preserve"> </w:t>
      </w:r>
      <w:r w:rsidR="00C60D44" w:rsidRPr="005D76C0">
        <w:t>Relative to households in areas with a low population density (4000 persons per square mile or lower</w:t>
      </w:r>
      <w:r w:rsidR="00F57992" w:rsidRPr="005D76C0">
        <w:t xml:space="preserve"> in the census block group of the household’s residence</w:t>
      </w:r>
      <w:r w:rsidR="00C60D44" w:rsidRPr="005D76C0">
        <w:t>), h</w:t>
      </w:r>
      <w:r w:rsidRPr="005D76C0">
        <w:t>ouseholds in locations with high population density (more than 4000 persons per square mile</w:t>
      </w:r>
      <w:r w:rsidR="00F57992" w:rsidRPr="005D76C0">
        <w:t xml:space="preserve"> in the Census block group of the household’s location</w:t>
      </w:r>
      <w:r w:rsidRPr="005D76C0">
        <w:t xml:space="preserve">) have a higher preference for passenger cars. </w:t>
      </w:r>
      <w:r w:rsidR="00F57992" w:rsidRPr="005D76C0">
        <w:t>Th</w:t>
      </w:r>
      <w:r w:rsidR="00AF0580" w:rsidRPr="005D76C0">
        <w:t>is</w:t>
      </w:r>
      <w:r w:rsidR="00F57992" w:rsidRPr="005D76C0">
        <w:t xml:space="preserve"> result</w:t>
      </w:r>
      <w:r w:rsidR="00AF0580" w:rsidRPr="005D76C0">
        <w:t xml:space="preserve"> is</w:t>
      </w:r>
      <w:r w:rsidR="00F57992" w:rsidRPr="005D76C0">
        <w:t xml:space="preserve"> </w:t>
      </w:r>
      <w:r w:rsidR="00C60D44" w:rsidRPr="005D76C0">
        <w:t xml:space="preserve">to be expected, </w:t>
      </w:r>
      <w:r w:rsidRPr="005D76C0">
        <w:t>reflect</w:t>
      </w:r>
      <w:r w:rsidR="00F57992" w:rsidRPr="005D76C0">
        <w:t>ing</w:t>
      </w:r>
      <w:r w:rsidRPr="005D76C0">
        <w:t xml:space="preserve"> the relative ease of</w:t>
      </w:r>
      <w:r w:rsidRPr="005D76C0">
        <w:rPr>
          <w:lang w:val="en-GB"/>
        </w:rPr>
        <w:t xml:space="preserve"> maneuverability</w:t>
      </w:r>
      <w:r w:rsidRPr="005D76C0">
        <w:t xml:space="preserve"> </w:t>
      </w:r>
      <w:r w:rsidR="00C60D44" w:rsidRPr="005D76C0">
        <w:t xml:space="preserve">with small-sized vehicles </w:t>
      </w:r>
      <w:r w:rsidRPr="005D76C0">
        <w:t>in highly dense travel areas</w:t>
      </w:r>
      <w:r w:rsidR="00C60D44" w:rsidRPr="005D76C0">
        <w:t xml:space="preserve"> as well as the higher fuel efficiency afforded by cars in stop-and-go traffic. The result </w:t>
      </w:r>
      <w:r w:rsidRPr="005D76C0">
        <w:t xml:space="preserve">regarding the higher inclination of households residing in less dense employment locations </w:t>
      </w:r>
      <w:r w:rsidR="00787843" w:rsidRPr="005D76C0">
        <w:t xml:space="preserve">(less than 750 employees per square mile) </w:t>
      </w:r>
      <w:r w:rsidRPr="005D76C0">
        <w:t xml:space="preserve">to own pickup trucks </w:t>
      </w:r>
      <w:r w:rsidR="00C60D44" w:rsidRPr="005D76C0">
        <w:t xml:space="preserve">supports the earlier </w:t>
      </w:r>
      <w:r w:rsidR="00EE4462" w:rsidRPr="005D76C0">
        <w:t>suggestion</w:t>
      </w:r>
      <w:r w:rsidR="00C60D44" w:rsidRPr="005D76C0">
        <w:t xml:space="preserve"> that such households may be more likely to be </w:t>
      </w:r>
      <w:r w:rsidRPr="005D76C0">
        <w:t>self-employed in farming and other related pursuits</w:t>
      </w:r>
      <w:r w:rsidR="00EE4462" w:rsidRPr="005D76C0">
        <w:t xml:space="preserve">, and trucks make it particularly convenient </w:t>
      </w:r>
      <w:r w:rsidRPr="005D76C0">
        <w:t>to haul large-sized items and operate in relatively rugged terrai</w:t>
      </w:r>
      <w:r w:rsidR="00EE4462" w:rsidRPr="005D76C0">
        <w:t>n</w:t>
      </w:r>
      <w:r w:rsidRPr="005D76C0">
        <w:t xml:space="preserve">. </w:t>
      </w:r>
    </w:p>
    <w:p w:rsidR="00401457" w:rsidRPr="005D76C0" w:rsidRDefault="00401457" w:rsidP="0001701E">
      <w:pPr>
        <w:spacing w:line="276" w:lineRule="auto"/>
        <w:jc w:val="both"/>
      </w:pPr>
    </w:p>
    <w:p w:rsidR="00C100D1" w:rsidRDefault="00401457" w:rsidP="0001701E">
      <w:pPr>
        <w:spacing w:line="276" w:lineRule="auto"/>
        <w:jc w:val="both"/>
        <w:rPr>
          <w:bCs/>
          <w:iCs/>
        </w:rPr>
      </w:pPr>
      <w:r w:rsidRPr="005D76C0">
        <w:rPr>
          <w:b/>
          <w:bCs/>
          <w:i/>
          <w:iCs/>
        </w:rPr>
        <w:t xml:space="preserve">Baseline preference constants: </w:t>
      </w:r>
      <w:r w:rsidRPr="005D76C0">
        <w:rPr>
          <w:bCs/>
          <w:iCs/>
        </w:rPr>
        <w:t xml:space="preserve">The </w:t>
      </w:r>
      <w:r w:rsidR="00EE4462" w:rsidRPr="005D76C0">
        <w:rPr>
          <w:bCs/>
          <w:iCs/>
        </w:rPr>
        <w:t xml:space="preserve">presence of count variables (such as number of adults and children) in the specification renders the interpretation of the </w:t>
      </w:r>
      <w:r w:rsidRPr="005D76C0">
        <w:rPr>
          <w:bCs/>
          <w:iCs/>
        </w:rPr>
        <w:t xml:space="preserve">baseline preference constants </w:t>
      </w:r>
      <w:r w:rsidR="00EE4462" w:rsidRPr="005D76C0">
        <w:rPr>
          <w:bCs/>
          <w:iCs/>
        </w:rPr>
        <w:t xml:space="preserve">difficult. However, as expected, </w:t>
      </w:r>
      <w:r w:rsidRPr="005D76C0">
        <w:rPr>
          <w:bCs/>
          <w:iCs/>
        </w:rPr>
        <w:t xml:space="preserve">the </w:t>
      </w:r>
      <w:r w:rsidR="00EE4462" w:rsidRPr="005D76C0">
        <w:rPr>
          <w:bCs/>
          <w:iCs/>
        </w:rPr>
        <w:t xml:space="preserve">vans and </w:t>
      </w:r>
      <w:r w:rsidRPr="005D76C0">
        <w:rPr>
          <w:bCs/>
          <w:iCs/>
        </w:rPr>
        <w:t>other (non-pickup trucks/recreational) vehicle types</w:t>
      </w:r>
      <w:r w:rsidR="00EE4462" w:rsidRPr="005D76C0">
        <w:rPr>
          <w:bCs/>
          <w:iCs/>
        </w:rPr>
        <w:t xml:space="preserve"> have the highest negatively valued constants</w:t>
      </w:r>
      <w:r w:rsidRPr="005D76C0">
        <w:rPr>
          <w:bCs/>
          <w:iCs/>
        </w:rPr>
        <w:t xml:space="preserve">, conforming to their </w:t>
      </w:r>
      <w:r w:rsidR="00EE4462" w:rsidRPr="005D76C0">
        <w:rPr>
          <w:bCs/>
          <w:iCs/>
        </w:rPr>
        <w:t xml:space="preserve">relatively </w:t>
      </w:r>
      <w:r w:rsidRPr="005D76C0">
        <w:rPr>
          <w:bCs/>
          <w:iCs/>
        </w:rPr>
        <w:t>low representation in household vehicle fleets</w:t>
      </w:r>
      <w:r w:rsidR="00EE4462" w:rsidRPr="005D76C0">
        <w:rPr>
          <w:bCs/>
          <w:iCs/>
        </w:rPr>
        <w:t xml:space="preserve"> compared to cars</w:t>
      </w:r>
      <w:r w:rsidR="00C100D1">
        <w:rPr>
          <w:bCs/>
          <w:iCs/>
        </w:rPr>
        <w:t xml:space="preserve">, </w:t>
      </w:r>
      <w:r w:rsidR="00EE4462" w:rsidRPr="005D76C0">
        <w:rPr>
          <w:bCs/>
          <w:iCs/>
        </w:rPr>
        <w:t>SUVs</w:t>
      </w:r>
      <w:r w:rsidR="00C100D1">
        <w:rPr>
          <w:bCs/>
          <w:iCs/>
        </w:rPr>
        <w:t>, and PUTs</w:t>
      </w:r>
      <w:r w:rsidR="00EE4462" w:rsidRPr="005D76C0">
        <w:rPr>
          <w:bCs/>
          <w:iCs/>
        </w:rPr>
        <w:t>.</w:t>
      </w:r>
    </w:p>
    <w:p w:rsidR="00401457" w:rsidRPr="005D76C0" w:rsidRDefault="00EE4462" w:rsidP="0001701E">
      <w:pPr>
        <w:spacing w:line="276" w:lineRule="auto"/>
        <w:jc w:val="both"/>
        <w:rPr>
          <w:b/>
          <w:bCs/>
          <w:i/>
          <w:iCs/>
        </w:rPr>
      </w:pPr>
      <w:r w:rsidRPr="005D76C0">
        <w:rPr>
          <w:bCs/>
          <w:iCs/>
        </w:rPr>
        <w:t xml:space="preserve"> </w:t>
      </w:r>
      <w:r w:rsidR="00401457" w:rsidRPr="005D76C0">
        <w:rPr>
          <w:b/>
          <w:bCs/>
          <w:i/>
          <w:iCs/>
        </w:rPr>
        <w:t xml:space="preserve"> </w:t>
      </w:r>
    </w:p>
    <w:p w:rsidR="00401457" w:rsidRPr="005D76C0" w:rsidRDefault="00401457" w:rsidP="0001701E">
      <w:pPr>
        <w:pStyle w:val="text"/>
        <w:spacing w:line="276" w:lineRule="auto"/>
        <w:jc w:val="both"/>
      </w:pPr>
      <w:r w:rsidRPr="005D76C0">
        <w:rPr>
          <w:b/>
          <w:i/>
          <w:iCs/>
        </w:rPr>
        <w:t>Satiation</w:t>
      </w:r>
      <w:r w:rsidRPr="005D76C0">
        <w:rPr>
          <w:b/>
        </w:rPr>
        <w:t xml:space="preserve"> </w:t>
      </w:r>
      <w:r w:rsidRPr="005D76C0">
        <w:rPr>
          <w:b/>
          <w:bCs w:val="0"/>
          <w:i/>
          <w:iCs/>
        </w:rPr>
        <w:t>effects through γ</w:t>
      </w:r>
      <w:r w:rsidRPr="005D76C0">
        <w:rPr>
          <w:b/>
          <w:bCs w:val="0"/>
          <w:i/>
          <w:iCs/>
          <w:position w:val="-2"/>
          <w:vertAlign w:val="subscript"/>
        </w:rPr>
        <w:t>k</w:t>
      </w:r>
      <w:r w:rsidRPr="005D76C0">
        <w:rPr>
          <w:b/>
        </w:rPr>
        <w:t xml:space="preserve"> </w:t>
      </w:r>
      <w:r w:rsidRPr="005D76C0">
        <w:rPr>
          <w:b/>
          <w:bCs w:val="0"/>
          <w:i/>
          <w:iCs/>
        </w:rPr>
        <w:t xml:space="preserve">parameters: </w:t>
      </w:r>
      <w:r w:rsidRPr="005D76C0">
        <w:t xml:space="preserve">The </w:t>
      </w:r>
      <w:r w:rsidR="005F5EFE" w:rsidRPr="005D76C0">
        <w:t xml:space="preserve">satiation parameters (the </w:t>
      </w:r>
      <w:r w:rsidR="005F5EFE" w:rsidRPr="005D76C0">
        <w:rPr>
          <w:position w:val="-12"/>
        </w:rPr>
        <w:object w:dxaOrig="279" w:dyaOrig="360">
          <v:shape id="_x0000_i1306" type="#_x0000_t75" style="width:14.15pt;height:18pt" o:ole="">
            <v:imagedata r:id="rId54" o:title=""/>
          </v:shape>
          <o:OLEObject Type="Embed" ProgID="Equation.3" ShapeID="_x0000_i1306" DrawAspect="Content" ObjectID="_1722089800" r:id="rId539"/>
        </w:object>
      </w:r>
      <w:r w:rsidR="005F5EFE" w:rsidRPr="005D76C0">
        <w:t xml:space="preserve"> parameters) are parameterized as </w:t>
      </w:r>
      <w:r w:rsidR="005F5EFE" w:rsidRPr="005D76C0">
        <w:rPr>
          <w:position w:val="-12"/>
          <w:lang w:val="en-US"/>
        </w:rPr>
        <w:object w:dxaOrig="1080" w:dyaOrig="360">
          <v:shape id="_x0000_i1307" type="#_x0000_t75" style="width:54pt;height:18pt" o:ole="">
            <v:imagedata r:id="rId540" o:title=""/>
          </v:shape>
          <o:OLEObject Type="Embed" ProgID="Equation.DSMT4" ShapeID="_x0000_i1307" DrawAspect="Content" ObjectID="_1722089801" r:id="rId541"/>
        </w:object>
      </w:r>
      <w:r w:rsidR="005F5EFE" w:rsidRPr="005D76C0">
        <w:rPr>
          <w:lang w:val="en-US"/>
        </w:rPr>
        <w:t xml:space="preserve">, and the results in the lower panel of Table </w:t>
      </w:r>
      <w:r w:rsidR="00C100D1">
        <w:rPr>
          <w:lang w:val="en-US"/>
        </w:rPr>
        <w:t>2</w:t>
      </w:r>
      <w:r w:rsidR="005F5EFE" w:rsidRPr="005D76C0">
        <w:rPr>
          <w:lang w:val="en-US"/>
        </w:rPr>
        <w:t xml:space="preserve"> represent the elements of the coefficient vector </w:t>
      </w:r>
      <w:r w:rsidR="005F5EFE" w:rsidRPr="005D76C0">
        <w:rPr>
          <w:position w:val="-6"/>
        </w:rPr>
        <w:object w:dxaOrig="200" w:dyaOrig="279">
          <v:shape id="_x0000_i1308" type="#_x0000_t75" style="width:9.85pt;height:14.15pt" o:ole="">
            <v:imagedata r:id="rId542" o:title=""/>
          </v:shape>
          <o:OLEObject Type="Embed" ProgID="Equation.DSMT4" ShapeID="_x0000_i1308" DrawAspect="Content" ObjectID="_1722089802" r:id="rId543"/>
        </w:object>
      </w:r>
      <w:r w:rsidR="005F5EFE" w:rsidRPr="005D76C0">
        <w:t xml:space="preserve">. A positive coefficient has the effect of increasing the </w:t>
      </w:r>
      <w:r w:rsidR="005F5EFE" w:rsidRPr="005D76C0">
        <w:rPr>
          <w:position w:val="-12"/>
        </w:rPr>
        <w:object w:dxaOrig="279" w:dyaOrig="360">
          <v:shape id="_x0000_i1309" type="#_x0000_t75" style="width:14.15pt;height:18pt" o:ole="">
            <v:imagedata r:id="rId54" o:title=""/>
          </v:shape>
          <o:OLEObject Type="Embed" ProgID="Equation.3" ShapeID="_x0000_i1309" DrawAspect="Content" ObjectID="_1722089803" r:id="rId544"/>
        </w:object>
      </w:r>
      <w:r w:rsidR="005F5EFE" w:rsidRPr="005D76C0">
        <w:t xml:space="preserve"> parameter and</w:t>
      </w:r>
      <w:r w:rsidR="00643D22">
        <w:t>,</w:t>
      </w:r>
      <w:r w:rsidR="005F5EFE" w:rsidRPr="005D76C0">
        <w:t xml:space="preserve"> thereby, reducing satiation effects, while a negative coefficient has the effect of decreasing the </w:t>
      </w:r>
      <w:r w:rsidR="002C6B51" w:rsidRPr="005D76C0">
        <w:rPr>
          <w:position w:val="-12"/>
        </w:rPr>
        <w:object w:dxaOrig="279" w:dyaOrig="360">
          <v:shape id="_x0000_i1310" type="#_x0000_t75" style="width:14.15pt;height:18pt" o:ole="">
            <v:imagedata r:id="rId54" o:title=""/>
          </v:shape>
          <o:OLEObject Type="Embed" ProgID="Equation.3" ShapeID="_x0000_i1310" DrawAspect="Content" ObjectID="_1722089804" r:id="rId545"/>
        </w:object>
      </w:r>
      <w:r w:rsidR="005F5EFE" w:rsidRPr="005D76C0">
        <w:t xml:space="preserve"> parameter and increasing satiation effects. The results </w:t>
      </w:r>
      <w:r w:rsidRPr="005D76C0">
        <w:t xml:space="preserve">reveal that, conditional on ownership, households </w:t>
      </w:r>
      <w:r w:rsidR="005F5EFE" w:rsidRPr="005D76C0">
        <w:t xml:space="preserve">with an annual income </w:t>
      </w:r>
      <w:r w:rsidR="006E430C">
        <w:t xml:space="preserve">over 35K tend to </w:t>
      </w:r>
      <w:r w:rsidRPr="005D76C0">
        <w:t xml:space="preserve">put less mileage </w:t>
      </w:r>
      <w:r w:rsidR="00883BB2" w:rsidRPr="005D76C0">
        <w:t xml:space="preserve">(higher satiation) </w:t>
      </w:r>
      <w:r w:rsidRPr="005D76C0">
        <w:t xml:space="preserve">on </w:t>
      </w:r>
      <w:r w:rsidR="00C100D1">
        <w:t xml:space="preserve">PUTs </w:t>
      </w:r>
      <w:r w:rsidR="006E430C">
        <w:t xml:space="preserve">and other recreational vehicles </w:t>
      </w:r>
      <w:r w:rsidR="005F5EFE" w:rsidRPr="005D76C0">
        <w:t xml:space="preserve">compared to other vehicles. Given that most </w:t>
      </w:r>
      <w:r w:rsidR="005F5EFE" w:rsidRPr="005D76C0">
        <w:lastRenderedPageBreak/>
        <w:t xml:space="preserve">households in this range are likely to have a combination of </w:t>
      </w:r>
      <w:r w:rsidRPr="005D76C0">
        <w:t>passenger cars and</w:t>
      </w:r>
      <w:r w:rsidR="00C100D1">
        <w:t xml:space="preserve"> PUTs</w:t>
      </w:r>
      <w:r w:rsidR="00883BB2" w:rsidRPr="005D76C0">
        <w:t>, it stands t</w:t>
      </w:r>
      <w:r w:rsidR="00C100D1">
        <w:t>o</w:t>
      </w:r>
      <w:r w:rsidR="00883BB2" w:rsidRPr="005D76C0">
        <w:t xml:space="preserve"> reason that these households will put more mileage on the smaller vehicle from a fuel cost standpoint. </w:t>
      </w:r>
      <w:r w:rsidRPr="005D76C0">
        <w:t xml:space="preserve"> </w:t>
      </w:r>
      <w:r w:rsidR="00883BB2" w:rsidRPr="005D76C0">
        <w:t xml:space="preserve">In addition, the results also suggest that, conditional on ownership, </w:t>
      </w:r>
      <w:r w:rsidR="004B6BDD" w:rsidRPr="005D76C0">
        <w:t xml:space="preserve">the </w:t>
      </w:r>
      <w:r w:rsidR="00883BB2" w:rsidRPr="005D76C0">
        <w:t>high</w:t>
      </w:r>
      <w:r w:rsidR="004B6BDD" w:rsidRPr="005D76C0">
        <w:t>est</w:t>
      </w:r>
      <w:r w:rsidR="00883BB2" w:rsidRPr="005D76C0">
        <w:t xml:space="preserve"> income households will put less mileage on SUVs </w:t>
      </w:r>
      <w:r w:rsidR="004B6BDD" w:rsidRPr="005D76C0">
        <w:t xml:space="preserve">(relative to other vehicle types) </w:t>
      </w:r>
      <w:r w:rsidR="00883BB2" w:rsidRPr="005D76C0">
        <w:t>than their low</w:t>
      </w:r>
      <w:r w:rsidR="004B6BDD" w:rsidRPr="005D76C0">
        <w:t>er-</w:t>
      </w:r>
      <w:r w:rsidR="00883BB2" w:rsidRPr="005D76C0">
        <w:t xml:space="preserve">income peers. </w:t>
      </w:r>
      <w:r w:rsidR="004B6BDD" w:rsidRPr="005D76C0">
        <w:t xml:space="preserve">While this may seem counter-intuitive, it is simply the model’s way of reflecting the reality that, should households in the low and middle-income ranges happen to decide to own SUVs (which must mean that they are likely to particularly value the functionality of SUVs, given that </w:t>
      </w:r>
      <w:r w:rsidR="006F079A" w:rsidRPr="005D76C0">
        <w:t xml:space="preserve">households in these income ranges are not likely to own </w:t>
      </w:r>
      <w:r w:rsidR="004B6BDD" w:rsidRPr="005D76C0">
        <w:t>SUV</w:t>
      </w:r>
      <w:r w:rsidR="006F079A" w:rsidRPr="005D76C0">
        <w:t>s in the first place</w:t>
      </w:r>
      <w:r w:rsidR="004B6BDD" w:rsidRPr="005D76C0">
        <w:t>)</w:t>
      </w:r>
      <w:r w:rsidR="006F079A" w:rsidRPr="005D76C0">
        <w:t xml:space="preserve">, the intensity of SUV use in such SUV-owning low-to-middle income households may not be much different from the intensity of SUV use in SUV-owning high income households. </w:t>
      </w:r>
      <w:r w:rsidRPr="005D76C0">
        <w:t xml:space="preserve">Thus, given the </w:t>
      </w:r>
      <w:r w:rsidR="006F079A" w:rsidRPr="005D76C0">
        <w:t>high</w:t>
      </w:r>
      <w:r w:rsidRPr="005D76C0">
        <w:t xml:space="preserve"> baseline preference for SUVs among households</w:t>
      </w:r>
      <w:r w:rsidR="006F079A" w:rsidRPr="005D76C0">
        <w:t xml:space="preserve"> in the highest income bracket</w:t>
      </w:r>
      <w:r w:rsidRPr="005D76C0">
        <w:t xml:space="preserve">, and the fact that the baseline preference not only dictates the discrete consumption choice, but also serves as the basis from which satiation effects start operating, the model </w:t>
      </w:r>
      <w:r w:rsidR="006F079A" w:rsidRPr="005D76C0">
        <w:t>increases</w:t>
      </w:r>
      <w:r w:rsidRPr="005D76C0">
        <w:t xml:space="preserve"> the satiation parameter for </w:t>
      </w:r>
      <w:r w:rsidR="006F079A" w:rsidRPr="005D76C0">
        <w:t>high</w:t>
      </w:r>
      <w:r w:rsidRPr="005D76C0">
        <w:t xml:space="preserve"> income households to ensure that SUV use </w:t>
      </w:r>
      <w:r w:rsidR="006F079A" w:rsidRPr="005D76C0">
        <w:t xml:space="preserve">among SUV-owning households do not vary much </w:t>
      </w:r>
      <w:proofErr w:type="gramStart"/>
      <w:r w:rsidR="006F079A" w:rsidRPr="005D76C0">
        <w:t>based</w:t>
      </w:r>
      <w:r w:rsidR="002C6B51">
        <w:t xml:space="preserve"> </w:t>
      </w:r>
      <w:r w:rsidR="006F079A" w:rsidRPr="005D76C0">
        <w:t>on</w:t>
      </w:r>
      <w:proofErr w:type="gramEnd"/>
      <w:r w:rsidR="006F079A" w:rsidRPr="005D76C0">
        <w:t xml:space="preserve"> income earnings. </w:t>
      </w:r>
      <w:r w:rsidR="006E430C">
        <w:t>Interestingly, though, the situation is reversed for vans, where higher income households, if they choose to own vans, appear to use such vehicles quite considerably. This may reflect the association between choosing vans and wanting to pursue leisure trips among high income households</w:t>
      </w:r>
      <w:r w:rsidR="0067440C">
        <w:t>.</w:t>
      </w:r>
      <w:r w:rsidR="006E430C">
        <w:t xml:space="preserve"> </w:t>
      </w:r>
      <w:r w:rsidR="0067440C">
        <w:t>N</w:t>
      </w:r>
      <w:r w:rsidR="006F079A" w:rsidRPr="005D76C0">
        <w:t>oteworthy in the results for the satiation parameters is that no other household or individual or location attribute affects intensity of use. This is evidence of the close association between vehicle type purchase and use decisions. That is, the intended use intensity and functionality of vehicle types is carefully considered by households even as a purchase is being made, rather than households determining intensity of use after purchasing vehicles</w:t>
      </w:r>
      <w:r w:rsidR="00EE0A37" w:rsidRPr="005D76C0">
        <w:t xml:space="preserve">. </w:t>
      </w:r>
      <w:r w:rsidR="006F079A" w:rsidRPr="005D76C0">
        <w:t xml:space="preserve"> </w:t>
      </w:r>
      <w:r w:rsidRPr="005D76C0">
        <w:t xml:space="preserve">The constants related to the satiation parameters (the last row of Table </w:t>
      </w:r>
      <w:r w:rsidR="00C100D1">
        <w:t>2</w:t>
      </w:r>
      <w:r w:rsidRPr="005D76C0">
        <w:t xml:space="preserve">) </w:t>
      </w:r>
      <w:r w:rsidR="00EE0A37" w:rsidRPr="005D76C0">
        <w:t>again have no clear interpretation; they work alongside the baseline parameters to determine intensity of usage</w:t>
      </w:r>
      <w:r w:rsidR="00643D22">
        <w:t xml:space="preserve"> after accounting for observed variable effects</w:t>
      </w:r>
      <w:r w:rsidR="00EE0A37" w:rsidRPr="005D76C0">
        <w:t xml:space="preserve">. </w:t>
      </w:r>
    </w:p>
    <w:p w:rsidR="000C079A" w:rsidRPr="005D76C0" w:rsidRDefault="000C079A" w:rsidP="0001701E">
      <w:pPr>
        <w:spacing w:line="276" w:lineRule="auto"/>
        <w:jc w:val="both"/>
      </w:pPr>
    </w:p>
    <w:p w:rsidR="00EE0A37" w:rsidRPr="002C6B51" w:rsidRDefault="005D76C0" w:rsidP="002C6B51">
      <w:pPr>
        <w:keepNext/>
        <w:keepLines/>
        <w:spacing w:line="276" w:lineRule="auto"/>
        <w:jc w:val="both"/>
        <w:rPr>
          <w:i/>
        </w:rPr>
      </w:pPr>
      <w:r w:rsidRPr="002C6B51">
        <w:rPr>
          <w:i/>
        </w:rPr>
        <w:t xml:space="preserve">4.4.2. </w:t>
      </w:r>
      <w:r w:rsidR="00EE0A37" w:rsidRPr="002C6B51">
        <w:rPr>
          <w:i/>
        </w:rPr>
        <w:t>Total Mileage Tobit Model Results</w:t>
      </w:r>
    </w:p>
    <w:p w:rsidR="00E6163D" w:rsidRPr="005D76C0" w:rsidRDefault="00EE0A37" w:rsidP="002C6B51">
      <w:pPr>
        <w:keepNext/>
        <w:keepLines/>
        <w:spacing w:line="276" w:lineRule="auto"/>
        <w:jc w:val="both"/>
      </w:pPr>
      <w:r w:rsidRPr="005D76C0">
        <w:t xml:space="preserve">The coefficients in Table </w:t>
      </w:r>
      <w:r w:rsidR="00C100D1">
        <w:t>3</w:t>
      </w:r>
      <w:r w:rsidRPr="005D76C0">
        <w:t xml:space="preserve"> provide the Tobit model results. The coefficients in the table correspond to the effects of variables (elements of the </w:t>
      </w:r>
      <w:r w:rsidRPr="005D76C0">
        <w:rPr>
          <w:position w:val="-6"/>
        </w:rPr>
        <w:object w:dxaOrig="200" w:dyaOrig="279">
          <v:shape id="_x0000_i1311" type="#_x0000_t75" style="width:9.85pt;height:14.15pt" o:ole="">
            <v:imagedata r:id="rId546" o:title=""/>
          </v:shape>
          <o:OLEObject Type="Embed" ProgID="Equation.DSMT4" ShapeID="_x0000_i1311" DrawAspect="Content" ObjectID="_1722089805" r:id="rId547"/>
        </w:object>
      </w:r>
      <w:r w:rsidR="00F339BB">
        <w:t xml:space="preserve"> </w:t>
      </w:r>
      <w:r w:rsidRPr="005D76C0">
        <w:t xml:space="preserve">vector) and the coefficient </w:t>
      </w:r>
      <w:r w:rsidRPr="005D76C0">
        <w:rPr>
          <w:position w:val="-6"/>
        </w:rPr>
        <w:object w:dxaOrig="220" w:dyaOrig="279">
          <v:shape id="_x0000_i1312" type="#_x0000_t75" style="width:11.15pt;height:14.15pt" o:ole="">
            <v:imagedata r:id="rId548" o:title=""/>
          </v:shape>
          <o:OLEObject Type="Embed" ProgID="Equation.DSMT4" ShapeID="_x0000_i1312" DrawAspect="Content" ObjectID="_1722089806" r:id="rId549"/>
        </w:object>
      </w:r>
      <w:r w:rsidRPr="005D76C0">
        <w:t xml:space="preserve"> (linking parameter) on the underlying latent propensity </w:t>
      </w:r>
      <w:r w:rsidR="00811C8E" w:rsidRPr="005D76C0">
        <w:t>corresponding to the total intensity of travel (that is, total motorized mileage)</w:t>
      </w:r>
      <w:r w:rsidRPr="005D76C0">
        <w:t>, as in Equation (2</w:t>
      </w:r>
      <w:r w:rsidR="00E717BF">
        <w:t>6</w:t>
      </w:r>
      <w:r w:rsidRPr="005D76C0">
        <w:t xml:space="preserve">). </w:t>
      </w:r>
      <w:r w:rsidR="00811C8E" w:rsidRPr="005D76C0">
        <w:t xml:space="preserve">The results here are intuitive, indicating the </w:t>
      </w:r>
      <w:r w:rsidR="0067440C">
        <w:t xml:space="preserve">lower </w:t>
      </w:r>
      <w:r w:rsidR="00811C8E" w:rsidRPr="005D76C0">
        <w:t xml:space="preserve">travel mileage propensity among (a) </w:t>
      </w:r>
      <w:r w:rsidR="0067440C">
        <w:t xml:space="preserve">low </w:t>
      </w:r>
      <w:r w:rsidR="00811C8E" w:rsidRPr="005D76C0">
        <w:t xml:space="preserve">income households (annual income of </w:t>
      </w:r>
      <w:r w:rsidR="0067440C">
        <w:t xml:space="preserve">less than </w:t>
      </w:r>
      <w:r w:rsidR="002C6B51">
        <w:t>$</w:t>
      </w:r>
      <w:r w:rsidR="0067440C">
        <w:t>3</w:t>
      </w:r>
      <w:r w:rsidR="00811C8E" w:rsidRPr="005D76C0">
        <w:t>5</w:t>
      </w:r>
      <w:r w:rsidR="0067440C">
        <w:t>K</w:t>
      </w:r>
      <w:r w:rsidR="00811C8E" w:rsidRPr="005D76C0">
        <w:t xml:space="preserve">), (b) households with more adults and more workers, (c) white households, and (d) households located away from high population and employment density locations. </w:t>
      </w:r>
    </w:p>
    <w:p w:rsidR="003C5CF6" w:rsidRPr="005D76C0" w:rsidRDefault="00811C8E" w:rsidP="0001701E">
      <w:pPr>
        <w:spacing w:line="276" w:lineRule="auto"/>
        <w:ind w:firstLine="720"/>
        <w:jc w:val="both"/>
      </w:pPr>
      <w:r w:rsidRPr="005D76C0">
        <w:t>Most importantly, in the context of the current paper, the linkage parameter turns out to be 0.</w:t>
      </w:r>
      <w:r w:rsidR="0067440C">
        <w:t>713</w:t>
      </w:r>
      <w:r w:rsidRPr="005D76C0">
        <w:t>. The standard error is 0.</w:t>
      </w:r>
      <w:r w:rsidR="001C6BB1" w:rsidRPr="005D76C0">
        <w:t>0</w:t>
      </w:r>
      <w:r w:rsidR="0089396A" w:rsidRPr="005D76C0">
        <w:t>1</w:t>
      </w:r>
      <w:r w:rsidR="0067440C">
        <w:t>55</w:t>
      </w:r>
      <w:r w:rsidRPr="005D76C0">
        <w:t xml:space="preserve">, with a corresponding </w:t>
      </w:r>
      <w:r w:rsidR="00FE3407" w:rsidRPr="005D76C0">
        <w:t xml:space="preserve">highly </w:t>
      </w:r>
      <w:r w:rsidRPr="005D76C0">
        <w:t xml:space="preserve">statistically significant t-statistic of </w:t>
      </w:r>
      <w:r w:rsidR="0067440C">
        <w:t>21.83</w:t>
      </w:r>
      <w:r w:rsidRPr="005D76C0">
        <w:t xml:space="preserve"> relative to the value of </w:t>
      </w:r>
      <w:r w:rsidR="00FE3407" w:rsidRPr="005D76C0">
        <w:t>0 (note that, unlike a log-sum in a nested logit model, there is no interpretation for the linking parameter to have the value of 1, and there is no requirement that the parameter value must fall in the range of 0-</w:t>
      </w:r>
      <w:r w:rsidR="00C100D1">
        <w:t>1; i</w:t>
      </w:r>
      <w:r w:rsidR="00FE3407" w:rsidRPr="005D76C0">
        <w:t>n our application, it so happens to be in this range)</w:t>
      </w:r>
      <w:r w:rsidRPr="005D76C0">
        <w:t>.</w:t>
      </w:r>
      <w:r w:rsidR="00FE3407" w:rsidRPr="005D76C0">
        <w:t xml:space="preserve"> Th</w:t>
      </w:r>
      <w:r w:rsidR="00C100D1">
        <w:t>e linkage</w:t>
      </w:r>
      <w:r w:rsidR="00FE3407" w:rsidRPr="005D76C0">
        <w:t xml:space="preserve"> result is clear indication of the endogeneity of the total </w:t>
      </w:r>
      <w:r w:rsidR="00FE3407" w:rsidRPr="005D76C0">
        <w:lastRenderedPageBreak/>
        <w:t xml:space="preserve">mileage to the composition of the household vehicle fleet, and </w:t>
      </w:r>
      <w:r w:rsidR="009B1AB0">
        <w:t xml:space="preserve">reflects </w:t>
      </w:r>
      <w:r w:rsidR="00FE3407" w:rsidRPr="005D76C0">
        <w:t xml:space="preserve">the strong effects of variables impacting vehicle type decisions on the total mileage. </w:t>
      </w:r>
      <w:r w:rsidR="0089396A" w:rsidRPr="005D76C0">
        <w:t>Of course, the linkage parameter, as already discussed, also reflect scale effects in the Tobit regression</w:t>
      </w:r>
      <w:r w:rsidR="00BF6FB0" w:rsidRPr="005D76C0">
        <w:t xml:space="preserve">, and generates heteroscedasticity in the underlying </w:t>
      </w:r>
      <w:r w:rsidR="009E526B" w:rsidRPr="005D76C0">
        <w:rPr>
          <w:position w:val="-12"/>
        </w:rPr>
        <w:object w:dxaOrig="279" w:dyaOrig="380">
          <v:shape id="_x0000_i1313" type="#_x0000_t75" style="width:14.15pt;height:18.85pt" o:ole="">
            <v:imagedata r:id="rId550" o:title=""/>
          </v:shape>
          <o:OLEObject Type="Embed" ProgID="Equation.DSMT4" ShapeID="_x0000_i1313" DrawAspect="Content" ObjectID="_1722089807" r:id="rId551"/>
        </w:object>
      </w:r>
      <w:r w:rsidR="00BF6FB0" w:rsidRPr="005D76C0">
        <w:t xml:space="preserve"> variable, as </w:t>
      </w:r>
      <w:r w:rsidR="002D45DC" w:rsidRPr="005D76C0">
        <w:t xml:space="preserve">should be clear from the expression for the variance of the error term </w:t>
      </w:r>
      <w:r w:rsidR="002D45DC" w:rsidRPr="005D76C0">
        <w:rPr>
          <w:position w:val="-10"/>
        </w:rPr>
        <w:object w:dxaOrig="200" w:dyaOrig="260">
          <v:shape id="_x0000_i1314" type="#_x0000_t75" style="width:9.85pt;height:12.85pt" o:ole="">
            <v:imagedata r:id="rId552" o:title=""/>
          </v:shape>
          <o:OLEObject Type="Embed" ProgID="Equation.DSMT4" ShapeID="_x0000_i1314" DrawAspect="Content" ObjectID="_1722089808" r:id="rId553"/>
        </w:object>
      </w:r>
      <w:r w:rsidR="002D45DC" w:rsidRPr="005D76C0">
        <w:t xml:space="preserve"> (see Equation </w:t>
      </w:r>
      <w:r w:rsidR="00E717BF">
        <w:t>30</w:t>
      </w:r>
      <w:r w:rsidR="002D45DC" w:rsidRPr="005D76C0">
        <w:t xml:space="preserve">) embedded in </w:t>
      </w:r>
      <w:r w:rsidR="009E526B" w:rsidRPr="005D76C0">
        <w:rPr>
          <w:position w:val="-12"/>
        </w:rPr>
        <w:object w:dxaOrig="279" w:dyaOrig="380">
          <v:shape id="_x0000_i1315" type="#_x0000_t75" style="width:14.15pt;height:18.85pt" o:ole="">
            <v:imagedata r:id="rId554" o:title=""/>
          </v:shape>
          <o:OLEObject Type="Embed" ProgID="Equation.DSMT4" ShapeID="_x0000_i1315" DrawAspect="Content" ObjectID="_1722089809" r:id="rId555"/>
        </w:object>
      </w:r>
      <w:r w:rsidR="0089396A" w:rsidRPr="005D76C0">
        <w:t>.</w:t>
      </w:r>
      <w:r w:rsidR="00085BED" w:rsidRPr="005D76C0">
        <w:rPr>
          <w:rStyle w:val="FootnoteReference"/>
        </w:rPr>
        <w:footnoteReference w:id="14"/>
      </w:r>
      <w:r w:rsidR="0089396A" w:rsidRPr="005D76C0">
        <w:t xml:space="preserve"> In this context, in the unlinked model, the error </w:t>
      </w:r>
      <w:r w:rsidR="00BF6FB0" w:rsidRPr="005D76C0">
        <w:t xml:space="preserve">term </w:t>
      </w:r>
      <w:r w:rsidR="0089396A" w:rsidRPr="005D76C0">
        <w:t xml:space="preserve">for the underlying latent variable for the Tobit regression (that is, the </w:t>
      </w:r>
      <w:r w:rsidR="00BF6FB0" w:rsidRPr="005D76C0">
        <w:t>error term in</w:t>
      </w:r>
      <w:r w:rsidR="0089396A" w:rsidRPr="005D76C0">
        <w:t xml:space="preserve"> </w:t>
      </w:r>
      <w:r w:rsidR="009E526B" w:rsidRPr="005D76C0">
        <w:rPr>
          <w:position w:val="-12"/>
        </w:rPr>
        <w:object w:dxaOrig="279" w:dyaOrig="380">
          <v:shape id="_x0000_i1316" type="#_x0000_t75" style="width:14.15pt;height:18.85pt" o:ole="">
            <v:imagedata r:id="rId556" o:title=""/>
          </v:shape>
          <o:OLEObject Type="Embed" ProgID="Equation.DSMT4" ShapeID="_x0000_i1316" DrawAspect="Content" ObjectID="_1722089810" r:id="rId557"/>
        </w:object>
      </w:r>
      <w:r w:rsidR="00BF6FB0" w:rsidRPr="005D76C0">
        <w:t xml:space="preserve">, which is </w:t>
      </w:r>
      <w:r w:rsidR="00BF6FB0" w:rsidRPr="005D76C0">
        <w:rPr>
          <w:position w:val="-10"/>
        </w:rPr>
        <w:object w:dxaOrig="380" w:dyaOrig="380">
          <v:shape id="_x0000_i1317" type="#_x0000_t75" style="width:18.85pt;height:18.85pt" o:ole="">
            <v:imagedata r:id="rId558" o:title=""/>
          </v:shape>
          <o:OLEObject Type="Embed" ProgID="Equation.DSMT4" ShapeID="_x0000_i1317" DrawAspect="Content" ObjectID="_1722089811" r:id="rId559"/>
        </w:object>
      </w:r>
      <w:r w:rsidR="00BF6FB0" w:rsidRPr="005D76C0">
        <w:t xml:space="preserve"> in Equation (</w:t>
      </w:r>
      <w:r w:rsidR="00E717BF">
        <w:t>41</w:t>
      </w:r>
      <w:r w:rsidR="00BF6FB0" w:rsidRPr="005D76C0">
        <w:t>)) is homosc</w:t>
      </w:r>
      <w:r w:rsidR="002D45DC" w:rsidRPr="005D76C0">
        <w:t>e</w:t>
      </w:r>
      <w:r w:rsidR="00BF6FB0" w:rsidRPr="005D76C0">
        <w:t>dasti</w:t>
      </w:r>
      <w:r w:rsidR="00085BED" w:rsidRPr="005D76C0">
        <w:t xml:space="preserve">c. As is well known, ignoring heteroscedasticity when present </w:t>
      </w:r>
      <w:r w:rsidR="003C5CF6" w:rsidRPr="005D76C0">
        <w:t xml:space="preserve">in a Tobit model </w:t>
      </w:r>
      <w:r w:rsidR="00085BED" w:rsidRPr="005D76C0">
        <w:t xml:space="preserve">will, in general, lead to inconsistent estimation, which is another problem with the unlinked model. </w:t>
      </w:r>
    </w:p>
    <w:p w:rsidR="00643D22" w:rsidRDefault="003C5CF6" w:rsidP="0001701E">
      <w:pPr>
        <w:spacing w:line="276" w:lineRule="auto"/>
        <w:ind w:firstLine="720"/>
        <w:jc w:val="both"/>
      </w:pPr>
      <w:r w:rsidRPr="005D76C0">
        <w:t>But a</w:t>
      </w:r>
      <w:r w:rsidR="00085BED" w:rsidRPr="005D76C0">
        <w:t xml:space="preserve">ccommodating linkage is </w:t>
      </w:r>
      <w:r w:rsidRPr="005D76C0">
        <w:t xml:space="preserve">not simply an esoteric econometric issue. It can have </w:t>
      </w:r>
      <w:r w:rsidR="00085BED" w:rsidRPr="005D76C0">
        <w:t>important</w:t>
      </w:r>
      <w:r w:rsidRPr="005D76C0">
        <w:t xml:space="preserve"> policy implications</w:t>
      </w:r>
      <w:r w:rsidR="009B1AB0">
        <w:t xml:space="preserve"> </w:t>
      </w:r>
      <w:r w:rsidRPr="005D76C0">
        <w:t>from a structural standpoint</w:t>
      </w:r>
      <w:r w:rsidR="009B1AB0">
        <w:t>. F</w:t>
      </w:r>
      <w:r w:rsidRPr="005D76C0">
        <w:t xml:space="preserve">or example, </w:t>
      </w:r>
      <w:r w:rsidR="00FE3407" w:rsidRPr="005D76C0">
        <w:t xml:space="preserve">based on our results, neighborhood densification </w:t>
      </w:r>
      <w:r w:rsidR="00787843" w:rsidRPr="005D76C0">
        <w:t xml:space="preserve">(through employment densification) would reduce motorized travel directly (based on the negative sign in the Tobit regression on employment density), but also have an additional indirect negative linkage effect though the decrease in </w:t>
      </w:r>
      <w:r w:rsidR="009B1AB0">
        <w:t xml:space="preserve">PUT </w:t>
      </w:r>
      <w:r w:rsidR="00787843" w:rsidRPr="005D76C0">
        <w:t xml:space="preserve">baseline preference in high employment density areas (based on the negative sign on the </w:t>
      </w:r>
      <w:r w:rsidR="009B1AB0">
        <w:t xml:space="preserve">PUT </w:t>
      </w:r>
      <w:r w:rsidR="00787843" w:rsidRPr="005D76C0">
        <w:t xml:space="preserve">baseline preference in Table </w:t>
      </w:r>
      <w:r w:rsidR="0067440C">
        <w:t>2</w:t>
      </w:r>
      <w:r w:rsidR="00787843" w:rsidRPr="005D76C0">
        <w:t xml:space="preserve">). That is, the results show that densification will have a more negative effect on total motorized mileage </w:t>
      </w:r>
      <w:r w:rsidR="009B1AB0">
        <w:t>(</w:t>
      </w:r>
      <w:r w:rsidR="00787843" w:rsidRPr="005D76C0">
        <w:t xml:space="preserve">through the </w:t>
      </w:r>
      <w:r w:rsidR="00E6163D" w:rsidRPr="005D76C0">
        <w:t xml:space="preserve">cumulative of the two combined </w:t>
      </w:r>
      <w:r w:rsidR="00787843" w:rsidRPr="005D76C0">
        <w:t>effects just discussed</w:t>
      </w:r>
      <w:r w:rsidR="009B1AB0">
        <w:t>)</w:t>
      </w:r>
      <w:r w:rsidR="00E6163D" w:rsidRPr="005D76C0">
        <w:t xml:space="preserve"> than what would be </w:t>
      </w:r>
      <w:r w:rsidR="009B1AB0">
        <w:t>estimated</w:t>
      </w:r>
      <w:r w:rsidR="00E6163D" w:rsidRPr="005D76C0">
        <w:t xml:space="preserve"> if the linkage w</w:t>
      </w:r>
      <w:r w:rsidR="00EE6CA2" w:rsidRPr="005D76C0">
        <w:t>ere</w:t>
      </w:r>
      <w:r w:rsidR="00E6163D" w:rsidRPr="005D76C0">
        <w:t xml:space="preserve"> not considered. </w:t>
      </w:r>
      <w:r w:rsidR="009B1AB0">
        <w:t xml:space="preserve">In addition, </w:t>
      </w:r>
      <w:r w:rsidR="00E6163D" w:rsidRPr="005D76C0">
        <w:t xml:space="preserve">in our empirical analysis, the direct effect of employment density is </w:t>
      </w:r>
      <w:r w:rsidR="002C6B51">
        <w:t>–</w:t>
      </w:r>
      <w:r w:rsidR="00E6163D" w:rsidRPr="005D76C0">
        <w:t>0</w:t>
      </w:r>
      <w:r w:rsidR="00F66106" w:rsidRPr="005D76C0">
        <w:t>.3</w:t>
      </w:r>
      <w:r w:rsidR="0067440C">
        <w:t>2</w:t>
      </w:r>
      <w:r w:rsidR="00F66106" w:rsidRPr="005D76C0">
        <w:t>3</w:t>
      </w:r>
      <w:r w:rsidR="00E6163D" w:rsidRPr="005D76C0">
        <w:t>, while the unlinked Tobit model indicated a complete lack of a</w:t>
      </w:r>
      <w:r w:rsidR="00F66106" w:rsidRPr="005D76C0">
        <w:t>n employment</w:t>
      </w:r>
      <w:r w:rsidR="00E6163D" w:rsidRPr="005D76C0">
        <w:t xml:space="preserve"> density effect</w:t>
      </w:r>
      <w:r w:rsidR="00F66106" w:rsidRPr="005D76C0">
        <w:t xml:space="preserve"> (the coefficient was not statistically different from zero at even the 0.27 level of significance)</w:t>
      </w:r>
      <w:r w:rsidR="00E6163D" w:rsidRPr="005D76C0">
        <w:t xml:space="preserve">. </w:t>
      </w:r>
      <w:r w:rsidR="00EE6CA2" w:rsidRPr="005D76C0">
        <w:t xml:space="preserve">The net result is that the linked model estimates a </w:t>
      </w:r>
      <w:r w:rsidR="00F66106" w:rsidRPr="005D76C0">
        <w:t xml:space="preserve">clear </w:t>
      </w:r>
      <w:r w:rsidR="00EE6CA2" w:rsidRPr="005D76C0">
        <w:t xml:space="preserve">reduction in </w:t>
      </w:r>
      <w:r w:rsidR="00F66106" w:rsidRPr="005D76C0">
        <w:t xml:space="preserve">total </w:t>
      </w:r>
      <w:r w:rsidR="00EE6CA2" w:rsidRPr="005D76C0">
        <w:t>motorized mileage overall</w:t>
      </w:r>
      <w:r w:rsidR="00F66106" w:rsidRPr="005D76C0">
        <w:t xml:space="preserve"> due to densification, while the unlinked model indicates no </w:t>
      </w:r>
      <w:r w:rsidR="00D6779A" w:rsidRPr="005D76C0">
        <w:t xml:space="preserve">such </w:t>
      </w:r>
      <w:r w:rsidR="00F66106" w:rsidRPr="005D76C0">
        <w:t xml:space="preserve">reduction. Further, the reduction in total mileage from the linked model </w:t>
      </w:r>
      <w:r w:rsidR="00997C87" w:rsidRPr="005D76C0">
        <w:t>then leads to a</w:t>
      </w:r>
      <w:r w:rsidR="00D6779A" w:rsidRPr="005D76C0">
        <w:t xml:space="preserve"> </w:t>
      </w:r>
      <w:r w:rsidR="00997C87" w:rsidRPr="005D76C0">
        <w:t xml:space="preserve">large reduction in </w:t>
      </w:r>
      <w:r w:rsidR="009B1AB0">
        <w:t xml:space="preserve">PUT </w:t>
      </w:r>
      <w:r w:rsidR="00F66106" w:rsidRPr="005D76C0">
        <w:t>mileage</w:t>
      </w:r>
      <w:r w:rsidR="00643D22">
        <w:t xml:space="preserve"> in the linked model.</w:t>
      </w:r>
    </w:p>
    <w:p w:rsidR="00EE0A37" w:rsidRPr="005D76C0" w:rsidRDefault="00997C87" w:rsidP="0001701E">
      <w:pPr>
        <w:spacing w:line="276" w:lineRule="auto"/>
        <w:ind w:firstLine="720"/>
        <w:jc w:val="both"/>
      </w:pPr>
      <w:r w:rsidRPr="005D76C0">
        <w:t>Finally, we should also note that the introduction of the linkage</w:t>
      </w:r>
      <w:r w:rsidR="00522CC9" w:rsidRPr="005D76C0">
        <w:t xml:space="preserve"> will, in general, </w:t>
      </w:r>
      <w:r w:rsidRPr="005D76C0">
        <w:t>provide more stability in estimation</w:t>
      </w:r>
      <w:r w:rsidR="00213472" w:rsidRPr="005D76C0">
        <w:t xml:space="preserve"> by adding a </w:t>
      </w:r>
      <w:r w:rsidR="00522CC9" w:rsidRPr="005D76C0">
        <w:t xml:space="preserve">non-linear (in components) </w:t>
      </w:r>
      <w:r w:rsidR="00213472" w:rsidRPr="005D76C0">
        <w:t xml:space="preserve">linking term </w:t>
      </w:r>
      <w:r w:rsidR="00522CC9" w:rsidRPr="005D76C0">
        <w:t>with good variation in its values</w:t>
      </w:r>
      <w:r w:rsidRPr="005D76C0">
        <w:t>.</w:t>
      </w:r>
      <w:r w:rsidR="00522CC9" w:rsidRPr="005D76C0">
        <w:t xml:space="preserve"> For example, while in the linked model, the coefficient on the variable “income less than </w:t>
      </w:r>
      <w:r w:rsidR="002C6B51">
        <w:t>$</w:t>
      </w:r>
      <w:r w:rsidR="00522CC9" w:rsidRPr="005D76C0">
        <w:t xml:space="preserve">35K” turned out to be </w:t>
      </w:r>
      <w:r w:rsidR="002C6B51">
        <w:t>–</w:t>
      </w:r>
      <w:r w:rsidR="0067440C">
        <w:t>0</w:t>
      </w:r>
      <w:r w:rsidR="00522CC9" w:rsidRPr="005D76C0">
        <w:t>.</w:t>
      </w:r>
      <w:r w:rsidR="0067440C">
        <w:t>587</w:t>
      </w:r>
      <w:r w:rsidR="00522CC9" w:rsidRPr="005D76C0">
        <w:t xml:space="preserve"> and highly statistically significant, the corresponding coefficient in the unlinked model turned out to </w:t>
      </w:r>
      <w:r w:rsidR="0067440C">
        <w:t>have a large</w:t>
      </w:r>
      <w:r w:rsidR="00522CC9" w:rsidRPr="005D76C0">
        <w:t xml:space="preserve"> standard e</w:t>
      </w:r>
      <w:r w:rsidR="0067440C">
        <w:t>rror</w:t>
      </w:r>
      <w:r w:rsidR="00643D22">
        <w:t>, with associated convergence problems in estimation</w:t>
      </w:r>
      <w:r w:rsidR="00522CC9" w:rsidRPr="005D76C0">
        <w:t>.</w:t>
      </w:r>
    </w:p>
    <w:p w:rsidR="00522CC9" w:rsidRPr="005D76C0" w:rsidRDefault="00522CC9" w:rsidP="0001701E">
      <w:pPr>
        <w:pStyle w:val="text"/>
        <w:spacing w:line="276" w:lineRule="auto"/>
        <w:jc w:val="both"/>
        <w:rPr>
          <w:b/>
        </w:rPr>
      </w:pPr>
    </w:p>
    <w:p w:rsidR="00522CC9" w:rsidRPr="005D76C0" w:rsidRDefault="00522CC9" w:rsidP="00143DFB">
      <w:pPr>
        <w:pStyle w:val="text"/>
        <w:spacing w:line="276" w:lineRule="auto"/>
        <w:ind w:left="720" w:hanging="720"/>
        <w:jc w:val="both"/>
      </w:pPr>
      <w:r w:rsidRPr="005D76C0">
        <w:rPr>
          <w:b/>
        </w:rPr>
        <w:t>4.</w:t>
      </w:r>
      <w:r w:rsidR="005D76C0">
        <w:rPr>
          <w:b/>
        </w:rPr>
        <w:t>5</w:t>
      </w:r>
      <w:r w:rsidRPr="005D76C0">
        <w:rPr>
          <w:b/>
        </w:rPr>
        <w:t xml:space="preserve">. </w:t>
      </w:r>
      <w:r w:rsidR="00143DFB">
        <w:rPr>
          <w:b/>
        </w:rPr>
        <w:tab/>
      </w:r>
      <w:r w:rsidRPr="005D76C0">
        <w:rPr>
          <w:b/>
        </w:rPr>
        <w:t>Data Fit Measures</w:t>
      </w:r>
    </w:p>
    <w:p w:rsidR="00522CC9" w:rsidRPr="005D76C0" w:rsidRDefault="005D76C0" w:rsidP="0001701E">
      <w:pPr>
        <w:spacing w:line="276" w:lineRule="auto"/>
        <w:jc w:val="both"/>
        <w:rPr>
          <w:bCs/>
        </w:rPr>
      </w:pPr>
      <w:r>
        <w:rPr>
          <w:bCs/>
        </w:rPr>
        <w:t>D</w:t>
      </w:r>
      <w:r w:rsidR="00522CC9" w:rsidRPr="005D76C0">
        <w:rPr>
          <w:bCs/>
        </w:rPr>
        <w:t>ata fit measures are presented in two forms – likelihood-based data fit measures and non-likelihood based data fit measures.</w:t>
      </w:r>
    </w:p>
    <w:p w:rsidR="005D76C0" w:rsidRDefault="005D76C0" w:rsidP="0001701E">
      <w:pPr>
        <w:spacing w:line="276" w:lineRule="auto"/>
        <w:jc w:val="both"/>
        <w:rPr>
          <w:i/>
        </w:rPr>
      </w:pPr>
    </w:p>
    <w:p w:rsidR="005D76C0" w:rsidRPr="005D76C0" w:rsidRDefault="005D76C0" w:rsidP="0001701E">
      <w:pPr>
        <w:spacing w:line="276" w:lineRule="auto"/>
        <w:jc w:val="both"/>
      </w:pPr>
      <w:r w:rsidRPr="005D76C0">
        <w:rPr>
          <w:i/>
        </w:rPr>
        <w:t>4.</w:t>
      </w:r>
      <w:r>
        <w:rPr>
          <w:i/>
        </w:rPr>
        <w:t>5</w:t>
      </w:r>
      <w:r w:rsidRPr="005D76C0">
        <w:rPr>
          <w:i/>
        </w:rPr>
        <w:t>.</w:t>
      </w:r>
      <w:r>
        <w:rPr>
          <w:i/>
        </w:rPr>
        <w:t>1.</w:t>
      </w:r>
      <w:r w:rsidRPr="005D76C0">
        <w:rPr>
          <w:i/>
        </w:rPr>
        <w:t xml:space="preserve"> Likelihood-Based Data Fit Measures</w:t>
      </w:r>
    </w:p>
    <w:p w:rsidR="005D76C0" w:rsidRPr="005D76C0" w:rsidRDefault="005D76C0" w:rsidP="00BB2946">
      <w:pPr>
        <w:spacing w:line="276" w:lineRule="auto"/>
        <w:jc w:val="both"/>
        <w:rPr>
          <w:color w:val="000000"/>
        </w:rPr>
      </w:pPr>
      <w:r w:rsidRPr="005D76C0">
        <w:t xml:space="preserve">In the estimation sample, </w:t>
      </w:r>
      <w:r w:rsidR="00C71EAC">
        <w:t>we estimate a</w:t>
      </w:r>
      <w:r w:rsidR="00DA77D1">
        <w:t xml:space="preserve"> base model with four constants in the baseline preference (number of alternatives minus 1), five constants for the satiation effects (one per alternative), a </w:t>
      </w:r>
      <w:r w:rsidR="00DA77D1">
        <w:lastRenderedPageBreak/>
        <w:t xml:space="preserve">constant in the Tobit model, and </w:t>
      </w:r>
      <w:r w:rsidR="00C71EAC">
        <w:t xml:space="preserve">the scale (in the linked model, the scale and the linking parameters get confounded and cannot be disentangled, as discussed earlier). The base model will not have the same log-likelihood at convergence for the linked and the unlinked models because the distribution of the </w:t>
      </w:r>
      <w:r w:rsidR="00EE09AF">
        <w:t xml:space="preserve">kernel </w:t>
      </w:r>
      <w:r w:rsidR="00C71EAC">
        <w:t xml:space="preserve">stochastic term is different between the two models (reverse Gumbel in the unlinked model and minLogistic in the linked model). But we do compute a </w:t>
      </w:r>
      <w:r w:rsidR="00C71EAC" w:rsidRPr="00185288">
        <w:rPr>
          <w:position w:val="-10"/>
        </w:rPr>
        <w:object w:dxaOrig="320" w:dyaOrig="360">
          <v:shape id="_x0000_i1318" type="#_x0000_t75" style="width:15.85pt;height:18pt" o:ole="">
            <v:imagedata r:id="rId560" o:title=""/>
          </v:shape>
          <o:OLEObject Type="Embed" ProgID="Equation.DSMT4" ShapeID="_x0000_i1318" DrawAspect="Content" ObjectID="_1722089812" r:id="rId561"/>
        </w:object>
      </w:r>
      <w:r w:rsidR="00C71EAC">
        <w:t xml:space="preserve"> value for each of the fully specified linked and unlinked models relative to the base model</w:t>
      </w:r>
      <w:r w:rsidR="00972B95">
        <w:t xml:space="preserve"> for the unlinked specification</w:t>
      </w:r>
      <w:r w:rsidR="00C71EAC">
        <w:t xml:space="preserve">.  </w:t>
      </w:r>
    </w:p>
    <w:p w:rsidR="005D76C0" w:rsidRPr="005D76C0" w:rsidRDefault="005D76C0" w:rsidP="0070560A">
      <w:pPr>
        <w:tabs>
          <w:tab w:val="right" w:pos="9360"/>
        </w:tabs>
        <w:spacing w:line="276" w:lineRule="auto"/>
        <w:jc w:val="both"/>
        <w:rPr>
          <w:color w:val="000000"/>
        </w:rPr>
      </w:pPr>
      <w:r w:rsidRPr="005D76C0">
        <w:rPr>
          <w:color w:val="000000"/>
        </w:rPr>
        <w:t xml:space="preserve"> </w:t>
      </w:r>
      <w:r w:rsidR="00506FA0" w:rsidRPr="005D76C0">
        <w:rPr>
          <w:color w:val="000000"/>
          <w:position w:val="-28"/>
        </w:rPr>
        <w:object w:dxaOrig="1800" w:dyaOrig="720">
          <v:shape id="_x0000_i1319" type="#_x0000_t75" style="width:90pt;height:36pt" o:ole="" o:preferrelative="f">
            <v:imagedata r:id="rId562" o:title=""/>
            <o:lock v:ext="edit" aspectratio="f"/>
          </v:shape>
          <o:OLEObject Type="Embed" ProgID="Equation.DSMT4" ShapeID="_x0000_i1319" DrawAspect="Content" ObjectID="_1722089813" r:id="rId563"/>
        </w:object>
      </w:r>
      <w:r w:rsidR="004A2A32">
        <w:rPr>
          <w:color w:val="000000"/>
        </w:rPr>
        <w:t>,</w:t>
      </w:r>
      <w:r w:rsidRPr="005D76C0">
        <w:rPr>
          <w:color w:val="000000"/>
        </w:rPr>
        <w:tab/>
        <w:t xml:space="preserve"> (</w:t>
      </w:r>
      <w:r w:rsidR="0070560A">
        <w:rPr>
          <w:color w:val="000000"/>
        </w:rPr>
        <w:t>4</w:t>
      </w:r>
      <w:r w:rsidR="00B3149C">
        <w:rPr>
          <w:color w:val="000000"/>
        </w:rPr>
        <w:t>6</w:t>
      </w:r>
      <w:r w:rsidRPr="005D76C0">
        <w:rPr>
          <w:color w:val="000000"/>
        </w:rPr>
        <w:t>)</w:t>
      </w:r>
    </w:p>
    <w:p w:rsidR="005D76C0" w:rsidRPr="005D76C0" w:rsidRDefault="005D76C0" w:rsidP="0001701E">
      <w:pPr>
        <w:spacing w:line="276" w:lineRule="auto"/>
        <w:jc w:val="both"/>
        <w:rPr>
          <w:color w:val="000000"/>
        </w:rPr>
      </w:pPr>
      <w:r w:rsidRPr="005D76C0">
        <w:rPr>
          <w:color w:val="000000"/>
        </w:rPr>
        <w:t xml:space="preserve">where </w:t>
      </w:r>
      <w:r w:rsidR="00506FA0" w:rsidRPr="005D76C0">
        <w:rPr>
          <w:color w:val="000000"/>
          <w:position w:val="-10"/>
        </w:rPr>
        <w:object w:dxaOrig="520" w:dyaOrig="400">
          <v:shape id="_x0000_i1320" type="#_x0000_t75" style="width:25.7pt;height:20.15pt" o:ole="" o:preferrelative="f">
            <v:imagedata r:id="rId564" o:title=""/>
            <o:lock v:ext="edit" aspectratio="f"/>
          </v:shape>
          <o:OLEObject Type="Embed" ProgID="Equation.DSMT4" ShapeID="_x0000_i1320" DrawAspect="Content" ObjectID="_1722089814" r:id="rId565"/>
        </w:object>
      </w:r>
      <w:r w:rsidRPr="005D76C0">
        <w:rPr>
          <w:color w:val="000000"/>
        </w:rPr>
        <w:t xml:space="preserve"> and </w:t>
      </w:r>
      <w:r w:rsidR="00506FA0" w:rsidRPr="005D76C0">
        <w:rPr>
          <w:color w:val="000000"/>
          <w:position w:val="-10"/>
        </w:rPr>
        <w:object w:dxaOrig="499" w:dyaOrig="320">
          <v:shape id="_x0000_i1321" type="#_x0000_t75" style="width:25.3pt;height:15.85pt" o:ole="" o:preferrelative="f">
            <v:imagedata r:id="rId566" o:title=""/>
            <o:lock v:ext="edit" aspectratio="f"/>
          </v:shape>
          <o:OLEObject Type="Embed" ProgID="Equation.DSMT4" ShapeID="_x0000_i1321" DrawAspect="Content" ObjectID="_1722089815" r:id="rId567"/>
        </w:object>
      </w:r>
      <w:r w:rsidRPr="005D76C0">
        <w:rPr>
          <w:color w:val="000000"/>
        </w:rPr>
        <w:t xml:space="preserve"> are the log-likelihood functions at convergence and </w:t>
      </w:r>
      <w:r w:rsidR="00972B95">
        <w:rPr>
          <w:color w:val="000000"/>
        </w:rPr>
        <w:t>the base unlinked model</w:t>
      </w:r>
      <w:r w:rsidRPr="005D76C0">
        <w:rPr>
          <w:color w:val="000000"/>
        </w:rPr>
        <w:t xml:space="preserve">, respectively, and </w:t>
      </w:r>
      <w:r w:rsidRPr="005D76C0">
        <w:rPr>
          <w:i/>
          <w:color w:val="000000"/>
        </w:rPr>
        <w:t>M</w:t>
      </w:r>
      <w:r w:rsidRPr="005D76C0">
        <w:rPr>
          <w:color w:val="000000"/>
        </w:rPr>
        <w:t xml:space="preserve"> is the number of parameters (excluding the constants) estimated in the model. If the difference in the indices is </w:t>
      </w:r>
      <w:r w:rsidR="00506FA0" w:rsidRPr="005D76C0">
        <w:rPr>
          <w:color w:val="000000"/>
          <w:position w:val="-12"/>
        </w:rPr>
        <w:object w:dxaOrig="1400" w:dyaOrig="360">
          <v:shape id="_x0000_i1322" type="#_x0000_t75" style="width:69.85pt;height:18pt" o:ole="" o:preferrelative="f">
            <v:imagedata r:id="rId568" o:title=""/>
            <o:lock v:ext="edit" aspectratio="f"/>
          </v:shape>
          <o:OLEObject Type="Embed" ProgID="Equation.DSMT4" ShapeID="_x0000_i1322" DrawAspect="Content" ObjectID="_1722089816" r:id="rId569"/>
        </w:object>
      </w:r>
      <w:r w:rsidRPr="005D76C0">
        <w:rPr>
          <w:color w:val="000000"/>
        </w:rPr>
        <w:t xml:space="preserve">, then the probability that this difference could have occurred by chance is no larger than </w:t>
      </w:r>
      <w:r w:rsidR="00506FA0" w:rsidRPr="005D76C0">
        <w:rPr>
          <w:color w:val="000000"/>
          <w:position w:val="-12"/>
        </w:rPr>
        <w:object w:dxaOrig="2940" w:dyaOrig="380">
          <v:shape id="_x0000_i1323" type="#_x0000_t75" style="width:147pt;height:18.85pt" o:ole="" o:preferrelative="f">
            <v:imagedata r:id="rId570" o:title=""/>
            <o:lock v:ext="edit" aspectratio="f"/>
          </v:shape>
          <o:OLEObject Type="Embed" ProgID="Equation.DSMT4" ShapeID="_x0000_i1323" DrawAspect="Content" ObjectID="_1722089817" r:id="rId571"/>
        </w:object>
      </w:r>
      <w:r w:rsidRPr="005D76C0">
        <w:rPr>
          <w:color w:val="000000"/>
        </w:rPr>
        <w:t xml:space="preserve">, with a small value for the probability of chance occurrence suggesting that the difference is statistically significant and the model with the higher value for the adjusted likelihood ratio index is preferred. </w:t>
      </w:r>
    </w:p>
    <w:p w:rsidR="005D76C0" w:rsidRPr="005D76C0" w:rsidRDefault="005D76C0" w:rsidP="0001701E">
      <w:pPr>
        <w:spacing w:line="276" w:lineRule="auto"/>
        <w:ind w:firstLine="720"/>
        <w:jc w:val="both"/>
        <w:rPr>
          <w:color w:val="000000"/>
        </w:rPr>
      </w:pPr>
      <w:r w:rsidRPr="005D76C0">
        <w:t xml:space="preserve">All of the above metrics correspond to the estimation sample. We next undertake a similar analysis for the hold-out sample, maintaining the estimated coefficients. These predictive likelihood-based measures for the unlinked and linked models may be informally compared </w:t>
      </w:r>
      <w:r w:rsidR="00613C7C">
        <w:t xml:space="preserve">in terms of </w:t>
      </w:r>
      <w:r w:rsidRPr="005D76C0">
        <w:t xml:space="preserve"> </w:t>
      </w:r>
      <w:r w:rsidR="00613C7C" w:rsidRPr="00185288">
        <w:rPr>
          <w:position w:val="-10"/>
        </w:rPr>
        <w:object w:dxaOrig="320" w:dyaOrig="360">
          <v:shape id="_x0000_i1324" type="#_x0000_t75" style="width:15.85pt;height:18pt" o:ole="">
            <v:imagedata r:id="rId560" o:title=""/>
          </v:shape>
          <o:OLEObject Type="Embed" ProgID="Equation.DSMT4" ShapeID="_x0000_i1324" DrawAspect="Content" ObjectID="_1722089818" r:id="rId572"/>
        </w:object>
      </w:r>
      <w:r w:rsidR="00613C7C">
        <w:t xml:space="preserve"> fit. </w:t>
      </w:r>
    </w:p>
    <w:p w:rsidR="00522CC9" w:rsidRPr="009B1AB0" w:rsidRDefault="00522CC9" w:rsidP="0001701E">
      <w:pPr>
        <w:spacing w:line="276" w:lineRule="auto"/>
        <w:ind w:firstLine="720"/>
        <w:jc w:val="both"/>
        <w:rPr>
          <w:bCs/>
        </w:rPr>
      </w:pPr>
      <w:r w:rsidRPr="005D76C0">
        <w:rPr>
          <w:bCs/>
        </w:rPr>
        <w:t xml:space="preserve">The likelihood based data fit measures </w:t>
      </w:r>
      <w:r w:rsidR="00E84A9A">
        <w:rPr>
          <w:bCs/>
        </w:rPr>
        <w:t xml:space="preserve">for the estimation sample </w:t>
      </w:r>
      <w:r w:rsidRPr="005D76C0">
        <w:rPr>
          <w:bCs/>
        </w:rPr>
        <w:t xml:space="preserve">are provided in Table </w:t>
      </w:r>
      <w:r w:rsidR="009B1AB0">
        <w:rPr>
          <w:bCs/>
        </w:rPr>
        <w:t>4</w:t>
      </w:r>
      <w:r w:rsidR="00AB5217" w:rsidRPr="005D76C0">
        <w:rPr>
          <w:bCs/>
        </w:rPr>
        <w:t xml:space="preserve">. Both the </w:t>
      </w:r>
      <w:r w:rsidR="00B74E64" w:rsidRPr="005D76C0">
        <w:rPr>
          <w:bCs/>
        </w:rPr>
        <w:t xml:space="preserve">linked and unlinked model log-likelihood values are clearly superior to the base “constants only” model, as can be </w:t>
      </w:r>
      <w:r w:rsidR="009B1AB0">
        <w:rPr>
          <w:bCs/>
        </w:rPr>
        <w:t>observed</w:t>
      </w:r>
      <w:r w:rsidR="00B74E64" w:rsidRPr="005D76C0">
        <w:rPr>
          <w:bCs/>
        </w:rPr>
        <w:t xml:space="preserve"> from the nested likelihood ratio test </w:t>
      </w:r>
      <w:r w:rsidR="009B1AB0">
        <w:rPr>
          <w:bCs/>
        </w:rPr>
        <w:t>(</w:t>
      </w:r>
      <w:r w:rsidR="00E53B18">
        <w:rPr>
          <w:bCs/>
        </w:rPr>
        <w:t>f</w:t>
      </w:r>
      <w:r w:rsidR="00EC6E3C">
        <w:rPr>
          <w:bCs/>
        </w:rPr>
        <w:t>ifth</w:t>
      </w:r>
      <w:r w:rsidR="009B1AB0">
        <w:rPr>
          <w:bCs/>
        </w:rPr>
        <w:t xml:space="preserve"> </w:t>
      </w:r>
      <w:r w:rsidR="00F50CBA" w:rsidRPr="005D76C0">
        <w:rPr>
          <w:bCs/>
        </w:rPr>
        <w:t>row</w:t>
      </w:r>
      <w:r w:rsidR="009B1AB0">
        <w:rPr>
          <w:bCs/>
        </w:rPr>
        <w:t>)</w:t>
      </w:r>
      <w:r w:rsidR="00F50CBA" w:rsidRPr="005D76C0">
        <w:rPr>
          <w:bCs/>
        </w:rPr>
        <w:t xml:space="preserve"> for the estimation sample)</w:t>
      </w:r>
      <w:r w:rsidR="00B74E64" w:rsidRPr="005D76C0">
        <w:rPr>
          <w:bCs/>
        </w:rPr>
        <w:t xml:space="preserve">.  </w:t>
      </w:r>
      <w:r w:rsidR="009B1AB0">
        <w:rPr>
          <w:bCs/>
        </w:rPr>
        <w:t>T</w:t>
      </w:r>
      <w:r w:rsidR="00F50CBA" w:rsidRPr="005D76C0">
        <w:rPr>
          <w:bCs/>
        </w:rPr>
        <w:t>he</w:t>
      </w:r>
      <w:r w:rsidR="009B1AB0">
        <w:rPr>
          <w:bCs/>
        </w:rPr>
        <w:t>se</w:t>
      </w:r>
      <w:r w:rsidR="00F50CBA" w:rsidRPr="005D76C0">
        <w:rPr>
          <w:bCs/>
        </w:rPr>
        <w:t xml:space="preserve"> results </w:t>
      </w:r>
      <w:r w:rsidRPr="005D76C0">
        <w:rPr>
          <w:bCs/>
        </w:rPr>
        <w:t>demonstrat</w:t>
      </w:r>
      <w:r w:rsidR="00E67F4E" w:rsidRPr="005D76C0">
        <w:rPr>
          <w:bCs/>
        </w:rPr>
        <w:t>e</w:t>
      </w:r>
      <w:r w:rsidRPr="005D76C0">
        <w:rPr>
          <w:bCs/>
        </w:rPr>
        <w:t xml:space="preserve"> the value of our variable specification.</w:t>
      </w:r>
      <w:r w:rsidR="00E67F4E" w:rsidRPr="005D76C0">
        <w:rPr>
          <w:bCs/>
        </w:rPr>
        <w:t xml:space="preserve"> </w:t>
      </w:r>
      <w:r w:rsidR="00EE09AF">
        <w:t>A</w:t>
      </w:r>
      <w:r w:rsidR="00F50CBA" w:rsidRPr="005D76C0">
        <w:t>lso, from the non-nested likelihood ratio statistics value provided in the final row, it can be inferred that the probability of the adjusted likelihood ratio index difference between the linked and the unlinked model occurring by chance is literally zero.</w:t>
      </w:r>
      <w:r w:rsidR="000E6CB8" w:rsidRPr="005D76C0">
        <w:t xml:space="preserve"> </w:t>
      </w:r>
      <w:r w:rsidR="00E84A9A">
        <w:t xml:space="preserve">The superior fit of the linked model carries over to the hold-out sample, with the </w:t>
      </w:r>
      <w:r w:rsidR="00E84A9A" w:rsidRPr="00185288">
        <w:rPr>
          <w:position w:val="-10"/>
        </w:rPr>
        <w:object w:dxaOrig="320" w:dyaOrig="360">
          <v:shape id="_x0000_i1325" type="#_x0000_t75" style="width:15.85pt;height:18pt" o:ole="">
            <v:imagedata r:id="rId560" o:title=""/>
          </v:shape>
          <o:OLEObject Type="Embed" ProgID="Equation.DSMT4" ShapeID="_x0000_i1325" DrawAspect="Content" ObjectID="_1722089819" r:id="rId573"/>
        </w:object>
      </w:r>
      <w:r w:rsidR="00E84A9A">
        <w:t xml:space="preserve"> measure being </w:t>
      </w:r>
      <w:r w:rsidR="00431A65">
        <w:t xml:space="preserve">0.055 for the linked model and 0.049 for the unlinked model. </w:t>
      </w:r>
      <w:r w:rsidR="000E6CB8" w:rsidRPr="005D76C0">
        <w:t>Overall, the likelihood measures clearly favor the linked model over the unlinked model</w:t>
      </w:r>
      <w:r w:rsidR="00643D22">
        <w:t xml:space="preserve"> in the current empirical context</w:t>
      </w:r>
      <w:r w:rsidR="000E6CB8" w:rsidRPr="005D76C0">
        <w:t xml:space="preserve">. </w:t>
      </w:r>
    </w:p>
    <w:p w:rsidR="00F50CBA" w:rsidRPr="005D76C0" w:rsidRDefault="00F50CBA" w:rsidP="0001701E">
      <w:pPr>
        <w:spacing w:line="276" w:lineRule="auto"/>
      </w:pPr>
    </w:p>
    <w:p w:rsidR="00522CC9" w:rsidRPr="005C6AE5" w:rsidRDefault="00522CC9" w:rsidP="0001701E">
      <w:pPr>
        <w:spacing w:line="276" w:lineRule="auto"/>
        <w:jc w:val="both"/>
        <w:rPr>
          <w:bCs/>
          <w:i/>
        </w:rPr>
      </w:pPr>
      <w:r w:rsidRPr="005C6AE5">
        <w:rPr>
          <w:bCs/>
          <w:i/>
        </w:rPr>
        <w:t>4.</w:t>
      </w:r>
      <w:r w:rsidR="005D76C0" w:rsidRPr="005C6AE5">
        <w:rPr>
          <w:bCs/>
          <w:i/>
        </w:rPr>
        <w:t>5.</w:t>
      </w:r>
      <w:r w:rsidRPr="005C6AE5">
        <w:rPr>
          <w:bCs/>
          <w:i/>
        </w:rPr>
        <w:t>2. Non-</w:t>
      </w:r>
      <w:r w:rsidR="005C6AE5">
        <w:rPr>
          <w:bCs/>
          <w:i/>
        </w:rPr>
        <w:t>L</w:t>
      </w:r>
      <w:r w:rsidRPr="005C6AE5">
        <w:rPr>
          <w:bCs/>
          <w:i/>
        </w:rPr>
        <w:t xml:space="preserve">ikelihood </w:t>
      </w:r>
      <w:r w:rsidR="005C6AE5">
        <w:rPr>
          <w:bCs/>
          <w:i/>
        </w:rPr>
        <w:t>F</w:t>
      </w:r>
      <w:r w:rsidRPr="005C6AE5">
        <w:rPr>
          <w:bCs/>
          <w:i/>
        </w:rPr>
        <w:t xml:space="preserve">it </w:t>
      </w:r>
      <w:r w:rsidR="005C6AE5">
        <w:rPr>
          <w:bCs/>
          <w:i/>
        </w:rPr>
        <w:t>M</w:t>
      </w:r>
      <w:r w:rsidRPr="005C6AE5">
        <w:rPr>
          <w:bCs/>
          <w:i/>
        </w:rPr>
        <w:t>easures</w:t>
      </w:r>
    </w:p>
    <w:p w:rsidR="005D76C0" w:rsidRPr="005D76C0" w:rsidRDefault="005D76C0" w:rsidP="0001701E">
      <w:pPr>
        <w:spacing w:line="276" w:lineRule="auto"/>
        <w:jc w:val="both"/>
      </w:pPr>
      <w:r w:rsidRPr="005D76C0">
        <w:t>To further supplement the disaggregate likelihood-based performance at the multivariate and disaggregate levels, we use the hold-out sample to evaluate the performance of the models intuitively and informally at a disaggregate and aggregate level. At the disaggregate level, we estimate the probability of the observed multivariate discrete</w:t>
      </w:r>
      <w:r w:rsidR="00EC6E3C">
        <w:t>-continuous</w:t>
      </w:r>
      <w:r w:rsidRPr="005D76C0">
        <w:t xml:space="preserve"> outcome for each individual, and compute an average probability of correct prediction for the consumption outcome. At the aggregate level, </w:t>
      </w:r>
      <w:r w:rsidR="009B1AB0">
        <w:t xml:space="preserve">to keep the presentation manageable, </w:t>
      </w:r>
      <w:r w:rsidRPr="005D76C0">
        <w:t xml:space="preserve">we focus on only those </w:t>
      </w:r>
      <w:r w:rsidRPr="005D76C0">
        <w:lastRenderedPageBreak/>
        <w:t>households that own two vehicles</w:t>
      </w:r>
      <w:r w:rsidR="000B182A">
        <w:t>.</w:t>
      </w:r>
      <w:r w:rsidRPr="005D76C0">
        <w:t xml:space="preserve"> </w:t>
      </w:r>
      <w:r w:rsidR="009B1AB0">
        <w:t>T</w:t>
      </w:r>
      <w:r w:rsidRPr="005D76C0">
        <w:t>his also will be useful to assess the performance when households hold more than one vehicle, which is the reason to use a</w:t>
      </w:r>
      <w:r w:rsidR="000B182A">
        <w:t>n</w:t>
      </w:r>
      <w:r w:rsidRPr="005D76C0">
        <w:t xml:space="preserve"> MDC-based model in the first place. We then design an informal heuristic diagnostic check of model fit by computing the aggregate percentage of households predicted to hold each of the 10 vehicle type (paired) combination outcomes. These predicted percentages falling into each combination category are compared with the actual percentage of households in each combination (using both a mean absolute percentage error (MAPE) statistic and a weighted mean absolute percentage error (MAPE) statistic, which is the MAPE for each combination weighted by the actual percentage shares of households in each combination). </w:t>
      </w:r>
    </w:p>
    <w:p w:rsidR="005D76C0" w:rsidRPr="005D76C0" w:rsidRDefault="005D76C0" w:rsidP="0001701E">
      <w:pPr>
        <w:spacing w:line="276" w:lineRule="auto"/>
        <w:ind w:firstLine="720"/>
        <w:jc w:val="both"/>
      </w:pPr>
      <w:r w:rsidRPr="005D76C0">
        <w:t xml:space="preserve">For the continuous consumption predictions, we predict the continuous mileages for each household and each vehicle among households predicted to have two vehicles, using </w:t>
      </w:r>
      <w:r w:rsidR="00CB4D5B" w:rsidRPr="005D76C0">
        <w:rPr>
          <w:position w:val="-12"/>
        </w:rPr>
        <w:object w:dxaOrig="1340" w:dyaOrig="400">
          <v:shape id="_x0000_i1326" type="#_x0000_t75" style="width:66.85pt;height:20.15pt" o:ole="">
            <v:imagedata r:id="rId574" o:title=""/>
          </v:shape>
          <o:OLEObject Type="Embed" ProgID="Equation.DSMT4" ShapeID="_x0000_i1326" DrawAspect="Content" ObjectID="_1722089820" r:id="rId575"/>
        </w:object>
      </w:r>
      <w:r w:rsidRPr="005D76C0">
        <w:t xml:space="preserve"> from </w:t>
      </w:r>
      <w:r w:rsidR="0001701E">
        <w:t>S</w:t>
      </w:r>
      <w:r w:rsidRPr="005D76C0">
        <w:t xml:space="preserve">tep 9 of the forecasting algorithm. In using this procedure, we use 1000 error vector replications per individual observation. We then compute the aggregate predicted continuous mileage values for each vehicle type across these households, and compare the predicted mileages against the actual mileages by vehicle type for two-vehicle owning households. </w:t>
      </w:r>
    </w:p>
    <w:p w:rsidR="00B373C0" w:rsidRDefault="005D76C0" w:rsidP="0001701E">
      <w:pPr>
        <w:spacing w:line="276" w:lineRule="auto"/>
        <w:ind w:firstLine="720"/>
        <w:jc w:val="both"/>
        <w:rPr>
          <w:bCs/>
        </w:rPr>
      </w:pPr>
      <w:r>
        <w:rPr>
          <w:bCs/>
        </w:rPr>
        <w:t>In terms of the results, t</w:t>
      </w:r>
      <w:r w:rsidR="00522CC9" w:rsidRPr="005D76C0">
        <w:rPr>
          <w:bCs/>
        </w:rPr>
        <w:t xml:space="preserve">he average probability of correct prediction </w:t>
      </w:r>
      <w:r w:rsidR="006431A6">
        <w:rPr>
          <w:bCs/>
        </w:rPr>
        <w:t xml:space="preserve">(APCP) </w:t>
      </w:r>
      <w:r w:rsidR="005279BF" w:rsidRPr="005D76C0">
        <w:rPr>
          <w:bCs/>
        </w:rPr>
        <w:t xml:space="preserve">at the </w:t>
      </w:r>
      <w:r w:rsidR="002005BC" w:rsidRPr="005D76C0">
        <w:rPr>
          <w:bCs/>
        </w:rPr>
        <w:t>multiple discrete</w:t>
      </w:r>
      <w:r w:rsidR="00095180">
        <w:rPr>
          <w:bCs/>
        </w:rPr>
        <w:t>-continuous</w:t>
      </w:r>
      <w:r w:rsidR="005279BF" w:rsidRPr="005D76C0">
        <w:rPr>
          <w:bCs/>
        </w:rPr>
        <w:t xml:space="preserve"> level </w:t>
      </w:r>
      <w:r w:rsidR="002005BC" w:rsidRPr="005D76C0">
        <w:rPr>
          <w:bCs/>
        </w:rPr>
        <w:t>(across all combinations</w:t>
      </w:r>
      <w:r w:rsidR="006431A6">
        <w:rPr>
          <w:bCs/>
        </w:rPr>
        <w:t>, including zero vehicles</w:t>
      </w:r>
      <w:r w:rsidR="002005BC" w:rsidRPr="005D76C0">
        <w:rPr>
          <w:bCs/>
        </w:rPr>
        <w:t>) is 0</w:t>
      </w:r>
      <w:r w:rsidR="001C6D19" w:rsidRPr="005D76C0">
        <w:rPr>
          <w:bCs/>
        </w:rPr>
        <w:t>.</w:t>
      </w:r>
      <w:r w:rsidR="006431A6">
        <w:rPr>
          <w:bCs/>
        </w:rPr>
        <w:t>0635</w:t>
      </w:r>
      <w:r w:rsidR="002005BC" w:rsidRPr="005D76C0">
        <w:rPr>
          <w:bCs/>
        </w:rPr>
        <w:t xml:space="preserve"> for the unlinked model and 0.</w:t>
      </w:r>
      <w:r w:rsidR="006431A6">
        <w:rPr>
          <w:bCs/>
        </w:rPr>
        <w:t>0660</w:t>
      </w:r>
      <w:r w:rsidR="002005BC" w:rsidRPr="005D76C0">
        <w:rPr>
          <w:bCs/>
        </w:rPr>
        <w:t xml:space="preserve"> for the linked model</w:t>
      </w:r>
      <w:r w:rsidR="005279BF" w:rsidRPr="005D76C0">
        <w:rPr>
          <w:bCs/>
        </w:rPr>
        <w:t>.</w:t>
      </w:r>
      <w:r w:rsidR="002005BC" w:rsidRPr="005D76C0">
        <w:rPr>
          <w:bCs/>
        </w:rPr>
        <w:t xml:space="preserve"> This difference across all combinations is marginal, and to be expected because the fractional MDCEV model is not affected much by linkage or no-linkage. </w:t>
      </w:r>
      <w:r w:rsidR="001C6D19" w:rsidRPr="005D76C0">
        <w:rPr>
          <w:bCs/>
        </w:rPr>
        <w:t xml:space="preserve">Where we can expect more difference is in the prediction of zero vehicle count (because the Tobit model is the one that determines zero vehicle count) and the continuous consumption values (also determined by the Tobit model, as this model provides the overall mileage across all motorized vehicles). </w:t>
      </w:r>
      <w:r w:rsidR="009B1AB0">
        <w:rPr>
          <w:bCs/>
        </w:rPr>
        <w:t>In this regard</w:t>
      </w:r>
      <w:r w:rsidR="001C6D19" w:rsidRPr="005D76C0">
        <w:rPr>
          <w:bCs/>
        </w:rPr>
        <w:t xml:space="preserve">, the </w:t>
      </w:r>
      <w:r w:rsidR="006431A6">
        <w:rPr>
          <w:bCs/>
        </w:rPr>
        <w:t xml:space="preserve">APCP </w:t>
      </w:r>
      <w:r w:rsidR="001C6D19" w:rsidRPr="005D76C0">
        <w:rPr>
          <w:bCs/>
        </w:rPr>
        <w:t xml:space="preserve">for </w:t>
      </w:r>
      <w:r w:rsidR="00B373C0">
        <w:rPr>
          <w:bCs/>
        </w:rPr>
        <w:t xml:space="preserve">the discrete outcome of </w:t>
      </w:r>
      <w:r w:rsidR="001C6D19" w:rsidRPr="005D76C0">
        <w:rPr>
          <w:bCs/>
        </w:rPr>
        <w:t>zero vehicle households is 0.</w:t>
      </w:r>
      <w:r w:rsidR="006431A6">
        <w:rPr>
          <w:bCs/>
        </w:rPr>
        <w:t>2326</w:t>
      </w:r>
      <w:r w:rsidR="001C6D19" w:rsidRPr="005D76C0">
        <w:rPr>
          <w:bCs/>
        </w:rPr>
        <w:t xml:space="preserve"> for the unlinked model, but increases to 0.</w:t>
      </w:r>
      <w:r w:rsidR="006431A6">
        <w:rPr>
          <w:bCs/>
        </w:rPr>
        <w:t>2485</w:t>
      </w:r>
      <w:r w:rsidR="001C6D19" w:rsidRPr="005D76C0">
        <w:rPr>
          <w:bCs/>
        </w:rPr>
        <w:t xml:space="preserve"> for the linked model (in the current empirical setting, this improvement of the linked model for zero-vehicle households gets tempered when the average probability of correct predictions is considered across all vehicle type combinations</w:t>
      </w:r>
      <w:r w:rsidR="009B1AB0">
        <w:rPr>
          <w:bCs/>
        </w:rPr>
        <w:t>,</w:t>
      </w:r>
      <w:r w:rsidR="001C6D19" w:rsidRPr="005D76C0">
        <w:rPr>
          <w:bCs/>
        </w:rPr>
        <w:t xml:space="preserve"> because of the low percentage of households with zero vehicles in Texas). </w:t>
      </w:r>
      <w:r w:rsidR="006431A6">
        <w:rPr>
          <w:bCs/>
        </w:rPr>
        <w:t xml:space="preserve">Within households with non-zero vehicles, the APCP of the actual </w:t>
      </w:r>
      <w:r w:rsidR="00B373C0">
        <w:rPr>
          <w:bCs/>
        </w:rPr>
        <w:t xml:space="preserve">vehicle combination owned </w:t>
      </w:r>
      <w:r w:rsidR="00B373C0" w:rsidRPr="007422FC">
        <w:rPr>
          <w:bCs/>
          <w:u w:val="single"/>
        </w:rPr>
        <w:t>and</w:t>
      </w:r>
      <w:r w:rsidR="00B373C0" w:rsidRPr="003129C6">
        <w:rPr>
          <w:bCs/>
        </w:rPr>
        <w:t xml:space="preserve"> </w:t>
      </w:r>
      <w:r w:rsidR="00B373C0">
        <w:rPr>
          <w:bCs/>
        </w:rPr>
        <w:t xml:space="preserve">the observed </w:t>
      </w:r>
      <w:r w:rsidR="006431A6">
        <w:rPr>
          <w:bCs/>
        </w:rPr>
        <w:t xml:space="preserve">vehicle mileage </w:t>
      </w:r>
      <w:r w:rsidR="00B373C0">
        <w:rPr>
          <w:bCs/>
        </w:rPr>
        <w:t xml:space="preserve">on each owned vehicle </w:t>
      </w:r>
      <w:r w:rsidR="006431A6">
        <w:rPr>
          <w:bCs/>
        </w:rPr>
        <w:t xml:space="preserve">is 0.0572 for the unlinked model and 0.0592 for the linked model. </w:t>
      </w:r>
    </w:p>
    <w:p w:rsidR="003B2335" w:rsidRPr="005D76C0" w:rsidRDefault="00593D75" w:rsidP="007422FC">
      <w:pPr>
        <w:spacing w:line="276" w:lineRule="auto"/>
        <w:ind w:firstLine="720"/>
        <w:jc w:val="both"/>
        <w:rPr>
          <w:bCs/>
        </w:rPr>
      </w:pPr>
      <w:r w:rsidRPr="005D76C0">
        <w:rPr>
          <w:bCs/>
        </w:rPr>
        <w:t>Moving on to the</w:t>
      </w:r>
      <w:r w:rsidR="001C6D19" w:rsidRPr="005D76C0">
        <w:rPr>
          <w:bCs/>
        </w:rPr>
        <w:t xml:space="preserve"> </w:t>
      </w:r>
      <w:r w:rsidRPr="005D76C0">
        <w:rPr>
          <w:bCs/>
        </w:rPr>
        <w:t xml:space="preserve">predictions of vehicle type holdings in two-vehicle households, </w:t>
      </w:r>
      <w:r w:rsidR="005D1E3A" w:rsidRPr="005D76C0">
        <w:rPr>
          <w:bCs/>
        </w:rPr>
        <w:t xml:space="preserve">the left panel </w:t>
      </w:r>
      <w:r w:rsidR="00E416C1" w:rsidRPr="005D76C0">
        <w:rPr>
          <w:bCs/>
        </w:rPr>
        <w:t xml:space="preserve">of Table </w:t>
      </w:r>
      <w:r w:rsidR="009B1AB0">
        <w:rPr>
          <w:bCs/>
        </w:rPr>
        <w:t>5</w:t>
      </w:r>
      <w:r w:rsidR="00E416C1" w:rsidRPr="005D76C0">
        <w:rPr>
          <w:bCs/>
        </w:rPr>
        <w:t xml:space="preserve"> provides the observed and predicted </w:t>
      </w:r>
      <w:r w:rsidR="005D1E3A" w:rsidRPr="005D76C0">
        <w:rPr>
          <w:bCs/>
        </w:rPr>
        <w:t xml:space="preserve">percentage of </w:t>
      </w:r>
      <w:r w:rsidR="00E416C1" w:rsidRPr="005D76C0">
        <w:rPr>
          <w:bCs/>
        </w:rPr>
        <w:t xml:space="preserve">households in each possible two-vehicle combination. </w:t>
      </w:r>
      <w:r w:rsidR="005D1E3A" w:rsidRPr="005D76C0">
        <w:rPr>
          <w:bCs/>
        </w:rPr>
        <w:t xml:space="preserve">In the three combinations that make up over 84% of households (corresponding to the Car-SUV, the Car-Pickup, and the SUV-Pickup combinations), the </w:t>
      </w:r>
      <w:r w:rsidR="00B06261">
        <w:rPr>
          <w:bCs/>
        </w:rPr>
        <w:t xml:space="preserve">linked model clearly outperforms the unlinked model. This is also reflected in the weighted </w:t>
      </w:r>
      <w:r w:rsidR="00EC6E3C">
        <w:rPr>
          <w:bCs/>
        </w:rPr>
        <w:t xml:space="preserve">mean </w:t>
      </w:r>
      <w:r w:rsidR="005D1E3A" w:rsidRPr="005D76C0">
        <w:rPr>
          <w:bCs/>
        </w:rPr>
        <w:t>absolute percentage error</w:t>
      </w:r>
      <w:r w:rsidR="00E53B18">
        <w:rPr>
          <w:bCs/>
        </w:rPr>
        <w:t xml:space="preserve"> (MAPE)</w:t>
      </w:r>
      <w:r w:rsidR="00B06261">
        <w:rPr>
          <w:bCs/>
        </w:rPr>
        <w:t>, which is 23.2% for the unlinked model, but only 16.0% for the linked model</w:t>
      </w:r>
      <w:r w:rsidR="005D1E3A" w:rsidRPr="005D76C0">
        <w:rPr>
          <w:bCs/>
        </w:rPr>
        <w:t xml:space="preserve"> </w:t>
      </w:r>
      <w:r w:rsidR="003B2335" w:rsidRPr="005D76C0">
        <w:rPr>
          <w:bCs/>
        </w:rPr>
        <w:t xml:space="preserve">(see </w:t>
      </w:r>
      <w:r w:rsidR="00B06261">
        <w:rPr>
          <w:bCs/>
        </w:rPr>
        <w:t xml:space="preserve">the </w:t>
      </w:r>
      <w:r w:rsidR="003B2335" w:rsidRPr="005D76C0">
        <w:rPr>
          <w:bCs/>
        </w:rPr>
        <w:t>last</w:t>
      </w:r>
      <w:r w:rsidR="00B06261">
        <w:rPr>
          <w:bCs/>
        </w:rPr>
        <w:t xml:space="preserve"> </w:t>
      </w:r>
      <w:r w:rsidR="003B2335" w:rsidRPr="005D76C0">
        <w:rPr>
          <w:bCs/>
        </w:rPr>
        <w:t xml:space="preserve">row of the table) across all the ten combinations for two-vehicle </w:t>
      </w:r>
      <w:r w:rsidR="003B2335" w:rsidRPr="005D76C0">
        <w:rPr>
          <w:bCs/>
        </w:rPr>
        <w:lastRenderedPageBreak/>
        <w:t>households).</w:t>
      </w:r>
      <w:r w:rsidR="00DF22F9" w:rsidRPr="005D76C0">
        <w:rPr>
          <w:rStyle w:val="FootnoteReference"/>
          <w:bCs/>
        </w:rPr>
        <w:footnoteReference w:id="15"/>
      </w:r>
      <w:r w:rsidR="003B2335" w:rsidRPr="005D76C0">
        <w:rPr>
          <w:bCs/>
        </w:rPr>
        <w:t xml:space="preserve"> </w:t>
      </w:r>
      <w:r w:rsidR="00E3644E" w:rsidRPr="005D76C0">
        <w:rPr>
          <w:bCs/>
        </w:rPr>
        <w:t xml:space="preserve">The right </w:t>
      </w:r>
      <w:r w:rsidR="00B76189" w:rsidRPr="005D76C0">
        <w:rPr>
          <w:bCs/>
        </w:rPr>
        <w:t xml:space="preserve">side </w:t>
      </w:r>
      <w:r w:rsidR="00E3644E" w:rsidRPr="005D76C0">
        <w:rPr>
          <w:bCs/>
        </w:rPr>
        <w:t xml:space="preserve">panel of Table </w:t>
      </w:r>
      <w:r w:rsidR="009B1AB0">
        <w:rPr>
          <w:bCs/>
        </w:rPr>
        <w:t>5</w:t>
      </w:r>
      <w:r w:rsidR="00E3644E" w:rsidRPr="005D76C0">
        <w:rPr>
          <w:bCs/>
        </w:rPr>
        <w:t xml:space="preserve"> provides the mean observed continuous-level mileages for each vehicle type within each combination (the mean being computed across all households falling in each combination), and the corresponding mean continuous-level predictions (the mean being computed across households predicted to fall in each combination).</w:t>
      </w:r>
      <w:r w:rsidR="00DF22F9" w:rsidRPr="005D76C0">
        <w:rPr>
          <w:bCs/>
        </w:rPr>
        <w:t xml:space="preserve"> The table does not show the results for the combinations including the “other” vehicle type</w:t>
      </w:r>
      <w:r w:rsidR="000823AD" w:rsidRPr="005D76C0">
        <w:rPr>
          <w:bCs/>
        </w:rPr>
        <w:t xml:space="preserve"> because of the extremely small fractions of households in these </w:t>
      </w:r>
      <w:r w:rsidR="00DF22F9" w:rsidRPr="005D76C0">
        <w:rPr>
          <w:bCs/>
        </w:rPr>
        <w:t>combination</w:t>
      </w:r>
      <w:r w:rsidR="000823AD" w:rsidRPr="005D76C0">
        <w:rPr>
          <w:bCs/>
        </w:rPr>
        <w:t>s</w:t>
      </w:r>
      <w:r w:rsidR="00F9762F" w:rsidRPr="005D76C0">
        <w:rPr>
          <w:bCs/>
        </w:rPr>
        <w:t xml:space="preserve"> and the wide variations in mileage across the small number of households </w:t>
      </w:r>
      <w:r w:rsidR="009B1AB0">
        <w:rPr>
          <w:bCs/>
        </w:rPr>
        <w:t>with</w:t>
      </w:r>
      <w:r w:rsidR="00F9762F" w:rsidRPr="005D76C0">
        <w:rPr>
          <w:bCs/>
        </w:rPr>
        <w:t xml:space="preserve"> “other” vehicle usage</w:t>
      </w:r>
      <w:r w:rsidR="00DF22F9" w:rsidRPr="005D76C0">
        <w:rPr>
          <w:bCs/>
        </w:rPr>
        <w:t>). Several noteworth</w:t>
      </w:r>
      <w:r w:rsidR="000823AD" w:rsidRPr="005D76C0">
        <w:rPr>
          <w:bCs/>
        </w:rPr>
        <w:t>y</w:t>
      </w:r>
      <w:r w:rsidR="00DF22F9" w:rsidRPr="005D76C0">
        <w:rPr>
          <w:bCs/>
        </w:rPr>
        <w:t xml:space="preserve"> observations may be made based on these results. First, </w:t>
      </w:r>
      <w:r w:rsidR="00B76189" w:rsidRPr="005D76C0">
        <w:rPr>
          <w:bCs/>
        </w:rPr>
        <w:t>the predicted mean mileages are remarkabl</w:t>
      </w:r>
      <w:r w:rsidR="000823AD" w:rsidRPr="005D76C0">
        <w:rPr>
          <w:bCs/>
        </w:rPr>
        <w:t xml:space="preserve">y </w:t>
      </w:r>
      <w:r w:rsidR="00B76189" w:rsidRPr="005D76C0">
        <w:rPr>
          <w:bCs/>
        </w:rPr>
        <w:t xml:space="preserve">close to the actual </w:t>
      </w:r>
      <w:r w:rsidR="000823AD" w:rsidRPr="005D76C0">
        <w:rPr>
          <w:bCs/>
        </w:rPr>
        <w:t xml:space="preserve">mean </w:t>
      </w:r>
      <w:r w:rsidR="00B76189" w:rsidRPr="005D76C0">
        <w:rPr>
          <w:bCs/>
        </w:rPr>
        <w:t>mileages for</w:t>
      </w:r>
      <w:r w:rsidR="000823AD" w:rsidRPr="005D76C0">
        <w:rPr>
          <w:bCs/>
        </w:rPr>
        <w:t xml:space="preserve"> cars</w:t>
      </w:r>
      <w:r w:rsidR="00B76189" w:rsidRPr="005D76C0">
        <w:rPr>
          <w:bCs/>
        </w:rPr>
        <w:t>, the most often owned vehicle type by two-vehicle household</w:t>
      </w:r>
      <w:r w:rsidR="000823AD" w:rsidRPr="005D76C0">
        <w:rPr>
          <w:bCs/>
        </w:rPr>
        <w:t xml:space="preserve">s, with </w:t>
      </w:r>
      <w:r w:rsidR="00B76189" w:rsidRPr="005D76C0">
        <w:rPr>
          <w:bCs/>
        </w:rPr>
        <w:t xml:space="preserve">the APE for car mileage </w:t>
      </w:r>
      <w:r w:rsidR="000823AD" w:rsidRPr="005D76C0">
        <w:rPr>
          <w:bCs/>
        </w:rPr>
        <w:t xml:space="preserve">being </w:t>
      </w:r>
      <w:r w:rsidR="00B76189" w:rsidRPr="005D76C0">
        <w:rPr>
          <w:bCs/>
        </w:rPr>
        <w:t>less than 1</w:t>
      </w:r>
      <w:r w:rsidR="00B06261">
        <w:rPr>
          <w:bCs/>
        </w:rPr>
        <w:t>5</w:t>
      </w:r>
      <w:r w:rsidR="00B76189" w:rsidRPr="005D76C0">
        <w:rPr>
          <w:bCs/>
        </w:rPr>
        <w:t xml:space="preserve">% for all </w:t>
      </w:r>
      <w:r w:rsidR="00E53B18">
        <w:rPr>
          <w:bCs/>
        </w:rPr>
        <w:t xml:space="preserve">combinations </w:t>
      </w:r>
      <w:r w:rsidR="00B76189" w:rsidRPr="005D76C0">
        <w:rPr>
          <w:bCs/>
        </w:rPr>
        <w:t xml:space="preserve">that </w:t>
      </w:r>
      <w:r w:rsidR="00E53B18">
        <w:rPr>
          <w:bCs/>
        </w:rPr>
        <w:t>include</w:t>
      </w:r>
      <w:r w:rsidR="00B76189" w:rsidRPr="005D76C0">
        <w:rPr>
          <w:bCs/>
        </w:rPr>
        <w:t xml:space="preserve"> a ca</w:t>
      </w:r>
      <w:r w:rsidR="000823AD" w:rsidRPr="005D76C0">
        <w:rPr>
          <w:bCs/>
        </w:rPr>
        <w:t xml:space="preserve">r. </w:t>
      </w:r>
      <w:r w:rsidR="007F3BFB">
        <w:rPr>
          <w:bCs/>
        </w:rPr>
        <w:t>Second</w:t>
      </w:r>
      <w:r w:rsidR="00252DBF" w:rsidRPr="005D76C0">
        <w:rPr>
          <w:bCs/>
        </w:rPr>
        <w:t xml:space="preserve">, </w:t>
      </w:r>
      <w:r w:rsidR="007F3BFB">
        <w:rPr>
          <w:bCs/>
        </w:rPr>
        <w:t>the linked model does slightly better than the unlinked model on both the unweighted and weighted mean MAPE values. Third</w:t>
      </w:r>
      <w:r w:rsidR="00252DBF" w:rsidRPr="005D76C0">
        <w:rPr>
          <w:bCs/>
        </w:rPr>
        <w:t>, unlike the case of discrete consumptions where the weighted performance of the linked</w:t>
      </w:r>
      <w:r w:rsidR="00EC6E3C">
        <w:rPr>
          <w:bCs/>
        </w:rPr>
        <w:t xml:space="preserve"> model</w:t>
      </w:r>
      <w:r w:rsidR="00252DBF" w:rsidRPr="005D76C0">
        <w:rPr>
          <w:bCs/>
        </w:rPr>
        <w:t xml:space="preserve"> </w:t>
      </w:r>
      <w:r w:rsidR="007F3BFB">
        <w:rPr>
          <w:bCs/>
        </w:rPr>
        <w:t xml:space="preserve">is substantially superior to that of the </w:t>
      </w:r>
      <w:r w:rsidR="00252DBF" w:rsidRPr="005D76C0">
        <w:rPr>
          <w:bCs/>
        </w:rPr>
        <w:t>unlinked model</w:t>
      </w:r>
      <w:r w:rsidR="007F3BFB">
        <w:rPr>
          <w:bCs/>
        </w:rPr>
        <w:t xml:space="preserve">, there is a smaller difference in the accuracy of the continuous mileage predictions in the current empirical context. </w:t>
      </w:r>
    </w:p>
    <w:p w:rsidR="00E416C1" w:rsidRPr="005D76C0" w:rsidRDefault="00EF3B9A" w:rsidP="0001701E">
      <w:pPr>
        <w:spacing w:line="276" w:lineRule="auto"/>
        <w:ind w:firstLine="720"/>
        <w:jc w:val="both"/>
      </w:pPr>
      <w:r w:rsidRPr="005D76C0">
        <w:t xml:space="preserve">Overall, </w:t>
      </w:r>
      <w:r w:rsidR="007F3BFB">
        <w:t xml:space="preserve">however, </w:t>
      </w:r>
      <w:r w:rsidR="00E416C1" w:rsidRPr="005D76C0">
        <w:t xml:space="preserve">the performance of the proposed model at the aggregate as well as disaggregate levels reinforces the notion that </w:t>
      </w:r>
      <w:r w:rsidRPr="005D76C0">
        <w:t xml:space="preserve">the choice of vehicle type combination, the intensity of use of each vehicle type, and the total mileage are all closely linked, and </w:t>
      </w:r>
      <w:r w:rsidR="00643F20" w:rsidRPr="005D76C0">
        <w:t xml:space="preserve">emphasizes the value of modeling these dimensions </w:t>
      </w:r>
      <w:r w:rsidRPr="005D76C0">
        <w:t xml:space="preserve">based on the linked structure proposed in this paper. </w:t>
      </w:r>
      <w:r w:rsidR="007F3BFB">
        <w:t>Importantly, given the different stochastic</w:t>
      </w:r>
      <w:r w:rsidR="00643D22">
        <w:t xml:space="preserve"> </w:t>
      </w:r>
      <w:r w:rsidR="007F3BFB">
        <w:t xml:space="preserve">distributional forms of the linked and unlinked models, data fit alone need not be the guiding factor in choosing the linked model (in fact, it is </w:t>
      </w:r>
      <w:r w:rsidR="00643D22">
        <w:t>not in</w:t>
      </w:r>
      <w:r w:rsidR="007F3BFB">
        <w:t xml:space="preserve">conceivable that the unlinked model </w:t>
      </w:r>
      <w:r w:rsidR="00643D22">
        <w:t xml:space="preserve">would perform even </w:t>
      </w:r>
      <w:r w:rsidR="007F3BFB">
        <w:t xml:space="preserve">better </w:t>
      </w:r>
      <w:r w:rsidR="00643D22">
        <w:t xml:space="preserve">than the linked model from a pure data fit standpoint </w:t>
      </w:r>
      <w:r w:rsidR="007F3BFB">
        <w:t xml:space="preserve">in some empirical situations). </w:t>
      </w:r>
      <w:r w:rsidR="00643D22">
        <w:t>But, from a behavioral standpoint, t</w:t>
      </w:r>
      <w:r w:rsidR="007F3BFB">
        <w:t>he linked model</w:t>
      </w:r>
      <w:r w:rsidR="00643D22">
        <w:t xml:space="preserve"> </w:t>
      </w:r>
      <w:r w:rsidR="007F3BFB">
        <w:t xml:space="preserve">accommodates the notion that changes in the attributes of the goods within the product group of interest not only have a substitution influence, but also an income effect through a change in the total consumption quantity in the product group. As we have shown in Section </w:t>
      </w:r>
      <w:r w:rsidR="00EC6E3C">
        <w:t>2.2.1</w:t>
      </w:r>
      <w:r w:rsidR="007F3BFB">
        <w:t xml:space="preserve">, this linkage between inside good attributes and the total consumption quantity in the product group is consistent with two-stage budgeting and utility maximization, while the linked model </w:t>
      </w:r>
      <w:r w:rsidR="00643D22">
        <w:t xml:space="preserve">completely </w:t>
      </w:r>
      <w:r w:rsidR="007F3BFB">
        <w:t xml:space="preserve">ignores such linkage and is not consistent with utility maximization. </w:t>
      </w:r>
      <w:r w:rsidR="00643D22">
        <w:t xml:space="preserve">Thus, regardless of data fit considerations, in most circumstances, the analyst may prefer to use the linked model from a behavioral standpoint. </w:t>
      </w:r>
    </w:p>
    <w:p w:rsidR="00522CC9" w:rsidRPr="005D76C0" w:rsidRDefault="00522CC9" w:rsidP="0001701E">
      <w:pPr>
        <w:spacing w:line="276" w:lineRule="auto"/>
        <w:jc w:val="both"/>
      </w:pPr>
    </w:p>
    <w:p w:rsidR="00EF3B9A" w:rsidRPr="005C6AE5" w:rsidRDefault="00DE0C9C" w:rsidP="0001701E">
      <w:pPr>
        <w:numPr>
          <w:ilvl w:val="0"/>
          <w:numId w:val="6"/>
        </w:numPr>
        <w:spacing w:line="276" w:lineRule="auto"/>
        <w:jc w:val="both"/>
        <w:rPr>
          <w:b/>
          <w:caps/>
        </w:rPr>
      </w:pPr>
      <w:r w:rsidRPr="005C6AE5">
        <w:rPr>
          <w:b/>
          <w:caps/>
        </w:rPr>
        <w:t>Conclusions</w:t>
      </w:r>
    </w:p>
    <w:p w:rsidR="009331CD" w:rsidRDefault="005752F3" w:rsidP="00E53B18">
      <w:pPr>
        <w:autoSpaceDE w:val="0"/>
        <w:autoSpaceDN w:val="0"/>
        <w:adjustRightInd w:val="0"/>
        <w:spacing w:line="276" w:lineRule="auto"/>
        <w:jc w:val="both"/>
      </w:pPr>
      <w:r>
        <w:t xml:space="preserve">In this paper, we propose an approach that does not need the total budget to be observed or predetermined, </w:t>
      </w:r>
      <w:r w:rsidR="002F0CFD">
        <w:t xml:space="preserve">allows for any finite or not-so-finite budget over the entire set of inside and outside goods, and </w:t>
      </w:r>
      <w:r>
        <w:t>preserv</w:t>
      </w:r>
      <w:r w:rsidR="002F0CFD">
        <w:t>es</w:t>
      </w:r>
      <w:r>
        <w:t xml:space="preserve"> a strong endogenous </w:t>
      </w:r>
      <w:r w:rsidR="000770ED">
        <w:t xml:space="preserve">utility-theoretic </w:t>
      </w:r>
      <w:r>
        <w:t xml:space="preserve">link between inside good consumptions and the budget allocated to the inside goods (that is, to the product group of interest). </w:t>
      </w:r>
      <w:r w:rsidR="002F5412">
        <w:t xml:space="preserve">At the same time, the proposed approach also makes the forecasting process simple and </w:t>
      </w:r>
      <w:r w:rsidR="002F5412">
        <w:lastRenderedPageBreak/>
        <w:t xml:space="preserve">easy. </w:t>
      </w:r>
      <w:r w:rsidR="002F0CFD">
        <w:t>Our</w:t>
      </w:r>
      <w:r w:rsidR="000770ED">
        <w:t xml:space="preserve"> </w:t>
      </w:r>
      <w:r w:rsidR="002F0CFD">
        <w:t xml:space="preserve">approach, inspired by similar efforts in the past in the context of the vertical choice-making approach, models an endogenous budget for the inside goods as well as consumption of the inside goods separately, but within a unified utility-theoretic framework. As importantly, different from earlier applications in the vertical choice making approach, we also allow unobserved heterogeneity in the intensity of linking between the inside good preferences and the budget </w:t>
      </w:r>
      <w:r w:rsidR="001902A2">
        <w:t xml:space="preserve">allocation </w:t>
      </w:r>
      <w:r w:rsidR="002F0CFD">
        <w:t xml:space="preserve">for the </w:t>
      </w:r>
      <w:r w:rsidR="001902A2">
        <w:t>product group of interest</w:t>
      </w:r>
      <w:r w:rsidR="002F0CFD">
        <w:t>. W</w:t>
      </w:r>
      <w:r w:rsidR="007552A0" w:rsidRPr="00324EEB">
        <w:t xml:space="preserve">e </w:t>
      </w:r>
      <w:r w:rsidR="002F0CFD">
        <w:t xml:space="preserve">show that </w:t>
      </w:r>
      <w:r w:rsidR="000770ED">
        <w:t xml:space="preserve">our proposed model, including a fractional MDCEV model at the lower level linked up to a Tobit model for the budget allocation to the inside goods, is strictly </w:t>
      </w:r>
      <w:r w:rsidR="007552A0" w:rsidRPr="00324EEB">
        <w:t>co</w:t>
      </w:r>
      <w:r w:rsidR="001902A2">
        <w:t>nsistent</w:t>
      </w:r>
      <w:r w:rsidR="007552A0" w:rsidRPr="00324EEB">
        <w:t xml:space="preserve"> with a two-stage budgeting utility </w:t>
      </w:r>
      <w:r w:rsidR="000770ED">
        <w:t>theoretic</w:t>
      </w:r>
      <w:r w:rsidR="007552A0" w:rsidRPr="00324EEB">
        <w:t xml:space="preserve"> structure. </w:t>
      </w:r>
      <w:r w:rsidR="00E53B18">
        <w:t>Then</w:t>
      </w:r>
      <w:r w:rsidR="000770ED">
        <w:t xml:space="preserve">, by using </w:t>
      </w:r>
      <w:r w:rsidR="007552A0">
        <w:t>a reverse Gumbel distributional assumption for the stochastic terms in the baseline preferences of each of the inside alternatives</w:t>
      </w:r>
      <w:r w:rsidR="000770ED">
        <w:t xml:space="preserve"> in the fractional MDCEV model, and </w:t>
      </w:r>
      <w:r w:rsidR="007552A0">
        <w:t xml:space="preserve">a reverse Gumbel distribution for the random error term </w:t>
      </w:r>
      <w:r w:rsidR="000770ED">
        <w:t xml:space="preserve">in the Tobit model, we derive an </w:t>
      </w:r>
      <w:r w:rsidR="007552A0">
        <w:t xml:space="preserve">incredibly </w:t>
      </w:r>
      <w:r w:rsidR="000770ED">
        <w:t xml:space="preserve">simple </w:t>
      </w:r>
      <w:r w:rsidR="007552A0">
        <w:t>closed-form model for the resulting multiple discrete-co</w:t>
      </w:r>
      <w:r w:rsidR="00561FC1">
        <w:t>ntinuous</w:t>
      </w:r>
      <w:r w:rsidR="007552A0">
        <w:t xml:space="preserve"> extreme value model that, to our knowledge, is a first of its kind in the econometric literature. </w:t>
      </w:r>
      <w:r w:rsidR="000770ED">
        <w:t xml:space="preserve">In doing so, we formally introduce a new distribution, </w:t>
      </w:r>
      <w:r w:rsidR="009331CD">
        <w:t xml:space="preserve">which we </w:t>
      </w:r>
      <w:r w:rsidR="000770ED">
        <w:t>labe</w:t>
      </w:r>
      <w:r w:rsidR="009331CD">
        <w:t>l as</w:t>
      </w:r>
      <w:r w:rsidR="000770ED">
        <w:t xml:space="preserve"> the </w:t>
      </w:r>
      <w:r w:rsidR="00553744">
        <w:t>minLogistic</w:t>
      </w:r>
      <w:r w:rsidR="000770ED">
        <w:t xml:space="preserve"> distribution, to the statistical literature, and derive </w:t>
      </w:r>
      <w:r w:rsidR="009331CD">
        <w:t xml:space="preserve">the </w:t>
      </w:r>
      <w:r w:rsidR="000770ED">
        <w:t xml:space="preserve">properties of the distribution that </w:t>
      </w:r>
      <w:r w:rsidR="009331CD">
        <w:t>i</w:t>
      </w:r>
      <w:r w:rsidR="000770ED">
        <w:t xml:space="preserve">s </w:t>
      </w:r>
      <w:r w:rsidR="009331CD">
        <w:t xml:space="preserve">then </w:t>
      </w:r>
      <w:r w:rsidR="000770ED">
        <w:t xml:space="preserve">used in the forecasting stage of the proposed model. </w:t>
      </w:r>
      <w:r w:rsidR="009331CD">
        <w:t xml:space="preserve">An application of the proposed model to investigate the household vehicle fleet composition and usage demonstrates its potential relative to an unlinked and exogenously developed budget for the inside goods. </w:t>
      </w:r>
    </w:p>
    <w:p w:rsidR="00A449EA" w:rsidRDefault="009331CD" w:rsidP="0001701E">
      <w:pPr>
        <w:autoSpaceDE w:val="0"/>
        <w:autoSpaceDN w:val="0"/>
        <w:adjustRightInd w:val="0"/>
        <w:spacing w:line="276" w:lineRule="auto"/>
        <w:ind w:firstLine="720"/>
        <w:jc w:val="both"/>
      </w:pPr>
      <w:r>
        <w:t>Of course, there are many directions</w:t>
      </w:r>
      <w:r w:rsidR="007E7182">
        <w:t xml:space="preserve"> along</w:t>
      </w:r>
      <w:r>
        <w:t xml:space="preserve"> which the proposed model may be extended</w:t>
      </w:r>
      <w:r w:rsidR="00C25C72">
        <w:t xml:space="preserve">, most of which also are </w:t>
      </w:r>
      <w:r w:rsidR="00593600">
        <w:t>certain</w:t>
      </w:r>
      <w:r w:rsidR="00C25C72">
        <w:t xml:space="preserve"> to </w:t>
      </w:r>
      <w:r w:rsidR="001902A2">
        <w:t xml:space="preserve">dismantle </w:t>
      </w:r>
      <w:r w:rsidR="00C25C72">
        <w:t>the closed-form nature of the proposed model</w:t>
      </w:r>
      <w:r>
        <w:t xml:space="preserve">. </w:t>
      </w:r>
      <w:r w:rsidR="00C25C72">
        <w:t xml:space="preserve">But, with strategic </w:t>
      </w:r>
      <w:r w:rsidR="00A449EA">
        <w:t>accommodation</w:t>
      </w:r>
      <w:r w:rsidR="00C25C72">
        <w:t xml:space="preserve">, some of these extensions should be readily estimable because of advances in simulation </w:t>
      </w:r>
      <w:r w:rsidR="00561FC1">
        <w:t xml:space="preserve">and analytic approximation </w:t>
      </w:r>
      <w:r w:rsidR="00C25C72">
        <w:t xml:space="preserve">techniques. First, as discussed in Section </w:t>
      </w:r>
      <w:r w:rsidR="00A40754">
        <w:t>3</w:t>
      </w:r>
      <w:r w:rsidR="00C25C72">
        <w:t>, random parameters may be added to one or both of the fractional MDCEV model or the Tobit model, which can allow for unobserved heterogeneity in sensitivity to exogenous variables, as well as correlation across the inside good preferences</w:t>
      </w:r>
      <w:r w:rsidR="00332DFD">
        <w:t>.</w:t>
      </w:r>
      <w:r w:rsidR="00C25C72">
        <w:t xml:space="preserve"> Second, the Tobit model may be replaced by a system of two equations, one equation for zero versus positive total consumption for the inside goods and another for the total </w:t>
      </w:r>
      <w:r w:rsidR="00561FC1">
        <w:t>budget allocation to</w:t>
      </w:r>
      <w:r w:rsidR="00C25C72">
        <w:t xml:space="preserve"> the inside goods, given positive consumption. The linking term from the fractional MDCEV can be introduced in each of these equations, </w:t>
      </w:r>
      <w:r w:rsidR="001902A2">
        <w:t xml:space="preserve">while </w:t>
      </w:r>
      <w:r w:rsidR="007E7182">
        <w:t>still retain</w:t>
      </w:r>
      <w:r w:rsidR="001902A2">
        <w:t>ing</w:t>
      </w:r>
      <w:r w:rsidR="007E7182">
        <w:t xml:space="preserve"> a closed-form model. Of course, one can further introduce </w:t>
      </w:r>
      <w:r w:rsidR="00A449EA">
        <w:t xml:space="preserve">a </w:t>
      </w:r>
      <w:r w:rsidR="007E7182">
        <w:t xml:space="preserve">correlation across the two equations </w:t>
      </w:r>
      <w:r w:rsidR="001902A2">
        <w:t>(</w:t>
      </w:r>
      <w:r w:rsidR="00561FC1">
        <w:t xml:space="preserve">that may </w:t>
      </w:r>
      <w:r w:rsidR="007E7182">
        <w:t>replac</w:t>
      </w:r>
      <w:r w:rsidR="00561FC1">
        <w:t>e</w:t>
      </w:r>
      <w:r w:rsidR="007E7182">
        <w:t xml:space="preserve"> the Tobit model</w:t>
      </w:r>
      <w:r w:rsidR="001902A2">
        <w:t>)</w:t>
      </w:r>
      <w:r w:rsidR="007E7182">
        <w:t xml:space="preserve"> through an error-component mixing approach, or by employing well-known bivariate</w:t>
      </w:r>
      <w:r w:rsidR="005C6AE5">
        <w:t xml:space="preserve"> </w:t>
      </w:r>
      <w:r w:rsidR="007E7182">
        <w:t xml:space="preserve">parametric distributions. </w:t>
      </w:r>
      <w:r w:rsidR="00F90A26">
        <w:t>Third, from an empirical standpoint, while the traditional single-stage budgeting MDCEV model is not applicable for cases with an unknown total budget over the inside and outside goods (our proposed model is), it would be interesting to undertake an empirical comparison of the traditional MDCEV model with the proposed two-stage budgeting MDC</w:t>
      </w:r>
      <w:r w:rsidR="001902A2">
        <w:t>EV</w:t>
      </w:r>
      <w:r w:rsidR="00F90A26">
        <w:t xml:space="preserve"> model for cases when the budget is observed. Both models are applicable in this situation. While the proposed model does have the benefit of disentangling substitution and income effects</w:t>
      </w:r>
      <w:r w:rsidR="00A40754">
        <w:t xml:space="preserve"> (see Section 1.1)</w:t>
      </w:r>
      <w:r w:rsidR="00F90A26">
        <w:t>, a</w:t>
      </w:r>
      <w:r w:rsidR="00F02E37">
        <w:t xml:space="preserve"> comprehensive</w:t>
      </w:r>
      <w:r w:rsidR="00F90A26">
        <w:t xml:space="preserve"> empirical comparison of the two models </w:t>
      </w:r>
      <w:r w:rsidR="00F02E37">
        <w:t xml:space="preserve">based on data fit as well as policy implications </w:t>
      </w:r>
      <w:r w:rsidR="00F90A26">
        <w:t xml:space="preserve">may bring out interesting results. </w:t>
      </w:r>
      <w:r w:rsidR="00332DFD">
        <w:t xml:space="preserve">Fourth, approaches </w:t>
      </w:r>
      <w:r w:rsidR="002562D2">
        <w:t xml:space="preserve">that relax the need for strict exogeneity of the linking function in the first stage budget model and that allow the first stage </w:t>
      </w:r>
      <w:r w:rsidR="002562D2">
        <w:lastRenderedPageBreak/>
        <w:t xml:space="preserve">total budget itself to impact the second stage fractional splits would be helpful, though would almost definitely also destroy the utility-theoretic and/or closed-form nature of the model. </w:t>
      </w:r>
    </w:p>
    <w:p w:rsidR="007552A0" w:rsidRDefault="007552A0" w:rsidP="0001701E">
      <w:pPr>
        <w:spacing w:line="276" w:lineRule="auto"/>
        <w:ind w:firstLine="720"/>
        <w:jc w:val="both"/>
      </w:pPr>
      <w:r>
        <w:t>T</w:t>
      </w:r>
      <w:r w:rsidRPr="009B6859">
        <w:t xml:space="preserve">he proposed </w:t>
      </w:r>
      <w:r w:rsidR="00A449EA">
        <w:t>two</w:t>
      </w:r>
      <w:r w:rsidR="002C6B51">
        <w:t>-</w:t>
      </w:r>
      <w:r w:rsidR="00A449EA">
        <w:t>stage</w:t>
      </w:r>
      <w:r w:rsidR="002C6B51">
        <w:t xml:space="preserve"> </w:t>
      </w:r>
      <w:r w:rsidR="00A449EA">
        <w:t xml:space="preserve">budgeting </w:t>
      </w:r>
      <w:r w:rsidRPr="009B6859">
        <w:t>MDCEV</w:t>
      </w:r>
      <w:r w:rsidR="00A449EA">
        <w:t>-Tobit</w:t>
      </w:r>
      <w:r w:rsidRPr="009B6859">
        <w:t xml:space="preserve"> should prove to be beneficial in a number of multiple discrete-continuous choice</w:t>
      </w:r>
      <w:r>
        <w:t xml:space="preserve"> contexts</w:t>
      </w:r>
      <w:r w:rsidRPr="009B6859">
        <w:t>. The closed-form probability structure make</w:t>
      </w:r>
      <w:r>
        <w:t>s</w:t>
      </w:r>
      <w:r w:rsidRPr="009B6859">
        <w:t xml:space="preserve"> the estimation procedure </w:t>
      </w:r>
      <w:r>
        <w:t>no more difficult than for traditional MDCEV models</w:t>
      </w:r>
      <w:r w:rsidR="00A449EA">
        <w:t xml:space="preserve">. As such, we believe that the proposed model can open up a </w:t>
      </w:r>
      <w:r w:rsidR="00F90A26">
        <w:t xml:space="preserve">whole new world </w:t>
      </w:r>
      <w:r w:rsidR="00A449EA">
        <w:t xml:space="preserve">of MDC applications </w:t>
      </w:r>
      <w:r w:rsidR="00F90A26">
        <w:t>in general, particularly for those cases with an unobserved total budget over the inside and outside goods</w:t>
      </w:r>
      <w:r w:rsidR="00E53B18">
        <w:t xml:space="preserve"> and/or </w:t>
      </w:r>
      <w:r w:rsidR="007E3665">
        <w:t xml:space="preserve">general </w:t>
      </w:r>
      <w:r w:rsidR="00E53B18">
        <w:t xml:space="preserve">nested linkages </w:t>
      </w:r>
      <w:r w:rsidR="007E3665">
        <w:t xml:space="preserve">of model systems </w:t>
      </w:r>
      <w:r w:rsidR="00E53B18">
        <w:t>with an MDC model at the lower level</w:t>
      </w:r>
      <w:r w:rsidR="00F90A26">
        <w:t xml:space="preserve">. In </w:t>
      </w:r>
      <w:r w:rsidR="00A40754">
        <w:t>closing</w:t>
      </w:r>
      <w:r w:rsidR="00F90A26">
        <w:t xml:space="preserve">, </w:t>
      </w:r>
      <w:r w:rsidR="00A40754">
        <w:t xml:space="preserve">we are excited by the prospect that </w:t>
      </w:r>
      <w:r w:rsidR="00F90A26">
        <w:t xml:space="preserve">the proposed model </w:t>
      </w:r>
      <w:r w:rsidR="00A40754">
        <w:t xml:space="preserve">can </w:t>
      </w:r>
      <w:r w:rsidR="00F90A26">
        <w:t xml:space="preserve">add to the arsenal (intended </w:t>
      </w:r>
      <w:r w:rsidR="00A40754">
        <w:t xml:space="preserve">and used here in </w:t>
      </w:r>
      <w:r w:rsidR="00F90A26">
        <w:t xml:space="preserve">only a pacifist way) at the disposal of choice modelers and econometricians </w:t>
      </w:r>
      <w:r w:rsidR="00A40754">
        <w:t xml:space="preserve">when analyzing MDC situations. </w:t>
      </w:r>
    </w:p>
    <w:p w:rsidR="005C6AE5" w:rsidRDefault="005C6AE5" w:rsidP="0001701E">
      <w:pPr>
        <w:spacing w:line="276" w:lineRule="auto"/>
        <w:jc w:val="both"/>
      </w:pPr>
    </w:p>
    <w:p w:rsidR="005C6AE5" w:rsidRDefault="005C6AE5" w:rsidP="0001701E">
      <w:pPr>
        <w:spacing w:line="276" w:lineRule="auto"/>
        <w:rPr>
          <w:b/>
        </w:rPr>
      </w:pPr>
      <w:r w:rsidRPr="00576B82">
        <w:rPr>
          <w:b/>
        </w:rPr>
        <w:t>ACKNOWLEDGMENTS</w:t>
      </w:r>
    </w:p>
    <w:p w:rsidR="005C6AE5" w:rsidRDefault="00DC1627" w:rsidP="0001701E">
      <w:pPr>
        <w:spacing w:line="276" w:lineRule="auto"/>
        <w:jc w:val="both"/>
      </w:pPr>
      <w:r>
        <w:t>The author</w:t>
      </w:r>
      <w:r w:rsidR="009D0F8D">
        <w:t xml:space="preserve"> is </w:t>
      </w:r>
      <w:r>
        <w:t>grateful to Lisa Macias for her help in formatting this document</w:t>
      </w:r>
      <w:r w:rsidRPr="00050A27">
        <w:rPr>
          <w:color w:val="000000"/>
        </w:rPr>
        <w:t>.</w:t>
      </w:r>
      <w:r>
        <w:rPr>
          <w:color w:val="000000"/>
        </w:rPr>
        <w:t xml:space="preserve"> </w:t>
      </w:r>
      <w:r w:rsidR="009D0F8D">
        <w:rPr>
          <w:color w:val="000000"/>
        </w:rPr>
        <w:t>Vivek Verma helped verify, type up, and format the many integration formulas in the Appendix.</w:t>
      </w:r>
      <w:r w:rsidR="003129C6">
        <w:rPr>
          <w:color w:val="000000"/>
        </w:rPr>
        <w:t xml:space="preserve"> The author would like to thank an anonymous reviewer for valuable comments.</w:t>
      </w:r>
    </w:p>
    <w:p w:rsidR="00CF1F31" w:rsidRDefault="00CF1F31" w:rsidP="0001701E">
      <w:pPr>
        <w:spacing w:line="276" w:lineRule="auto"/>
        <w:jc w:val="both"/>
      </w:pPr>
    </w:p>
    <w:p w:rsidR="00CF1F31" w:rsidRPr="00CF1F31" w:rsidRDefault="003129C6" w:rsidP="00FB7A6D">
      <w:pPr>
        <w:pStyle w:val="ListParagraph"/>
        <w:autoSpaceDE w:val="0"/>
        <w:autoSpaceDN w:val="0"/>
        <w:adjustRightInd w:val="0"/>
        <w:spacing w:after="120"/>
        <w:ind w:left="0"/>
        <w:jc w:val="both"/>
        <w:rPr>
          <w:rFonts w:ascii="Times New Roman" w:hAnsi="Times New Roman"/>
          <w:b/>
          <w:sz w:val="24"/>
          <w:szCs w:val="24"/>
        </w:rPr>
      </w:pPr>
      <w:r>
        <w:rPr>
          <w:rFonts w:ascii="Times New Roman" w:hAnsi="Times New Roman"/>
          <w:b/>
          <w:sz w:val="24"/>
          <w:szCs w:val="24"/>
        </w:rPr>
        <w:br w:type="page"/>
      </w:r>
      <w:r w:rsidR="00CF1F31" w:rsidRPr="00CF1F31">
        <w:rPr>
          <w:rFonts w:ascii="Times New Roman" w:hAnsi="Times New Roman"/>
          <w:b/>
          <w:sz w:val="24"/>
          <w:szCs w:val="24"/>
        </w:rPr>
        <w:lastRenderedPageBreak/>
        <w:t>REFERENCES</w:t>
      </w:r>
    </w:p>
    <w:p w:rsidR="00400FCA" w:rsidRPr="00075A22" w:rsidRDefault="00824967" w:rsidP="00400FCA">
      <w:pPr>
        <w:spacing w:after="60" w:line="276" w:lineRule="auto"/>
        <w:ind w:left="360" w:hanging="360"/>
        <w:jc w:val="both"/>
      </w:pPr>
      <w:bookmarkStart w:id="5" w:name="_Hlk97307238"/>
      <w:r w:rsidRPr="00824967">
        <w:rPr>
          <w:color w:val="212121"/>
          <w:shd w:val="clear" w:color="auto" w:fill="FFFFFF"/>
        </w:rPr>
        <w:t>Anastasopoulos</w:t>
      </w:r>
      <w:r w:rsidRPr="00075A22">
        <w:rPr>
          <w:color w:val="212121"/>
          <w:shd w:val="clear" w:color="auto" w:fill="FFFFFF"/>
        </w:rPr>
        <w:t>,</w:t>
      </w:r>
      <w:r w:rsidR="00400FCA" w:rsidRPr="00075A22">
        <w:rPr>
          <w:color w:val="212121"/>
          <w:shd w:val="clear" w:color="auto" w:fill="FFFFFF"/>
        </w:rPr>
        <w:t xml:space="preserve"> P</w:t>
      </w:r>
      <w:r w:rsidR="00075A22">
        <w:rPr>
          <w:color w:val="212121"/>
          <w:shd w:val="clear" w:color="auto" w:fill="FFFFFF"/>
        </w:rPr>
        <w:t>.</w:t>
      </w:r>
      <w:r w:rsidR="00400FCA" w:rsidRPr="00075A22">
        <w:rPr>
          <w:color w:val="212121"/>
          <w:shd w:val="clear" w:color="auto" w:fill="FFFFFF"/>
        </w:rPr>
        <w:t>Ch</w:t>
      </w:r>
      <w:r w:rsidRPr="00075A22">
        <w:rPr>
          <w:color w:val="212121"/>
          <w:shd w:val="clear" w:color="auto" w:fill="FFFFFF"/>
        </w:rPr>
        <w:t>.</w:t>
      </w:r>
      <w:r w:rsidR="00400FCA" w:rsidRPr="00075A22">
        <w:rPr>
          <w:color w:val="212121"/>
          <w:shd w:val="clear" w:color="auto" w:fill="FFFFFF"/>
        </w:rPr>
        <w:t>, Shankar</w:t>
      </w:r>
      <w:r w:rsidRPr="00075A22">
        <w:rPr>
          <w:color w:val="212121"/>
          <w:shd w:val="clear" w:color="auto" w:fill="FFFFFF"/>
        </w:rPr>
        <w:t>,</w:t>
      </w:r>
      <w:r w:rsidR="00400FCA" w:rsidRPr="00075A22">
        <w:rPr>
          <w:color w:val="212121"/>
          <w:shd w:val="clear" w:color="auto" w:fill="FFFFFF"/>
        </w:rPr>
        <w:t xml:space="preserve"> V</w:t>
      </w:r>
      <w:r w:rsidRPr="00075A22">
        <w:rPr>
          <w:color w:val="212121"/>
          <w:shd w:val="clear" w:color="auto" w:fill="FFFFFF"/>
        </w:rPr>
        <w:t>.</w:t>
      </w:r>
      <w:r w:rsidR="00400FCA" w:rsidRPr="00075A22">
        <w:rPr>
          <w:color w:val="212121"/>
          <w:shd w:val="clear" w:color="auto" w:fill="FFFFFF"/>
        </w:rPr>
        <w:t>N</w:t>
      </w:r>
      <w:r w:rsidRPr="00075A22">
        <w:rPr>
          <w:color w:val="212121"/>
          <w:shd w:val="clear" w:color="auto" w:fill="FFFFFF"/>
        </w:rPr>
        <w:t>.</w:t>
      </w:r>
      <w:r w:rsidR="00400FCA" w:rsidRPr="00075A22">
        <w:rPr>
          <w:color w:val="212121"/>
          <w:shd w:val="clear" w:color="auto" w:fill="FFFFFF"/>
        </w:rPr>
        <w:t>, Haddock</w:t>
      </w:r>
      <w:r w:rsidRPr="00075A22">
        <w:rPr>
          <w:color w:val="212121"/>
          <w:shd w:val="clear" w:color="auto" w:fill="FFFFFF"/>
        </w:rPr>
        <w:t>,</w:t>
      </w:r>
      <w:r w:rsidR="00400FCA" w:rsidRPr="00075A22">
        <w:rPr>
          <w:color w:val="212121"/>
          <w:shd w:val="clear" w:color="auto" w:fill="FFFFFF"/>
        </w:rPr>
        <w:t xml:space="preserve"> J</w:t>
      </w:r>
      <w:r w:rsidRPr="00075A22">
        <w:rPr>
          <w:color w:val="212121"/>
          <w:shd w:val="clear" w:color="auto" w:fill="FFFFFF"/>
        </w:rPr>
        <w:t>.</w:t>
      </w:r>
      <w:r w:rsidR="00400FCA" w:rsidRPr="00075A22">
        <w:rPr>
          <w:color w:val="212121"/>
          <w:shd w:val="clear" w:color="auto" w:fill="FFFFFF"/>
        </w:rPr>
        <w:t>E</w:t>
      </w:r>
      <w:r w:rsidRPr="00075A22">
        <w:rPr>
          <w:color w:val="212121"/>
          <w:shd w:val="clear" w:color="auto" w:fill="FFFFFF"/>
        </w:rPr>
        <w:t>.</w:t>
      </w:r>
      <w:r w:rsidR="00400FCA" w:rsidRPr="00075A22">
        <w:rPr>
          <w:color w:val="212121"/>
          <w:shd w:val="clear" w:color="auto" w:fill="FFFFFF"/>
        </w:rPr>
        <w:t>, Mannering</w:t>
      </w:r>
      <w:r w:rsidRPr="00075A22">
        <w:rPr>
          <w:color w:val="212121"/>
          <w:shd w:val="clear" w:color="auto" w:fill="FFFFFF"/>
        </w:rPr>
        <w:t>,</w:t>
      </w:r>
      <w:r w:rsidR="00400FCA" w:rsidRPr="00075A22">
        <w:rPr>
          <w:color w:val="212121"/>
          <w:shd w:val="clear" w:color="auto" w:fill="FFFFFF"/>
        </w:rPr>
        <w:t xml:space="preserve"> F</w:t>
      </w:r>
      <w:r w:rsidRPr="00075A22">
        <w:rPr>
          <w:color w:val="212121"/>
          <w:shd w:val="clear" w:color="auto" w:fill="FFFFFF"/>
        </w:rPr>
        <w:t>.</w:t>
      </w:r>
      <w:r w:rsidR="00400FCA" w:rsidRPr="00075A22">
        <w:rPr>
          <w:color w:val="212121"/>
          <w:shd w:val="clear" w:color="auto" w:fill="FFFFFF"/>
        </w:rPr>
        <w:t>L.</w:t>
      </w:r>
      <w:r w:rsidRPr="00075A22">
        <w:rPr>
          <w:color w:val="212121"/>
          <w:shd w:val="clear" w:color="auto" w:fill="FFFFFF"/>
        </w:rPr>
        <w:t>, 2012.</w:t>
      </w:r>
      <w:r w:rsidR="00400FCA" w:rsidRPr="00075A22">
        <w:rPr>
          <w:color w:val="212121"/>
          <w:shd w:val="clear" w:color="auto" w:fill="FFFFFF"/>
        </w:rPr>
        <w:t xml:space="preserve"> A multivariate tobit analysis of highway accident-injury-severity rates. </w:t>
      </w:r>
      <w:r w:rsidRPr="00075A22">
        <w:rPr>
          <w:i/>
          <w:color w:val="212121"/>
          <w:shd w:val="clear" w:color="auto" w:fill="FFFFFF"/>
        </w:rPr>
        <w:t>Accident Analysis &amp; Prevention</w:t>
      </w:r>
      <w:r w:rsidRPr="00075A22">
        <w:rPr>
          <w:color w:val="212121"/>
          <w:shd w:val="clear" w:color="auto" w:fill="FFFFFF"/>
        </w:rPr>
        <w:t>, 45, 110-119.</w:t>
      </w:r>
    </w:p>
    <w:p w:rsidR="00515FCB" w:rsidRDefault="00515FCB" w:rsidP="00DC1627">
      <w:pPr>
        <w:spacing w:after="60" w:line="276" w:lineRule="auto"/>
        <w:ind w:left="360" w:hanging="360"/>
        <w:jc w:val="both"/>
      </w:pPr>
      <w:r w:rsidRPr="00075A22">
        <w:t>Augustin, B., Pinjari, A.R.,</w:t>
      </w:r>
      <w:r>
        <w:t xml:space="preserve"> </w:t>
      </w:r>
      <w:r w:rsidRPr="00515FCB">
        <w:t xml:space="preserve">Eluru, </w:t>
      </w:r>
      <w:r>
        <w:t xml:space="preserve">N., </w:t>
      </w:r>
      <w:r w:rsidRPr="00515FCB">
        <w:t>and Pendyala</w:t>
      </w:r>
      <w:r>
        <w:t xml:space="preserve">, R.M., 2015. </w:t>
      </w:r>
      <w:r w:rsidRPr="00515FCB">
        <w:t xml:space="preserve">Estimation of </w:t>
      </w:r>
      <w:r>
        <w:t>a</w:t>
      </w:r>
      <w:r w:rsidRPr="00515FCB">
        <w:t xml:space="preserve">nnual </w:t>
      </w:r>
      <w:r>
        <w:t>m</w:t>
      </w:r>
      <w:r w:rsidRPr="00515FCB">
        <w:t xml:space="preserve">ileage </w:t>
      </w:r>
      <w:r>
        <w:t>b</w:t>
      </w:r>
      <w:r w:rsidRPr="00515FCB">
        <w:t>udgets</w:t>
      </w:r>
      <w:r>
        <w:t xml:space="preserve"> </w:t>
      </w:r>
      <w:r w:rsidRPr="00515FCB">
        <w:t xml:space="preserve">for a </w:t>
      </w:r>
      <w:r>
        <w:t>m</w:t>
      </w:r>
      <w:r w:rsidRPr="00515FCB">
        <w:t xml:space="preserve">ultiple </w:t>
      </w:r>
      <w:r>
        <w:t>d</w:t>
      </w:r>
      <w:r w:rsidRPr="00515FCB">
        <w:t>iscrete-</w:t>
      </w:r>
      <w:r>
        <w:t>c</w:t>
      </w:r>
      <w:r w:rsidRPr="00515FCB">
        <w:t>ontinuous</w:t>
      </w:r>
      <w:r>
        <w:t xml:space="preserve"> c</w:t>
      </w:r>
      <w:r w:rsidRPr="00515FCB">
        <w:t xml:space="preserve">hoice </w:t>
      </w:r>
      <w:r>
        <w:t>m</w:t>
      </w:r>
      <w:r w:rsidRPr="00515FCB">
        <w:t xml:space="preserve">odel of </w:t>
      </w:r>
      <w:r>
        <w:t>h</w:t>
      </w:r>
      <w:r w:rsidRPr="00515FCB">
        <w:t xml:space="preserve">ousehold </w:t>
      </w:r>
      <w:r>
        <w:t>v</w:t>
      </w:r>
      <w:r w:rsidRPr="00515FCB">
        <w:t>ehicle</w:t>
      </w:r>
      <w:r>
        <w:t xml:space="preserve"> o</w:t>
      </w:r>
      <w:r w:rsidRPr="00515FCB">
        <w:t xml:space="preserve">wnership and </w:t>
      </w:r>
      <w:r>
        <w:t>u</w:t>
      </w:r>
      <w:r w:rsidRPr="00515FCB">
        <w:t>tilization</w:t>
      </w:r>
      <w:r>
        <w:t xml:space="preserve">. </w:t>
      </w:r>
      <w:r w:rsidRPr="00515FCB">
        <w:rPr>
          <w:i/>
        </w:rPr>
        <w:t>Transportation Research Record: Journal of the Transportation Research Board</w:t>
      </w:r>
      <w:r w:rsidRPr="00515FCB">
        <w:t>,</w:t>
      </w:r>
      <w:r>
        <w:t xml:space="preserve"> </w:t>
      </w:r>
      <w:r w:rsidRPr="00515FCB">
        <w:t>2493, 126</w:t>
      </w:r>
      <w:r>
        <w:t>-</w:t>
      </w:r>
      <w:r w:rsidRPr="00515FCB">
        <w:t>135.</w:t>
      </w:r>
    </w:p>
    <w:p w:rsidR="00515FCB" w:rsidRPr="00515FCB" w:rsidRDefault="00515FCB" w:rsidP="00DC1627">
      <w:pPr>
        <w:spacing w:after="60" w:line="276" w:lineRule="auto"/>
        <w:ind w:left="360" w:hanging="360"/>
        <w:jc w:val="both"/>
      </w:pPr>
      <w:r w:rsidRPr="00515FCB">
        <w:t>Baran, S., Szokol, P., and Szab</w:t>
      </w:r>
      <w:r w:rsidRPr="00515FCB">
        <w:rPr>
          <w:bCs/>
          <w:color w:val="1C1D1E"/>
          <w:shd w:val="clear" w:color="auto" w:fill="FFFFFF"/>
        </w:rPr>
        <w:t>ó</w:t>
      </w:r>
      <w:r w:rsidRPr="00515FCB">
        <w:t xml:space="preserve">, M., 2021. Truncated generalized extreme value distribution-based ensemble model output statistics model for calibration of wind speed ensemble forecasts. </w:t>
      </w:r>
      <w:r w:rsidRPr="00515FCB">
        <w:rPr>
          <w:i/>
        </w:rPr>
        <w:t>Environmetrics</w:t>
      </w:r>
      <w:r w:rsidRPr="00515FCB">
        <w:t>, 32(6), e2678.</w:t>
      </w:r>
    </w:p>
    <w:p w:rsidR="00CF1F31" w:rsidRPr="00A071C3" w:rsidRDefault="00CF1F31" w:rsidP="00DC1627">
      <w:pPr>
        <w:spacing w:after="60" w:line="276" w:lineRule="auto"/>
        <w:ind w:left="360" w:hanging="360"/>
        <w:jc w:val="both"/>
      </w:pPr>
      <w:r w:rsidRPr="00A071C3">
        <w:t xml:space="preserve">Bhat, C.R., 2005. A multiple discrete-continuous extreme value model: Formulation and application to discretionary time-use decisions. </w:t>
      </w:r>
      <w:r w:rsidRPr="00A071C3">
        <w:rPr>
          <w:i/>
        </w:rPr>
        <w:t>Transportation Research Part B</w:t>
      </w:r>
      <w:r w:rsidRPr="00A071C3">
        <w:t>, 39(8), 679-707.</w:t>
      </w:r>
    </w:p>
    <w:p w:rsidR="00824967" w:rsidRDefault="002B53AA" w:rsidP="00824967">
      <w:pPr>
        <w:spacing w:after="60" w:line="276" w:lineRule="auto"/>
        <w:ind w:left="360" w:hanging="360"/>
        <w:jc w:val="both"/>
      </w:pPr>
      <w:r w:rsidRPr="00A071C3">
        <w:t xml:space="preserve">Bhat, C.R., 2008. The multiple discrete-continuous extreme value (MDCEV) model: Role of utility function parameters, identification considerations, and model extensions. </w:t>
      </w:r>
      <w:r w:rsidRPr="00A071C3">
        <w:rPr>
          <w:i/>
        </w:rPr>
        <w:t>Transportation Research Part B</w:t>
      </w:r>
      <w:r w:rsidRPr="00A071C3">
        <w:t>, 42(3), 274-303.</w:t>
      </w:r>
    </w:p>
    <w:p w:rsidR="00FB7A6D" w:rsidRDefault="00FB7A6D" w:rsidP="00FB7A6D">
      <w:pPr>
        <w:spacing w:after="60" w:line="276" w:lineRule="auto"/>
        <w:ind w:left="360" w:hanging="360"/>
        <w:jc w:val="both"/>
      </w:pPr>
      <w:r w:rsidRPr="00A071C3">
        <w:t xml:space="preserve">Bhat, C.R., 2018. A new flexible multiple discrete-continuous extreme value (MDCEV) choice model. </w:t>
      </w:r>
      <w:r w:rsidRPr="00CF1F31">
        <w:rPr>
          <w:i/>
        </w:rPr>
        <w:t>Transportation Research Part B</w:t>
      </w:r>
      <w:r w:rsidRPr="00A071C3">
        <w:t>, 110, 261-279.</w:t>
      </w:r>
    </w:p>
    <w:p w:rsidR="00FB7A6D" w:rsidRDefault="00FB7A6D" w:rsidP="00FB7A6D">
      <w:pPr>
        <w:spacing w:after="60" w:line="276" w:lineRule="auto"/>
        <w:ind w:left="360" w:hanging="360"/>
        <w:jc w:val="both"/>
      </w:pPr>
      <w:r w:rsidRPr="002B53AA">
        <w:t>Bhat, C.R., and Pinjari</w:t>
      </w:r>
      <w:r>
        <w:t xml:space="preserve">, A., </w:t>
      </w:r>
      <w:r w:rsidRPr="002B53AA">
        <w:t>2014</w:t>
      </w:r>
      <w:r>
        <w:t xml:space="preserve">. </w:t>
      </w:r>
      <w:r w:rsidRPr="002B53AA">
        <w:t xml:space="preserve">Multiple </w:t>
      </w:r>
      <w:r>
        <w:t>d</w:t>
      </w:r>
      <w:r w:rsidRPr="002B53AA">
        <w:t>iscrete-</w:t>
      </w:r>
      <w:r>
        <w:t>c</w:t>
      </w:r>
      <w:r w:rsidRPr="002B53AA">
        <w:t xml:space="preserve">ontinuous </w:t>
      </w:r>
      <w:r>
        <w:t>c</w:t>
      </w:r>
      <w:r w:rsidRPr="002B53AA">
        <w:t xml:space="preserve">hoice </w:t>
      </w:r>
      <w:r>
        <w:t>m</w:t>
      </w:r>
      <w:r w:rsidRPr="002B53AA">
        <w:t xml:space="preserve">odels: A </w:t>
      </w:r>
      <w:r>
        <w:t>r</w:t>
      </w:r>
      <w:r w:rsidRPr="002B53AA">
        <w:t xml:space="preserve">eflective </w:t>
      </w:r>
      <w:r>
        <w:t>a</w:t>
      </w:r>
      <w:r w:rsidRPr="002B53AA">
        <w:t xml:space="preserve">nalysis and a </w:t>
      </w:r>
      <w:r>
        <w:t>p</w:t>
      </w:r>
      <w:r w:rsidRPr="002B53AA">
        <w:t xml:space="preserve">rospective </w:t>
      </w:r>
      <w:r>
        <w:t>v</w:t>
      </w:r>
      <w:r w:rsidRPr="002B53AA">
        <w:t>iew</w:t>
      </w:r>
      <w:r>
        <w:t>. In</w:t>
      </w:r>
      <w:r w:rsidRPr="002B53AA">
        <w:t> </w:t>
      </w:r>
      <w:r w:rsidRPr="002B53AA">
        <w:rPr>
          <w:i/>
        </w:rPr>
        <w:t>Handbook of Choice Modelling</w:t>
      </w:r>
      <w:r>
        <w:t xml:space="preserve"> (</w:t>
      </w:r>
      <w:r w:rsidRPr="002B53AA">
        <w:t>Hess</w:t>
      </w:r>
      <w:r>
        <w:t>, S.,</w:t>
      </w:r>
      <w:r w:rsidRPr="002B53AA">
        <w:t xml:space="preserve"> and Daly</w:t>
      </w:r>
      <w:r>
        <w:t>, A., Eds)</w:t>
      </w:r>
      <w:r w:rsidRPr="002B53AA">
        <w:t xml:space="preserve"> Chapter 19, 427-453, Edward Elgar Publishing Ltd. </w:t>
      </w:r>
    </w:p>
    <w:p w:rsidR="00FB7A6D" w:rsidRPr="00A071C3" w:rsidRDefault="00FB7A6D" w:rsidP="00FB7A6D">
      <w:pPr>
        <w:spacing w:after="60" w:line="276" w:lineRule="auto"/>
        <w:ind w:left="360" w:hanging="360"/>
        <w:jc w:val="both"/>
      </w:pPr>
      <w:r w:rsidRPr="00A071C3">
        <w:t>Bhat, C.R., and Sen, S., 2006. Household vehicle type holdings and usage: An application of the multiple discrete-continuous extreme value (MDCEV) model. </w:t>
      </w:r>
      <w:r w:rsidRPr="00A071C3">
        <w:rPr>
          <w:i/>
        </w:rPr>
        <w:t>Transportation Research Part B</w:t>
      </w:r>
      <w:r w:rsidRPr="00A071C3">
        <w:t>, 40(1), 35-53.</w:t>
      </w:r>
    </w:p>
    <w:p w:rsidR="00FB7A6D" w:rsidRDefault="00FB7A6D" w:rsidP="00FB7A6D">
      <w:pPr>
        <w:spacing w:after="60" w:line="276" w:lineRule="auto"/>
        <w:ind w:left="360" w:hanging="360"/>
        <w:jc w:val="both"/>
      </w:pPr>
      <w:r w:rsidRPr="00A071C3">
        <w:t xml:space="preserve">Bhat, C.R., Castro, M., </w:t>
      </w:r>
      <w:r>
        <w:t>and</w:t>
      </w:r>
      <w:r w:rsidRPr="00A071C3">
        <w:t xml:space="preserve"> Khan, M.</w:t>
      </w:r>
      <w:r>
        <w:t xml:space="preserve">, </w:t>
      </w:r>
      <w:r w:rsidRPr="00A071C3">
        <w:t xml:space="preserve">2013. A </w:t>
      </w:r>
      <w:r>
        <w:t>n</w:t>
      </w:r>
      <w:r w:rsidRPr="00A071C3">
        <w:t xml:space="preserve">ew </w:t>
      </w:r>
      <w:r>
        <w:t>e</w:t>
      </w:r>
      <w:r w:rsidRPr="00A071C3">
        <w:t xml:space="preserve">stimation </w:t>
      </w:r>
      <w:r>
        <w:t>a</w:t>
      </w:r>
      <w:r w:rsidRPr="00A071C3">
        <w:t xml:space="preserve">pproach for the </w:t>
      </w:r>
      <w:r>
        <w:t>m</w:t>
      </w:r>
      <w:r w:rsidRPr="00A071C3">
        <w:t xml:space="preserve">ultiple </w:t>
      </w:r>
      <w:r>
        <w:t>d</w:t>
      </w:r>
      <w:r w:rsidRPr="00A071C3">
        <w:t>iscrete-</w:t>
      </w:r>
      <w:r>
        <w:t>c</w:t>
      </w:r>
      <w:r w:rsidRPr="00A071C3">
        <w:t xml:space="preserve">ontinuous </w:t>
      </w:r>
      <w:r>
        <w:t>p</w:t>
      </w:r>
      <w:r w:rsidRPr="00A071C3">
        <w:t xml:space="preserve">robit (MDCP) </w:t>
      </w:r>
      <w:r>
        <w:t>c</w:t>
      </w:r>
      <w:r w:rsidRPr="00A071C3">
        <w:t xml:space="preserve">hoice </w:t>
      </w:r>
      <w:r>
        <w:t>m</w:t>
      </w:r>
      <w:r w:rsidRPr="00A071C3">
        <w:t xml:space="preserve">odel. </w:t>
      </w:r>
      <w:r w:rsidRPr="00A071C3">
        <w:rPr>
          <w:i/>
        </w:rPr>
        <w:t>Transportation Research Part B</w:t>
      </w:r>
      <w:r w:rsidRPr="00A071C3">
        <w:t>, 55, 1–22.</w:t>
      </w:r>
    </w:p>
    <w:p w:rsidR="00824967" w:rsidRDefault="00360D7C" w:rsidP="00824967">
      <w:pPr>
        <w:spacing w:after="60" w:line="276" w:lineRule="auto"/>
        <w:ind w:left="360" w:hanging="360"/>
        <w:jc w:val="both"/>
      </w:pPr>
      <w:r w:rsidRPr="00824967">
        <w:t xml:space="preserve">Bhat, C.R., Paleti, </w:t>
      </w:r>
      <w:r w:rsidR="00824967">
        <w:t xml:space="preserve">R., </w:t>
      </w:r>
      <w:r w:rsidRPr="00824967">
        <w:t>and Castro</w:t>
      </w:r>
      <w:r w:rsidR="00824967">
        <w:t xml:space="preserve">, M., </w:t>
      </w:r>
      <w:r w:rsidRPr="00824967">
        <w:t>2015</w:t>
      </w:r>
      <w:r w:rsidR="005815CC" w:rsidRPr="00824967">
        <w:t>a</w:t>
      </w:r>
      <w:r w:rsidR="00824967">
        <w:t xml:space="preserve">. </w:t>
      </w:r>
      <w:r w:rsidRPr="00824967">
        <w:t xml:space="preserve">A </w:t>
      </w:r>
      <w:r w:rsidR="00824967">
        <w:t>n</w:t>
      </w:r>
      <w:r w:rsidRPr="00824967">
        <w:t xml:space="preserve">ew </w:t>
      </w:r>
      <w:r w:rsidR="00824967">
        <w:t>u</w:t>
      </w:r>
      <w:r w:rsidRPr="00824967">
        <w:t>tility-</w:t>
      </w:r>
      <w:r w:rsidR="00824967">
        <w:t>c</w:t>
      </w:r>
      <w:r w:rsidRPr="00824967">
        <w:t xml:space="preserve">onsistent </w:t>
      </w:r>
      <w:r w:rsidR="00824967">
        <w:t>e</w:t>
      </w:r>
      <w:r w:rsidRPr="00824967">
        <w:t xml:space="preserve">conometric </w:t>
      </w:r>
      <w:r w:rsidR="00824967">
        <w:t>a</w:t>
      </w:r>
      <w:r w:rsidRPr="00824967">
        <w:t xml:space="preserve">pproach to </w:t>
      </w:r>
      <w:r w:rsidR="00824967">
        <w:t>m</w:t>
      </w:r>
      <w:r w:rsidRPr="00824967">
        <w:t xml:space="preserve">ultivariate </w:t>
      </w:r>
      <w:r w:rsidR="00824967">
        <w:t>c</w:t>
      </w:r>
      <w:r w:rsidRPr="00824967">
        <w:t xml:space="preserve">ount </w:t>
      </w:r>
      <w:r w:rsidR="00824967">
        <w:t>d</w:t>
      </w:r>
      <w:r w:rsidRPr="00824967">
        <w:t xml:space="preserve">ata </w:t>
      </w:r>
      <w:r w:rsidR="00824967">
        <w:t>m</w:t>
      </w:r>
      <w:r w:rsidRPr="00824967">
        <w:t>odeling</w:t>
      </w:r>
      <w:r w:rsidR="00824967">
        <w:t>.</w:t>
      </w:r>
      <w:r w:rsidRPr="00824967">
        <w:t> </w:t>
      </w:r>
      <w:r w:rsidRPr="00824967">
        <w:rPr>
          <w:i/>
        </w:rPr>
        <w:t>Journal of Applied Econometrics</w:t>
      </w:r>
      <w:r w:rsidRPr="00824967">
        <w:t>, 30</w:t>
      </w:r>
      <w:r w:rsidR="00824967">
        <w:t>(</w:t>
      </w:r>
      <w:r w:rsidRPr="00824967">
        <w:t>5</w:t>
      </w:r>
      <w:r w:rsidR="00824967">
        <w:t>)</w:t>
      </w:r>
      <w:r w:rsidRPr="00824967">
        <w:t>, 806-825</w:t>
      </w:r>
      <w:r w:rsidR="00824967">
        <w:t>.</w:t>
      </w:r>
    </w:p>
    <w:p w:rsidR="00360D7C" w:rsidRPr="00824967" w:rsidRDefault="005815CC" w:rsidP="00824967">
      <w:pPr>
        <w:spacing w:after="60" w:line="276" w:lineRule="auto"/>
        <w:ind w:left="360" w:hanging="360"/>
        <w:jc w:val="both"/>
      </w:pPr>
      <w:r w:rsidRPr="00824967">
        <w:t xml:space="preserve">Bhat, C.R., Castro, </w:t>
      </w:r>
      <w:r w:rsidR="00824967">
        <w:t xml:space="preserve">M., </w:t>
      </w:r>
      <w:r w:rsidRPr="00824967">
        <w:t>and Pinjari</w:t>
      </w:r>
      <w:r w:rsidR="00824967">
        <w:t xml:space="preserve">, </w:t>
      </w:r>
      <w:r w:rsidR="00824967" w:rsidRPr="00824967">
        <w:t>A.R.</w:t>
      </w:r>
      <w:r w:rsidR="00824967">
        <w:t xml:space="preserve">, </w:t>
      </w:r>
      <w:r w:rsidRPr="00824967">
        <w:t>2015b</w:t>
      </w:r>
      <w:r w:rsidR="00824967">
        <w:t>.</w:t>
      </w:r>
      <w:r w:rsidRPr="00824967">
        <w:t xml:space="preserve"> Allowing for </w:t>
      </w:r>
      <w:r w:rsidR="00824967">
        <w:t>c</w:t>
      </w:r>
      <w:r w:rsidRPr="00824967">
        <w:t xml:space="preserve">omplementarity and </w:t>
      </w:r>
      <w:r w:rsidR="00824967">
        <w:t>r</w:t>
      </w:r>
      <w:r w:rsidRPr="00824967">
        <w:t xml:space="preserve">ich </w:t>
      </w:r>
      <w:r w:rsidR="00824967">
        <w:t>s</w:t>
      </w:r>
      <w:r w:rsidRPr="00824967">
        <w:t xml:space="preserve">ubstitution </w:t>
      </w:r>
      <w:r w:rsidR="00824967">
        <w:t>p</w:t>
      </w:r>
      <w:r w:rsidRPr="00824967">
        <w:t xml:space="preserve">atterns in </w:t>
      </w:r>
      <w:r w:rsidR="00824967">
        <w:t>m</w:t>
      </w:r>
      <w:r w:rsidRPr="00824967">
        <w:t xml:space="preserve">ultiple </w:t>
      </w:r>
      <w:r w:rsidR="00824967">
        <w:t>d</w:t>
      </w:r>
      <w:r w:rsidRPr="00824967">
        <w:t>iscrete-</w:t>
      </w:r>
      <w:r w:rsidR="00824967">
        <w:t>c</w:t>
      </w:r>
      <w:r w:rsidRPr="00824967">
        <w:t xml:space="preserve">ontinuous </w:t>
      </w:r>
      <w:r w:rsidR="00824967">
        <w:t>m</w:t>
      </w:r>
      <w:r w:rsidRPr="00824967">
        <w:t>odels</w:t>
      </w:r>
      <w:r w:rsidR="00824967">
        <w:t>.</w:t>
      </w:r>
      <w:r w:rsidRPr="00824967">
        <w:t> </w:t>
      </w:r>
      <w:r w:rsidRPr="00824967">
        <w:rPr>
          <w:i/>
        </w:rPr>
        <w:t>Transportation Research Part B</w:t>
      </w:r>
      <w:r w:rsidRPr="00824967">
        <w:t>, 81</w:t>
      </w:r>
      <w:r w:rsidR="00824967">
        <w:t>(</w:t>
      </w:r>
      <w:r w:rsidRPr="00824967">
        <w:t>1</w:t>
      </w:r>
      <w:r w:rsidR="00824967">
        <w:t>),</w:t>
      </w:r>
      <w:r w:rsidRPr="00824967">
        <w:t xml:space="preserve"> 59-77</w:t>
      </w:r>
      <w:r w:rsidR="00824967">
        <w:t>.</w:t>
      </w:r>
      <w:r w:rsidR="00360D7C" w:rsidRPr="00824967">
        <w:t xml:space="preserve"> </w:t>
      </w:r>
    </w:p>
    <w:p w:rsidR="00CF1F31" w:rsidRPr="00A071C3" w:rsidRDefault="00CF1F31" w:rsidP="00DC1627">
      <w:pPr>
        <w:spacing w:after="60" w:line="276" w:lineRule="auto"/>
        <w:ind w:left="360" w:hanging="360"/>
        <w:jc w:val="both"/>
      </w:pPr>
      <w:r w:rsidRPr="00A071C3">
        <w:t xml:space="preserve">Bhat, C.R., Astroza, </w:t>
      </w:r>
      <w:r>
        <w:t xml:space="preserve">S., </w:t>
      </w:r>
      <w:r w:rsidRPr="00A071C3">
        <w:t>and Bhat</w:t>
      </w:r>
      <w:r>
        <w:t>,</w:t>
      </w:r>
      <w:r w:rsidRPr="00CF1F31">
        <w:t xml:space="preserve"> </w:t>
      </w:r>
      <w:r w:rsidRPr="00A071C3">
        <w:t>A.C.</w:t>
      </w:r>
      <w:r>
        <w:t xml:space="preserve">, </w:t>
      </w:r>
      <w:r w:rsidRPr="00A071C3">
        <w:t>2016</w:t>
      </w:r>
      <w:r>
        <w:t xml:space="preserve">. </w:t>
      </w:r>
      <w:r w:rsidRPr="00A071C3">
        <w:t xml:space="preserve">On </w:t>
      </w:r>
      <w:r>
        <w:t>a</w:t>
      </w:r>
      <w:r w:rsidRPr="00A071C3">
        <w:t xml:space="preserve">llowing a </w:t>
      </w:r>
      <w:r>
        <w:t>g</w:t>
      </w:r>
      <w:r w:rsidRPr="00A071C3">
        <w:t xml:space="preserve">eneral </w:t>
      </w:r>
      <w:r>
        <w:t>f</w:t>
      </w:r>
      <w:r w:rsidRPr="00A071C3">
        <w:t xml:space="preserve">orm for </w:t>
      </w:r>
      <w:r>
        <w:t>u</w:t>
      </w:r>
      <w:r w:rsidRPr="00A071C3">
        <w:t xml:space="preserve">nobserved </w:t>
      </w:r>
      <w:r>
        <w:t>h</w:t>
      </w:r>
      <w:r w:rsidRPr="00A071C3">
        <w:t xml:space="preserve">eterogeneity in the </w:t>
      </w:r>
      <w:r>
        <w:t>m</w:t>
      </w:r>
      <w:r w:rsidRPr="00A071C3">
        <w:t xml:space="preserve">ultiple </w:t>
      </w:r>
      <w:r>
        <w:t>d</w:t>
      </w:r>
      <w:r w:rsidRPr="00A071C3">
        <w:t>iscrete-</w:t>
      </w:r>
      <w:r>
        <w:t>c</w:t>
      </w:r>
      <w:r w:rsidRPr="00A071C3">
        <w:t xml:space="preserve">ontinuous </w:t>
      </w:r>
      <w:r>
        <w:t>p</w:t>
      </w:r>
      <w:r w:rsidRPr="00A071C3">
        <w:t xml:space="preserve">robit </w:t>
      </w:r>
      <w:r>
        <w:t>m</w:t>
      </w:r>
      <w:r w:rsidRPr="00A071C3">
        <w:t xml:space="preserve">odel: Formulation and </w:t>
      </w:r>
      <w:r>
        <w:t>a</w:t>
      </w:r>
      <w:r w:rsidRPr="00A071C3">
        <w:t xml:space="preserve">pplication to </w:t>
      </w:r>
      <w:r>
        <w:t>t</w:t>
      </w:r>
      <w:r w:rsidRPr="00A071C3">
        <w:t xml:space="preserve">ourism </w:t>
      </w:r>
      <w:r>
        <w:t>t</w:t>
      </w:r>
      <w:r w:rsidRPr="00A071C3">
        <w:t>ravel</w:t>
      </w:r>
      <w:r>
        <w:t>.</w:t>
      </w:r>
      <w:r w:rsidRPr="00A071C3">
        <w:t> </w:t>
      </w:r>
      <w:r w:rsidRPr="00CF1F31">
        <w:rPr>
          <w:i/>
        </w:rPr>
        <w:t>Transportation Research Part B</w:t>
      </w:r>
      <w:r w:rsidRPr="00A071C3">
        <w:t>, 86, 223-249</w:t>
      </w:r>
      <w:r>
        <w:t>.</w:t>
      </w:r>
    </w:p>
    <w:p w:rsidR="00CF1F31" w:rsidRPr="00A071C3" w:rsidRDefault="00CF1F31" w:rsidP="00DC1627">
      <w:pPr>
        <w:spacing w:after="60" w:line="276" w:lineRule="auto"/>
        <w:ind w:left="360" w:hanging="360"/>
        <w:jc w:val="both"/>
      </w:pPr>
      <w:r w:rsidRPr="00A071C3">
        <w:t>Bhat, C.R., Mondal, A., Asmussen, K.</w:t>
      </w:r>
      <w:r w:rsidR="00824967">
        <w:t>E.</w:t>
      </w:r>
      <w:r w:rsidRPr="00A071C3">
        <w:t>, and Bhat, A.C., 2020. A multiple discrete extreme value choice model with grouped consumption data and unobserved budgets.</w:t>
      </w:r>
      <w:r>
        <w:t xml:space="preserve"> </w:t>
      </w:r>
      <w:r w:rsidRPr="00CF1F31">
        <w:rPr>
          <w:i/>
        </w:rPr>
        <w:t>Transportation Research Part B</w:t>
      </w:r>
      <w:r w:rsidRPr="00A071C3">
        <w:t>, 141, 196-222.</w:t>
      </w:r>
    </w:p>
    <w:p w:rsidR="00BC4386" w:rsidRDefault="00CF1F31" w:rsidP="00BC4386">
      <w:pPr>
        <w:spacing w:after="60" w:line="276" w:lineRule="auto"/>
        <w:ind w:left="360" w:hanging="360"/>
        <w:jc w:val="both"/>
      </w:pPr>
      <w:r w:rsidRPr="00A071C3">
        <w:lastRenderedPageBreak/>
        <w:t xml:space="preserve">Bhat, C.R., Mondal, </w:t>
      </w:r>
      <w:r>
        <w:t xml:space="preserve">A., </w:t>
      </w:r>
      <w:r w:rsidRPr="00A071C3">
        <w:t>Pinjari, A.R.</w:t>
      </w:r>
      <w:r>
        <w:t xml:space="preserve">, </w:t>
      </w:r>
      <w:r w:rsidRPr="00A071C3">
        <w:t>Saxena, S.</w:t>
      </w:r>
      <w:r>
        <w:t xml:space="preserve">, </w:t>
      </w:r>
      <w:r w:rsidRPr="00A071C3">
        <w:t>and Pendyala</w:t>
      </w:r>
      <w:r>
        <w:t>,</w:t>
      </w:r>
      <w:r w:rsidRPr="00CF1F31">
        <w:t xml:space="preserve"> </w:t>
      </w:r>
      <w:r w:rsidRPr="00A071C3">
        <w:t>R.M.</w:t>
      </w:r>
      <w:r>
        <w:t xml:space="preserve">, </w:t>
      </w:r>
      <w:r w:rsidRPr="00A071C3">
        <w:t>2022</w:t>
      </w:r>
      <w:r>
        <w:t xml:space="preserve">. </w:t>
      </w:r>
      <w:r w:rsidRPr="00A071C3">
        <w:t xml:space="preserve">A </w:t>
      </w:r>
      <w:r>
        <w:t>m</w:t>
      </w:r>
      <w:r w:rsidRPr="00A071C3">
        <w:t xml:space="preserve">ultiple </w:t>
      </w:r>
      <w:r>
        <w:t>d</w:t>
      </w:r>
      <w:r w:rsidRPr="00A071C3">
        <w:t xml:space="preserve">iscrete </w:t>
      </w:r>
      <w:r>
        <w:t>c</w:t>
      </w:r>
      <w:r w:rsidRPr="00A071C3">
        <w:t xml:space="preserve">ontinuous </w:t>
      </w:r>
      <w:r>
        <w:t>e</w:t>
      </w:r>
      <w:r w:rsidRPr="00A071C3">
        <w:t xml:space="preserve">xtreme </w:t>
      </w:r>
      <w:r>
        <w:t>v</w:t>
      </w:r>
      <w:r w:rsidRPr="00A071C3">
        <w:t xml:space="preserve">alue </w:t>
      </w:r>
      <w:r>
        <w:t>c</w:t>
      </w:r>
      <w:r w:rsidRPr="00A071C3">
        <w:t xml:space="preserve">hoice (MDCEV) </w:t>
      </w:r>
      <w:r>
        <w:t>m</w:t>
      </w:r>
      <w:r w:rsidRPr="00A071C3">
        <w:t xml:space="preserve">odel with a </w:t>
      </w:r>
      <w:r>
        <w:t>l</w:t>
      </w:r>
      <w:r w:rsidRPr="00A071C3">
        <w:t xml:space="preserve">inear </w:t>
      </w:r>
      <w:r>
        <w:t>u</w:t>
      </w:r>
      <w:r w:rsidRPr="00A071C3">
        <w:t xml:space="preserve">tility </w:t>
      </w:r>
      <w:r>
        <w:t>p</w:t>
      </w:r>
      <w:r w:rsidRPr="00A071C3">
        <w:t xml:space="preserve">rofile for the </w:t>
      </w:r>
      <w:r>
        <w:t>o</w:t>
      </w:r>
      <w:r w:rsidRPr="00A071C3">
        <w:t xml:space="preserve">utside </w:t>
      </w:r>
      <w:r>
        <w:t>g</w:t>
      </w:r>
      <w:r w:rsidRPr="00A071C3">
        <w:t xml:space="preserve">ood </w:t>
      </w:r>
      <w:r>
        <w:t>r</w:t>
      </w:r>
      <w:r w:rsidRPr="00A071C3">
        <w:t xml:space="preserve">ecognizing </w:t>
      </w:r>
      <w:r>
        <w:t>p</w:t>
      </w:r>
      <w:r w:rsidRPr="00A071C3">
        <w:t xml:space="preserve">ositive </w:t>
      </w:r>
      <w:r>
        <w:t>c</w:t>
      </w:r>
      <w:r w:rsidRPr="00A071C3">
        <w:t xml:space="preserve">onsumption </w:t>
      </w:r>
      <w:r>
        <w:t>c</w:t>
      </w:r>
      <w:r w:rsidRPr="00A071C3">
        <w:t>onstraints</w:t>
      </w:r>
      <w:r>
        <w:t>.</w:t>
      </w:r>
      <w:r w:rsidRPr="00A071C3">
        <w:t> </w:t>
      </w:r>
      <w:r w:rsidRPr="00CF1F31">
        <w:rPr>
          <w:i/>
        </w:rPr>
        <w:t>Transportation Research Part B</w:t>
      </w:r>
      <w:r w:rsidRPr="00A071C3">
        <w:t>, 156, 28-49.</w:t>
      </w:r>
    </w:p>
    <w:p w:rsidR="00BC4386" w:rsidRDefault="00BC4386" w:rsidP="00BC4386">
      <w:pPr>
        <w:spacing w:after="60" w:line="276" w:lineRule="auto"/>
        <w:ind w:left="360" w:hanging="360"/>
        <w:jc w:val="both"/>
      </w:pPr>
      <w:r w:rsidRPr="00BC4386">
        <w:t>Bockstael, N.E., Hanemann, W.M., and Kling, C.L.</w:t>
      </w:r>
      <w:r>
        <w:t xml:space="preserve">, </w:t>
      </w:r>
      <w:r w:rsidRPr="00BC4386">
        <w:t>1987</w:t>
      </w:r>
      <w:r>
        <w:t xml:space="preserve">. </w:t>
      </w:r>
      <w:r w:rsidRPr="00BC4386">
        <w:t>Estimating the value of water quality improvements in a recreational demand framework</w:t>
      </w:r>
      <w:r>
        <w:t xml:space="preserve">. </w:t>
      </w:r>
      <w:r w:rsidRPr="00BC4386">
        <w:rPr>
          <w:i/>
        </w:rPr>
        <w:t>Water Resources Research</w:t>
      </w:r>
      <w:r w:rsidRPr="00BC4386">
        <w:t>, 23(5), 951</w:t>
      </w:r>
      <w:r>
        <w:t>-</w:t>
      </w:r>
      <w:r w:rsidRPr="00BC4386">
        <w:t> 960</w:t>
      </w:r>
      <w:r>
        <w:t>.</w:t>
      </w:r>
      <w:r w:rsidRPr="00BC4386">
        <w:t xml:space="preserve"> </w:t>
      </w:r>
    </w:p>
    <w:p w:rsidR="00A2141B" w:rsidRDefault="00A2141B" w:rsidP="00BC4386">
      <w:pPr>
        <w:spacing w:after="60" w:line="276" w:lineRule="auto"/>
        <w:ind w:left="360" w:hanging="360"/>
        <w:jc w:val="both"/>
      </w:pPr>
      <w:r w:rsidRPr="00BC4386">
        <w:t>Cambridge</w:t>
      </w:r>
      <w:r w:rsidRPr="00A2141B">
        <w:t xml:space="preserve"> </w:t>
      </w:r>
      <w:r>
        <w:t xml:space="preserve">Systematics, 2021. </w:t>
      </w:r>
      <w:r w:rsidRPr="00A2141B">
        <w:rPr>
          <w:i/>
        </w:rPr>
        <w:t>New York best Practice Model 2012 Update Summary Report</w:t>
      </w:r>
      <w:r>
        <w:t xml:space="preserve">. Prepared for New York Metropolitan Transportation Council (NYMTC). </w:t>
      </w:r>
    </w:p>
    <w:p w:rsidR="006567A3" w:rsidRDefault="00CF1F31" w:rsidP="006567A3">
      <w:pPr>
        <w:spacing w:after="60" w:line="276" w:lineRule="auto"/>
        <w:ind w:left="360" w:hanging="360"/>
        <w:jc w:val="both"/>
      </w:pPr>
      <w:r w:rsidRPr="00BC4386">
        <w:t xml:space="preserve">Deaton, A., and Muellbauer, J., 1980. </w:t>
      </w:r>
      <w:r w:rsidRPr="00A2141B">
        <w:rPr>
          <w:i/>
        </w:rPr>
        <w:t>Economics and Consumer Behavior</w:t>
      </w:r>
      <w:r w:rsidRPr="00BC4386">
        <w:t>. Cambridge University Press, Cambridge.</w:t>
      </w:r>
    </w:p>
    <w:p w:rsidR="006567A3" w:rsidRPr="006567A3" w:rsidRDefault="006567A3" w:rsidP="006567A3">
      <w:pPr>
        <w:spacing w:after="60" w:line="276" w:lineRule="auto"/>
        <w:ind w:left="360" w:hanging="360"/>
        <w:jc w:val="both"/>
      </w:pPr>
      <w:r w:rsidRPr="006567A3">
        <w:t>Dziak, J.J., Coffman, D.L., Lanza, S.T., Li, R., and Jermiin, L.S., 2020. Sensitivity and specificity of information criteria. </w:t>
      </w:r>
      <w:r w:rsidRPr="006567A3">
        <w:rPr>
          <w:i/>
        </w:rPr>
        <w:t>Briefings in Bioinformatics</w:t>
      </w:r>
      <w:r w:rsidRPr="006567A3">
        <w:t>, 21(2), 553</w:t>
      </w:r>
      <w:r>
        <w:t>-</w:t>
      </w:r>
      <w:r w:rsidRPr="006567A3">
        <w:t xml:space="preserve">565 </w:t>
      </w:r>
    </w:p>
    <w:p w:rsidR="00426F1A" w:rsidRDefault="00BC4386" w:rsidP="00075A22">
      <w:pPr>
        <w:autoSpaceDE w:val="0"/>
        <w:autoSpaceDN w:val="0"/>
        <w:adjustRightInd w:val="0"/>
        <w:spacing w:after="60" w:line="276" w:lineRule="auto"/>
        <w:ind w:left="360" w:hanging="360"/>
        <w:jc w:val="both"/>
      </w:pPr>
      <w:r>
        <w:t>EPA, 2021a. I</w:t>
      </w:r>
      <w:r w:rsidRPr="00BC4386">
        <w:t xml:space="preserve">nventory of </w:t>
      </w:r>
      <w:r>
        <w:t>U</w:t>
      </w:r>
      <w:r w:rsidRPr="00BC4386">
        <w:t>.</w:t>
      </w:r>
      <w:r>
        <w:t>S</w:t>
      </w:r>
      <w:r w:rsidRPr="00BC4386">
        <w:t>. greenhouse gas emissions</w:t>
      </w:r>
      <w:r>
        <w:t xml:space="preserve"> and sinks 1990-2019. Report EPA-430-R-21-005, United States Environmental Protection Agency.</w:t>
      </w:r>
    </w:p>
    <w:p w:rsidR="003C11B9" w:rsidRDefault="00BC4386" w:rsidP="003C11B9">
      <w:pPr>
        <w:autoSpaceDE w:val="0"/>
        <w:autoSpaceDN w:val="0"/>
        <w:adjustRightInd w:val="0"/>
        <w:spacing w:after="60" w:line="276" w:lineRule="auto"/>
        <w:ind w:left="360" w:hanging="360"/>
        <w:jc w:val="both"/>
      </w:pPr>
      <w:r>
        <w:t>EPA, 2021b. The 2021 EPA automotive trends report: Greenhouse gas emissions, fuel economy, and technology since 1975. Report EPA-420-R-21-023, United States Environmental Protection Agency.</w:t>
      </w:r>
    </w:p>
    <w:p w:rsidR="003C11B9" w:rsidRDefault="003C11B9" w:rsidP="003C11B9">
      <w:pPr>
        <w:autoSpaceDE w:val="0"/>
        <w:autoSpaceDN w:val="0"/>
        <w:adjustRightInd w:val="0"/>
        <w:spacing w:after="60" w:line="276" w:lineRule="auto"/>
        <w:ind w:left="360" w:hanging="360"/>
        <w:jc w:val="both"/>
      </w:pPr>
      <w:r>
        <w:t xml:space="preserve">Fang, H.A., 2008. A discrete-continuous model of households’ vehicle choice and usage, with an application to the effects of residential density. </w:t>
      </w:r>
      <w:r w:rsidRPr="003C11B9">
        <w:rPr>
          <w:i/>
        </w:rPr>
        <w:t>Transportation Research Part B</w:t>
      </w:r>
      <w:r>
        <w:t>, 42(9), 736-758.</w:t>
      </w:r>
    </w:p>
    <w:p w:rsidR="003C11B9" w:rsidRDefault="00CF1F31" w:rsidP="003C11B9">
      <w:pPr>
        <w:autoSpaceDE w:val="0"/>
        <w:autoSpaceDN w:val="0"/>
        <w:adjustRightInd w:val="0"/>
        <w:spacing w:after="60" w:line="276" w:lineRule="auto"/>
        <w:ind w:left="360" w:hanging="360"/>
        <w:jc w:val="both"/>
      </w:pPr>
      <w:r w:rsidRPr="00E10758">
        <w:t>Garikapati, V.M., Sidharthan, R., Pendyala, R.M., and Bhat, C.R., 2014. Characterizing household vehicle fleet composition and count by type in integrated modeling framework. </w:t>
      </w:r>
      <w:r w:rsidRPr="00E10758">
        <w:rPr>
          <w:i/>
        </w:rPr>
        <w:t>Transportation Research Record: Journal of the Transportation Research Board</w:t>
      </w:r>
      <w:r w:rsidRPr="00E10758">
        <w:t>, </w:t>
      </w:r>
      <w:r w:rsidRPr="00E10758">
        <w:rPr>
          <w:iCs/>
        </w:rPr>
        <w:t>2429, 129-137.</w:t>
      </w:r>
      <w:r w:rsidRPr="00E10758">
        <w:t> </w:t>
      </w:r>
    </w:p>
    <w:p w:rsidR="003C11B9" w:rsidRDefault="003C11B9" w:rsidP="003C11B9">
      <w:pPr>
        <w:autoSpaceDE w:val="0"/>
        <w:autoSpaceDN w:val="0"/>
        <w:adjustRightInd w:val="0"/>
        <w:spacing w:after="60" w:line="276" w:lineRule="auto"/>
        <w:ind w:left="360" w:hanging="360"/>
        <w:jc w:val="both"/>
      </w:pPr>
      <w:r>
        <w:t xml:space="preserve">Gorman, W.M., 1959. Separable utility and aggregation. </w:t>
      </w:r>
      <w:r>
        <w:rPr>
          <w:i/>
          <w:iCs/>
        </w:rPr>
        <w:t>Econometrica</w:t>
      </w:r>
      <w:r>
        <w:t xml:space="preserve">, </w:t>
      </w:r>
      <w:r w:rsidRPr="003C11B9">
        <w:rPr>
          <w:iCs/>
        </w:rPr>
        <w:t>27</w:t>
      </w:r>
      <w:r>
        <w:t xml:space="preserve">(3), 469-481. </w:t>
      </w:r>
      <w:hyperlink r:id="rId576" w:history="1">
        <w:r w:rsidRPr="004A3A1E">
          <w:rPr>
            <w:rStyle w:val="Hyperlink"/>
          </w:rPr>
          <w:t>https://doi.org/10.2307/1909472</w:t>
        </w:r>
      </w:hyperlink>
      <w:r>
        <w:t xml:space="preserve">. </w:t>
      </w:r>
    </w:p>
    <w:p w:rsidR="005815CC" w:rsidRPr="00075A22" w:rsidRDefault="005815CC" w:rsidP="00075A22">
      <w:pPr>
        <w:autoSpaceDE w:val="0"/>
        <w:autoSpaceDN w:val="0"/>
        <w:adjustRightInd w:val="0"/>
        <w:spacing w:after="60" w:line="276" w:lineRule="auto"/>
        <w:ind w:left="360" w:hanging="360"/>
        <w:jc w:val="both"/>
      </w:pPr>
      <w:r w:rsidRPr="00075A22">
        <w:t>Gorman, W.M.</w:t>
      </w:r>
      <w:r w:rsidR="00075A22">
        <w:t xml:space="preserve">, </w:t>
      </w:r>
      <w:r w:rsidRPr="00075A22">
        <w:t>1961</w:t>
      </w:r>
      <w:r w:rsidR="00075A22">
        <w:t xml:space="preserve">. On a class of preference fields. </w:t>
      </w:r>
      <w:r w:rsidRPr="00075A22">
        <w:rPr>
          <w:i/>
        </w:rPr>
        <w:t>Metroeconomica</w:t>
      </w:r>
      <w:r w:rsidRPr="00075A22">
        <w:t>, 13</w:t>
      </w:r>
      <w:r w:rsidR="00075A22">
        <w:t>(2),</w:t>
      </w:r>
      <w:r w:rsidRPr="00075A22">
        <w:t xml:space="preserve"> 53-56.</w:t>
      </w:r>
      <w:r w:rsidR="00075A22" w:rsidRPr="00075A22">
        <w:t xml:space="preserve"> </w:t>
      </w:r>
      <w:hyperlink r:id="rId577" w:history="1">
        <w:r w:rsidR="00075A22" w:rsidRPr="004A3A1E">
          <w:rPr>
            <w:rStyle w:val="Hyperlink"/>
          </w:rPr>
          <w:t>https://doi.org/10.1111/j.1467-999X.1961.tb00819.x</w:t>
        </w:r>
      </w:hyperlink>
      <w:r w:rsidR="00075A22">
        <w:t xml:space="preserve"> </w:t>
      </w:r>
    </w:p>
    <w:p w:rsidR="00CF1F31" w:rsidRPr="00E10758" w:rsidRDefault="00CF1F31" w:rsidP="00DC1627">
      <w:pPr>
        <w:autoSpaceDE w:val="0"/>
        <w:autoSpaceDN w:val="0"/>
        <w:adjustRightInd w:val="0"/>
        <w:spacing w:after="60" w:line="276" w:lineRule="auto"/>
        <w:ind w:left="360" w:hanging="360"/>
        <w:jc w:val="both"/>
      </w:pPr>
      <w:r w:rsidRPr="00E10758">
        <w:t>Hausman</w:t>
      </w:r>
      <w:r>
        <w:t>,</w:t>
      </w:r>
      <w:r w:rsidRPr="00E10758">
        <w:t xml:space="preserve"> J</w:t>
      </w:r>
      <w:r>
        <w:t>.</w:t>
      </w:r>
      <w:r w:rsidRPr="00E10758">
        <w:t>A.</w:t>
      </w:r>
      <w:r>
        <w:t>,</w:t>
      </w:r>
      <w:r w:rsidRPr="00E10758">
        <w:t xml:space="preserve"> Leonard</w:t>
      </w:r>
      <w:r>
        <w:t>,</w:t>
      </w:r>
      <w:r w:rsidRPr="00E10758">
        <w:t xml:space="preserve"> G</w:t>
      </w:r>
      <w:r>
        <w:t>.</w:t>
      </w:r>
      <w:r w:rsidRPr="00E10758">
        <w:t>K</w:t>
      </w:r>
      <w:r>
        <w:t>.</w:t>
      </w:r>
      <w:r w:rsidRPr="00E10758">
        <w:t xml:space="preserve">, </w:t>
      </w:r>
      <w:r w:rsidR="003346C8">
        <w:t xml:space="preserve">and </w:t>
      </w:r>
      <w:r w:rsidRPr="00E10758">
        <w:t>McFadden</w:t>
      </w:r>
      <w:r>
        <w:t>,</w:t>
      </w:r>
      <w:r w:rsidRPr="00E10758">
        <w:t xml:space="preserve"> D.</w:t>
      </w:r>
      <w:r>
        <w:t>,</w:t>
      </w:r>
      <w:r w:rsidRPr="00E10758">
        <w:t xml:space="preserve"> 1995. A utility-consistent, combined discrete choice and count data model: Assessing recreational use losses due to natural resource damage. </w:t>
      </w:r>
      <w:r w:rsidRPr="00E10758">
        <w:rPr>
          <w:i/>
        </w:rPr>
        <w:t>Journal of Public Economics</w:t>
      </w:r>
      <w:r w:rsidR="00DC1627">
        <w:t>,</w:t>
      </w:r>
      <w:r w:rsidRPr="00E10758">
        <w:t xml:space="preserve"> 56(1)</w:t>
      </w:r>
      <w:r w:rsidR="00DC1627">
        <w:t>,</w:t>
      </w:r>
      <w:r w:rsidRPr="00E10758">
        <w:t xml:space="preserve"> 1-30.</w:t>
      </w:r>
    </w:p>
    <w:p w:rsidR="00DC1627" w:rsidRDefault="00CF1F31" w:rsidP="00DC1627">
      <w:pPr>
        <w:autoSpaceDE w:val="0"/>
        <w:autoSpaceDN w:val="0"/>
        <w:adjustRightInd w:val="0"/>
        <w:spacing w:after="60" w:line="276" w:lineRule="auto"/>
        <w:ind w:left="360" w:hanging="360"/>
        <w:jc w:val="both"/>
        <w:rPr>
          <w:iCs/>
        </w:rPr>
      </w:pPr>
      <w:r w:rsidRPr="00E10758">
        <w:t xml:space="preserve">Hendel, I., 1999. Estimating multiple-discrete choice models: An application to computerization returns. </w:t>
      </w:r>
      <w:r w:rsidRPr="00E10758">
        <w:rPr>
          <w:i/>
        </w:rPr>
        <w:t>Review of Economic Studies</w:t>
      </w:r>
      <w:r w:rsidRPr="00E10758">
        <w:t xml:space="preserve">, </w:t>
      </w:r>
      <w:r w:rsidRPr="00E10758">
        <w:rPr>
          <w:iCs/>
        </w:rPr>
        <w:t>66, 423-446.</w:t>
      </w:r>
    </w:p>
    <w:p w:rsidR="00515FCB" w:rsidRPr="00DC1627" w:rsidRDefault="00515FCB" w:rsidP="00DC1627">
      <w:pPr>
        <w:autoSpaceDE w:val="0"/>
        <w:autoSpaceDN w:val="0"/>
        <w:adjustRightInd w:val="0"/>
        <w:spacing w:after="60" w:line="276" w:lineRule="auto"/>
        <w:ind w:left="360" w:hanging="360"/>
        <w:jc w:val="both"/>
        <w:rPr>
          <w:iCs/>
        </w:rPr>
      </w:pPr>
      <w:r>
        <w:t xml:space="preserve">Hou, </w:t>
      </w:r>
      <w:r w:rsidR="00DC1627">
        <w:t xml:space="preserve">Q., </w:t>
      </w:r>
      <w:r>
        <w:t xml:space="preserve">Huo, </w:t>
      </w:r>
      <w:r w:rsidR="00DC1627">
        <w:t xml:space="preserve">X., and </w:t>
      </w:r>
      <w:r>
        <w:t>Leng,</w:t>
      </w:r>
      <w:r w:rsidR="00DC1627">
        <w:t xml:space="preserve"> J., </w:t>
      </w:r>
      <w:r>
        <w:t xml:space="preserve">2020. A correlated random parameters tobit model to analyze the safety effects and temporal instability of factors affecting crash rates. </w:t>
      </w:r>
      <w:r w:rsidRPr="00DC1627">
        <w:rPr>
          <w:i/>
        </w:rPr>
        <w:t>Accident Analysis &amp; Prevention</w:t>
      </w:r>
      <w:r>
        <w:t>, 134, 105326.</w:t>
      </w:r>
    </w:p>
    <w:p w:rsidR="00426F1A" w:rsidRDefault="00CF1F31" w:rsidP="00426F1A">
      <w:pPr>
        <w:autoSpaceDE w:val="0"/>
        <w:autoSpaceDN w:val="0"/>
        <w:adjustRightInd w:val="0"/>
        <w:spacing w:after="60" w:line="276" w:lineRule="auto"/>
        <w:ind w:left="360" w:hanging="360"/>
        <w:jc w:val="both"/>
        <w:rPr>
          <w:iCs/>
        </w:rPr>
      </w:pPr>
      <w:r w:rsidRPr="00E10758">
        <w:lastRenderedPageBreak/>
        <w:t xml:space="preserve">Kim, J., Allenby, G.M., and Rossi, P.E., 2002. Modeling consumer demand for variety. </w:t>
      </w:r>
      <w:r w:rsidRPr="00E10758">
        <w:rPr>
          <w:i/>
        </w:rPr>
        <w:t>Marketing Science</w:t>
      </w:r>
      <w:r w:rsidRPr="00E10758">
        <w:t xml:space="preserve">, </w:t>
      </w:r>
      <w:r w:rsidRPr="00E10758">
        <w:rPr>
          <w:iCs/>
        </w:rPr>
        <w:t>21, 229-250.</w:t>
      </w:r>
    </w:p>
    <w:p w:rsidR="00417F58" w:rsidRDefault="00417F58" w:rsidP="003A5450">
      <w:pPr>
        <w:autoSpaceDE w:val="0"/>
        <w:autoSpaceDN w:val="0"/>
        <w:adjustRightInd w:val="0"/>
        <w:spacing w:after="60" w:line="276" w:lineRule="auto"/>
        <w:ind w:left="360" w:hanging="360"/>
        <w:jc w:val="both"/>
        <w:rPr>
          <w:iCs/>
        </w:rPr>
      </w:pPr>
      <w:r>
        <w:rPr>
          <w:iCs/>
        </w:rPr>
        <w:t xml:space="preserve">Lee, L-F and Pitt, M.M., 1986. Microeconometric demand systems with binding nonnegativity constraints: The dual approach, </w:t>
      </w:r>
      <w:proofErr w:type="spellStart"/>
      <w:r w:rsidRPr="00AA0BE1">
        <w:rPr>
          <w:i/>
          <w:iCs/>
        </w:rPr>
        <w:t>Econometrica</w:t>
      </w:r>
      <w:proofErr w:type="spellEnd"/>
      <w:r>
        <w:rPr>
          <w:iCs/>
        </w:rPr>
        <w:t>, 54(5), 1237-1242</w:t>
      </w:r>
      <w:r w:rsidR="003129C6">
        <w:rPr>
          <w:iCs/>
        </w:rPr>
        <w:t>.</w:t>
      </w:r>
    </w:p>
    <w:p w:rsidR="00426F1A" w:rsidRPr="00426F1A" w:rsidRDefault="00426F1A" w:rsidP="00426F1A">
      <w:pPr>
        <w:autoSpaceDE w:val="0"/>
        <w:autoSpaceDN w:val="0"/>
        <w:adjustRightInd w:val="0"/>
        <w:spacing w:after="60" w:line="276" w:lineRule="auto"/>
        <w:ind w:left="360" w:hanging="360"/>
        <w:jc w:val="both"/>
        <w:rPr>
          <w:iCs/>
        </w:rPr>
      </w:pPr>
      <w:r w:rsidRPr="00426F1A">
        <w:t xml:space="preserve">Ma, J., </w:t>
      </w:r>
      <w:r>
        <w:t xml:space="preserve">and </w:t>
      </w:r>
      <w:r w:rsidRPr="00426F1A">
        <w:t>Ye, X.</w:t>
      </w:r>
      <w:r>
        <w:t>, 2019.</w:t>
      </w:r>
      <w:r w:rsidRPr="00426F1A">
        <w:t xml:space="preserve"> Modeling </w:t>
      </w:r>
      <w:r>
        <w:t>h</w:t>
      </w:r>
      <w:r w:rsidRPr="00426F1A">
        <w:t xml:space="preserve">ousehold </w:t>
      </w:r>
      <w:r>
        <w:t>v</w:t>
      </w:r>
      <w:r w:rsidRPr="00426F1A">
        <w:t xml:space="preserve">ehicle </w:t>
      </w:r>
      <w:r>
        <w:t>o</w:t>
      </w:r>
      <w:r w:rsidRPr="00426F1A">
        <w:t xml:space="preserve">wnership in </w:t>
      </w:r>
      <w:r>
        <w:t>e</w:t>
      </w:r>
      <w:r w:rsidRPr="00426F1A">
        <w:t xml:space="preserve">merging </w:t>
      </w:r>
      <w:r>
        <w:t>e</w:t>
      </w:r>
      <w:r w:rsidRPr="00426F1A">
        <w:t>conomies. </w:t>
      </w:r>
      <w:r w:rsidRPr="00426F1A">
        <w:rPr>
          <w:i/>
        </w:rPr>
        <w:t>Journal of the Indian Institute of Science</w:t>
      </w:r>
      <w:r>
        <w:t>,</w:t>
      </w:r>
      <w:r w:rsidRPr="00426F1A">
        <w:t> 99</w:t>
      </w:r>
      <w:r>
        <w:t>(4)</w:t>
      </w:r>
      <w:r w:rsidRPr="00426F1A">
        <w:t>, 647</w:t>
      </w:r>
      <w:r>
        <w:t>-</w:t>
      </w:r>
      <w:r w:rsidRPr="00426F1A">
        <w:t>671.</w:t>
      </w:r>
    </w:p>
    <w:p w:rsidR="00CF1F31" w:rsidRPr="00E10758" w:rsidRDefault="00CF1F31" w:rsidP="00DC1627">
      <w:pPr>
        <w:autoSpaceDE w:val="0"/>
        <w:autoSpaceDN w:val="0"/>
        <w:adjustRightInd w:val="0"/>
        <w:spacing w:after="60" w:line="276" w:lineRule="auto"/>
        <w:ind w:left="360" w:hanging="360"/>
        <w:jc w:val="both"/>
        <w:rPr>
          <w:i/>
        </w:rPr>
      </w:pPr>
      <w:r w:rsidRPr="00E10758">
        <w:t xml:space="preserve">Mäler, K.G., 1974. Environmental economics: A theoretical inquiry. </w:t>
      </w:r>
      <w:r w:rsidRPr="00E10758">
        <w:rPr>
          <w:i/>
        </w:rPr>
        <w:t>The Johns Hopkins University Press for Resources for the Future</w:t>
      </w:r>
      <w:r w:rsidRPr="00E10758">
        <w:t xml:space="preserve">, </w:t>
      </w:r>
      <w:r w:rsidRPr="00E10758">
        <w:rPr>
          <w:iCs/>
        </w:rPr>
        <w:t>Baltimore, MD.</w:t>
      </w:r>
      <w:r w:rsidRPr="00E10758">
        <w:rPr>
          <w:i/>
        </w:rPr>
        <w:t xml:space="preserve"> </w:t>
      </w:r>
    </w:p>
    <w:p w:rsidR="00CF1F31" w:rsidRPr="00E10758" w:rsidRDefault="00CF1F31" w:rsidP="00DC1627">
      <w:pPr>
        <w:autoSpaceDE w:val="0"/>
        <w:autoSpaceDN w:val="0"/>
        <w:adjustRightInd w:val="0"/>
        <w:spacing w:after="60" w:line="276" w:lineRule="auto"/>
        <w:ind w:left="360" w:hanging="360"/>
        <w:jc w:val="both"/>
      </w:pPr>
      <w:r w:rsidRPr="00E10758">
        <w:t>Mannering</w:t>
      </w:r>
      <w:r w:rsidR="003346C8">
        <w:t>,</w:t>
      </w:r>
      <w:r w:rsidRPr="00E10758">
        <w:t xml:space="preserve"> F</w:t>
      </w:r>
      <w:r w:rsidR="003346C8">
        <w:t>.</w:t>
      </w:r>
      <w:r w:rsidRPr="00E10758">
        <w:t>L</w:t>
      </w:r>
      <w:r w:rsidR="003346C8">
        <w:t>.</w:t>
      </w:r>
      <w:r w:rsidRPr="00E10758">
        <w:t xml:space="preserve">, </w:t>
      </w:r>
      <w:r w:rsidR="003346C8">
        <w:t xml:space="preserve">and </w:t>
      </w:r>
      <w:r w:rsidRPr="00E10758">
        <w:t>Hamed</w:t>
      </w:r>
      <w:r w:rsidR="003346C8">
        <w:t>,</w:t>
      </w:r>
      <w:r w:rsidRPr="00E10758">
        <w:t xml:space="preserve"> M.</w:t>
      </w:r>
      <w:r w:rsidR="003346C8">
        <w:t>,</w:t>
      </w:r>
      <w:r w:rsidRPr="00E10758">
        <w:t xml:space="preserve"> 1990. Occurrence, frequency and duration of commuters' work-to-home departure delay. </w:t>
      </w:r>
      <w:r w:rsidRPr="00E10758">
        <w:rPr>
          <w:i/>
        </w:rPr>
        <w:t>Transportation Research Part B</w:t>
      </w:r>
      <w:r w:rsidR="00075A22">
        <w:t>,</w:t>
      </w:r>
      <w:r w:rsidRPr="00E10758">
        <w:t xml:space="preserve"> 24(2)</w:t>
      </w:r>
      <w:r>
        <w:t>,</w:t>
      </w:r>
      <w:r w:rsidRPr="00E10758">
        <w:t xml:space="preserve"> 99-109.</w:t>
      </w:r>
    </w:p>
    <w:p w:rsidR="00DC1627" w:rsidRDefault="00CF1F31" w:rsidP="00DC1627">
      <w:pPr>
        <w:pStyle w:val="ListParagraph"/>
        <w:spacing w:after="60"/>
        <w:ind w:left="360" w:hanging="360"/>
        <w:jc w:val="both"/>
        <w:rPr>
          <w:rFonts w:ascii="Times New Roman" w:hAnsi="Times New Roman"/>
          <w:sz w:val="24"/>
          <w:szCs w:val="24"/>
          <w:shd w:val="clear" w:color="auto" w:fill="FFFFFF"/>
        </w:rPr>
      </w:pPr>
      <w:r w:rsidRPr="00E10758">
        <w:rPr>
          <w:rFonts w:ascii="Times New Roman" w:hAnsi="Times New Roman"/>
          <w:sz w:val="24"/>
          <w:szCs w:val="24"/>
          <w:shd w:val="clear" w:color="auto" w:fill="FFFFFF"/>
        </w:rPr>
        <w:t>Mondal, A., and Bhat, C.R., 2021. A new closed form multiple discrete-continuous extreme value (MDCEV) choice model with multiple linear constraints. </w:t>
      </w:r>
      <w:r w:rsidRPr="00E10758">
        <w:rPr>
          <w:rFonts w:ascii="Times New Roman" w:hAnsi="Times New Roman"/>
          <w:i/>
          <w:iCs/>
          <w:sz w:val="24"/>
          <w:szCs w:val="24"/>
          <w:shd w:val="clear" w:color="auto" w:fill="FFFFFF"/>
        </w:rPr>
        <w:t>Transportation Research Part B</w:t>
      </w:r>
      <w:r w:rsidRPr="00E10758">
        <w:rPr>
          <w:rFonts w:ascii="Times New Roman" w:hAnsi="Times New Roman"/>
          <w:sz w:val="24"/>
          <w:szCs w:val="24"/>
          <w:shd w:val="clear" w:color="auto" w:fill="FFFFFF"/>
        </w:rPr>
        <w:t>, </w:t>
      </w:r>
      <w:r w:rsidRPr="00E10758">
        <w:rPr>
          <w:rFonts w:ascii="Times New Roman" w:hAnsi="Times New Roman"/>
          <w:iCs/>
          <w:sz w:val="24"/>
          <w:szCs w:val="24"/>
          <w:shd w:val="clear" w:color="auto" w:fill="FFFFFF"/>
        </w:rPr>
        <w:t>147</w:t>
      </w:r>
      <w:r w:rsidRPr="00E10758">
        <w:rPr>
          <w:rFonts w:ascii="Times New Roman" w:hAnsi="Times New Roman"/>
          <w:sz w:val="24"/>
          <w:szCs w:val="24"/>
          <w:shd w:val="clear" w:color="auto" w:fill="FFFFFF"/>
        </w:rPr>
        <w:t>, 42-66.</w:t>
      </w:r>
    </w:p>
    <w:p w:rsidR="00DC1627" w:rsidRDefault="00DC1627" w:rsidP="00DC1627">
      <w:pPr>
        <w:pStyle w:val="ListParagraph"/>
        <w:spacing w:after="60"/>
        <w:ind w:left="360" w:hanging="360"/>
        <w:jc w:val="both"/>
        <w:rPr>
          <w:rFonts w:ascii="Times New Roman" w:hAnsi="Times New Roman"/>
          <w:sz w:val="24"/>
          <w:szCs w:val="24"/>
          <w:shd w:val="clear" w:color="auto" w:fill="FFFFFF"/>
        </w:rPr>
      </w:pPr>
      <w:r>
        <w:rPr>
          <w:rFonts w:ascii="Times New Roman" w:hAnsi="Times New Roman"/>
          <w:sz w:val="24"/>
          <w:szCs w:val="24"/>
        </w:rPr>
        <w:t xml:space="preserve">Morey, E.R., Rowe, R.D., and Watson, M., 1993. A repeated nested-logit model of Atlantic salmon fishing. </w:t>
      </w:r>
      <w:r w:rsidRPr="00DC1627">
        <w:rPr>
          <w:rFonts w:ascii="Times New Roman" w:hAnsi="Times New Roman"/>
          <w:i/>
          <w:sz w:val="24"/>
          <w:szCs w:val="24"/>
        </w:rPr>
        <w:t>American Journal of Agricultural Economics</w:t>
      </w:r>
      <w:r>
        <w:rPr>
          <w:rFonts w:ascii="Times New Roman" w:hAnsi="Times New Roman"/>
          <w:sz w:val="24"/>
          <w:szCs w:val="24"/>
        </w:rPr>
        <w:t>, 75(3), 578-592.</w:t>
      </w:r>
    </w:p>
    <w:p w:rsidR="00DB1A62" w:rsidRDefault="00DB1A62" w:rsidP="00DC1627">
      <w:pPr>
        <w:pStyle w:val="ListParagraph"/>
        <w:spacing w:after="60"/>
        <w:ind w:left="360" w:hanging="360"/>
        <w:jc w:val="both"/>
        <w:rPr>
          <w:rFonts w:ascii="Times New Roman" w:hAnsi="Times New Roman"/>
          <w:sz w:val="24"/>
          <w:szCs w:val="24"/>
        </w:rPr>
      </w:pPr>
      <w:r w:rsidRPr="00DB1A62">
        <w:rPr>
          <w:rFonts w:ascii="Times New Roman" w:hAnsi="Times New Roman"/>
          <w:sz w:val="24"/>
          <w:szCs w:val="24"/>
        </w:rPr>
        <w:t>Neath, A.A. and Cavanaugh, J.E.</w:t>
      </w:r>
      <w:r w:rsidR="00075A22">
        <w:rPr>
          <w:rFonts w:ascii="Times New Roman" w:hAnsi="Times New Roman"/>
          <w:sz w:val="24"/>
          <w:szCs w:val="24"/>
        </w:rPr>
        <w:t xml:space="preserve">, </w:t>
      </w:r>
      <w:r w:rsidRPr="00DB1A62">
        <w:rPr>
          <w:rFonts w:ascii="Times New Roman" w:hAnsi="Times New Roman"/>
          <w:sz w:val="24"/>
          <w:szCs w:val="24"/>
        </w:rPr>
        <w:t xml:space="preserve">2012. The Bayesian information criterion: Background, derivation, and applications.  </w:t>
      </w:r>
      <w:r w:rsidRPr="00075A22">
        <w:rPr>
          <w:rFonts w:ascii="Times New Roman" w:hAnsi="Times New Roman"/>
          <w:i/>
          <w:sz w:val="24"/>
          <w:szCs w:val="24"/>
        </w:rPr>
        <w:t>WIREs Computational Statistics</w:t>
      </w:r>
      <w:r w:rsidR="00075A22">
        <w:rPr>
          <w:rFonts w:ascii="Times New Roman" w:hAnsi="Times New Roman"/>
          <w:sz w:val="24"/>
          <w:szCs w:val="24"/>
        </w:rPr>
        <w:t>,</w:t>
      </w:r>
      <w:r w:rsidRPr="00DB1A62">
        <w:rPr>
          <w:rFonts w:ascii="Times New Roman" w:hAnsi="Times New Roman"/>
          <w:sz w:val="24"/>
          <w:szCs w:val="24"/>
        </w:rPr>
        <w:t xml:space="preserve"> 4</w:t>
      </w:r>
      <w:r w:rsidR="00075A22">
        <w:rPr>
          <w:rFonts w:ascii="Times New Roman" w:hAnsi="Times New Roman"/>
          <w:sz w:val="24"/>
          <w:szCs w:val="24"/>
        </w:rPr>
        <w:t>(2)</w:t>
      </w:r>
      <w:r w:rsidRPr="00DB1A62">
        <w:rPr>
          <w:rFonts w:ascii="Times New Roman" w:hAnsi="Times New Roman"/>
          <w:sz w:val="24"/>
          <w:szCs w:val="24"/>
        </w:rPr>
        <w:t xml:space="preserve">, 199-203. </w:t>
      </w:r>
    </w:p>
    <w:p w:rsidR="00515FCB" w:rsidRPr="00515FCB" w:rsidRDefault="00515FCB" w:rsidP="00DC1627">
      <w:pPr>
        <w:pStyle w:val="ListParagraph"/>
        <w:spacing w:after="60"/>
        <w:ind w:left="360" w:hanging="360"/>
        <w:jc w:val="both"/>
        <w:rPr>
          <w:rFonts w:ascii="Times New Roman" w:hAnsi="Times New Roman"/>
          <w:sz w:val="24"/>
          <w:szCs w:val="24"/>
          <w:shd w:val="clear" w:color="auto" w:fill="FFFFFF"/>
        </w:rPr>
      </w:pPr>
      <w:r w:rsidRPr="00515FCB">
        <w:rPr>
          <w:rFonts w:ascii="Times New Roman" w:hAnsi="Times New Roman"/>
          <w:sz w:val="24"/>
          <w:szCs w:val="24"/>
        </w:rPr>
        <w:t xml:space="preserve">Neamah, M.W., and Qasim, B.A., 2021. A </w:t>
      </w:r>
      <w:r>
        <w:rPr>
          <w:rFonts w:ascii="Times New Roman" w:hAnsi="Times New Roman"/>
          <w:sz w:val="24"/>
          <w:szCs w:val="24"/>
        </w:rPr>
        <w:t>n</w:t>
      </w:r>
      <w:r w:rsidRPr="00515FCB">
        <w:rPr>
          <w:rFonts w:ascii="Times New Roman" w:hAnsi="Times New Roman"/>
          <w:sz w:val="24"/>
          <w:szCs w:val="24"/>
        </w:rPr>
        <w:t xml:space="preserve">ew </w:t>
      </w:r>
      <w:r>
        <w:rPr>
          <w:rFonts w:ascii="Times New Roman" w:hAnsi="Times New Roman"/>
          <w:sz w:val="24"/>
          <w:szCs w:val="24"/>
        </w:rPr>
        <w:t>l</w:t>
      </w:r>
      <w:r w:rsidRPr="00515FCB">
        <w:rPr>
          <w:rFonts w:ascii="Times New Roman" w:hAnsi="Times New Roman"/>
          <w:sz w:val="24"/>
          <w:szCs w:val="24"/>
        </w:rPr>
        <w:t xml:space="preserve">eft </w:t>
      </w:r>
      <w:r>
        <w:rPr>
          <w:rFonts w:ascii="Times New Roman" w:hAnsi="Times New Roman"/>
          <w:sz w:val="24"/>
          <w:szCs w:val="24"/>
        </w:rPr>
        <w:t>t</w:t>
      </w:r>
      <w:r w:rsidRPr="00515FCB">
        <w:rPr>
          <w:rFonts w:ascii="Times New Roman" w:hAnsi="Times New Roman"/>
          <w:sz w:val="24"/>
          <w:szCs w:val="24"/>
        </w:rPr>
        <w:t xml:space="preserve">runcated Gumbel </w:t>
      </w:r>
      <w:r>
        <w:rPr>
          <w:rFonts w:ascii="Times New Roman" w:hAnsi="Times New Roman"/>
          <w:sz w:val="24"/>
          <w:szCs w:val="24"/>
        </w:rPr>
        <w:t>d</w:t>
      </w:r>
      <w:r w:rsidRPr="00515FCB">
        <w:rPr>
          <w:rFonts w:ascii="Times New Roman" w:hAnsi="Times New Roman"/>
          <w:sz w:val="24"/>
          <w:szCs w:val="24"/>
        </w:rPr>
        <w:t xml:space="preserve">istribution: Properties and </w:t>
      </w:r>
      <w:r>
        <w:rPr>
          <w:rFonts w:ascii="Times New Roman" w:hAnsi="Times New Roman"/>
          <w:sz w:val="24"/>
          <w:szCs w:val="24"/>
        </w:rPr>
        <w:t>e</w:t>
      </w:r>
      <w:r w:rsidRPr="00515FCB">
        <w:rPr>
          <w:rFonts w:ascii="Times New Roman" w:hAnsi="Times New Roman"/>
          <w:sz w:val="24"/>
          <w:szCs w:val="24"/>
        </w:rPr>
        <w:t>stimation. </w:t>
      </w:r>
      <w:r w:rsidRPr="00515FCB">
        <w:rPr>
          <w:rFonts w:ascii="Times New Roman" w:hAnsi="Times New Roman"/>
          <w:i/>
          <w:sz w:val="24"/>
          <w:szCs w:val="24"/>
        </w:rPr>
        <w:t>Journal of Physics: Conference Series</w:t>
      </w:r>
      <w:r w:rsidRPr="00515FCB">
        <w:rPr>
          <w:rFonts w:ascii="Times New Roman" w:hAnsi="Times New Roman"/>
          <w:sz w:val="24"/>
          <w:szCs w:val="24"/>
        </w:rPr>
        <w:t>, 1897, 012015.</w:t>
      </w:r>
    </w:p>
    <w:p w:rsidR="00CF1F31" w:rsidRPr="00CF1F31" w:rsidRDefault="00CF1F31" w:rsidP="00DC1627">
      <w:pPr>
        <w:pStyle w:val="ListParagraph"/>
        <w:spacing w:after="60"/>
        <w:ind w:left="360" w:hanging="360"/>
        <w:jc w:val="both"/>
        <w:rPr>
          <w:rFonts w:ascii="Times New Roman" w:hAnsi="Times New Roman"/>
          <w:sz w:val="24"/>
          <w:szCs w:val="24"/>
          <w:shd w:val="clear" w:color="auto" w:fill="FFFFFF"/>
        </w:rPr>
      </w:pPr>
      <w:r w:rsidRPr="00CF1F31">
        <w:rPr>
          <w:rFonts w:ascii="Times New Roman" w:hAnsi="Times New Roman"/>
          <w:sz w:val="24"/>
          <w:szCs w:val="24"/>
        </w:rPr>
        <w:t xml:space="preserve">Paleti, R., Bhat, </w:t>
      </w:r>
      <w:r w:rsidR="00716259" w:rsidRPr="00CF1F31">
        <w:rPr>
          <w:rFonts w:ascii="Times New Roman" w:hAnsi="Times New Roman"/>
          <w:sz w:val="24"/>
          <w:szCs w:val="24"/>
        </w:rPr>
        <w:t>C.R.</w:t>
      </w:r>
      <w:r w:rsidR="00716259">
        <w:rPr>
          <w:rFonts w:ascii="Times New Roman" w:hAnsi="Times New Roman"/>
          <w:sz w:val="24"/>
          <w:szCs w:val="24"/>
        </w:rPr>
        <w:t xml:space="preserve">, </w:t>
      </w:r>
      <w:r w:rsidRPr="00CF1F31">
        <w:rPr>
          <w:rFonts w:ascii="Times New Roman" w:hAnsi="Times New Roman"/>
          <w:sz w:val="24"/>
          <w:szCs w:val="24"/>
        </w:rPr>
        <w:t xml:space="preserve">Pendyala, </w:t>
      </w:r>
      <w:r w:rsidR="00716259" w:rsidRPr="00CF1F31">
        <w:rPr>
          <w:rFonts w:ascii="Times New Roman" w:hAnsi="Times New Roman"/>
          <w:sz w:val="24"/>
          <w:szCs w:val="24"/>
        </w:rPr>
        <w:t>R.M.</w:t>
      </w:r>
      <w:r w:rsidR="00716259">
        <w:rPr>
          <w:rFonts w:ascii="Times New Roman" w:hAnsi="Times New Roman"/>
          <w:sz w:val="24"/>
          <w:szCs w:val="24"/>
        </w:rPr>
        <w:t xml:space="preserve">, </w:t>
      </w:r>
      <w:r w:rsidRPr="00CF1F31">
        <w:rPr>
          <w:rFonts w:ascii="Times New Roman" w:hAnsi="Times New Roman"/>
          <w:sz w:val="24"/>
          <w:szCs w:val="24"/>
        </w:rPr>
        <w:t xml:space="preserve">Goulias, </w:t>
      </w:r>
      <w:r w:rsidR="00716259" w:rsidRPr="00CF1F31">
        <w:rPr>
          <w:rFonts w:ascii="Times New Roman" w:hAnsi="Times New Roman"/>
          <w:sz w:val="24"/>
          <w:szCs w:val="24"/>
        </w:rPr>
        <w:t>K.G.</w:t>
      </w:r>
      <w:r w:rsidR="00716259">
        <w:rPr>
          <w:rFonts w:ascii="Times New Roman" w:hAnsi="Times New Roman"/>
          <w:sz w:val="24"/>
          <w:szCs w:val="24"/>
        </w:rPr>
        <w:t xml:space="preserve">, </w:t>
      </w:r>
      <w:r w:rsidRPr="00CF1F31">
        <w:rPr>
          <w:rFonts w:ascii="Times New Roman" w:hAnsi="Times New Roman"/>
          <w:sz w:val="24"/>
          <w:szCs w:val="24"/>
        </w:rPr>
        <w:t xml:space="preserve">Adler, </w:t>
      </w:r>
      <w:r w:rsidR="00716259" w:rsidRPr="00CF1F31">
        <w:rPr>
          <w:rFonts w:ascii="Times New Roman" w:hAnsi="Times New Roman"/>
          <w:sz w:val="24"/>
          <w:szCs w:val="24"/>
        </w:rPr>
        <w:t>T.J.</w:t>
      </w:r>
      <w:r w:rsidR="00716259">
        <w:rPr>
          <w:rFonts w:ascii="Times New Roman" w:hAnsi="Times New Roman"/>
          <w:sz w:val="24"/>
          <w:szCs w:val="24"/>
        </w:rPr>
        <w:t xml:space="preserve">, </w:t>
      </w:r>
      <w:r w:rsidRPr="00CF1F31">
        <w:rPr>
          <w:rFonts w:ascii="Times New Roman" w:hAnsi="Times New Roman"/>
          <w:sz w:val="24"/>
          <w:szCs w:val="24"/>
        </w:rPr>
        <w:t>and Bahreinian</w:t>
      </w:r>
      <w:r w:rsidR="00716259">
        <w:rPr>
          <w:rFonts w:ascii="Times New Roman" w:hAnsi="Times New Roman"/>
          <w:sz w:val="24"/>
          <w:szCs w:val="24"/>
        </w:rPr>
        <w:t xml:space="preserve"> A., </w:t>
      </w:r>
      <w:r w:rsidRPr="00CF1F31">
        <w:rPr>
          <w:rFonts w:ascii="Times New Roman" w:hAnsi="Times New Roman"/>
          <w:sz w:val="24"/>
          <w:szCs w:val="24"/>
        </w:rPr>
        <w:t>2014</w:t>
      </w:r>
      <w:r w:rsidR="00716259">
        <w:rPr>
          <w:rFonts w:ascii="Times New Roman" w:hAnsi="Times New Roman"/>
          <w:sz w:val="24"/>
          <w:szCs w:val="24"/>
        </w:rPr>
        <w:t>.</w:t>
      </w:r>
      <w:r w:rsidRPr="00CF1F31">
        <w:rPr>
          <w:rFonts w:ascii="Times New Roman" w:hAnsi="Times New Roman"/>
          <w:sz w:val="24"/>
          <w:szCs w:val="24"/>
        </w:rPr>
        <w:t xml:space="preserve"> Assessing the </w:t>
      </w:r>
      <w:r w:rsidR="00716259">
        <w:rPr>
          <w:rFonts w:ascii="Times New Roman" w:hAnsi="Times New Roman"/>
          <w:sz w:val="24"/>
          <w:szCs w:val="24"/>
        </w:rPr>
        <w:t>i</w:t>
      </w:r>
      <w:r w:rsidRPr="00CF1F31">
        <w:rPr>
          <w:rFonts w:ascii="Times New Roman" w:hAnsi="Times New Roman"/>
          <w:sz w:val="24"/>
          <w:szCs w:val="24"/>
        </w:rPr>
        <w:t xml:space="preserve">mpact of </w:t>
      </w:r>
      <w:r w:rsidR="00716259">
        <w:rPr>
          <w:rFonts w:ascii="Times New Roman" w:hAnsi="Times New Roman"/>
          <w:sz w:val="24"/>
          <w:szCs w:val="24"/>
        </w:rPr>
        <w:t>t</w:t>
      </w:r>
      <w:r w:rsidRPr="00CF1F31">
        <w:rPr>
          <w:rFonts w:ascii="Times New Roman" w:hAnsi="Times New Roman"/>
          <w:sz w:val="24"/>
          <w:szCs w:val="24"/>
        </w:rPr>
        <w:t xml:space="preserve">ransportation </w:t>
      </w:r>
      <w:r w:rsidR="00716259">
        <w:rPr>
          <w:rFonts w:ascii="Times New Roman" w:hAnsi="Times New Roman"/>
          <w:sz w:val="24"/>
          <w:szCs w:val="24"/>
        </w:rPr>
        <w:t>p</w:t>
      </w:r>
      <w:r w:rsidRPr="00CF1F31">
        <w:rPr>
          <w:rFonts w:ascii="Times New Roman" w:hAnsi="Times New Roman"/>
          <w:sz w:val="24"/>
          <w:szCs w:val="24"/>
        </w:rPr>
        <w:t xml:space="preserve">olicies on </w:t>
      </w:r>
      <w:r w:rsidR="00716259">
        <w:rPr>
          <w:rFonts w:ascii="Times New Roman" w:hAnsi="Times New Roman"/>
          <w:sz w:val="24"/>
          <w:szCs w:val="24"/>
        </w:rPr>
        <w:t>f</w:t>
      </w:r>
      <w:r w:rsidRPr="00CF1F31">
        <w:rPr>
          <w:rFonts w:ascii="Times New Roman" w:hAnsi="Times New Roman"/>
          <w:sz w:val="24"/>
          <w:szCs w:val="24"/>
        </w:rPr>
        <w:t xml:space="preserve">uel </w:t>
      </w:r>
      <w:r w:rsidR="00716259">
        <w:rPr>
          <w:rFonts w:ascii="Times New Roman" w:hAnsi="Times New Roman"/>
          <w:sz w:val="24"/>
          <w:szCs w:val="24"/>
        </w:rPr>
        <w:t>c</w:t>
      </w:r>
      <w:r w:rsidRPr="00CF1F31">
        <w:rPr>
          <w:rFonts w:ascii="Times New Roman" w:hAnsi="Times New Roman"/>
          <w:sz w:val="24"/>
          <w:szCs w:val="24"/>
        </w:rPr>
        <w:t xml:space="preserve">onsumption and </w:t>
      </w:r>
      <w:r w:rsidR="00716259">
        <w:rPr>
          <w:rFonts w:ascii="Times New Roman" w:hAnsi="Times New Roman"/>
          <w:sz w:val="24"/>
          <w:szCs w:val="24"/>
        </w:rPr>
        <w:t>g</w:t>
      </w:r>
      <w:r w:rsidRPr="00CF1F31">
        <w:rPr>
          <w:rFonts w:ascii="Times New Roman" w:hAnsi="Times New Roman"/>
          <w:sz w:val="24"/>
          <w:szCs w:val="24"/>
        </w:rPr>
        <w:t xml:space="preserve">reenhouse </w:t>
      </w:r>
      <w:r w:rsidR="00716259">
        <w:rPr>
          <w:rFonts w:ascii="Times New Roman" w:hAnsi="Times New Roman"/>
          <w:sz w:val="24"/>
          <w:szCs w:val="24"/>
        </w:rPr>
        <w:t>g</w:t>
      </w:r>
      <w:r w:rsidRPr="00CF1F31">
        <w:rPr>
          <w:rFonts w:ascii="Times New Roman" w:hAnsi="Times New Roman"/>
          <w:sz w:val="24"/>
          <w:szCs w:val="24"/>
        </w:rPr>
        <w:t xml:space="preserve">as </w:t>
      </w:r>
      <w:r w:rsidR="00716259">
        <w:rPr>
          <w:rFonts w:ascii="Times New Roman" w:hAnsi="Times New Roman"/>
          <w:sz w:val="24"/>
          <w:szCs w:val="24"/>
        </w:rPr>
        <w:t>e</w:t>
      </w:r>
      <w:r w:rsidRPr="00CF1F31">
        <w:rPr>
          <w:rFonts w:ascii="Times New Roman" w:hAnsi="Times New Roman"/>
          <w:sz w:val="24"/>
          <w:szCs w:val="24"/>
        </w:rPr>
        <w:t xml:space="preserve">missions </w:t>
      </w:r>
      <w:r w:rsidR="00716259">
        <w:rPr>
          <w:rFonts w:ascii="Times New Roman" w:hAnsi="Times New Roman"/>
          <w:sz w:val="24"/>
          <w:szCs w:val="24"/>
        </w:rPr>
        <w:t>u</w:t>
      </w:r>
      <w:r w:rsidRPr="00CF1F31">
        <w:rPr>
          <w:rFonts w:ascii="Times New Roman" w:hAnsi="Times New Roman"/>
          <w:sz w:val="24"/>
          <w:szCs w:val="24"/>
        </w:rPr>
        <w:t xml:space="preserve">sing a </w:t>
      </w:r>
      <w:r w:rsidR="00716259">
        <w:rPr>
          <w:rFonts w:ascii="Times New Roman" w:hAnsi="Times New Roman"/>
          <w:sz w:val="24"/>
          <w:szCs w:val="24"/>
        </w:rPr>
        <w:t>h</w:t>
      </w:r>
      <w:r w:rsidRPr="00CF1F31">
        <w:rPr>
          <w:rFonts w:ascii="Times New Roman" w:hAnsi="Times New Roman"/>
          <w:sz w:val="24"/>
          <w:szCs w:val="24"/>
        </w:rPr>
        <w:t xml:space="preserve">ousehold </w:t>
      </w:r>
      <w:r w:rsidR="00716259">
        <w:rPr>
          <w:rFonts w:ascii="Times New Roman" w:hAnsi="Times New Roman"/>
          <w:sz w:val="24"/>
          <w:szCs w:val="24"/>
        </w:rPr>
        <w:t>v</w:t>
      </w:r>
      <w:r w:rsidRPr="00CF1F31">
        <w:rPr>
          <w:rFonts w:ascii="Times New Roman" w:hAnsi="Times New Roman"/>
          <w:sz w:val="24"/>
          <w:szCs w:val="24"/>
        </w:rPr>
        <w:t xml:space="preserve">ehicle </w:t>
      </w:r>
      <w:r w:rsidR="00716259">
        <w:rPr>
          <w:rFonts w:ascii="Times New Roman" w:hAnsi="Times New Roman"/>
          <w:sz w:val="24"/>
          <w:szCs w:val="24"/>
        </w:rPr>
        <w:t>f</w:t>
      </w:r>
      <w:r w:rsidRPr="00CF1F31">
        <w:rPr>
          <w:rFonts w:ascii="Times New Roman" w:hAnsi="Times New Roman"/>
          <w:sz w:val="24"/>
          <w:szCs w:val="24"/>
        </w:rPr>
        <w:t xml:space="preserve">leet </w:t>
      </w:r>
      <w:r w:rsidR="00716259">
        <w:rPr>
          <w:rFonts w:ascii="Times New Roman" w:hAnsi="Times New Roman"/>
          <w:sz w:val="24"/>
          <w:szCs w:val="24"/>
        </w:rPr>
        <w:t>s</w:t>
      </w:r>
      <w:r w:rsidRPr="00CF1F31">
        <w:rPr>
          <w:rFonts w:ascii="Times New Roman" w:hAnsi="Times New Roman"/>
          <w:sz w:val="24"/>
          <w:szCs w:val="24"/>
        </w:rPr>
        <w:t>imulator. </w:t>
      </w:r>
      <w:r w:rsidRPr="00CF1F31">
        <w:rPr>
          <w:rFonts w:ascii="Times New Roman" w:hAnsi="Times New Roman"/>
          <w:i/>
          <w:sz w:val="24"/>
          <w:szCs w:val="24"/>
        </w:rPr>
        <w:t>Transportation Research Record: Journal of the Transportation Research Board</w:t>
      </w:r>
      <w:r w:rsidRPr="00CF1F31">
        <w:rPr>
          <w:rFonts w:ascii="Times New Roman" w:hAnsi="Times New Roman"/>
          <w:sz w:val="24"/>
          <w:szCs w:val="24"/>
        </w:rPr>
        <w:t>, 2430, 182-190.</w:t>
      </w:r>
    </w:p>
    <w:p w:rsidR="0083573E" w:rsidRDefault="00CF1F31" w:rsidP="00DC1627">
      <w:pPr>
        <w:autoSpaceDE w:val="0"/>
        <w:autoSpaceDN w:val="0"/>
        <w:adjustRightInd w:val="0"/>
        <w:spacing w:after="60" w:line="276" w:lineRule="auto"/>
        <w:ind w:left="360" w:hanging="360"/>
        <w:jc w:val="both"/>
        <w:rPr>
          <w:iCs/>
        </w:rPr>
      </w:pPr>
      <w:r w:rsidRPr="00E10758">
        <w:t xml:space="preserve">Pinjari, A.R., Augustin, B., Imani, V.S., Eluru, N., and Pendyala, R.M., 2016. Stochastic frontier estimation of budgets for Kuhn–Tucker demand systems: Application to activity time-use analysis. </w:t>
      </w:r>
      <w:r w:rsidRPr="00E10758">
        <w:rPr>
          <w:i/>
        </w:rPr>
        <w:t>Transportation Research Part A</w:t>
      </w:r>
      <w:r w:rsidRPr="00E10758">
        <w:t>,</w:t>
      </w:r>
      <w:r w:rsidRPr="00E10758">
        <w:rPr>
          <w:i/>
        </w:rPr>
        <w:t xml:space="preserve"> </w:t>
      </w:r>
      <w:r w:rsidRPr="00E10758">
        <w:rPr>
          <w:iCs/>
        </w:rPr>
        <w:t>88, 117-133.</w:t>
      </w:r>
    </w:p>
    <w:p w:rsidR="006567A3" w:rsidRDefault="0083573E" w:rsidP="006567A3">
      <w:pPr>
        <w:autoSpaceDE w:val="0"/>
        <w:autoSpaceDN w:val="0"/>
        <w:adjustRightInd w:val="0"/>
        <w:spacing w:after="60" w:line="276" w:lineRule="auto"/>
        <w:ind w:left="360" w:hanging="360"/>
        <w:jc w:val="both"/>
        <w:rPr>
          <w:iCs/>
        </w:rPr>
      </w:pPr>
      <w:r w:rsidRPr="0083573E">
        <w:t>Rouwendal, J., and Boter, J., 2009. Assessing the value of museums with a combined discrete choice/count data model. </w:t>
      </w:r>
      <w:r w:rsidRPr="006567A3">
        <w:rPr>
          <w:i/>
        </w:rPr>
        <w:t>Applied Economics</w:t>
      </w:r>
      <w:r w:rsidRPr="0083573E">
        <w:t>, 41(11), 1417-1436.</w:t>
      </w:r>
    </w:p>
    <w:p w:rsidR="006567A3" w:rsidRPr="006567A3" w:rsidRDefault="006567A3" w:rsidP="006567A3">
      <w:pPr>
        <w:autoSpaceDE w:val="0"/>
        <w:autoSpaceDN w:val="0"/>
        <w:adjustRightInd w:val="0"/>
        <w:spacing w:after="60" w:line="276" w:lineRule="auto"/>
        <w:ind w:left="360" w:hanging="360"/>
        <w:jc w:val="both"/>
        <w:rPr>
          <w:iCs/>
        </w:rPr>
      </w:pPr>
      <w:r w:rsidRPr="006567A3">
        <w:t>Saumard, A., and Wellner</w:t>
      </w:r>
      <w:r>
        <w:t xml:space="preserve">, J.A., 2014. </w:t>
      </w:r>
      <w:r w:rsidRPr="006567A3">
        <w:t>Log-concavity and strong log-concavity: A review</w:t>
      </w:r>
      <w:r>
        <w:t>.</w:t>
      </w:r>
      <w:r w:rsidRPr="006567A3">
        <w:t xml:space="preserve"> </w:t>
      </w:r>
      <w:r w:rsidRPr="006567A3">
        <w:rPr>
          <w:i/>
        </w:rPr>
        <w:t>Statistics Surveys</w:t>
      </w:r>
      <w:r w:rsidRPr="006567A3">
        <w:t>, 8, 45-114</w:t>
      </w:r>
      <w:r>
        <w:t>.</w:t>
      </w:r>
    </w:p>
    <w:p w:rsidR="00716259" w:rsidRPr="00716259" w:rsidRDefault="00CF1F31" w:rsidP="00C110A2">
      <w:pPr>
        <w:keepLines/>
        <w:autoSpaceDE w:val="0"/>
        <w:autoSpaceDN w:val="0"/>
        <w:adjustRightInd w:val="0"/>
        <w:spacing w:after="60" w:line="276" w:lineRule="auto"/>
        <w:ind w:left="360" w:hanging="360"/>
        <w:jc w:val="both"/>
      </w:pPr>
      <w:r w:rsidRPr="00CF1F31">
        <w:t xml:space="preserve">Saxena, S., Pinjari, A.R., </w:t>
      </w:r>
      <w:r w:rsidR="003346C8">
        <w:t xml:space="preserve">and </w:t>
      </w:r>
      <w:r w:rsidRPr="00CF1F31">
        <w:t xml:space="preserve">Bhat, C.R., 2022a. Multiple discrete-continuous choice models with additively separable utility functions and linear utility on outside good: Model properties and characterization of demand functions. </w:t>
      </w:r>
      <w:r w:rsidR="00716259" w:rsidRPr="00716259">
        <w:rPr>
          <w:i/>
        </w:rPr>
        <w:t>Transportation Research Part B</w:t>
      </w:r>
      <w:r w:rsidR="00716259" w:rsidRPr="00716259">
        <w:t>,</w:t>
      </w:r>
      <w:r w:rsidR="00716259">
        <w:t xml:space="preserve"> </w:t>
      </w:r>
      <w:r w:rsidR="00716259" w:rsidRPr="00716259">
        <w:t>155, 526-557</w:t>
      </w:r>
      <w:r w:rsidR="003129C6">
        <w:t>.</w:t>
      </w:r>
    </w:p>
    <w:p w:rsidR="00CF1F31" w:rsidRDefault="00CF1F31" w:rsidP="00DC1627">
      <w:pPr>
        <w:autoSpaceDE w:val="0"/>
        <w:autoSpaceDN w:val="0"/>
        <w:adjustRightInd w:val="0"/>
        <w:spacing w:after="60" w:line="276" w:lineRule="auto"/>
        <w:ind w:left="360" w:hanging="360"/>
        <w:jc w:val="both"/>
        <w:rPr>
          <w:iCs/>
        </w:rPr>
      </w:pPr>
      <w:r w:rsidRPr="00A91C24">
        <w:t xml:space="preserve">Saxena, S., Pinjari, </w:t>
      </w:r>
      <w:r w:rsidR="003346C8" w:rsidRPr="00A91C24">
        <w:t xml:space="preserve">A.R., </w:t>
      </w:r>
      <w:r w:rsidRPr="00A91C24">
        <w:t xml:space="preserve">Bhat, </w:t>
      </w:r>
      <w:r w:rsidR="003346C8" w:rsidRPr="00A91C24">
        <w:t xml:space="preserve">C.R., </w:t>
      </w:r>
      <w:r w:rsidRPr="00A91C24">
        <w:t>and Mondal, </w:t>
      </w:r>
      <w:r w:rsidR="003346C8" w:rsidRPr="00A91C24">
        <w:t xml:space="preserve">A., </w:t>
      </w:r>
      <w:r w:rsidRPr="00A91C24">
        <w:t>2022b.</w:t>
      </w:r>
      <w:r w:rsidR="003346C8" w:rsidRPr="00A91C24">
        <w:t xml:space="preserve"> </w:t>
      </w:r>
      <w:r w:rsidRPr="00A91C24">
        <w:t xml:space="preserve">A </w:t>
      </w:r>
      <w:r w:rsidR="00C110A2" w:rsidRPr="00A91C24">
        <w:t>f</w:t>
      </w:r>
      <w:r w:rsidRPr="00A91C24">
        <w:t xml:space="preserve">lexible </w:t>
      </w:r>
      <w:r w:rsidR="00C110A2" w:rsidRPr="00A91C24">
        <w:t>m</w:t>
      </w:r>
      <w:r w:rsidRPr="00A91C24">
        <w:t xml:space="preserve">ultiple </w:t>
      </w:r>
      <w:r w:rsidR="00C110A2" w:rsidRPr="00A91C24">
        <w:t>d</w:t>
      </w:r>
      <w:r w:rsidRPr="00A91C24">
        <w:t>iscrete-</w:t>
      </w:r>
      <w:r w:rsidR="00C110A2" w:rsidRPr="00A91C24">
        <w:t>c</w:t>
      </w:r>
      <w:r w:rsidRPr="00A91C24">
        <w:t xml:space="preserve">ontinuous </w:t>
      </w:r>
      <w:r w:rsidR="00C110A2" w:rsidRPr="00A91C24">
        <w:t>p</w:t>
      </w:r>
      <w:r w:rsidRPr="00A91C24">
        <w:t xml:space="preserve">robit (MDCP) </w:t>
      </w:r>
      <w:r w:rsidR="00C110A2" w:rsidRPr="00A91C24">
        <w:t>m</w:t>
      </w:r>
      <w:r w:rsidRPr="00A91C24">
        <w:t xml:space="preserve">odel: Application to </w:t>
      </w:r>
      <w:r w:rsidR="00C110A2" w:rsidRPr="00A91C24">
        <w:t>a</w:t>
      </w:r>
      <w:r w:rsidRPr="00A91C24">
        <w:t xml:space="preserve">nalysis of </w:t>
      </w:r>
      <w:r w:rsidR="00C110A2" w:rsidRPr="00A91C24">
        <w:t>e</w:t>
      </w:r>
      <w:r w:rsidRPr="00A91C24">
        <w:t xml:space="preserve">xpenditure </w:t>
      </w:r>
      <w:r w:rsidR="00C110A2" w:rsidRPr="00A91C24">
        <w:t>p</w:t>
      </w:r>
      <w:r w:rsidRPr="00A91C24">
        <w:t xml:space="preserve">atterns of </w:t>
      </w:r>
      <w:r w:rsidR="00C110A2" w:rsidRPr="00A91C24">
        <w:t>d</w:t>
      </w:r>
      <w:r w:rsidRPr="00A91C24">
        <w:t xml:space="preserve">omestic </w:t>
      </w:r>
      <w:r w:rsidR="00C110A2" w:rsidRPr="00A91C24">
        <w:t>t</w:t>
      </w:r>
      <w:r w:rsidRPr="00A91C24">
        <w:t>ourists in India</w:t>
      </w:r>
      <w:r w:rsidR="00C110A2" w:rsidRPr="00A91C24">
        <w:t>.</w:t>
      </w:r>
      <w:r w:rsidRPr="00A91C24">
        <w:t xml:space="preserve"> </w:t>
      </w:r>
      <w:r w:rsidR="00632C12">
        <w:t xml:space="preserve">Technical </w:t>
      </w:r>
      <w:r w:rsidR="003129C6">
        <w:t>paper</w:t>
      </w:r>
      <w:r w:rsidR="00632C12">
        <w:t>, Department of Civil Engineering, Indian Institute of Science (IISc).</w:t>
      </w:r>
    </w:p>
    <w:p w:rsidR="00075A22" w:rsidRDefault="00CF1F31" w:rsidP="00075A22">
      <w:pPr>
        <w:autoSpaceDE w:val="0"/>
        <w:autoSpaceDN w:val="0"/>
        <w:adjustRightInd w:val="0"/>
        <w:spacing w:after="60" w:line="276" w:lineRule="auto"/>
        <w:ind w:left="360" w:hanging="360"/>
        <w:jc w:val="both"/>
        <w:rPr>
          <w:iCs/>
        </w:rPr>
      </w:pPr>
      <w:r w:rsidRPr="00CF1F31">
        <w:lastRenderedPageBreak/>
        <w:t>Srinivasan, S., and Bhat</w:t>
      </w:r>
      <w:r w:rsidR="003346C8">
        <w:t>,</w:t>
      </w:r>
      <w:r w:rsidR="003346C8" w:rsidRPr="003346C8">
        <w:t xml:space="preserve"> </w:t>
      </w:r>
      <w:r w:rsidR="003346C8" w:rsidRPr="00CF1F31">
        <w:t>C.R.</w:t>
      </w:r>
      <w:r w:rsidR="003346C8">
        <w:t xml:space="preserve">, </w:t>
      </w:r>
      <w:r w:rsidRPr="00CF1F31">
        <w:t>2006</w:t>
      </w:r>
      <w:r w:rsidR="003346C8">
        <w:t>.</w:t>
      </w:r>
      <w:r w:rsidRPr="00CF1F31">
        <w:t xml:space="preserve"> A </w:t>
      </w:r>
      <w:r w:rsidR="00716259">
        <w:t>m</w:t>
      </w:r>
      <w:r w:rsidRPr="00CF1F31">
        <w:t xml:space="preserve">ultiple </w:t>
      </w:r>
      <w:r w:rsidR="00716259">
        <w:t>d</w:t>
      </w:r>
      <w:r w:rsidRPr="00CF1F31">
        <w:t>iscrete-</w:t>
      </w:r>
      <w:r w:rsidR="00716259">
        <w:t>c</w:t>
      </w:r>
      <w:r w:rsidRPr="00CF1F31">
        <w:t xml:space="preserve">ontinuous </w:t>
      </w:r>
      <w:r w:rsidR="00716259">
        <w:t>m</w:t>
      </w:r>
      <w:r w:rsidRPr="00CF1F31">
        <w:t xml:space="preserve">odel for </w:t>
      </w:r>
      <w:r w:rsidR="00716259">
        <w:t>i</w:t>
      </w:r>
      <w:r w:rsidRPr="00CF1F31">
        <w:t xml:space="preserve">ndependent- and </w:t>
      </w:r>
      <w:r w:rsidR="00716259">
        <w:t>j</w:t>
      </w:r>
      <w:r w:rsidRPr="00CF1F31">
        <w:t xml:space="preserve">oint- </w:t>
      </w:r>
      <w:r w:rsidR="00716259">
        <w:t>d</w:t>
      </w:r>
      <w:r w:rsidRPr="00CF1F31">
        <w:t>iscretionary-</w:t>
      </w:r>
      <w:r w:rsidR="00716259">
        <w:t>a</w:t>
      </w:r>
      <w:r w:rsidRPr="00CF1F31">
        <w:t xml:space="preserve">ctivity </w:t>
      </w:r>
      <w:r w:rsidR="00716259">
        <w:t>p</w:t>
      </w:r>
      <w:r w:rsidRPr="00CF1F31">
        <w:t xml:space="preserve">articipation </w:t>
      </w:r>
      <w:r w:rsidR="00716259">
        <w:t>d</w:t>
      </w:r>
      <w:r w:rsidRPr="00CF1F31">
        <w:t>ecisions</w:t>
      </w:r>
      <w:r>
        <w:t>.</w:t>
      </w:r>
      <w:r w:rsidRPr="00CF1F31">
        <w:t> </w:t>
      </w:r>
      <w:r w:rsidRPr="00CF1F31">
        <w:rPr>
          <w:i/>
        </w:rPr>
        <w:t>Transportation</w:t>
      </w:r>
      <w:r w:rsidRPr="00CF1F31">
        <w:t>, 33</w:t>
      </w:r>
      <w:r>
        <w:t>(</w:t>
      </w:r>
      <w:r w:rsidRPr="00CF1F31">
        <w:t>5</w:t>
      </w:r>
      <w:r>
        <w:t>)</w:t>
      </w:r>
      <w:r w:rsidRPr="00CF1F31">
        <w:t>, 497-515</w:t>
      </w:r>
      <w:r>
        <w:rPr>
          <w:iCs/>
        </w:rPr>
        <w:t>.</w:t>
      </w:r>
    </w:p>
    <w:p w:rsidR="00075A22" w:rsidRPr="00075A22" w:rsidRDefault="00075A22" w:rsidP="00075A22">
      <w:pPr>
        <w:autoSpaceDE w:val="0"/>
        <w:autoSpaceDN w:val="0"/>
        <w:adjustRightInd w:val="0"/>
        <w:spacing w:after="60" w:line="276" w:lineRule="auto"/>
        <w:ind w:left="360" w:hanging="360"/>
        <w:jc w:val="both"/>
        <w:rPr>
          <w:iCs/>
        </w:rPr>
      </w:pPr>
      <w:r>
        <w:t xml:space="preserve">Strotz, R.H., 1957. The empirical implications of a utility tree. </w:t>
      </w:r>
      <w:r>
        <w:rPr>
          <w:i/>
          <w:iCs/>
        </w:rPr>
        <w:t>Econometrica</w:t>
      </w:r>
      <w:r>
        <w:t xml:space="preserve">, </w:t>
      </w:r>
      <w:r w:rsidRPr="00075A22">
        <w:rPr>
          <w:iCs/>
        </w:rPr>
        <w:t>25</w:t>
      </w:r>
      <w:r>
        <w:t xml:space="preserve">(2), 269-280. </w:t>
      </w:r>
      <w:hyperlink r:id="rId578" w:history="1">
        <w:r w:rsidRPr="004A3A1E">
          <w:rPr>
            <w:rStyle w:val="Hyperlink"/>
          </w:rPr>
          <w:t>https://doi.org/10.2307/1910254</w:t>
        </w:r>
      </w:hyperlink>
      <w:r>
        <w:t xml:space="preserve">. </w:t>
      </w:r>
    </w:p>
    <w:p w:rsidR="00075A22" w:rsidRDefault="00075A22" w:rsidP="00075A22">
      <w:pPr>
        <w:autoSpaceDE w:val="0"/>
        <w:autoSpaceDN w:val="0"/>
        <w:adjustRightInd w:val="0"/>
        <w:spacing w:after="60" w:line="276" w:lineRule="auto"/>
        <w:ind w:left="360" w:hanging="360"/>
        <w:jc w:val="both"/>
      </w:pPr>
      <w:r>
        <w:t xml:space="preserve">Tobin, J., 1958. Estimation of relationships for limited dependent variables. </w:t>
      </w:r>
      <w:r>
        <w:rPr>
          <w:i/>
          <w:iCs/>
        </w:rPr>
        <w:t>Econometrica</w:t>
      </w:r>
      <w:r>
        <w:t xml:space="preserve">, </w:t>
      </w:r>
      <w:r w:rsidRPr="00075A22">
        <w:rPr>
          <w:iCs/>
        </w:rPr>
        <w:t>26</w:t>
      </w:r>
      <w:r>
        <w:t xml:space="preserve">(1), 24-36. </w:t>
      </w:r>
      <w:hyperlink r:id="rId579" w:history="1">
        <w:r w:rsidRPr="004A3A1E">
          <w:rPr>
            <w:rStyle w:val="Hyperlink"/>
          </w:rPr>
          <w:t>https://doi.org/10.2307/1907382</w:t>
        </w:r>
      </w:hyperlink>
      <w:r>
        <w:t>.</w:t>
      </w:r>
    </w:p>
    <w:p w:rsidR="0083573E" w:rsidRPr="00075A22" w:rsidRDefault="0083573E" w:rsidP="00075A22">
      <w:pPr>
        <w:autoSpaceDE w:val="0"/>
        <w:autoSpaceDN w:val="0"/>
        <w:adjustRightInd w:val="0"/>
        <w:spacing w:after="60" w:line="276" w:lineRule="auto"/>
        <w:ind w:left="360" w:hanging="360"/>
        <w:jc w:val="both"/>
      </w:pPr>
      <w:r w:rsidRPr="0083573E">
        <w:rPr>
          <w:bCs/>
        </w:rPr>
        <w:t>Truong</w:t>
      </w:r>
      <w:r w:rsidR="00515FCB">
        <w:rPr>
          <w:bCs/>
        </w:rPr>
        <w:t>,</w:t>
      </w:r>
      <w:r w:rsidRPr="0083573E">
        <w:rPr>
          <w:bCs/>
        </w:rPr>
        <w:t xml:space="preserve"> </w:t>
      </w:r>
      <w:r w:rsidR="00515FCB">
        <w:rPr>
          <w:bCs/>
        </w:rPr>
        <w:t>T.</w:t>
      </w:r>
      <w:r w:rsidRPr="0083573E">
        <w:rPr>
          <w:bCs/>
        </w:rPr>
        <w:t xml:space="preserve">P., </w:t>
      </w:r>
      <w:r w:rsidR="00515FCB">
        <w:rPr>
          <w:bCs/>
        </w:rPr>
        <w:t xml:space="preserve">and </w:t>
      </w:r>
      <w:r w:rsidRPr="0083573E">
        <w:rPr>
          <w:bCs/>
        </w:rPr>
        <w:t>Hensher,</w:t>
      </w:r>
      <w:r>
        <w:rPr>
          <w:bCs/>
        </w:rPr>
        <w:t xml:space="preserve"> D.A., 2014. </w:t>
      </w:r>
      <w:r w:rsidRPr="0083573E">
        <w:rPr>
          <w:bCs/>
        </w:rPr>
        <w:t>Linking discrete choice to continuous demand in a spatial computable general equilibrium model</w:t>
      </w:r>
      <w:r>
        <w:rPr>
          <w:bCs/>
        </w:rPr>
        <w:t xml:space="preserve">. </w:t>
      </w:r>
      <w:r w:rsidRPr="00515FCB">
        <w:rPr>
          <w:bCs/>
          <w:i/>
        </w:rPr>
        <w:t>Journal of Choice Modelling</w:t>
      </w:r>
      <w:r w:rsidRPr="0083573E">
        <w:rPr>
          <w:bCs/>
        </w:rPr>
        <w:t>,</w:t>
      </w:r>
      <w:r>
        <w:rPr>
          <w:bCs/>
        </w:rPr>
        <w:t xml:space="preserve"> </w:t>
      </w:r>
      <w:r w:rsidRPr="0083573E">
        <w:rPr>
          <w:bCs/>
        </w:rPr>
        <w:t>12,</w:t>
      </w:r>
      <w:r>
        <w:rPr>
          <w:bCs/>
        </w:rPr>
        <w:t xml:space="preserve"> </w:t>
      </w:r>
      <w:r w:rsidRPr="0083573E">
        <w:rPr>
          <w:bCs/>
        </w:rPr>
        <w:t>21-46</w:t>
      </w:r>
      <w:r>
        <w:rPr>
          <w:bCs/>
        </w:rPr>
        <w:t>.</w:t>
      </w:r>
    </w:p>
    <w:p w:rsidR="00075A22" w:rsidRDefault="00CF1F31" w:rsidP="00075A22">
      <w:pPr>
        <w:autoSpaceDE w:val="0"/>
        <w:autoSpaceDN w:val="0"/>
        <w:adjustRightInd w:val="0"/>
        <w:spacing w:after="60" w:line="276" w:lineRule="auto"/>
        <w:ind w:left="360" w:hanging="360"/>
        <w:jc w:val="both"/>
        <w:rPr>
          <w:bCs/>
        </w:rPr>
      </w:pPr>
      <w:r w:rsidRPr="00E10758">
        <w:rPr>
          <w:bCs/>
        </w:rPr>
        <w:t>Vasquez</w:t>
      </w:r>
      <w:r w:rsidR="006567A3">
        <w:rPr>
          <w:bCs/>
        </w:rPr>
        <w:t>-</w:t>
      </w:r>
      <w:r w:rsidRPr="00E10758">
        <w:rPr>
          <w:bCs/>
        </w:rPr>
        <w:t xml:space="preserve">Lavin, F., </w:t>
      </w:r>
      <w:r w:rsidR="003346C8">
        <w:rPr>
          <w:bCs/>
        </w:rPr>
        <w:t xml:space="preserve">and </w:t>
      </w:r>
      <w:r w:rsidRPr="00E10758">
        <w:rPr>
          <w:bCs/>
        </w:rPr>
        <w:t>Hanemann, M., 2008. Functional forms in discrete/continuous choice models with general corner solution. Department of Agricultural &amp; Resource Economics, University of California Berkeley. CUDARE Working Paper 1078.</w:t>
      </w:r>
    </w:p>
    <w:p w:rsidR="00075A22" w:rsidRPr="00075A22" w:rsidRDefault="00075A22" w:rsidP="00075A22">
      <w:pPr>
        <w:autoSpaceDE w:val="0"/>
        <w:autoSpaceDN w:val="0"/>
        <w:adjustRightInd w:val="0"/>
        <w:spacing w:after="60" w:line="276" w:lineRule="auto"/>
        <w:ind w:left="360" w:hanging="360"/>
        <w:jc w:val="both"/>
        <w:rPr>
          <w:bCs/>
        </w:rPr>
      </w:pPr>
      <w:r>
        <w:t>v</w:t>
      </w:r>
      <w:r w:rsidRPr="00075A22">
        <w:t>on Haefen, R.</w:t>
      </w:r>
      <w:r>
        <w:t>H.,</w:t>
      </w:r>
      <w:r w:rsidRPr="00075A22">
        <w:t xml:space="preserve"> 2010. Incomplete </w:t>
      </w:r>
      <w:r>
        <w:t>d</w:t>
      </w:r>
      <w:r w:rsidRPr="00075A22">
        <w:t xml:space="preserve">emand </w:t>
      </w:r>
      <w:r>
        <w:t>s</w:t>
      </w:r>
      <w:r w:rsidRPr="00075A22">
        <w:t xml:space="preserve">ystems, </w:t>
      </w:r>
      <w:r>
        <w:t>c</w:t>
      </w:r>
      <w:r w:rsidRPr="00075A22">
        <w:t xml:space="preserve">orner </w:t>
      </w:r>
      <w:r>
        <w:t>s</w:t>
      </w:r>
      <w:r w:rsidRPr="00075A22">
        <w:t xml:space="preserve">olutions, and </w:t>
      </w:r>
      <w:r>
        <w:t>w</w:t>
      </w:r>
      <w:r w:rsidRPr="00075A22">
        <w:t xml:space="preserve">elfare </w:t>
      </w:r>
      <w:r>
        <w:t>m</w:t>
      </w:r>
      <w:r w:rsidRPr="00075A22">
        <w:t>easurement. </w:t>
      </w:r>
      <w:r w:rsidRPr="00075A22">
        <w:rPr>
          <w:i/>
        </w:rPr>
        <w:t>Agricultural and Resource Economics Review</w:t>
      </w:r>
      <w:r w:rsidRPr="00075A22">
        <w:t>, 39(1), 22-36.</w:t>
      </w:r>
    </w:p>
    <w:p w:rsidR="00E413FC" w:rsidRPr="00E413FC" w:rsidRDefault="00CF1F31" w:rsidP="00E413FC">
      <w:pPr>
        <w:autoSpaceDE w:val="0"/>
        <w:autoSpaceDN w:val="0"/>
        <w:adjustRightInd w:val="0"/>
        <w:spacing w:after="60" w:line="276" w:lineRule="auto"/>
        <w:ind w:left="360" w:hanging="360"/>
        <w:jc w:val="both"/>
      </w:pPr>
      <w:r w:rsidRPr="00E10758">
        <w:t>von Haefen</w:t>
      </w:r>
      <w:r w:rsidR="003346C8">
        <w:t>,</w:t>
      </w:r>
      <w:r w:rsidRPr="00E10758">
        <w:t xml:space="preserve"> R</w:t>
      </w:r>
      <w:r w:rsidR="003346C8">
        <w:t>.</w:t>
      </w:r>
      <w:r w:rsidRPr="00E10758">
        <w:t>H</w:t>
      </w:r>
      <w:r w:rsidR="003346C8">
        <w:t>.</w:t>
      </w:r>
      <w:r w:rsidRPr="00E10758">
        <w:t>,</w:t>
      </w:r>
      <w:r w:rsidR="003346C8">
        <w:t xml:space="preserve"> and</w:t>
      </w:r>
      <w:r w:rsidRPr="00E10758">
        <w:t xml:space="preserve"> Phaneuf</w:t>
      </w:r>
      <w:r w:rsidR="003346C8">
        <w:t>,</w:t>
      </w:r>
      <w:r w:rsidRPr="00E10758">
        <w:t xml:space="preserve"> D</w:t>
      </w:r>
      <w:r w:rsidR="003346C8">
        <w:t>.</w:t>
      </w:r>
      <w:r w:rsidRPr="00E10758">
        <w:t>J.</w:t>
      </w:r>
      <w:r w:rsidR="003346C8">
        <w:t>,</w:t>
      </w:r>
      <w:r w:rsidRPr="00E10758">
        <w:t xml:space="preserve"> 2003. Estimating preferences for outdoor recreation: A comparison of continuous and count data demand system frameworks. </w:t>
      </w:r>
      <w:r w:rsidRPr="00E10758">
        <w:rPr>
          <w:i/>
        </w:rPr>
        <w:t xml:space="preserve">Journal of </w:t>
      </w:r>
      <w:r w:rsidRPr="00E413FC">
        <w:rPr>
          <w:i/>
        </w:rPr>
        <w:t>Environmental Economics &amp; Management</w:t>
      </w:r>
      <w:r w:rsidR="00075A22" w:rsidRPr="00E413FC">
        <w:t>,</w:t>
      </w:r>
      <w:r w:rsidRPr="00E413FC">
        <w:t xml:space="preserve"> 45(3), 612-630.</w:t>
      </w:r>
    </w:p>
    <w:p w:rsidR="00426F1A" w:rsidRDefault="00E413FC" w:rsidP="00FB7A6D">
      <w:pPr>
        <w:keepLines/>
        <w:autoSpaceDE w:val="0"/>
        <w:autoSpaceDN w:val="0"/>
        <w:adjustRightInd w:val="0"/>
        <w:spacing w:after="60" w:line="276" w:lineRule="auto"/>
        <w:ind w:left="360" w:hanging="360"/>
        <w:jc w:val="both"/>
      </w:pPr>
      <w:r w:rsidRPr="00E413FC">
        <w:t xml:space="preserve">Vyas, G., Paleti, </w:t>
      </w:r>
      <w:r>
        <w:t xml:space="preserve">R., </w:t>
      </w:r>
      <w:r w:rsidRPr="00E413FC">
        <w:t>Bhat, C.R.</w:t>
      </w:r>
      <w:r>
        <w:t xml:space="preserve">, </w:t>
      </w:r>
      <w:r w:rsidRPr="00E413FC">
        <w:t>Goulias, K.G.</w:t>
      </w:r>
      <w:r>
        <w:t xml:space="preserve">, </w:t>
      </w:r>
      <w:r w:rsidRPr="00E413FC">
        <w:t>Pendyala, R.M.</w:t>
      </w:r>
      <w:r>
        <w:t xml:space="preserve">, </w:t>
      </w:r>
      <w:r w:rsidRPr="00E413FC">
        <w:t>Hu, H.-H.</w:t>
      </w:r>
      <w:r>
        <w:t xml:space="preserve">, </w:t>
      </w:r>
      <w:r w:rsidRPr="00E413FC">
        <w:t>Adler, T.J.</w:t>
      </w:r>
      <w:r>
        <w:t xml:space="preserve">, </w:t>
      </w:r>
      <w:r w:rsidRPr="00E413FC">
        <w:t>and Bahreinian, A</w:t>
      </w:r>
      <w:r>
        <w:t>., 2012.</w:t>
      </w:r>
      <w:r w:rsidRPr="00E413FC">
        <w:t xml:space="preserve"> </w:t>
      </w:r>
      <w:r w:rsidRPr="00E413FC">
        <w:rPr>
          <w:bCs/>
        </w:rPr>
        <w:t xml:space="preserve">Joint </w:t>
      </w:r>
      <w:r>
        <w:rPr>
          <w:bCs/>
        </w:rPr>
        <w:t>v</w:t>
      </w:r>
      <w:r w:rsidRPr="00E413FC">
        <w:rPr>
          <w:bCs/>
        </w:rPr>
        <w:t xml:space="preserve">ehicle </w:t>
      </w:r>
      <w:r>
        <w:rPr>
          <w:bCs/>
        </w:rPr>
        <w:t>h</w:t>
      </w:r>
      <w:r w:rsidRPr="00E413FC">
        <w:rPr>
          <w:bCs/>
        </w:rPr>
        <w:t xml:space="preserve">oldings by </w:t>
      </w:r>
      <w:r>
        <w:rPr>
          <w:bCs/>
        </w:rPr>
        <w:t>t</w:t>
      </w:r>
      <w:r w:rsidRPr="00E413FC">
        <w:rPr>
          <w:bCs/>
        </w:rPr>
        <w:t xml:space="preserve">ype and </w:t>
      </w:r>
      <w:r>
        <w:rPr>
          <w:bCs/>
        </w:rPr>
        <w:t>v</w:t>
      </w:r>
      <w:r w:rsidRPr="00E413FC">
        <w:rPr>
          <w:bCs/>
        </w:rPr>
        <w:t xml:space="preserve">intage, and </w:t>
      </w:r>
      <w:r>
        <w:rPr>
          <w:bCs/>
        </w:rPr>
        <w:t>p</w:t>
      </w:r>
      <w:r w:rsidRPr="00E413FC">
        <w:rPr>
          <w:bCs/>
        </w:rPr>
        <w:t xml:space="preserve">rimary </w:t>
      </w:r>
      <w:r>
        <w:rPr>
          <w:bCs/>
        </w:rPr>
        <w:t>d</w:t>
      </w:r>
      <w:r w:rsidRPr="00E413FC">
        <w:rPr>
          <w:bCs/>
        </w:rPr>
        <w:t xml:space="preserve">river </w:t>
      </w:r>
      <w:r>
        <w:rPr>
          <w:bCs/>
        </w:rPr>
        <w:t>a</w:t>
      </w:r>
      <w:r w:rsidRPr="00E413FC">
        <w:rPr>
          <w:bCs/>
        </w:rPr>
        <w:t xml:space="preserve">ssignment </w:t>
      </w:r>
      <w:r>
        <w:rPr>
          <w:bCs/>
        </w:rPr>
        <w:t>m</w:t>
      </w:r>
      <w:r w:rsidRPr="00E413FC">
        <w:rPr>
          <w:bCs/>
        </w:rPr>
        <w:t xml:space="preserve">odel with </w:t>
      </w:r>
      <w:r>
        <w:rPr>
          <w:bCs/>
        </w:rPr>
        <w:t>a</w:t>
      </w:r>
      <w:r w:rsidRPr="00E413FC">
        <w:rPr>
          <w:bCs/>
        </w:rPr>
        <w:t>pplication for California</w:t>
      </w:r>
      <w:r>
        <w:t>.</w:t>
      </w:r>
      <w:r w:rsidRPr="00E413FC">
        <w:t xml:space="preserve"> </w:t>
      </w:r>
      <w:r w:rsidRPr="00E413FC">
        <w:rPr>
          <w:i/>
          <w:iCs/>
        </w:rPr>
        <w:t>Transportation Research Record: Journal of the Transportation Research Board</w:t>
      </w:r>
      <w:r w:rsidRPr="00E413FC">
        <w:rPr>
          <w:iCs/>
        </w:rPr>
        <w:t>,</w:t>
      </w:r>
      <w:r w:rsidRPr="00E413FC">
        <w:t xml:space="preserve"> 2302, 74-83.</w:t>
      </w:r>
    </w:p>
    <w:p w:rsidR="00426F1A" w:rsidRDefault="005815CC" w:rsidP="00426F1A">
      <w:pPr>
        <w:autoSpaceDE w:val="0"/>
        <w:autoSpaceDN w:val="0"/>
        <w:adjustRightInd w:val="0"/>
        <w:spacing w:after="60" w:line="276" w:lineRule="auto"/>
        <w:ind w:left="360" w:hanging="360"/>
        <w:jc w:val="both"/>
      </w:pPr>
      <w:r w:rsidRPr="00E413FC">
        <w:t>Wagner, J</w:t>
      </w:r>
      <w:r w:rsidR="00E413FC" w:rsidRPr="00E413FC">
        <w:t>.</w:t>
      </w:r>
      <w:r w:rsidRPr="00E413FC">
        <w:t xml:space="preserve">, Cook, </w:t>
      </w:r>
      <w:r w:rsidR="00E413FC" w:rsidRPr="00E413FC">
        <w:t xml:space="preserve">J., </w:t>
      </w:r>
      <w:r w:rsidRPr="00E413FC">
        <w:t>and Kimuyu,</w:t>
      </w:r>
      <w:r w:rsidR="00E413FC" w:rsidRPr="00E413FC">
        <w:t xml:space="preserve"> P., 2019. </w:t>
      </w:r>
      <w:r w:rsidRPr="00E413FC">
        <w:t xml:space="preserve">Household </w:t>
      </w:r>
      <w:r w:rsidR="00E413FC" w:rsidRPr="00E413FC">
        <w:t>d</w:t>
      </w:r>
      <w:r w:rsidRPr="00E413FC">
        <w:t xml:space="preserve">emand for </w:t>
      </w:r>
      <w:r w:rsidR="00E413FC" w:rsidRPr="00E413FC">
        <w:t>w</w:t>
      </w:r>
      <w:r w:rsidRPr="00E413FC">
        <w:t>ater</w:t>
      </w:r>
      <w:r w:rsidR="00E413FC">
        <w:t xml:space="preserve"> </w:t>
      </w:r>
      <w:r w:rsidRPr="00E413FC">
        <w:t xml:space="preserve">in </w:t>
      </w:r>
      <w:r w:rsidR="00E413FC">
        <w:t>r</w:t>
      </w:r>
      <w:r w:rsidRPr="00E413FC">
        <w:t>ural Kenya</w:t>
      </w:r>
      <w:r w:rsidR="00E413FC" w:rsidRPr="00E413FC">
        <w:t>.</w:t>
      </w:r>
      <w:r w:rsidRPr="00E413FC">
        <w:t xml:space="preserve"> </w:t>
      </w:r>
      <w:r w:rsidRPr="00E413FC">
        <w:rPr>
          <w:i/>
        </w:rPr>
        <w:t>Environmental and Resource Economics</w:t>
      </w:r>
      <w:r w:rsidRPr="00E413FC">
        <w:t>, 74(4), 1563-1584.</w:t>
      </w:r>
    </w:p>
    <w:p w:rsidR="00426F1A" w:rsidRDefault="00CF1F31" w:rsidP="00426F1A">
      <w:pPr>
        <w:autoSpaceDE w:val="0"/>
        <w:autoSpaceDN w:val="0"/>
        <w:adjustRightInd w:val="0"/>
        <w:spacing w:after="60" w:line="276" w:lineRule="auto"/>
        <w:ind w:left="360" w:hanging="360"/>
        <w:jc w:val="both"/>
        <w:rPr>
          <w:shd w:val="clear" w:color="auto" w:fill="FFFFFF"/>
        </w:rPr>
      </w:pPr>
      <w:r w:rsidRPr="00E10758">
        <w:rPr>
          <w:shd w:val="clear" w:color="auto" w:fill="FFFFFF"/>
        </w:rPr>
        <w:t>Wales, T.J., and Woodland, A.D., 1983. Estimation of consumer demand systems with binding non-negativity constraints. </w:t>
      </w:r>
      <w:r w:rsidRPr="00E10758">
        <w:rPr>
          <w:i/>
          <w:iCs/>
          <w:shd w:val="clear" w:color="auto" w:fill="FFFFFF"/>
        </w:rPr>
        <w:t>Journal of Econometrics</w:t>
      </w:r>
      <w:r w:rsidRPr="00E10758">
        <w:rPr>
          <w:shd w:val="clear" w:color="auto" w:fill="FFFFFF"/>
        </w:rPr>
        <w:t>, </w:t>
      </w:r>
      <w:r w:rsidRPr="00E10758">
        <w:rPr>
          <w:iCs/>
          <w:shd w:val="clear" w:color="auto" w:fill="FFFFFF"/>
        </w:rPr>
        <w:t>21</w:t>
      </w:r>
      <w:r w:rsidRPr="00E10758">
        <w:rPr>
          <w:shd w:val="clear" w:color="auto" w:fill="FFFFFF"/>
        </w:rPr>
        <w:t>(3), 263-285.</w:t>
      </w:r>
    </w:p>
    <w:p w:rsidR="003C7E7B" w:rsidRPr="00426F1A" w:rsidRDefault="003C7E7B" w:rsidP="00426F1A">
      <w:pPr>
        <w:autoSpaceDE w:val="0"/>
        <w:autoSpaceDN w:val="0"/>
        <w:adjustRightInd w:val="0"/>
        <w:spacing w:after="60" w:line="276" w:lineRule="auto"/>
        <w:ind w:left="360" w:hanging="360"/>
        <w:jc w:val="both"/>
      </w:pPr>
      <w:r w:rsidRPr="003C7E7B">
        <w:t xml:space="preserve">You, D., Garikapati, V.M., Pendyala, R.M., Bhat, C.R., Dubey, S., Jeon, K., </w:t>
      </w:r>
      <w:r w:rsidR="00426F1A">
        <w:t>and</w:t>
      </w:r>
      <w:r w:rsidRPr="003C7E7B">
        <w:t xml:space="preserve"> Livshits, V.</w:t>
      </w:r>
      <w:r w:rsidR="00426F1A">
        <w:t xml:space="preserve">, </w:t>
      </w:r>
      <w:r w:rsidRPr="003C7E7B">
        <w:t xml:space="preserve">2014. Development of </w:t>
      </w:r>
      <w:r w:rsidR="00426F1A">
        <w:t>v</w:t>
      </w:r>
      <w:r w:rsidRPr="003C7E7B">
        <w:t xml:space="preserve">ehicle </w:t>
      </w:r>
      <w:r w:rsidR="00426F1A">
        <w:t>f</w:t>
      </w:r>
      <w:r w:rsidRPr="003C7E7B">
        <w:t xml:space="preserve">leet </w:t>
      </w:r>
      <w:r w:rsidR="00426F1A">
        <w:t>c</w:t>
      </w:r>
      <w:r w:rsidRPr="003C7E7B">
        <w:t xml:space="preserve">omposition </w:t>
      </w:r>
      <w:r w:rsidR="00426F1A">
        <w:t>m</w:t>
      </w:r>
      <w:r w:rsidRPr="003C7E7B">
        <w:t xml:space="preserve">odel </w:t>
      </w:r>
      <w:r w:rsidR="00426F1A">
        <w:t>s</w:t>
      </w:r>
      <w:r w:rsidRPr="003C7E7B">
        <w:t xml:space="preserve">ystem for </w:t>
      </w:r>
      <w:r w:rsidR="00426F1A">
        <w:t>i</w:t>
      </w:r>
      <w:r w:rsidRPr="003C7E7B">
        <w:t xml:space="preserve">mplementation in </w:t>
      </w:r>
      <w:r w:rsidR="00426F1A">
        <w:t>a</w:t>
      </w:r>
      <w:r w:rsidRPr="003C7E7B">
        <w:t>ctivity-</w:t>
      </w:r>
      <w:r w:rsidR="00426F1A">
        <w:t>b</w:t>
      </w:r>
      <w:r w:rsidRPr="003C7E7B">
        <w:t xml:space="preserve">ased </w:t>
      </w:r>
      <w:r w:rsidR="00426F1A">
        <w:t>t</w:t>
      </w:r>
      <w:r w:rsidRPr="003C7E7B">
        <w:t xml:space="preserve">ravel </w:t>
      </w:r>
      <w:r w:rsidR="00426F1A">
        <w:t>m</w:t>
      </w:r>
      <w:r w:rsidRPr="003C7E7B">
        <w:t>odel. </w:t>
      </w:r>
      <w:r w:rsidR="00426F1A" w:rsidRPr="00CF1F31">
        <w:rPr>
          <w:i/>
        </w:rPr>
        <w:t>Transportation Research Record: Journal of the Transportation Research Board</w:t>
      </w:r>
      <w:r w:rsidRPr="003C7E7B">
        <w:t>, 2430(1), 145</w:t>
      </w:r>
      <w:r w:rsidR="00426F1A">
        <w:t>-</w:t>
      </w:r>
      <w:r w:rsidRPr="003C7E7B">
        <w:t>154.</w:t>
      </w:r>
    </w:p>
    <w:bookmarkEnd w:id="5"/>
    <w:p w:rsidR="00CF1F31" w:rsidRPr="003C7E7B" w:rsidRDefault="00CF1F31" w:rsidP="003C7E7B"/>
    <w:p w:rsidR="007552A0" w:rsidRPr="003C7E7B" w:rsidRDefault="007552A0" w:rsidP="003C7E7B"/>
    <w:p w:rsidR="000B1E1D" w:rsidRDefault="000B1E1D" w:rsidP="004E3D03">
      <w:pPr>
        <w:spacing w:after="120"/>
        <w:rPr>
          <w:b/>
          <w:bCs/>
        </w:rPr>
        <w:sectPr w:rsidR="000B1E1D" w:rsidSect="004E3D03">
          <w:footerReference w:type="default" r:id="rId580"/>
          <w:pgSz w:w="12240" w:h="15840" w:code="1"/>
          <w:pgMar w:top="1440" w:right="1440" w:bottom="1440" w:left="1440" w:header="720" w:footer="720" w:gutter="0"/>
          <w:pgNumType w:start="1"/>
          <w:cols w:space="720"/>
          <w:docGrid w:linePitch="360"/>
        </w:sectPr>
      </w:pPr>
    </w:p>
    <w:p w:rsidR="000B1E1D" w:rsidRDefault="000B1E1D" w:rsidP="00CA5793">
      <w:pPr>
        <w:rPr>
          <w:bCs/>
        </w:rPr>
      </w:pPr>
    </w:p>
    <w:p w:rsidR="00D1647F" w:rsidRDefault="00D1647F" w:rsidP="00CA5793">
      <w:pPr>
        <w:rPr>
          <w:bCs/>
        </w:rPr>
      </w:pPr>
    </w:p>
    <w:p w:rsidR="00D1647F" w:rsidRDefault="00D1647F" w:rsidP="00CA5793">
      <w:pPr>
        <w:rPr>
          <w:bCs/>
        </w:rPr>
      </w:pPr>
    </w:p>
    <w:p w:rsidR="00D1647F" w:rsidRPr="00CA5793" w:rsidRDefault="00D1647F" w:rsidP="00CA5793">
      <w:pPr>
        <w:rPr>
          <w:bCs/>
        </w:rPr>
      </w:pPr>
    </w:p>
    <w:p w:rsidR="000B1E1D" w:rsidRPr="00CA5793" w:rsidRDefault="009A08FE" w:rsidP="00CA5793">
      <w:pPr>
        <w:jc w:val="center"/>
        <w:rPr>
          <w:bCs/>
        </w:rPr>
      </w:pPr>
      <w:r>
        <w:rPr>
          <w:bCs/>
        </w:rPr>
        <w:pict>
          <v:shape id="_x0000_i1327" type="#_x0000_t75" style="width:441.85pt;height:392.15pt">
            <v:imagedata r:id="rId581" o:title="Plot(1)" croptop="13764f" cropbottom="13407f" cropleft="5040f" cropright="4395f"/>
          </v:shape>
        </w:pict>
      </w:r>
    </w:p>
    <w:p w:rsidR="00CA5793" w:rsidRPr="00CA5793" w:rsidRDefault="00CA5793" w:rsidP="00CA5793">
      <w:pPr>
        <w:rPr>
          <w:bCs/>
        </w:rPr>
      </w:pPr>
    </w:p>
    <w:p w:rsidR="00CA5793" w:rsidRPr="00CA5793" w:rsidRDefault="00CA5793" w:rsidP="004E3D03">
      <w:pPr>
        <w:spacing w:after="120"/>
        <w:rPr>
          <w:bCs/>
        </w:rPr>
        <w:sectPr w:rsidR="00CA5793" w:rsidRPr="00CA5793" w:rsidSect="00CA5793">
          <w:pgSz w:w="12240" w:h="15840" w:code="1"/>
          <w:pgMar w:top="1440" w:right="1440" w:bottom="1440" w:left="1440" w:header="720" w:footer="720" w:gutter="0"/>
          <w:cols w:space="720"/>
          <w:docGrid w:linePitch="360"/>
        </w:sectPr>
      </w:pPr>
    </w:p>
    <w:p w:rsidR="00A071C3" w:rsidRDefault="00A071C3" w:rsidP="00A071C3">
      <w:pPr>
        <w:spacing w:after="120"/>
        <w:ind w:left="900"/>
        <w:rPr>
          <w:b/>
          <w:bCs/>
        </w:rPr>
      </w:pPr>
    </w:p>
    <w:p w:rsidR="009D20FA" w:rsidRPr="004E3D03" w:rsidRDefault="009D20FA" w:rsidP="00506FA0">
      <w:pPr>
        <w:spacing w:after="120"/>
        <w:ind w:left="900"/>
        <w:rPr>
          <w:b/>
          <w:bCs/>
        </w:rPr>
      </w:pPr>
      <w:r w:rsidRPr="002B2FEB">
        <w:rPr>
          <w:b/>
          <w:bCs/>
        </w:rPr>
        <w:t>Table 1</w:t>
      </w:r>
      <w:r w:rsidR="00D1647F">
        <w:rPr>
          <w:b/>
        </w:rPr>
        <w:t>.</w:t>
      </w:r>
      <w:r w:rsidRPr="002B2FEB">
        <w:rPr>
          <w:b/>
        </w:rPr>
        <w:t xml:space="preserve"> Data </w:t>
      </w:r>
      <w:r w:rsidR="00506FA0">
        <w:rPr>
          <w:b/>
        </w:rPr>
        <w:t>D</w:t>
      </w:r>
      <w:r w:rsidRPr="002B2FEB">
        <w:rPr>
          <w:b/>
        </w:rPr>
        <w:t xml:space="preserve">escription for the </w:t>
      </w:r>
      <w:r w:rsidR="00506FA0">
        <w:rPr>
          <w:b/>
        </w:rPr>
        <w:t>V</w:t>
      </w:r>
      <w:r w:rsidRPr="002B2FEB">
        <w:rPr>
          <w:b/>
        </w:rPr>
        <w:t>ehicle-</w:t>
      </w:r>
      <w:r w:rsidR="00506FA0">
        <w:rPr>
          <w:b/>
        </w:rPr>
        <w:t>U</w:t>
      </w:r>
      <w:r w:rsidRPr="002B2FEB">
        <w:rPr>
          <w:b/>
        </w:rPr>
        <w:t xml:space="preserve">se </w:t>
      </w:r>
      <w:r w:rsidR="00506FA0">
        <w:rPr>
          <w:b/>
        </w:rPr>
        <w:t>C</w:t>
      </w:r>
      <w:r w:rsidRPr="002B2FEB">
        <w:rPr>
          <w:b/>
        </w:rPr>
        <w:t xml:space="preserve">ase </w:t>
      </w:r>
      <w:r w:rsidR="00506FA0">
        <w:rPr>
          <w:b/>
        </w:rPr>
        <w:t>S</w:t>
      </w:r>
      <w:r w:rsidRPr="002B2FEB">
        <w:rPr>
          <w:b/>
        </w:rPr>
        <w:t>tudy (</w:t>
      </w:r>
      <w:r>
        <w:rPr>
          <w:b/>
        </w:rPr>
        <w:t>s</w:t>
      </w:r>
      <w:r w:rsidRPr="002B2FEB">
        <w:rPr>
          <w:b/>
        </w:rPr>
        <w:t xml:space="preserve">ample size = </w:t>
      </w:r>
      <w:r>
        <w:rPr>
          <w:b/>
        </w:rPr>
        <w:t>1841</w:t>
      </w:r>
      <w:r w:rsidRPr="002B2FEB">
        <w:rPr>
          <w:b/>
        </w:rPr>
        <w:t>)</w:t>
      </w:r>
    </w:p>
    <w:tbl>
      <w:tblPr>
        <w:tblW w:w="11578" w:type="dxa"/>
        <w:tblInd w:w="975" w:type="dxa"/>
        <w:tblBorders>
          <w:top w:val="single" w:sz="12" w:space="0" w:color="auto"/>
          <w:left w:val="single" w:sz="12" w:space="0" w:color="auto"/>
          <w:bottom w:val="single" w:sz="12" w:space="0" w:color="auto"/>
          <w:right w:val="single" w:sz="12" w:space="0" w:color="auto"/>
        </w:tblBorders>
        <w:tblCellMar>
          <w:left w:w="43" w:type="dxa"/>
          <w:right w:w="43" w:type="dxa"/>
        </w:tblCellMar>
        <w:tblLook w:val="04A0" w:firstRow="1" w:lastRow="0" w:firstColumn="1" w:lastColumn="0" w:noHBand="0" w:noVBand="1"/>
      </w:tblPr>
      <w:tblGrid>
        <w:gridCol w:w="1535"/>
        <w:gridCol w:w="1485"/>
        <w:gridCol w:w="1439"/>
        <w:gridCol w:w="1441"/>
        <w:gridCol w:w="1442"/>
        <w:gridCol w:w="1445"/>
        <w:gridCol w:w="1441"/>
        <w:gridCol w:w="1350"/>
      </w:tblGrid>
      <w:tr w:rsidR="0088728A" w:rsidRPr="004E3D03" w:rsidTr="00A071C3">
        <w:trPr>
          <w:trHeight w:val="475"/>
        </w:trPr>
        <w:tc>
          <w:tcPr>
            <w:tcW w:w="1535" w:type="dxa"/>
            <w:vMerge w:val="restart"/>
            <w:tcBorders>
              <w:top w:val="double" w:sz="4" w:space="0" w:color="auto"/>
              <w:left w:val="double" w:sz="4" w:space="0" w:color="auto"/>
              <w:right w:val="double" w:sz="4" w:space="0" w:color="auto"/>
            </w:tcBorders>
            <w:vAlign w:val="center"/>
          </w:tcPr>
          <w:p w:rsidR="0088728A" w:rsidRPr="004E3D03" w:rsidRDefault="0088728A" w:rsidP="0088728A">
            <w:pPr>
              <w:rPr>
                <w:b/>
                <w:bCs/>
                <w:i/>
                <w:iCs/>
                <w:color w:val="000000"/>
                <w:sz w:val="22"/>
                <w:szCs w:val="22"/>
              </w:rPr>
            </w:pPr>
            <w:r w:rsidRPr="004E3D03">
              <w:rPr>
                <w:b/>
                <w:bCs/>
                <w:color w:val="000000"/>
                <w:sz w:val="22"/>
                <w:szCs w:val="22"/>
              </w:rPr>
              <w:t>Vehicle-type</w:t>
            </w:r>
          </w:p>
        </w:tc>
        <w:tc>
          <w:tcPr>
            <w:tcW w:w="10043" w:type="dxa"/>
            <w:gridSpan w:val="7"/>
            <w:tcBorders>
              <w:top w:val="double" w:sz="4" w:space="0" w:color="auto"/>
              <w:left w:val="double" w:sz="4" w:space="0" w:color="auto"/>
              <w:bottom w:val="nil"/>
              <w:right w:val="double" w:sz="4" w:space="0" w:color="auto"/>
            </w:tcBorders>
            <w:vAlign w:val="center"/>
          </w:tcPr>
          <w:p w:rsidR="0088728A" w:rsidRPr="004E3D03" w:rsidRDefault="0088728A" w:rsidP="00D5716B">
            <w:pPr>
              <w:jc w:val="center"/>
              <w:rPr>
                <w:b/>
                <w:bCs/>
                <w:i/>
                <w:iCs/>
                <w:color w:val="000000"/>
                <w:sz w:val="22"/>
                <w:szCs w:val="22"/>
              </w:rPr>
            </w:pPr>
            <w:r w:rsidRPr="004E3D03">
              <w:rPr>
                <w:b/>
                <w:bCs/>
                <w:i/>
                <w:iCs/>
                <w:color w:val="000000"/>
                <w:sz w:val="22"/>
                <w:szCs w:val="22"/>
              </w:rPr>
              <w:t xml:space="preserve">Vehicle-type </w:t>
            </w:r>
            <w:r w:rsidR="00506FA0">
              <w:rPr>
                <w:b/>
                <w:bCs/>
                <w:i/>
                <w:iCs/>
                <w:color w:val="000000"/>
                <w:sz w:val="22"/>
                <w:szCs w:val="22"/>
              </w:rPr>
              <w:t>d</w:t>
            </w:r>
            <w:r w:rsidRPr="004E3D03">
              <w:rPr>
                <w:b/>
                <w:bCs/>
                <w:i/>
                <w:iCs/>
                <w:color w:val="000000"/>
                <w:sz w:val="22"/>
                <w:szCs w:val="22"/>
              </w:rPr>
              <w:t>istribution</w:t>
            </w:r>
          </w:p>
        </w:tc>
      </w:tr>
      <w:tr w:rsidR="0088728A" w:rsidRPr="004E3D03" w:rsidTr="00A071C3">
        <w:trPr>
          <w:trHeight w:val="475"/>
        </w:trPr>
        <w:tc>
          <w:tcPr>
            <w:tcW w:w="1535" w:type="dxa"/>
            <w:vMerge/>
            <w:tcBorders>
              <w:left w:val="double" w:sz="4" w:space="0" w:color="auto"/>
              <w:right w:val="double" w:sz="4" w:space="0" w:color="auto"/>
            </w:tcBorders>
            <w:shd w:val="clear" w:color="auto" w:fill="auto"/>
            <w:vAlign w:val="center"/>
            <w:hideMark/>
          </w:tcPr>
          <w:p w:rsidR="0088728A" w:rsidRPr="004E3D03" w:rsidRDefault="0088728A" w:rsidP="0088728A">
            <w:pPr>
              <w:rPr>
                <w:b/>
                <w:bCs/>
                <w:color w:val="000000"/>
                <w:sz w:val="22"/>
                <w:szCs w:val="22"/>
              </w:rPr>
            </w:pPr>
          </w:p>
        </w:tc>
        <w:tc>
          <w:tcPr>
            <w:tcW w:w="8693" w:type="dxa"/>
            <w:gridSpan w:val="6"/>
            <w:tcBorders>
              <w:top w:val="single" w:sz="4" w:space="0" w:color="auto"/>
              <w:left w:val="double" w:sz="4" w:space="0" w:color="auto"/>
              <w:bottom w:val="single" w:sz="4" w:space="0" w:color="auto"/>
              <w:right w:val="single" w:sz="4" w:space="0" w:color="auto"/>
            </w:tcBorders>
            <w:vAlign w:val="center"/>
          </w:tcPr>
          <w:p w:rsidR="0088728A" w:rsidRPr="004E3D03" w:rsidRDefault="0088728A" w:rsidP="004E3D03">
            <w:pPr>
              <w:jc w:val="center"/>
              <w:rPr>
                <w:b/>
                <w:bCs/>
                <w:color w:val="000000"/>
                <w:sz w:val="22"/>
                <w:szCs w:val="22"/>
              </w:rPr>
            </w:pPr>
            <w:r w:rsidRPr="004E3D03">
              <w:rPr>
                <w:b/>
                <w:bCs/>
                <w:color w:val="000000"/>
                <w:sz w:val="22"/>
                <w:szCs w:val="22"/>
              </w:rPr>
              <w:t>Household (HH) vehicle ownership levels</w:t>
            </w:r>
          </w:p>
        </w:tc>
        <w:tc>
          <w:tcPr>
            <w:tcW w:w="1350" w:type="dxa"/>
            <w:vMerge w:val="restart"/>
            <w:tcBorders>
              <w:top w:val="single" w:sz="4" w:space="0" w:color="auto"/>
              <w:left w:val="single" w:sz="4" w:space="0" w:color="auto"/>
              <w:bottom w:val="nil"/>
              <w:right w:val="double" w:sz="4" w:space="0" w:color="auto"/>
            </w:tcBorders>
            <w:shd w:val="clear" w:color="auto" w:fill="auto"/>
            <w:vAlign w:val="center"/>
            <w:hideMark/>
          </w:tcPr>
          <w:p w:rsidR="0088728A" w:rsidRPr="004E3D03" w:rsidRDefault="0088728A" w:rsidP="0088728A">
            <w:pPr>
              <w:jc w:val="center"/>
              <w:rPr>
                <w:b/>
                <w:bCs/>
                <w:color w:val="000000"/>
                <w:sz w:val="22"/>
                <w:szCs w:val="22"/>
              </w:rPr>
            </w:pPr>
            <w:r w:rsidRPr="004E3D03">
              <w:rPr>
                <w:b/>
                <w:bCs/>
                <w:color w:val="000000"/>
                <w:sz w:val="22"/>
                <w:szCs w:val="22"/>
              </w:rPr>
              <w:t>Average annual mileage</w:t>
            </w:r>
          </w:p>
        </w:tc>
      </w:tr>
      <w:tr w:rsidR="0088728A" w:rsidRPr="004E3D03" w:rsidTr="00A071C3">
        <w:trPr>
          <w:trHeight w:val="296"/>
        </w:trPr>
        <w:tc>
          <w:tcPr>
            <w:tcW w:w="1535" w:type="dxa"/>
            <w:vMerge/>
            <w:tcBorders>
              <w:left w:val="double" w:sz="4" w:space="0" w:color="auto"/>
              <w:bottom w:val="double" w:sz="4" w:space="0" w:color="auto"/>
              <w:right w:val="double" w:sz="4" w:space="0" w:color="auto"/>
            </w:tcBorders>
            <w:vAlign w:val="center"/>
            <w:hideMark/>
          </w:tcPr>
          <w:p w:rsidR="0088728A" w:rsidRPr="004E3D03" w:rsidRDefault="0088728A" w:rsidP="004E3D03">
            <w:pPr>
              <w:rPr>
                <w:b/>
                <w:bCs/>
                <w:color w:val="000000"/>
                <w:sz w:val="22"/>
                <w:szCs w:val="22"/>
              </w:rPr>
            </w:pPr>
          </w:p>
        </w:tc>
        <w:tc>
          <w:tcPr>
            <w:tcW w:w="1485" w:type="dxa"/>
            <w:tcBorders>
              <w:top w:val="single" w:sz="4" w:space="0" w:color="auto"/>
              <w:left w:val="double" w:sz="4" w:space="0" w:color="auto"/>
              <w:bottom w:val="double" w:sz="4" w:space="0" w:color="auto"/>
              <w:right w:val="single" w:sz="4" w:space="0" w:color="auto"/>
            </w:tcBorders>
            <w:vAlign w:val="bottom"/>
          </w:tcPr>
          <w:p w:rsidR="0088728A" w:rsidRPr="004E3D03" w:rsidRDefault="0088728A" w:rsidP="0088728A">
            <w:pPr>
              <w:jc w:val="center"/>
              <w:rPr>
                <w:color w:val="000000"/>
                <w:sz w:val="22"/>
                <w:szCs w:val="22"/>
              </w:rPr>
            </w:pPr>
            <w:r w:rsidRPr="004E3D03">
              <w:rPr>
                <w:color w:val="000000"/>
                <w:sz w:val="22"/>
                <w:szCs w:val="22"/>
              </w:rPr>
              <w:t>Zero vehicle HH</w:t>
            </w:r>
          </w:p>
        </w:tc>
        <w:tc>
          <w:tcPr>
            <w:tcW w:w="1439"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88728A" w:rsidRPr="004E3D03" w:rsidRDefault="0088728A" w:rsidP="0088728A">
            <w:pPr>
              <w:jc w:val="center"/>
              <w:rPr>
                <w:color w:val="000000"/>
                <w:sz w:val="22"/>
                <w:szCs w:val="22"/>
              </w:rPr>
            </w:pPr>
            <w:r w:rsidRPr="004E3D03">
              <w:rPr>
                <w:color w:val="000000"/>
                <w:sz w:val="22"/>
                <w:szCs w:val="22"/>
              </w:rPr>
              <w:t>1-vehicle</w:t>
            </w:r>
          </w:p>
          <w:p w:rsidR="0088728A" w:rsidRPr="004E3D03" w:rsidRDefault="0088728A" w:rsidP="0088728A">
            <w:pPr>
              <w:jc w:val="center"/>
              <w:rPr>
                <w:color w:val="000000"/>
                <w:sz w:val="22"/>
                <w:szCs w:val="22"/>
              </w:rPr>
            </w:pPr>
            <w:r w:rsidRPr="004E3D03">
              <w:rPr>
                <w:color w:val="000000"/>
                <w:sz w:val="22"/>
                <w:szCs w:val="22"/>
              </w:rPr>
              <w:t>HH</w:t>
            </w:r>
          </w:p>
        </w:tc>
        <w:tc>
          <w:tcPr>
            <w:tcW w:w="1441"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88728A" w:rsidRPr="004E3D03" w:rsidRDefault="0088728A" w:rsidP="0088728A">
            <w:pPr>
              <w:jc w:val="center"/>
              <w:rPr>
                <w:color w:val="000000"/>
                <w:sz w:val="22"/>
                <w:szCs w:val="22"/>
              </w:rPr>
            </w:pPr>
            <w:r w:rsidRPr="004E3D03">
              <w:rPr>
                <w:color w:val="000000"/>
                <w:sz w:val="22"/>
                <w:szCs w:val="22"/>
              </w:rPr>
              <w:t>2-vehicles</w:t>
            </w:r>
          </w:p>
          <w:p w:rsidR="0088728A" w:rsidRPr="004E3D03" w:rsidRDefault="0088728A" w:rsidP="0088728A">
            <w:pPr>
              <w:jc w:val="center"/>
              <w:rPr>
                <w:color w:val="000000"/>
                <w:sz w:val="22"/>
                <w:szCs w:val="22"/>
              </w:rPr>
            </w:pPr>
            <w:r w:rsidRPr="004E3D03">
              <w:rPr>
                <w:color w:val="000000"/>
                <w:sz w:val="22"/>
                <w:szCs w:val="22"/>
              </w:rPr>
              <w:t>HH</w:t>
            </w:r>
          </w:p>
        </w:tc>
        <w:tc>
          <w:tcPr>
            <w:tcW w:w="1442"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88728A" w:rsidRPr="004E3D03" w:rsidRDefault="0088728A" w:rsidP="0088728A">
            <w:pPr>
              <w:jc w:val="center"/>
              <w:rPr>
                <w:color w:val="000000"/>
                <w:sz w:val="22"/>
                <w:szCs w:val="22"/>
              </w:rPr>
            </w:pPr>
            <w:r w:rsidRPr="004E3D03">
              <w:rPr>
                <w:color w:val="000000"/>
                <w:sz w:val="22"/>
                <w:szCs w:val="22"/>
              </w:rPr>
              <w:t>3-vehicles</w:t>
            </w:r>
          </w:p>
          <w:p w:rsidR="0088728A" w:rsidRPr="004E3D03" w:rsidRDefault="0088728A" w:rsidP="0088728A">
            <w:pPr>
              <w:jc w:val="center"/>
              <w:rPr>
                <w:color w:val="000000"/>
                <w:sz w:val="22"/>
                <w:szCs w:val="22"/>
              </w:rPr>
            </w:pPr>
            <w:r w:rsidRPr="004E3D03">
              <w:rPr>
                <w:color w:val="000000"/>
                <w:sz w:val="22"/>
                <w:szCs w:val="22"/>
              </w:rPr>
              <w:t>HH</w:t>
            </w:r>
          </w:p>
        </w:tc>
        <w:tc>
          <w:tcPr>
            <w:tcW w:w="1445" w:type="dxa"/>
            <w:tcBorders>
              <w:top w:val="single" w:sz="4" w:space="0" w:color="auto"/>
              <w:left w:val="single" w:sz="4" w:space="0" w:color="auto"/>
              <w:bottom w:val="double" w:sz="4" w:space="0" w:color="auto"/>
              <w:right w:val="single" w:sz="4" w:space="0" w:color="auto"/>
            </w:tcBorders>
            <w:shd w:val="clear" w:color="auto" w:fill="auto"/>
            <w:vAlign w:val="bottom"/>
            <w:hideMark/>
          </w:tcPr>
          <w:p w:rsidR="0088728A" w:rsidRPr="004E3D03" w:rsidRDefault="0088728A" w:rsidP="0088728A">
            <w:pPr>
              <w:jc w:val="center"/>
              <w:rPr>
                <w:color w:val="000000"/>
                <w:sz w:val="22"/>
                <w:szCs w:val="22"/>
              </w:rPr>
            </w:pPr>
            <w:r w:rsidRPr="004E3D03">
              <w:rPr>
                <w:color w:val="000000"/>
                <w:sz w:val="22"/>
                <w:szCs w:val="22"/>
              </w:rPr>
              <w:t>4 or more vehicles HH</w:t>
            </w:r>
          </w:p>
        </w:tc>
        <w:tc>
          <w:tcPr>
            <w:tcW w:w="1441" w:type="dxa"/>
            <w:tcBorders>
              <w:top w:val="single" w:sz="4" w:space="0" w:color="auto"/>
              <w:left w:val="single" w:sz="4" w:space="0" w:color="auto"/>
              <w:bottom w:val="double" w:sz="4" w:space="0" w:color="auto"/>
              <w:right w:val="single" w:sz="4" w:space="0" w:color="auto"/>
            </w:tcBorders>
            <w:vAlign w:val="bottom"/>
          </w:tcPr>
          <w:p w:rsidR="0088728A" w:rsidRPr="004E3D03" w:rsidRDefault="0088728A" w:rsidP="0088728A">
            <w:pPr>
              <w:jc w:val="center"/>
              <w:rPr>
                <w:bCs/>
                <w:color w:val="000000"/>
                <w:sz w:val="22"/>
                <w:szCs w:val="22"/>
              </w:rPr>
            </w:pPr>
            <w:r w:rsidRPr="004E3D03">
              <w:rPr>
                <w:bCs/>
                <w:color w:val="000000"/>
                <w:sz w:val="22"/>
                <w:szCs w:val="22"/>
              </w:rPr>
              <w:t>Total vehicles of each type</w:t>
            </w:r>
          </w:p>
        </w:tc>
        <w:tc>
          <w:tcPr>
            <w:tcW w:w="1350" w:type="dxa"/>
            <w:vMerge/>
            <w:tcBorders>
              <w:top w:val="single" w:sz="4" w:space="0" w:color="auto"/>
              <w:left w:val="single" w:sz="4" w:space="0" w:color="auto"/>
              <w:bottom w:val="double" w:sz="4" w:space="0" w:color="auto"/>
              <w:right w:val="double" w:sz="4" w:space="0" w:color="auto"/>
            </w:tcBorders>
            <w:vAlign w:val="center"/>
            <w:hideMark/>
          </w:tcPr>
          <w:p w:rsidR="0088728A" w:rsidRPr="004E3D03" w:rsidRDefault="0088728A" w:rsidP="004E3D03">
            <w:pPr>
              <w:rPr>
                <w:b/>
                <w:bCs/>
                <w:color w:val="000000"/>
                <w:sz w:val="22"/>
                <w:szCs w:val="22"/>
              </w:rPr>
            </w:pPr>
          </w:p>
        </w:tc>
      </w:tr>
      <w:tr w:rsidR="0088728A" w:rsidRPr="004E3D03" w:rsidTr="00A071C3">
        <w:trPr>
          <w:trHeight w:val="720"/>
        </w:trPr>
        <w:tc>
          <w:tcPr>
            <w:tcW w:w="1535" w:type="dxa"/>
            <w:tcBorders>
              <w:top w:val="double" w:sz="4" w:space="0" w:color="auto"/>
              <w:left w:val="double" w:sz="4" w:space="0" w:color="auto"/>
              <w:bottom w:val="nil"/>
              <w:right w:val="double" w:sz="4" w:space="0" w:color="auto"/>
            </w:tcBorders>
            <w:shd w:val="clear" w:color="auto" w:fill="auto"/>
            <w:hideMark/>
          </w:tcPr>
          <w:p w:rsidR="009D20FA" w:rsidRPr="004E3D03" w:rsidRDefault="009D20FA" w:rsidP="00D5716B">
            <w:pPr>
              <w:rPr>
                <w:color w:val="000000"/>
                <w:sz w:val="22"/>
                <w:szCs w:val="22"/>
              </w:rPr>
            </w:pPr>
            <w:r w:rsidRPr="004E3D03">
              <w:rPr>
                <w:color w:val="000000"/>
                <w:sz w:val="22"/>
                <w:szCs w:val="22"/>
              </w:rPr>
              <w:t xml:space="preserve">Passenger </w:t>
            </w:r>
            <w:r w:rsidR="00506FA0">
              <w:rPr>
                <w:color w:val="000000"/>
                <w:sz w:val="22"/>
                <w:szCs w:val="22"/>
              </w:rPr>
              <w:t>c</w:t>
            </w:r>
            <w:r w:rsidRPr="004E3D03">
              <w:rPr>
                <w:color w:val="000000"/>
                <w:sz w:val="22"/>
                <w:szCs w:val="22"/>
              </w:rPr>
              <w:t>ar</w:t>
            </w:r>
          </w:p>
        </w:tc>
        <w:tc>
          <w:tcPr>
            <w:tcW w:w="1485" w:type="dxa"/>
            <w:tcBorders>
              <w:top w:val="double" w:sz="4" w:space="0" w:color="auto"/>
              <w:left w:val="double" w:sz="4" w:space="0" w:color="auto"/>
              <w:bottom w:val="nil"/>
              <w:right w:val="single" w:sz="4" w:space="0" w:color="auto"/>
            </w:tcBorders>
          </w:tcPr>
          <w:p w:rsidR="009D20FA" w:rsidRPr="004E3D03" w:rsidRDefault="009D20FA" w:rsidP="00D5716B">
            <w:pPr>
              <w:jc w:val="center"/>
              <w:rPr>
                <w:color w:val="000000"/>
                <w:sz w:val="22"/>
                <w:szCs w:val="22"/>
              </w:rPr>
            </w:pPr>
            <w:r w:rsidRPr="004E3D03">
              <w:rPr>
                <w:color w:val="000000"/>
                <w:sz w:val="22"/>
                <w:szCs w:val="22"/>
              </w:rPr>
              <w:t>-</w:t>
            </w:r>
            <w:r w:rsidR="00A071C3">
              <w:rPr>
                <w:color w:val="000000"/>
                <w:sz w:val="22"/>
                <w:szCs w:val="22"/>
              </w:rPr>
              <w:t>-</w:t>
            </w:r>
          </w:p>
        </w:tc>
        <w:tc>
          <w:tcPr>
            <w:tcW w:w="1439" w:type="dxa"/>
            <w:tcBorders>
              <w:top w:val="double" w:sz="4" w:space="0" w:color="auto"/>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490 (55.9%)</w:t>
            </w:r>
          </w:p>
        </w:tc>
        <w:tc>
          <w:tcPr>
            <w:tcW w:w="1441" w:type="dxa"/>
            <w:tcBorders>
              <w:top w:val="double" w:sz="4" w:space="0" w:color="auto"/>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528 (34.7%)</w:t>
            </w:r>
          </w:p>
        </w:tc>
        <w:tc>
          <w:tcPr>
            <w:tcW w:w="1442" w:type="dxa"/>
            <w:tcBorders>
              <w:top w:val="double" w:sz="4" w:space="0" w:color="auto"/>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106 (27.8%)</w:t>
            </w:r>
          </w:p>
        </w:tc>
        <w:tc>
          <w:tcPr>
            <w:tcW w:w="1445" w:type="dxa"/>
            <w:tcBorders>
              <w:top w:val="double" w:sz="4" w:space="0" w:color="auto"/>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14 (24.1%)</w:t>
            </w:r>
          </w:p>
        </w:tc>
        <w:tc>
          <w:tcPr>
            <w:tcW w:w="1441" w:type="dxa"/>
            <w:tcBorders>
              <w:top w:val="double" w:sz="4" w:space="0" w:color="auto"/>
              <w:left w:val="single" w:sz="4" w:space="0" w:color="auto"/>
              <w:bottom w:val="nil"/>
              <w:right w:val="single" w:sz="4" w:space="0" w:color="auto"/>
            </w:tcBorders>
          </w:tcPr>
          <w:p w:rsidR="009D20FA" w:rsidRPr="004E3D03" w:rsidRDefault="009D20FA" w:rsidP="0088728A">
            <w:pPr>
              <w:ind w:right="202"/>
              <w:jc w:val="right"/>
              <w:rPr>
                <w:color w:val="000000"/>
                <w:sz w:val="22"/>
                <w:szCs w:val="22"/>
              </w:rPr>
            </w:pPr>
            <w:r w:rsidRPr="004E3D03">
              <w:rPr>
                <w:color w:val="000000"/>
                <w:sz w:val="22"/>
                <w:szCs w:val="22"/>
              </w:rPr>
              <w:t>1,138</w:t>
            </w:r>
          </w:p>
        </w:tc>
        <w:tc>
          <w:tcPr>
            <w:tcW w:w="1350" w:type="dxa"/>
            <w:tcBorders>
              <w:top w:val="double" w:sz="4" w:space="0" w:color="auto"/>
              <w:left w:val="single" w:sz="4" w:space="0" w:color="auto"/>
              <w:bottom w:val="nil"/>
              <w:right w:val="double" w:sz="4" w:space="0" w:color="auto"/>
            </w:tcBorders>
            <w:shd w:val="clear" w:color="auto" w:fill="auto"/>
            <w:hideMark/>
          </w:tcPr>
          <w:p w:rsidR="009D20FA" w:rsidRPr="004E3D03" w:rsidRDefault="009D20FA" w:rsidP="0088728A">
            <w:pPr>
              <w:ind w:right="293"/>
              <w:jc w:val="right"/>
              <w:rPr>
                <w:color w:val="000000"/>
                <w:sz w:val="22"/>
                <w:szCs w:val="22"/>
              </w:rPr>
            </w:pPr>
            <w:r w:rsidRPr="004E3D03">
              <w:rPr>
                <w:color w:val="000000"/>
                <w:sz w:val="22"/>
                <w:szCs w:val="22"/>
              </w:rPr>
              <w:t>8620</w:t>
            </w:r>
          </w:p>
        </w:tc>
      </w:tr>
      <w:tr w:rsidR="0088728A" w:rsidRPr="004E3D03" w:rsidTr="00A071C3">
        <w:trPr>
          <w:trHeight w:val="720"/>
        </w:trPr>
        <w:tc>
          <w:tcPr>
            <w:tcW w:w="1535" w:type="dxa"/>
            <w:tcBorders>
              <w:top w:val="nil"/>
              <w:left w:val="double" w:sz="4" w:space="0" w:color="auto"/>
              <w:bottom w:val="nil"/>
              <w:right w:val="double" w:sz="4" w:space="0" w:color="auto"/>
            </w:tcBorders>
            <w:shd w:val="clear" w:color="auto" w:fill="auto"/>
            <w:hideMark/>
          </w:tcPr>
          <w:p w:rsidR="009D20FA" w:rsidRPr="004E3D03" w:rsidRDefault="009D20FA" w:rsidP="00D5716B">
            <w:pPr>
              <w:rPr>
                <w:color w:val="000000"/>
                <w:sz w:val="22"/>
                <w:szCs w:val="22"/>
              </w:rPr>
            </w:pPr>
            <w:r w:rsidRPr="004E3D03">
              <w:rPr>
                <w:color w:val="000000"/>
                <w:sz w:val="22"/>
                <w:szCs w:val="22"/>
              </w:rPr>
              <w:t>Van</w:t>
            </w:r>
          </w:p>
        </w:tc>
        <w:tc>
          <w:tcPr>
            <w:tcW w:w="1485" w:type="dxa"/>
            <w:tcBorders>
              <w:top w:val="nil"/>
              <w:left w:val="double" w:sz="4" w:space="0" w:color="auto"/>
              <w:bottom w:val="nil"/>
              <w:right w:val="single" w:sz="4" w:space="0" w:color="auto"/>
            </w:tcBorders>
          </w:tcPr>
          <w:p w:rsidR="009D20FA" w:rsidRPr="004E3D03" w:rsidRDefault="0077196A" w:rsidP="00D5716B">
            <w:pPr>
              <w:jc w:val="center"/>
              <w:rPr>
                <w:color w:val="000000"/>
                <w:sz w:val="22"/>
                <w:szCs w:val="22"/>
              </w:rPr>
            </w:pPr>
            <w:r w:rsidRPr="004E3D03">
              <w:rPr>
                <w:color w:val="000000"/>
                <w:sz w:val="22"/>
                <w:szCs w:val="22"/>
              </w:rPr>
              <w:t>-</w:t>
            </w:r>
            <w:r w:rsidR="00A071C3">
              <w:rPr>
                <w:color w:val="000000"/>
                <w:sz w:val="22"/>
                <w:szCs w:val="22"/>
              </w:rPr>
              <w:t>-</w:t>
            </w:r>
          </w:p>
        </w:tc>
        <w:tc>
          <w:tcPr>
            <w:tcW w:w="1439"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37</w:t>
            </w:r>
            <w:proofErr w:type="gramStart"/>
            <w:r w:rsidRPr="004E3D03">
              <w:rPr>
                <w:color w:val="000000"/>
                <w:sz w:val="22"/>
                <w:szCs w:val="22"/>
              </w:rPr>
              <w:t xml:space="preserve">   (</w:t>
            </w:r>
            <w:proofErr w:type="gramEnd"/>
            <w:r w:rsidRPr="004E3D03">
              <w:rPr>
                <w:color w:val="000000"/>
                <w:sz w:val="22"/>
                <w:szCs w:val="22"/>
              </w:rPr>
              <w:t>4.2%)</w:t>
            </w:r>
          </w:p>
        </w:tc>
        <w:tc>
          <w:tcPr>
            <w:tcW w:w="1441"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97</w:t>
            </w:r>
            <w:proofErr w:type="gramStart"/>
            <w:r w:rsidRPr="004E3D03">
              <w:rPr>
                <w:color w:val="000000"/>
                <w:sz w:val="22"/>
                <w:szCs w:val="22"/>
              </w:rPr>
              <w:t xml:space="preserve">   (</w:t>
            </w:r>
            <w:proofErr w:type="gramEnd"/>
            <w:r w:rsidRPr="004E3D03">
              <w:rPr>
                <w:color w:val="000000"/>
                <w:sz w:val="22"/>
                <w:szCs w:val="22"/>
              </w:rPr>
              <w:t>6.4%)</w:t>
            </w:r>
          </w:p>
        </w:tc>
        <w:tc>
          <w:tcPr>
            <w:tcW w:w="1442"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22</w:t>
            </w:r>
            <w:proofErr w:type="gramStart"/>
            <w:r w:rsidRPr="004E3D03">
              <w:rPr>
                <w:color w:val="000000"/>
                <w:sz w:val="22"/>
                <w:szCs w:val="22"/>
              </w:rPr>
              <w:t xml:space="preserve"> </w:t>
            </w:r>
            <w:r w:rsidR="0088728A">
              <w:rPr>
                <w:color w:val="000000"/>
                <w:sz w:val="22"/>
                <w:szCs w:val="22"/>
              </w:rPr>
              <w:t xml:space="preserve">  </w:t>
            </w:r>
            <w:r w:rsidRPr="004E3D03">
              <w:rPr>
                <w:color w:val="000000"/>
                <w:sz w:val="22"/>
                <w:szCs w:val="22"/>
              </w:rPr>
              <w:t>(</w:t>
            </w:r>
            <w:proofErr w:type="gramEnd"/>
            <w:r w:rsidRPr="004E3D03">
              <w:rPr>
                <w:color w:val="000000"/>
                <w:sz w:val="22"/>
                <w:szCs w:val="22"/>
              </w:rPr>
              <w:t>5.8%)</w:t>
            </w:r>
          </w:p>
        </w:tc>
        <w:tc>
          <w:tcPr>
            <w:tcW w:w="1445"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7 (12.1%)</w:t>
            </w:r>
          </w:p>
        </w:tc>
        <w:tc>
          <w:tcPr>
            <w:tcW w:w="1441" w:type="dxa"/>
            <w:tcBorders>
              <w:top w:val="nil"/>
              <w:left w:val="single" w:sz="4" w:space="0" w:color="auto"/>
              <w:bottom w:val="nil"/>
              <w:right w:val="single" w:sz="4" w:space="0" w:color="auto"/>
            </w:tcBorders>
          </w:tcPr>
          <w:p w:rsidR="009D20FA" w:rsidRPr="004E3D03" w:rsidRDefault="009D20FA" w:rsidP="0088728A">
            <w:pPr>
              <w:ind w:right="202"/>
              <w:jc w:val="right"/>
              <w:rPr>
                <w:color w:val="000000"/>
                <w:sz w:val="22"/>
                <w:szCs w:val="22"/>
              </w:rPr>
            </w:pPr>
            <w:r w:rsidRPr="004E3D03">
              <w:rPr>
                <w:color w:val="000000"/>
                <w:sz w:val="22"/>
                <w:szCs w:val="22"/>
              </w:rPr>
              <w:t>163</w:t>
            </w:r>
          </w:p>
        </w:tc>
        <w:tc>
          <w:tcPr>
            <w:tcW w:w="1350" w:type="dxa"/>
            <w:tcBorders>
              <w:top w:val="nil"/>
              <w:left w:val="single" w:sz="4" w:space="0" w:color="auto"/>
              <w:bottom w:val="nil"/>
              <w:right w:val="double" w:sz="4" w:space="0" w:color="auto"/>
            </w:tcBorders>
            <w:shd w:val="clear" w:color="auto" w:fill="auto"/>
            <w:hideMark/>
          </w:tcPr>
          <w:p w:rsidR="009D20FA" w:rsidRPr="004E3D03" w:rsidRDefault="009D20FA" w:rsidP="0088728A">
            <w:pPr>
              <w:ind w:right="293"/>
              <w:jc w:val="right"/>
              <w:rPr>
                <w:color w:val="000000"/>
                <w:sz w:val="22"/>
                <w:szCs w:val="22"/>
              </w:rPr>
            </w:pPr>
            <w:r w:rsidRPr="004E3D03">
              <w:rPr>
                <w:color w:val="000000"/>
                <w:sz w:val="22"/>
                <w:szCs w:val="22"/>
              </w:rPr>
              <w:t>7520</w:t>
            </w:r>
          </w:p>
        </w:tc>
      </w:tr>
      <w:tr w:rsidR="0088728A" w:rsidRPr="004E3D03" w:rsidTr="00A071C3">
        <w:trPr>
          <w:trHeight w:val="720"/>
        </w:trPr>
        <w:tc>
          <w:tcPr>
            <w:tcW w:w="1535" w:type="dxa"/>
            <w:tcBorders>
              <w:top w:val="nil"/>
              <w:left w:val="double" w:sz="4" w:space="0" w:color="auto"/>
              <w:bottom w:val="nil"/>
              <w:right w:val="double" w:sz="4" w:space="0" w:color="auto"/>
            </w:tcBorders>
            <w:shd w:val="clear" w:color="auto" w:fill="auto"/>
            <w:hideMark/>
          </w:tcPr>
          <w:p w:rsidR="009D20FA" w:rsidRPr="004E3D03" w:rsidRDefault="009D20FA" w:rsidP="00D5716B">
            <w:pPr>
              <w:rPr>
                <w:color w:val="000000"/>
                <w:sz w:val="22"/>
                <w:szCs w:val="22"/>
              </w:rPr>
            </w:pPr>
            <w:r w:rsidRPr="004E3D03">
              <w:rPr>
                <w:color w:val="000000"/>
                <w:sz w:val="22"/>
                <w:szCs w:val="22"/>
              </w:rPr>
              <w:t>SUV</w:t>
            </w:r>
          </w:p>
        </w:tc>
        <w:tc>
          <w:tcPr>
            <w:tcW w:w="1485" w:type="dxa"/>
            <w:tcBorders>
              <w:top w:val="nil"/>
              <w:left w:val="double" w:sz="4" w:space="0" w:color="auto"/>
              <w:bottom w:val="nil"/>
              <w:right w:val="single" w:sz="4" w:space="0" w:color="auto"/>
            </w:tcBorders>
          </w:tcPr>
          <w:p w:rsidR="009D20FA" w:rsidRPr="004E3D03" w:rsidRDefault="00A071C3" w:rsidP="00D5716B">
            <w:pPr>
              <w:jc w:val="center"/>
              <w:rPr>
                <w:color w:val="000000"/>
                <w:sz w:val="22"/>
                <w:szCs w:val="22"/>
              </w:rPr>
            </w:pPr>
            <w:r>
              <w:rPr>
                <w:color w:val="000000"/>
                <w:sz w:val="22"/>
                <w:szCs w:val="22"/>
              </w:rPr>
              <w:t>-</w:t>
            </w:r>
            <w:r w:rsidR="0077196A" w:rsidRPr="004E3D03">
              <w:rPr>
                <w:color w:val="000000"/>
                <w:sz w:val="22"/>
                <w:szCs w:val="22"/>
              </w:rPr>
              <w:t>-</w:t>
            </w:r>
          </w:p>
        </w:tc>
        <w:tc>
          <w:tcPr>
            <w:tcW w:w="1439"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254 (29.0%)</w:t>
            </w:r>
          </w:p>
        </w:tc>
        <w:tc>
          <w:tcPr>
            <w:tcW w:w="1441"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463 (30.5%)</w:t>
            </w:r>
          </w:p>
        </w:tc>
        <w:tc>
          <w:tcPr>
            <w:tcW w:w="1442"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96 (25.2%)</w:t>
            </w:r>
          </w:p>
        </w:tc>
        <w:tc>
          <w:tcPr>
            <w:tcW w:w="1445"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12 (20.7%)</w:t>
            </w:r>
          </w:p>
        </w:tc>
        <w:tc>
          <w:tcPr>
            <w:tcW w:w="1441" w:type="dxa"/>
            <w:tcBorders>
              <w:top w:val="nil"/>
              <w:left w:val="single" w:sz="4" w:space="0" w:color="auto"/>
              <w:bottom w:val="nil"/>
              <w:right w:val="single" w:sz="4" w:space="0" w:color="auto"/>
            </w:tcBorders>
          </w:tcPr>
          <w:p w:rsidR="009D20FA" w:rsidRPr="004E3D03" w:rsidRDefault="009D20FA" w:rsidP="0088728A">
            <w:pPr>
              <w:ind w:right="202"/>
              <w:jc w:val="right"/>
              <w:rPr>
                <w:color w:val="000000"/>
                <w:sz w:val="22"/>
                <w:szCs w:val="22"/>
              </w:rPr>
            </w:pPr>
            <w:r w:rsidRPr="004E3D03">
              <w:rPr>
                <w:color w:val="000000"/>
                <w:sz w:val="22"/>
                <w:szCs w:val="22"/>
              </w:rPr>
              <w:t>825</w:t>
            </w:r>
          </w:p>
        </w:tc>
        <w:tc>
          <w:tcPr>
            <w:tcW w:w="1350" w:type="dxa"/>
            <w:tcBorders>
              <w:top w:val="nil"/>
              <w:left w:val="single" w:sz="4" w:space="0" w:color="auto"/>
              <w:bottom w:val="nil"/>
              <w:right w:val="double" w:sz="4" w:space="0" w:color="auto"/>
            </w:tcBorders>
            <w:shd w:val="clear" w:color="auto" w:fill="auto"/>
            <w:hideMark/>
          </w:tcPr>
          <w:p w:rsidR="009D20FA" w:rsidRPr="004E3D03" w:rsidRDefault="009D20FA" w:rsidP="0088728A">
            <w:pPr>
              <w:ind w:right="293"/>
              <w:jc w:val="right"/>
              <w:rPr>
                <w:color w:val="000000"/>
                <w:sz w:val="22"/>
                <w:szCs w:val="22"/>
              </w:rPr>
            </w:pPr>
            <w:r w:rsidRPr="004E3D03">
              <w:rPr>
                <w:color w:val="000000"/>
                <w:sz w:val="22"/>
                <w:szCs w:val="22"/>
              </w:rPr>
              <w:t>9895</w:t>
            </w:r>
          </w:p>
        </w:tc>
      </w:tr>
      <w:tr w:rsidR="0088728A" w:rsidRPr="004E3D03" w:rsidTr="00A071C3">
        <w:trPr>
          <w:trHeight w:val="720"/>
        </w:trPr>
        <w:tc>
          <w:tcPr>
            <w:tcW w:w="1535" w:type="dxa"/>
            <w:tcBorders>
              <w:top w:val="nil"/>
              <w:left w:val="double" w:sz="4" w:space="0" w:color="auto"/>
              <w:bottom w:val="nil"/>
              <w:right w:val="double" w:sz="4" w:space="0" w:color="auto"/>
            </w:tcBorders>
            <w:shd w:val="clear" w:color="auto" w:fill="auto"/>
            <w:hideMark/>
          </w:tcPr>
          <w:p w:rsidR="009D20FA" w:rsidRPr="004E3D03" w:rsidRDefault="009D20FA" w:rsidP="00D5716B">
            <w:pPr>
              <w:rPr>
                <w:color w:val="000000"/>
                <w:sz w:val="22"/>
                <w:szCs w:val="22"/>
              </w:rPr>
            </w:pPr>
            <w:r w:rsidRPr="004E3D03">
              <w:rPr>
                <w:color w:val="000000"/>
                <w:sz w:val="22"/>
                <w:szCs w:val="22"/>
              </w:rPr>
              <w:t xml:space="preserve">Pickup </w:t>
            </w:r>
            <w:r w:rsidR="00506FA0">
              <w:rPr>
                <w:color w:val="000000"/>
                <w:sz w:val="22"/>
                <w:szCs w:val="22"/>
              </w:rPr>
              <w:t>t</w:t>
            </w:r>
            <w:r w:rsidRPr="004E3D03">
              <w:rPr>
                <w:color w:val="000000"/>
                <w:sz w:val="22"/>
                <w:szCs w:val="22"/>
              </w:rPr>
              <w:t>ruck</w:t>
            </w:r>
          </w:p>
        </w:tc>
        <w:tc>
          <w:tcPr>
            <w:tcW w:w="1485" w:type="dxa"/>
            <w:tcBorders>
              <w:top w:val="nil"/>
              <w:left w:val="double" w:sz="4" w:space="0" w:color="auto"/>
              <w:bottom w:val="nil"/>
              <w:right w:val="single" w:sz="4" w:space="0" w:color="auto"/>
            </w:tcBorders>
          </w:tcPr>
          <w:p w:rsidR="009D20FA" w:rsidRPr="004E3D03" w:rsidRDefault="0077196A" w:rsidP="00D5716B">
            <w:pPr>
              <w:jc w:val="center"/>
              <w:rPr>
                <w:color w:val="000000"/>
                <w:sz w:val="22"/>
                <w:szCs w:val="22"/>
              </w:rPr>
            </w:pPr>
            <w:r w:rsidRPr="004E3D03">
              <w:rPr>
                <w:color w:val="000000"/>
                <w:sz w:val="22"/>
                <w:szCs w:val="22"/>
              </w:rPr>
              <w:t>-</w:t>
            </w:r>
            <w:r w:rsidR="00A071C3">
              <w:rPr>
                <w:color w:val="000000"/>
                <w:sz w:val="22"/>
                <w:szCs w:val="22"/>
              </w:rPr>
              <w:t>-</w:t>
            </w:r>
          </w:p>
        </w:tc>
        <w:tc>
          <w:tcPr>
            <w:tcW w:w="1439"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92 (10.5%)</w:t>
            </w:r>
          </w:p>
        </w:tc>
        <w:tc>
          <w:tcPr>
            <w:tcW w:w="1441"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404 (26.6%)</w:t>
            </w:r>
          </w:p>
        </w:tc>
        <w:tc>
          <w:tcPr>
            <w:tcW w:w="1442"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106 (27.8%)</w:t>
            </w:r>
          </w:p>
        </w:tc>
        <w:tc>
          <w:tcPr>
            <w:tcW w:w="1445" w:type="dxa"/>
            <w:tcBorders>
              <w:top w:val="nil"/>
              <w:left w:val="single" w:sz="4" w:space="0" w:color="auto"/>
              <w:bottom w:val="nil"/>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13 (22.4%)</w:t>
            </w:r>
          </w:p>
        </w:tc>
        <w:tc>
          <w:tcPr>
            <w:tcW w:w="1441" w:type="dxa"/>
            <w:tcBorders>
              <w:top w:val="nil"/>
              <w:left w:val="single" w:sz="4" w:space="0" w:color="auto"/>
              <w:bottom w:val="nil"/>
              <w:right w:val="single" w:sz="4" w:space="0" w:color="auto"/>
            </w:tcBorders>
          </w:tcPr>
          <w:p w:rsidR="009D20FA" w:rsidRPr="004E3D03" w:rsidRDefault="009D20FA" w:rsidP="0088728A">
            <w:pPr>
              <w:ind w:right="202"/>
              <w:jc w:val="right"/>
              <w:rPr>
                <w:color w:val="000000"/>
                <w:sz w:val="22"/>
                <w:szCs w:val="22"/>
              </w:rPr>
            </w:pPr>
            <w:r w:rsidRPr="004E3D03">
              <w:rPr>
                <w:color w:val="000000"/>
                <w:sz w:val="22"/>
                <w:szCs w:val="22"/>
              </w:rPr>
              <w:t>615</w:t>
            </w:r>
          </w:p>
        </w:tc>
        <w:tc>
          <w:tcPr>
            <w:tcW w:w="1350" w:type="dxa"/>
            <w:tcBorders>
              <w:top w:val="nil"/>
              <w:left w:val="single" w:sz="4" w:space="0" w:color="auto"/>
              <w:bottom w:val="nil"/>
              <w:right w:val="double" w:sz="4" w:space="0" w:color="auto"/>
            </w:tcBorders>
            <w:shd w:val="clear" w:color="auto" w:fill="auto"/>
            <w:hideMark/>
          </w:tcPr>
          <w:p w:rsidR="009D20FA" w:rsidRPr="004E3D03" w:rsidRDefault="009D20FA" w:rsidP="0088728A">
            <w:pPr>
              <w:ind w:right="293"/>
              <w:jc w:val="right"/>
              <w:rPr>
                <w:color w:val="000000"/>
                <w:sz w:val="22"/>
                <w:szCs w:val="22"/>
              </w:rPr>
            </w:pPr>
            <w:r w:rsidRPr="004E3D03">
              <w:rPr>
                <w:color w:val="000000"/>
                <w:sz w:val="22"/>
                <w:szCs w:val="22"/>
              </w:rPr>
              <w:t>8805</w:t>
            </w:r>
          </w:p>
        </w:tc>
      </w:tr>
      <w:tr w:rsidR="0088728A" w:rsidRPr="004E3D03" w:rsidTr="00A071C3">
        <w:trPr>
          <w:trHeight w:val="720"/>
        </w:trPr>
        <w:tc>
          <w:tcPr>
            <w:tcW w:w="1535" w:type="dxa"/>
            <w:tcBorders>
              <w:top w:val="nil"/>
              <w:left w:val="double" w:sz="4" w:space="0" w:color="auto"/>
              <w:bottom w:val="single" w:sz="4" w:space="0" w:color="auto"/>
              <w:right w:val="double" w:sz="4" w:space="0" w:color="auto"/>
            </w:tcBorders>
            <w:shd w:val="clear" w:color="auto" w:fill="auto"/>
            <w:hideMark/>
          </w:tcPr>
          <w:p w:rsidR="009D20FA" w:rsidRPr="004E3D03" w:rsidRDefault="009D20FA" w:rsidP="00D5716B">
            <w:pPr>
              <w:rPr>
                <w:color w:val="000000"/>
                <w:sz w:val="22"/>
                <w:szCs w:val="22"/>
              </w:rPr>
            </w:pPr>
            <w:r w:rsidRPr="004E3D03">
              <w:rPr>
                <w:color w:val="000000"/>
                <w:sz w:val="22"/>
                <w:szCs w:val="22"/>
              </w:rPr>
              <w:t>Other</w:t>
            </w:r>
          </w:p>
        </w:tc>
        <w:tc>
          <w:tcPr>
            <w:tcW w:w="1485" w:type="dxa"/>
            <w:tcBorders>
              <w:top w:val="nil"/>
              <w:left w:val="double" w:sz="4" w:space="0" w:color="auto"/>
              <w:bottom w:val="single" w:sz="4" w:space="0" w:color="auto"/>
              <w:right w:val="single" w:sz="4" w:space="0" w:color="auto"/>
            </w:tcBorders>
          </w:tcPr>
          <w:p w:rsidR="009D20FA" w:rsidRPr="004E3D03" w:rsidRDefault="0077196A" w:rsidP="00D5716B">
            <w:pPr>
              <w:jc w:val="center"/>
              <w:rPr>
                <w:color w:val="000000"/>
                <w:sz w:val="22"/>
                <w:szCs w:val="22"/>
              </w:rPr>
            </w:pPr>
            <w:r w:rsidRPr="004E3D03">
              <w:rPr>
                <w:color w:val="000000"/>
                <w:sz w:val="22"/>
                <w:szCs w:val="22"/>
              </w:rPr>
              <w:t>-</w:t>
            </w:r>
            <w:r w:rsidR="00A071C3">
              <w:rPr>
                <w:color w:val="000000"/>
                <w:sz w:val="22"/>
                <w:szCs w:val="22"/>
              </w:rPr>
              <w:t>-</w:t>
            </w:r>
          </w:p>
        </w:tc>
        <w:tc>
          <w:tcPr>
            <w:tcW w:w="1439" w:type="dxa"/>
            <w:tcBorders>
              <w:top w:val="nil"/>
              <w:left w:val="single" w:sz="4" w:space="0" w:color="auto"/>
              <w:bottom w:val="single" w:sz="4" w:space="0" w:color="auto"/>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4</w:t>
            </w:r>
            <w:proofErr w:type="gramStart"/>
            <w:r w:rsidR="0088728A">
              <w:rPr>
                <w:color w:val="000000"/>
                <w:sz w:val="22"/>
                <w:szCs w:val="22"/>
              </w:rPr>
              <w:t xml:space="preserve">  </w:t>
            </w:r>
            <w:r w:rsidRPr="004E3D03">
              <w:rPr>
                <w:color w:val="000000"/>
                <w:sz w:val="22"/>
                <w:szCs w:val="22"/>
              </w:rPr>
              <w:t xml:space="preserve"> (</w:t>
            </w:r>
            <w:proofErr w:type="gramEnd"/>
            <w:r w:rsidRPr="004E3D03">
              <w:rPr>
                <w:color w:val="000000"/>
                <w:sz w:val="22"/>
                <w:szCs w:val="22"/>
              </w:rPr>
              <w:t>0.4%)</w:t>
            </w:r>
          </w:p>
        </w:tc>
        <w:tc>
          <w:tcPr>
            <w:tcW w:w="1441" w:type="dxa"/>
            <w:tcBorders>
              <w:top w:val="nil"/>
              <w:left w:val="single" w:sz="4" w:space="0" w:color="auto"/>
              <w:bottom w:val="single" w:sz="4" w:space="0" w:color="auto"/>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28</w:t>
            </w:r>
            <w:proofErr w:type="gramStart"/>
            <w:r w:rsidRPr="004E3D03">
              <w:rPr>
                <w:color w:val="000000"/>
                <w:sz w:val="22"/>
                <w:szCs w:val="22"/>
              </w:rPr>
              <w:t xml:space="preserve">   (</w:t>
            </w:r>
            <w:proofErr w:type="gramEnd"/>
            <w:r w:rsidRPr="004E3D03">
              <w:rPr>
                <w:color w:val="000000"/>
                <w:sz w:val="22"/>
                <w:szCs w:val="22"/>
              </w:rPr>
              <w:t>1.8%)</w:t>
            </w:r>
          </w:p>
        </w:tc>
        <w:tc>
          <w:tcPr>
            <w:tcW w:w="1442" w:type="dxa"/>
            <w:tcBorders>
              <w:top w:val="nil"/>
              <w:left w:val="single" w:sz="4" w:space="0" w:color="auto"/>
              <w:bottom w:val="single" w:sz="4" w:space="0" w:color="auto"/>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51 (13.4%)</w:t>
            </w:r>
          </w:p>
        </w:tc>
        <w:tc>
          <w:tcPr>
            <w:tcW w:w="1445" w:type="dxa"/>
            <w:tcBorders>
              <w:top w:val="nil"/>
              <w:left w:val="single" w:sz="4" w:space="0" w:color="auto"/>
              <w:bottom w:val="single" w:sz="4" w:space="0" w:color="auto"/>
              <w:right w:val="single" w:sz="4" w:space="0" w:color="auto"/>
            </w:tcBorders>
            <w:shd w:val="clear" w:color="auto" w:fill="auto"/>
            <w:hideMark/>
          </w:tcPr>
          <w:p w:rsidR="009D20FA" w:rsidRPr="004E3D03" w:rsidRDefault="009D20FA" w:rsidP="0088728A">
            <w:pPr>
              <w:ind w:right="129"/>
              <w:jc w:val="right"/>
              <w:rPr>
                <w:color w:val="000000"/>
                <w:sz w:val="22"/>
                <w:szCs w:val="22"/>
              </w:rPr>
            </w:pPr>
            <w:r w:rsidRPr="004E3D03">
              <w:rPr>
                <w:color w:val="000000"/>
                <w:sz w:val="22"/>
                <w:szCs w:val="22"/>
              </w:rPr>
              <w:t>12 (20.7%)</w:t>
            </w:r>
          </w:p>
        </w:tc>
        <w:tc>
          <w:tcPr>
            <w:tcW w:w="1441" w:type="dxa"/>
            <w:tcBorders>
              <w:top w:val="nil"/>
              <w:left w:val="single" w:sz="4" w:space="0" w:color="auto"/>
              <w:bottom w:val="single" w:sz="4" w:space="0" w:color="auto"/>
              <w:right w:val="single" w:sz="4" w:space="0" w:color="auto"/>
            </w:tcBorders>
          </w:tcPr>
          <w:p w:rsidR="009D20FA" w:rsidRPr="004E3D03" w:rsidRDefault="009D20FA" w:rsidP="0088728A">
            <w:pPr>
              <w:ind w:right="202"/>
              <w:jc w:val="right"/>
              <w:rPr>
                <w:color w:val="000000"/>
                <w:sz w:val="22"/>
                <w:szCs w:val="22"/>
              </w:rPr>
            </w:pPr>
            <w:r w:rsidRPr="004E3D03">
              <w:rPr>
                <w:color w:val="000000"/>
                <w:sz w:val="22"/>
                <w:szCs w:val="22"/>
              </w:rPr>
              <w:t>95</w:t>
            </w:r>
          </w:p>
        </w:tc>
        <w:tc>
          <w:tcPr>
            <w:tcW w:w="1350" w:type="dxa"/>
            <w:tcBorders>
              <w:top w:val="nil"/>
              <w:left w:val="single" w:sz="4" w:space="0" w:color="auto"/>
              <w:bottom w:val="single" w:sz="4" w:space="0" w:color="auto"/>
              <w:right w:val="double" w:sz="4" w:space="0" w:color="auto"/>
            </w:tcBorders>
            <w:shd w:val="clear" w:color="auto" w:fill="auto"/>
            <w:hideMark/>
          </w:tcPr>
          <w:p w:rsidR="009D20FA" w:rsidRPr="004E3D03" w:rsidRDefault="009D20FA" w:rsidP="0088728A">
            <w:pPr>
              <w:ind w:right="293"/>
              <w:jc w:val="right"/>
              <w:rPr>
                <w:color w:val="000000"/>
                <w:sz w:val="22"/>
                <w:szCs w:val="22"/>
              </w:rPr>
            </w:pPr>
            <w:r w:rsidRPr="004E3D03">
              <w:rPr>
                <w:color w:val="000000"/>
                <w:sz w:val="22"/>
                <w:szCs w:val="22"/>
              </w:rPr>
              <w:t>3740</w:t>
            </w:r>
          </w:p>
        </w:tc>
      </w:tr>
      <w:tr w:rsidR="0088728A" w:rsidRPr="004E3D03" w:rsidTr="00A071C3">
        <w:trPr>
          <w:trHeight w:val="720"/>
        </w:trPr>
        <w:tc>
          <w:tcPr>
            <w:tcW w:w="1535" w:type="dxa"/>
            <w:tcBorders>
              <w:top w:val="single" w:sz="4" w:space="0" w:color="auto"/>
              <w:left w:val="double" w:sz="4" w:space="0" w:color="auto"/>
              <w:bottom w:val="double" w:sz="4" w:space="0" w:color="auto"/>
              <w:right w:val="double" w:sz="4" w:space="0" w:color="auto"/>
            </w:tcBorders>
            <w:shd w:val="clear" w:color="auto" w:fill="auto"/>
            <w:vAlign w:val="center"/>
            <w:hideMark/>
          </w:tcPr>
          <w:p w:rsidR="009D20FA" w:rsidRPr="004E3D03" w:rsidRDefault="009D20FA" w:rsidP="0088728A">
            <w:pPr>
              <w:rPr>
                <w:color w:val="000000"/>
                <w:sz w:val="22"/>
                <w:szCs w:val="22"/>
              </w:rPr>
            </w:pPr>
            <w:r w:rsidRPr="004E3D03">
              <w:rPr>
                <w:color w:val="000000"/>
                <w:sz w:val="22"/>
                <w:szCs w:val="22"/>
              </w:rPr>
              <w:t>Total</w:t>
            </w:r>
          </w:p>
        </w:tc>
        <w:tc>
          <w:tcPr>
            <w:tcW w:w="1485" w:type="dxa"/>
            <w:tcBorders>
              <w:top w:val="single" w:sz="4" w:space="0" w:color="auto"/>
              <w:left w:val="double" w:sz="4" w:space="0" w:color="auto"/>
              <w:bottom w:val="double" w:sz="4" w:space="0" w:color="auto"/>
              <w:right w:val="single" w:sz="4" w:space="0" w:color="auto"/>
            </w:tcBorders>
            <w:vAlign w:val="center"/>
          </w:tcPr>
          <w:p w:rsidR="009D20FA" w:rsidRPr="0088728A" w:rsidRDefault="009D20FA" w:rsidP="00C110A2">
            <w:pPr>
              <w:jc w:val="center"/>
              <w:rPr>
                <w:color w:val="000000"/>
                <w:sz w:val="22"/>
                <w:szCs w:val="22"/>
              </w:rPr>
            </w:pPr>
            <w:r w:rsidRPr="004E3D03">
              <w:rPr>
                <w:color w:val="000000"/>
                <w:sz w:val="22"/>
                <w:szCs w:val="22"/>
              </w:rPr>
              <w:t>63</w:t>
            </w:r>
            <w:r w:rsidR="00C110A2">
              <w:rPr>
                <w:color w:val="000000"/>
                <w:sz w:val="22"/>
                <w:szCs w:val="22"/>
              </w:rPr>
              <w:t xml:space="preserve"> </w:t>
            </w:r>
            <w:r w:rsidRPr="0088728A">
              <w:rPr>
                <w:color w:val="000000"/>
                <w:sz w:val="22"/>
                <w:szCs w:val="22"/>
              </w:rPr>
              <w:t>(3.4% of all households)</w:t>
            </w:r>
          </w:p>
        </w:tc>
        <w:tc>
          <w:tcPr>
            <w:tcW w:w="1439"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9D20FA" w:rsidRPr="004E3D03" w:rsidRDefault="009D20FA" w:rsidP="0088728A">
            <w:pPr>
              <w:jc w:val="center"/>
              <w:rPr>
                <w:color w:val="000000"/>
                <w:sz w:val="22"/>
                <w:szCs w:val="22"/>
              </w:rPr>
            </w:pPr>
            <w:r w:rsidRPr="004E3D03">
              <w:rPr>
                <w:color w:val="000000"/>
                <w:sz w:val="22"/>
                <w:szCs w:val="22"/>
              </w:rPr>
              <w:t>877 (100%)</w:t>
            </w:r>
          </w:p>
        </w:tc>
        <w:tc>
          <w:tcPr>
            <w:tcW w:w="1441"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9D20FA" w:rsidRPr="004E3D03" w:rsidRDefault="009D20FA" w:rsidP="0088728A">
            <w:pPr>
              <w:jc w:val="center"/>
              <w:rPr>
                <w:color w:val="000000"/>
                <w:sz w:val="22"/>
                <w:szCs w:val="22"/>
              </w:rPr>
            </w:pPr>
            <w:r w:rsidRPr="004E3D03">
              <w:rPr>
                <w:color w:val="000000"/>
                <w:sz w:val="22"/>
                <w:szCs w:val="22"/>
              </w:rPr>
              <w:t>1520 (100%)</w:t>
            </w:r>
          </w:p>
        </w:tc>
        <w:tc>
          <w:tcPr>
            <w:tcW w:w="1442"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9D20FA" w:rsidRPr="004E3D03" w:rsidRDefault="009D20FA" w:rsidP="0088728A">
            <w:pPr>
              <w:jc w:val="center"/>
              <w:rPr>
                <w:color w:val="000000"/>
                <w:sz w:val="22"/>
                <w:szCs w:val="22"/>
              </w:rPr>
            </w:pPr>
            <w:r w:rsidRPr="004E3D03">
              <w:rPr>
                <w:color w:val="000000"/>
                <w:sz w:val="22"/>
                <w:szCs w:val="22"/>
              </w:rPr>
              <w:t>381 (100%)</w:t>
            </w:r>
          </w:p>
        </w:tc>
        <w:tc>
          <w:tcPr>
            <w:tcW w:w="1445" w:type="dxa"/>
            <w:tcBorders>
              <w:top w:val="single" w:sz="4" w:space="0" w:color="auto"/>
              <w:left w:val="single" w:sz="4" w:space="0" w:color="auto"/>
              <w:bottom w:val="double" w:sz="4" w:space="0" w:color="auto"/>
              <w:right w:val="single" w:sz="4" w:space="0" w:color="auto"/>
            </w:tcBorders>
            <w:shd w:val="clear" w:color="auto" w:fill="auto"/>
            <w:vAlign w:val="center"/>
            <w:hideMark/>
          </w:tcPr>
          <w:p w:rsidR="009D20FA" w:rsidRPr="004E3D03" w:rsidRDefault="009D20FA" w:rsidP="0088728A">
            <w:pPr>
              <w:jc w:val="center"/>
              <w:rPr>
                <w:color w:val="000000"/>
                <w:sz w:val="22"/>
                <w:szCs w:val="22"/>
              </w:rPr>
            </w:pPr>
            <w:r w:rsidRPr="004E3D03">
              <w:rPr>
                <w:color w:val="000000"/>
                <w:sz w:val="22"/>
                <w:szCs w:val="22"/>
              </w:rPr>
              <w:t>58 (100%)</w:t>
            </w:r>
          </w:p>
        </w:tc>
        <w:tc>
          <w:tcPr>
            <w:tcW w:w="1441" w:type="dxa"/>
            <w:tcBorders>
              <w:top w:val="single" w:sz="4" w:space="0" w:color="auto"/>
              <w:left w:val="single" w:sz="4" w:space="0" w:color="auto"/>
              <w:bottom w:val="double" w:sz="4" w:space="0" w:color="auto"/>
              <w:right w:val="single" w:sz="4" w:space="0" w:color="auto"/>
            </w:tcBorders>
            <w:vAlign w:val="center"/>
          </w:tcPr>
          <w:p w:rsidR="009D20FA" w:rsidRPr="004E3D03" w:rsidRDefault="009D20FA" w:rsidP="0088728A">
            <w:pPr>
              <w:ind w:right="202"/>
              <w:jc w:val="right"/>
              <w:rPr>
                <w:color w:val="000000"/>
                <w:sz w:val="22"/>
                <w:szCs w:val="22"/>
              </w:rPr>
            </w:pPr>
            <w:r w:rsidRPr="004E3D03">
              <w:rPr>
                <w:color w:val="000000"/>
                <w:sz w:val="22"/>
                <w:szCs w:val="22"/>
              </w:rPr>
              <w:t>--</w:t>
            </w:r>
          </w:p>
        </w:tc>
        <w:tc>
          <w:tcPr>
            <w:tcW w:w="1350" w:type="dxa"/>
            <w:tcBorders>
              <w:top w:val="single" w:sz="4" w:space="0" w:color="auto"/>
              <w:left w:val="single" w:sz="4" w:space="0" w:color="auto"/>
              <w:bottom w:val="double" w:sz="4" w:space="0" w:color="auto"/>
              <w:right w:val="double" w:sz="4" w:space="0" w:color="auto"/>
            </w:tcBorders>
            <w:shd w:val="clear" w:color="auto" w:fill="auto"/>
            <w:vAlign w:val="center"/>
            <w:hideMark/>
          </w:tcPr>
          <w:p w:rsidR="009D20FA" w:rsidRPr="004E3D03" w:rsidRDefault="009D20FA" w:rsidP="0088728A">
            <w:pPr>
              <w:ind w:right="293"/>
              <w:jc w:val="right"/>
              <w:rPr>
                <w:color w:val="000000"/>
                <w:sz w:val="22"/>
                <w:szCs w:val="22"/>
              </w:rPr>
            </w:pPr>
            <w:r w:rsidRPr="004E3D03">
              <w:rPr>
                <w:color w:val="000000"/>
                <w:sz w:val="22"/>
                <w:szCs w:val="22"/>
              </w:rPr>
              <w:t>--</w:t>
            </w:r>
          </w:p>
        </w:tc>
      </w:tr>
    </w:tbl>
    <w:p w:rsidR="009D20FA" w:rsidRDefault="009D20FA" w:rsidP="009D20FA"/>
    <w:p w:rsidR="009D20FA" w:rsidRDefault="009D20FA" w:rsidP="009D20FA"/>
    <w:p w:rsidR="00097103" w:rsidRDefault="00097103" w:rsidP="005D76C0">
      <w:pPr>
        <w:spacing w:line="276" w:lineRule="auto"/>
      </w:pPr>
    </w:p>
    <w:p w:rsidR="00097103" w:rsidRDefault="00097103" w:rsidP="005D76C0">
      <w:pPr>
        <w:spacing w:line="276" w:lineRule="auto"/>
      </w:pPr>
    </w:p>
    <w:p w:rsidR="004E3D03" w:rsidRDefault="004E3D03" w:rsidP="00553744">
      <w:pPr>
        <w:rPr>
          <w:b/>
          <w:bCs/>
        </w:rPr>
        <w:sectPr w:rsidR="004E3D03" w:rsidSect="00A071C3">
          <w:pgSz w:w="15840" w:h="12240" w:orient="landscape" w:code="1"/>
          <w:pgMar w:top="1440" w:right="1440" w:bottom="1440" w:left="1440" w:header="720" w:footer="720" w:gutter="0"/>
          <w:cols w:space="720"/>
          <w:docGrid w:linePitch="360"/>
        </w:sectPr>
      </w:pPr>
    </w:p>
    <w:p w:rsidR="00553744" w:rsidRPr="004E3D03" w:rsidRDefault="00553744" w:rsidP="00506FA0">
      <w:pPr>
        <w:spacing w:after="120"/>
      </w:pPr>
      <w:r w:rsidRPr="005C53E7">
        <w:rPr>
          <w:b/>
          <w:bCs/>
        </w:rPr>
        <w:lastRenderedPageBreak/>
        <w:t xml:space="preserve">Table </w:t>
      </w:r>
      <w:r>
        <w:rPr>
          <w:b/>
          <w:bCs/>
        </w:rPr>
        <w:t>2</w:t>
      </w:r>
      <w:r w:rsidR="00D1647F">
        <w:rPr>
          <w:b/>
          <w:bCs/>
        </w:rPr>
        <w:t>.</w:t>
      </w:r>
      <w:r w:rsidRPr="005C53E7">
        <w:rPr>
          <w:b/>
        </w:rPr>
        <w:t xml:space="preserve"> </w:t>
      </w:r>
      <w:r>
        <w:rPr>
          <w:b/>
        </w:rPr>
        <w:t>RG-</w:t>
      </w:r>
      <w:r w:rsidRPr="005C53E7">
        <w:rPr>
          <w:b/>
        </w:rPr>
        <w:t>MD</w:t>
      </w:r>
      <w:r>
        <w:rPr>
          <w:b/>
        </w:rPr>
        <w:t>C</w:t>
      </w:r>
      <w:r w:rsidRPr="005C53E7">
        <w:rPr>
          <w:b/>
        </w:rPr>
        <w:t xml:space="preserve">EV </w:t>
      </w:r>
      <w:r>
        <w:rPr>
          <w:b/>
        </w:rPr>
        <w:t>Fractional Split Model Results</w:t>
      </w:r>
    </w:p>
    <w:tbl>
      <w:tblPr>
        <w:tblW w:w="9805" w:type="dxa"/>
        <w:tblInd w:w="11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4675"/>
        <w:gridCol w:w="1026"/>
        <w:gridCol w:w="1026"/>
        <w:gridCol w:w="1026"/>
        <w:gridCol w:w="1026"/>
        <w:gridCol w:w="1026"/>
      </w:tblGrid>
      <w:tr w:rsidR="00553744" w:rsidRPr="00627808" w:rsidTr="00A071C3">
        <w:trPr>
          <w:trHeight w:val="576"/>
        </w:trPr>
        <w:tc>
          <w:tcPr>
            <w:tcW w:w="4675" w:type="dxa"/>
            <w:vMerge w:val="restart"/>
            <w:tcBorders>
              <w:top w:val="double" w:sz="4" w:space="0" w:color="auto"/>
              <w:left w:val="double" w:sz="4" w:space="0" w:color="auto"/>
              <w:bottom w:val="single" w:sz="4" w:space="0" w:color="auto"/>
              <w:right w:val="double" w:sz="4" w:space="0" w:color="auto"/>
            </w:tcBorders>
            <w:shd w:val="clear" w:color="auto" w:fill="FFFFFF"/>
            <w:tcMar>
              <w:left w:w="58" w:type="dxa"/>
              <w:right w:w="58" w:type="dxa"/>
            </w:tcMar>
            <w:vAlign w:val="center"/>
            <w:hideMark/>
          </w:tcPr>
          <w:p w:rsidR="00553744" w:rsidRPr="00627808" w:rsidRDefault="00553744" w:rsidP="00EE5B23">
            <w:pPr>
              <w:jc w:val="center"/>
              <w:rPr>
                <w:b/>
                <w:bCs/>
                <w:color w:val="000000"/>
                <w:sz w:val="20"/>
                <w:szCs w:val="20"/>
              </w:rPr>
            </w:pPr>
            <w:r w:rsidRPr="00627808">
              <w:rPr>
                <w:b/>
                <w:bCs/>
                <w:color w:val="000000"/>
                <w:sz w:val="20"/>
                <w:szCs w:val="20"/>
              </w:rPr>
              <w:t>Variables</w:t>
            </w:r>
          </w:p>
        </w:tc>
        <w:tc>
          <w:tcPr>
            <w:tcW w:w="5130" w:type="dxa"/>
            <w:gridSpan w:val="5"/>
            <w:tcBorders>
              <w:top w:val="double" w:sz="4" w:space="0" w:color="auto"/>
              <w:left w:val="double" w:sz="4" w:space="0" w:color="auto"/>
              <w:bottom w:val="single" w:sz="4" w:space="0" w:color="auto"/>
              <w:right w:val="double" w:sz="4" w:space="0" w:color="auto"/>
            </w:tcBorders>
            <w:shd w:val="clear" w:color="auto" w:fill="FFFFFF"/>
            <w:noWrap/>
            <w:tcMar>
              <w:left w:w="58" w:type="dxa"/>
              <w:right w:w="58" w:type="dxa"/>
            </w:tcMar>
            <w:vAlign w:val="center"/>
            <w:hideMark/>
          </w:tcPr>
          <w:p w:rsidR="00553744" w:rsidRPr="00627808" w:rsidRDefault="00553744" w:rsidP="00EE5B23">
            <w:pPr>
              <w:jc w:val="center"/>
              <w:rPr>
                <w:b/>
                <w:bCs/>
                <w:color w:val="000000"/>
                <w:sz w:val="20"/>
                <w:szCs w:val="20"/>
              </w:rPr>
            </w:pPr>
            <w:r w:rsidRPr="00627808">
              <w:rPr>
                <w:b/>
                <w:bCs/>
                <w:color w:val="000000"/>
                <w:sz w:val="20"/>
                <w:szCs w:val="20"/>
              </w:rPr>
              <w:t>Coefficient estimates (t-stats)</w:t>
            </w:r>
          </w:p>
        </w:tc>
      </w:tr>
      <w:tr w:rsidR="00553744" w:rsidRPr="00627808" w:rsidTr="00A071C3">
        <w:trPr>
          <w:trHeight w:val="576"/>
        </w:trPr>
        <w:tc>
          <w:tcPr>
            <w:tcW w:w="4675" w:type="dxa"/>
            <w:vMerge/>
            <w:tcBorders>
              <w:top w:val="single" w:sz="12" w:space="0" w:color="auto"/>
              <w:left w:val="double" w:sz="4" w:space="0" w:color="auto"/>
              <w:bottom w:val="double" w:sz="4" w:space="0" w:color="auto"/>
              <w:right w:val="double" w:sz="4" w:space="0" w:color="auto"/>
            </w:tcBorders>
            <w:tcMar>
              <w:left w:w="58" w:type="dxa"/>
              <w:right w:w="58" w:type="dxa"/>
            </w:tcMar>
            <w:vAlign w:val="center"/>
            <w:hideMark/>
          </w:tcPr>
          <w:p w:rsidR="00553744" w:rsidRPr="00627808" w:rsidRDefault="00553744" w:rsidP="00EE5B23">
            <w:pPr>
              <w:rPr>
                <w:b/>
                <w:bCs/>
                <w:color w:val="000000"/>
                <w:sz w:val="20"/>
                <w:szCs w:val="20"/>
              </w:rPr>
            </w:pPr>
          </w:p>
        </w:tc>
        <w:tc>
          <w:tcPr>
            <w:tcW w:w="1026" w:type="dxa"/>
            <w:tcBorders>
              <w:top w:val="single" w:sz="4" w:space="0" w:color="auto"/>
              <w:left w:val="double" w:sz="4" w:space="0" w:color="auto"/>
              <w:bottom w:val="double" w:sz="4" w:space="0" w:color="auto"/>
              <w:right w:val="single" w:sz="4" w:space="0" w:color="auto"/>
            </w:tcBorders>
            <w:shd w:val="clear" w:color="auto" w:fill="FFFFFF"/>
            <w:noWrap/>
            <w:tcMar>
              <w:left w:w="58" w:type="dxa"/>
              <w:right w:w="58" w:type="dxa"/>
            </w:tcMar>
            <w:vAlign w:val="center"/>
            <w:hideMark/>
          </w:tcPr>
          <w:p w:rsidR="00553744" w:rsidRPr="00627808" w:rsidRDefault="00553744" w:rsidP="00A071C3">
            <w:pPr>
              <w:jc w:val="center"/>
              <w:rPr>
                <w:b/>
                <w:bCs/>
                <w:color w:val="000000"/>
                <w:sz w:val="20"/>
                <w:szCs w:val="20"/>
              </w:rPr>
            </w:pPr>
            <w:r w:rsidRPr="00627808">
              <w:rPr>
                <w:b/>
                <w:bCs/>
                <w:color w:val="000000"/>
                <w:sz w:val="20"/>
                <w:szCs w:val="20"/>
              </w:rPr>
              <w:t>Passenger car</w:t>
            </w:r>
          </w:p>
        </w:tc>
        <w:tc>
          <w:tcPr>
            <w:tcW w:w="1026" w:type="dxa"/>
            <w:tcBorders>
              <w:top w:val="single" w:sz="4" w:space="0" w:color="auto"/>
              <w:left w:val="single" w:sz="4" w:space="0" w:color="auto"/>
              <w:bottom w:val="double" w:sz="4" w:space="0" w:color="auto"/>
              <w:right w:val="single" w:sz="4" w:space="0" w:color="auto"/>
            </w:tcBorders>
            <w:shd w:val="clear" w:color="auto" w:fill="FFFFFF"/>
            <w:noWrap/>
            <w:tcMar>
              <w:left w:w="58" w:type="dxa"/>
              <w:right w:w="58" w:type="dxa"/>
            </w:tcMar>
            <w:vAlign w:val="center"/>
            <w:hideMark/>
          </w:tcPr>
          <w:p w:rsidR="00553744" w:rsidRPr="00627808" w:rsidRDefault="00553744" w:rsidP="00A071C3">
            <w:pPr>
              <w:jc w:val="center"/>
              <w:rPr>
                <w:b/>
                <w:bCs/>
                <w:color w:val="000000"/>
                <w:sz w:val="20"/>
                <w:szCs w:val="20"/>
              </w:rPr>
            </w:pPr>
            <w:r w:rsidRPr="00627808">
              <w:rPr>
                <w:b/>
                <w:bCs/>
                <w:color w:val="000000"/>
                <w:sz w:val="20"/>
                <w:szCs w:val="20"/>
              </w:rPr>
              <w:t>Van</w:t>
            </w:r>
          </w:p>
        </w:tc>
        <w:tc>
          <w:tcPr>
            <w:tcW w:w="1026" w:type="dxa"/>
            <w:tcBorders>
              <w:top w:val="single" w:sz="4" w:space="0" w:color="auto"/>
              <w:left w:val="single" w:sz="4" w:space="0" w:color="auto"/>
              <w:bottom w:val="double" w:sz="4" w:space="0" w:color="auto"/>
              <w:right w:val="single" w:sz="4" w:space="0" w:color="auto"/>
            </w:tcBorders>
            <w:shd w:val="clear" w:color="auto" w:fill="FFFFFF"/>
            <w:noWrap/>
            <w:tcMar>
              <w:left w:w="58" w:type="dxa"/>
              <w:right w:w="58" w:type="dxa"/>
            </w:tcMar>
            <w:vAlign w:val="center"/>
            <w:hideMark/>
          </w:tcPr>
          <w:p w:rsidR="00553744" w:rsidRPr="00627808" w:rsidRDefault="00553744" w:rsidP="00A071C3">
            <w:pPr>
              <w:jc w:val="center"/>
              <w:rPr>
                <w:b/>
                <w:bCs/>
                <w:color w:val="000000"/>
                <w:sz w:val="20"/>
                <w:szCs w:val="20"/>
              </w:rPr>
            </w:pPr>
            <w:r w:rsidRPr="00627808">
              <w:rPr>
                <w:b/>
                <w:bCs/>
                <w:color w:val="000000"/>
                <w:sz w:val="20"/>
                <w:szCs w:val="20"/>
              </w:rPr>
              <w:t>SUV</w:t>
            </w:r>
          </w:p>
        </w:tc>
        <w:tc>
          <w:tcPr>
            <w:tcW w:w="1026" w:type="dxa"/>
            <w:tcBorders>
              <w:top w:val="single" w:sz="4" w:space="0" w:color="auto"/>
              <w:left w:val="single" w:sz="4" w:space="0" w:color="auto"/>
              <w:bottom w:val="double" w:sz="4" w:space="0" w:color="auto"/>
              <w:right w:val="single" w:sz="4" w:space="0" w:color="auto"/>
            </w:tcBorders>
            <w:shd w:val="clear" w:color="auto" w:fill="FFFFFF"/>
            <w:noWrap/>
            <w:tcMar>
              <w:left w:w="58" w:type="dxa"/>
              <w:right w:w="58" w:type="dxa"/>
            </w:tcMar>
            <w:vAlign w:val="center"/>
            <w:hideMark/>
          </w:tcPr>
          <w:p w:rsidR="00553744" w:rsidRPr="00627808" w:rsidRDefault="00553744" w:rsidP="00A071C3">
            <w:pPr>
              <w:jc w:val="center"/>
              <w:rPr>
                <w:b/>
                <w:bCs/>
                <w:color w:val="000000"/>
                <w:sz w:val="20"/>
                <w:szCs w:val="20"/>
              </w:rPr>
            </w:pPr>
            <w:r w:rsidRPr="00627808">
              <w:rPr>
                <w:b/>
                <w:bCs/>
                <w:color w:val="000000"/>
                <w:sz w:val="20"/>
                <w:szCs w:val="20"/>
              </w:rPr>
              <w:t>Pickup truck</w:t>
            </w:r>
          </w:p>
        </w:tc>
        <w:tc>
          <w:tcPr>
            <w:tcW w:w="1026" w:type="dxa"/>
            <w:tcBorders>
              <w:top w:val="single" w:sz="4" w:space="0" w:color="auto"/>
              <w:left w:val="single" w:sz="4" w:space="0" w:color="auto"/>
              <w:bottom w:val="double" w:sz="4" w:space="0" w:color="auto"/>
              <w:right w:val="double" w:sz="4" w:space="0" w:color="auto"/>
            </w:tcBorders>
            <w:shd w:val="clear" w:color="auto" w:fill="FFFFFF"/>
            <w:noWrap/>
            <w:tcMar>
              <w:left w:w="58" w:type="dxa"/>
              <w:right w:w="58" w:type="dxa"/>
            </w:tcMar>
            <w:vAlign w:val="center"/>
            <w:hideMark/>
          </w:tcPr>
          <w:p w:rsidR="00553744" w:rsidRPr="00627808" w:rsidRDefault="00553744" w:rsidP="00A071C3">
            <w:pPr>
              <w:jc w:val="center"/>
              <w:rPr>
                <w:b/>
                <w:bCs/>
                <w:color w:val="000000"/>
                <w:sz w:val="20"/>
                <w:szCs w:val="20"/>
              </w:rPr>
            </w:pPr>
            <w:r w:rsidRPr="00627808">
              <w:rPr>
                <w:b/>
                <w:bCs/>
                <w:color w:val="000000"/>
                <w:sz w:val="20"/>
                <w:szCs w:val="20"/>
              </w:rPr>
              <w:t>Other</w:t>
            </w:r>
          </w:p>
        </w:tc>
      </w:tr>
      <w:tr w:rsidR="00553744" w:rsidRPr="00627808" w:rsidTr="00A071C3">
        <w:trPr>
          <w:trHeight w:val="576"/>
        </w:trPr>
        <w:tc>
          <w:tcPr>
            <w:tcW w:w="4675" w:type="dxa"/>
            <w:tcBorders>
              <w:top w:val="double" w:sz="4" w:space="0" w:color="auto"/>
              <w:left w:val="double" w:sz="4" w:space="0" w:color="auto"/>
              <w:bottom w:val="nil"/>
              <w:right w:val="double" w:sz="4" w:space="0" w:color="auto"/>
            </w:tcBorders>
            <w:shd w:val="clear" w:color="auto" w:fill="FFFFFF"/>
            <w:tcMar>
              <w:left w:w="58" w:type="dxa"/>
              <w:right w:w="58" w:type="dxa"/>
            </w:tcMar>
            <w:hideMark/>
          </w:tcPr>
          <w:p w:rsidR="00553744" w:rsidRPr="00627808" w:rsidRDefault="00553744" w:rsidP="00EE5B23">
            <w:pPr>
              <w:rPr>
                <w:b/>
                <w:bCs/>
                <w:i/>
                <w:iCs/>
                <w:color w:val="000000"/>
                <w:sz w:val="20"/>
                <w:szCs w:val="20"/>
              </w:rPr>
            </w:pPr>
            <w:r w:rsidRPr="00627808">
              <w:rPr>
                <w:b/>
                <w:bCs/>
                <w:i/>
                <w:iCs/>
                <w:color w:val="000000"/>
                <w:sz w:val="20"/>
                <w:szCs w:val="20"/>
              </w:rPr>
              <w:t>Household sociodemographic</w:t>
            </w:r>
          </w:p>
        </w:tc>
        <w:tc>
          <w:tcPr>
            <w:tcW w:w="1026" w:type="dxa"/>
            <w:tcBorders>
              <w:top w:val="double" w:sz="4" w:space="0" w:color="auto"/>
              <w:left w:val="doub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double" w:sz="4" w:space="0" w:color="auto"/>
              <w:left w:val="sing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double" w:sz="4" w:space="0" w:color="auto"/>
              <w:left w:val="sing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double" w:sz="4" w:space="0" w:color="auto"/>
              <w:left w:val="sing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double" w:sz="4" w:space="0" w:color="auto"/>
              <w:left w:val="single" w:sz="4" w:space="0" w:color="auto"/>
              <w:bottom w:val="nil"/>
              <w:right w:val="doub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170"/>
              <w:rPr>
                <w:i/>
                <w:iCs/>
                <w:color w:val="000000"/>
                <w:sz w:val="20"/>
                <w:szCs w:val="20"/>
              </w:rPr>
            </w:pPr>
            <w:r w:rsidRPr="00627808">
              <w:rPr>
                <w:i/>
                <w:iCs/>
                <w:color w:val="000000"/>
                <w:sz w:val="20"/>
                <w:szCs w:val="20"/>
              </w:rPr>
              <w:t>Household Income</w:t>
            </w:r>
          </w:p>
        </w:tc>
        <w:tc>
          <w:tcPr>
            <w:tcW w:w="1026" w:type="dxa"/>
            <w:tcBorders>
              <w:top w:val="nil"/>
              <w:left w:val="doub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nil"/>
              <w:left w:val="sing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nil"/>
              <w:left w:val="sing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nil"/>
              <w:left w:val="sing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nil"/>
              <w:left w:val="single" w:sz="4" w:space="0" w:color="auto"/>
              <w:bottom w:val="nil"/>
              <w:right w:val="doub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284"/>
              <w:rPr>
                <w:color w:val="000000"/>
                <w:sz w:val="20"/>
                <w:szCs w:val="20"/>
              </w:rPr>
            </w:pPr>
            <w:r w:rsidRPr="00627808">
              <w:rPr>
                <w:color w:val="000000"/>
                <w:sz w:val="20"/>
                <w:szCs w:val="20"/>
              </w:rPr>
              <w:t>Income less than $35,000 annually</w:t>
            </w:r>
          </w:p>
        </w:tc>
        <w:tc>
          <w:tcPr>
            <w:tcW w:w="1026" w:type="dxa"/>
            <w:tcBorders>
              <w:top w:val="nil"/>
              <w:left w:val="double" w:sz="4" w:space="0" w:color="auto"/>
              <w:bottom w:val="nil"/>
              <w:right w:val="sing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r w:rsidR="00553744" w:rsidRPr="00627808">
              <w:rPr>
                <w:color w:val="000000"/>
                <w:sz w:val="20"/>
                <w:szCs w:val="20"/>
              </w:rPr>
              <w:br/>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Default="00553744" w:rsidP="00A071C3">
            <w:pPr>
              <w:jc w:val="right"/>
              <w:rPr>
                <w:color w:val="000000"/>
                <w:sz w:val="20"/>
                <w:szCs w:val="20"/>
              </w:rPr>
            </w:pPr>
            <w:r>
              <w:rPr>
                <w:color w:val="000000"/>
                <w:sz w:val="20"/>
                <w:szCs w:val="20"/>
              </w:rPr>
              <w:t>0.3</w:t>
            </w:r>
            <w:r w:rsidR="00BE466E">
              <w:rPr>
                <w:color w:val="000000"/>
                <w:sz w:val="20"/>
                <w:szCs w:val="20"/>
              </w:rPr>
              <w:t>31</w:t>
            </w:r>
          </w:p>
          <w:p w:rsidR="00553744" w:rsidRPr="00627808" w:rsidRDefault="00553744" w:rsidP="00A071C3">
            <w:pPr>
              <w:jc w:val="right"/>
              <w:rPr>
                <w:color w:val="000000"/>
                <w:sz w:val="20"/>
                <w:szCs w:val="20"/>
              </w:rPr>
            </w:pPr>
            <w:r>
              <w:rPr>
                <w:color w:val="000000"/>
                <w:sz w:val="20"/>
                <w:szCs w:val="20"/>
              </w:rPr>
              <w:t>(</w:t>
            </w:r>
            <w:r w:rsidR="00BE466E">
              <w:rPr>
                <w:color w:val="000000"/>
                <w:sz w:val="20"/>
                <w:szCs w:val="20"/>
              </w:rPr>
              <w:t>2</w:t>
            </w:r>
            <w:r w:rsidR="000B3BCB">
              <w:rPr>
                <w:color w:val="000000"/>
                <w:sz w:val="20"/>
                <w:szCs w:val="20"/>
              </w:rPr>
              <w:t>.</w:t>
            </w:r>
            <w:r w:rsidR="00BE466E">
              <w:rPr>
                <w:color w:val="000000"/>
                <w:sz w:val="20"/>
                <w:szCs w:val="20"/>
              </w:rPr>
              <w:t>37</w:t>
            </w:r>
            <w:r>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jc w:val="right"/>
              <w:rPr>
                <w:color w:val="538135"/>
                <w:sz w:val="20"/>
                <w:szCs w:val="20"/>
              </w:rPr>
            </w:pPr>
            <w:r w:rsidRPr="00627808">
              <w:rPr>
                <w:color w:val="000000"/>
                <w:sz w:val="20"/>
                <w:szCs w:val="20"/>
              </w:rPr>
              <w:t xml:space="preserve">   </w:t>
            </w:r>
            <w:r w:rsidR="00A071C3">
              <w:rPr>
                <w:color w:val="000000"/>
                <w:sz w:val="20"/>
                <w:szCs w:val="20"/>
              </w:rPr>
              <w:t>-</w:t>
            </w:r>
            <w:r w:rsidRPr="00627808">
              <w:rPr>
                <w:color w:val="000000"/>
                <w:sz w:val="20"/>
                <w:szCs w:val="20"/>
              </w:rPr>
              <w:t xml:space="preserve">- </w:t>
            </w:r>
          </w:p>
        </w:tc>
        <w:tc>
          <w:tcPr>
            <w:tcW w:w="1026" w:type="dxa"/>
            <w:tcBorders>
              <w:top w:val="nil"/>
              <w:left w:val="single" w:sz="4" w:space="0" w:color="auto"/>
              <w:bottom w:val="nil"/>
              <w:right w:val="double" w:sz="4" w:space="0" w:color="auto"/>
            </w:tcBorders>
            <w:shd w:val="clear" w:color="auto" w:fill="FFFFFF"/>
            <w:tcMar>
              <w:left w:w="58" w:type="dxa"/>
              <w:right w:w="58" w:type="dxa"/>
            </w:tcMar>
            <w:hideMark/>
          </w:tcPr>
          <w:p w:rsidR="00553744" w:rsidRDefault="00A071C3" w:rsidP="00A071C3">
            <w:pPr>
              <w:jc w:val="right"/>
              <w:rPr>
                <w:color w:val="000000"/>
                <w:sz w:val="20"/>
                <w:szCs w:val="20"/>
              </w:rPr>
            </w:pPr>
            <w:r>
              <w:rPr>
                <w:color w:val="000000"/>
                <w:sz w:val="20"/>
                <w:szCs w:val="20"/>
              </w:rPr>
              <w:t>-</w:t>
            </w:r>
            <w:r w:rsidR="00BE466E">
              <w:rPr>
                <w:color w:val="000000"/>
                <w:sz w:val="20"/>
                <w:szCs w:val="20"/>
              </w:rPr>
              <w:t>0.221</w:t>
            </w:r>
          </w:p>
          <w:p w:rsidR="00BE466E" w:rsidRPr="00627808" w:rsidRDefault="00BE466E" w:rsidP="00A071C3">
            <w:pPr>
              <w:jc w:val="right"/>
              <w:rPr>
                <w:color w:val="000000"/>
                <w:sz w:val="20"/>
                <w:szCs w:val="20"/>
              </w:rPr>
            </w:pPr>
            <w:r>
              <w:rPr>
                <w:color w:val="000000"/>
                <w:sz w:val="20"/>
                <w:szCs w:val="20"/>
              </w:rPr>
              <w:t>(-1.30)</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284"/>
              <w:rPr>
                <w:color w:val="000000"/>
                <w:sz w:val="20"/>
                <w:szCs w:val="20"/>
              </w:rPr>
            </w:pPr>
            <w:r w:rsidRPr="00627808">
              <w:rPr>
                <w:color w:val="000000"/>
                <w:sz w:val="20"/>
                <w:szCs w:val="20"/>
              </w:rPr>
              <w:t>Income between $35,000 - $75,000 annually</w:t>
            </w:r>
          </w:p>
        </w:tc>
        <w:tc>
          <w:tcPr>
            <w:tcW w:w="1026" w:type="dxa"/>
            <w:tcBorders>
              <w:top w:val="nil"/>
              <w:left w:val="double" w:sz="4" w:space="0" w:color="auto"/>
              <w:bottom w:val="nil"/>
              <w:right w:val="sing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r w:rsidR="00553744" w:rsidRPr="00627808">
              <w:rPr>
                <w:color w:val="000000"/>
                <w:sz w:val="20"/>
                <w:szCs w:val="20"/>
              </w:rPr>
              <w:br/>
            </w: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Pr>
                <w:color w:val="000000"/>
                <w:sz w:val="20"/>
                <w:szCs w:val="20"/>
              </w:rPr>
              <w:t>0.</w:t>
            </w:r>
            <w:r w:rsidR="00BE466E">
              <w:rPr>
                <w:color w:val="000000"/>
                <w:sz w:val="20"/>
                <w:szCs w:val="20"/>
              </w:rPr>
              <w:t>244</w:t>
            </w:r>
            <w:r w:rsidRPr="00627808">
              <w:rPr>
                <w:color w:val="000000"/>
                <w:sz w:val="20"/>
                <w:szCs w:val="20"/>
              </w:rPr>
              <w:br/>
              <w:t>(</w:t>
            </w:r>
            <w:r w:rsidR="00BE466E">
              <w:rPr>
                <w:color w:val="000000"/>
                <w:sz w:val="20"/>
                <w:szCs w:val="20"/>
              </w:rPr>
              <w:t>2.14</w:t>
            </w:r>
            <w:r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7D7A10" w:rsidRDefault="00553744" w:rsidP="00A071C3">
            <w:pPr>
              <w:jc w:val="right"/>
              <w:rPr>
                <w:sz w:val="20"/>
                <w:szCs w:val="20"/>
              </w:rPr>
            </w:pPr>
            <w:r w:rsidRPr="007D7A10">
              <w:rPr>
                <w:sz w:val="20"/>
                <w:szCs w:val="20"/>
              </w:rPr>
              <w:t>0</w:t>
            </w:r>
            <w:r w:rsidR="00BE466E">
              <w:rPr>
                <w:sz w:val="20"/>
                <w:szCs w:val="20"/>
              </w:rPr>
              <w:t>.227</w:t>
            </w:r>
          </w:p>
          <w:p w:rsidR="00553744" w:rsidRDefault="00553744" w:rsidP="00A071C3">
            <w:pPr>
              <w:jc w:val="right"/>
              <w:rPr>
                <w:color w:val="538135"/>
                <w:sz w:val="20"/>
                <w:szCs w:val="20"/>
              </w:rPr>
            </w:pPr>
            <w:r w:rsidRPr="007D7A10">
              <w:rPr>
                <w:sz w:val="20"/>
                <w:szCs w:val="20"/>
              </w:rPr>
              <w:t>(</w:t>
            </w:r>
            <w:r w:rsidR="00BE466E">
              <w:rPr>
                <w:sz w:val="20"/>
                <w:szCs w:val="20"/>
              </w:rPr>
              <w:t>1.71</w:t>
            </w:r>
            <w:r>
              <w:rPr>
                <w:color w:val="538135"/>
                <w:sz w:val="20"/>
                <w:szCs w:val="20"/>
              </w:rPr>
              <w:t>)</w:t>
            </w:r>
          </w:p>
          <w:p w:rsidR="00553744" w:rsidRPr="00627808" w:rsidRDefault="00553744" w:rsidP="00A071C3">
            <w:pPr>
              <w:jc w:val="right"/>
              <w:rPr>
                <w:color w:val="538135"/>
                <w:sz w:val="20"/>
                <w:szCs w:val="20"/>
              </w:rPr>
            </w:pPr>
          </w:p>
        </w:tc>
        <w:tc>
          <w:tcPr>
            <w:tcW w:w="1026" w:type="dxa"/>
            <w:tcBorders>
              <w:top w:val="nil"/>
              <w:left w:val="single" w:sz="4" w:space="0" w:color="auto"/>
              <w:bottom w:val="nil"/>
              <w:right w:val="doub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284"/>
              <w:rPr>
                <w:color w:val="000000"/>
                <w:sz w:val="20"/>
                <w:szCs w:val="20"/>
              </w:rPr>
            </w:pPr>
            <w:r w:rsidRPr="00627808">
              <w:rPr>
                <w:color w:val="000000"/>
                <w:sz w:val="20"/>
                <w:szCs w:val="20"/>
              </w:rPr>
              <w:t>Income between $75,000 - $125,000 annually</w:t>
            </w:r>
          </w:p>
        </w:tc>
        <w:tc>
          <w:tcPr>
            <w:tcW w:w="1026" w:type="dxa"/>
            <w:tcBorders>
              <w:top w:val="nil"/>
              <w:left w:val="double" w:sz="4" w:space="0" w:color="auto"/>
              <w:bottom w:val="nil"/>
              <w:right w:val="sing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r w:rsidR="00553744" w:rsidRPr="00627808">
              <w:rPr>
                <w:color w:val="000000"/>
                <w:sz w:val="20"/>
                <w:szCs w:val="20"/>
              </w:rPr>
              <w:br/>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Default="00553744" w:rsidP="00A071C3">
            <w:pPr>
              <w:jc w:val="right"/>
              <w:rPr>
                <w:color w:val="000000"/>
                <w:sz w:val="20"/>
                <w:szCs w:val="20"/>
              </w:rPr>
            </w:pPr>
            <w:r>
              <w:rPr>
                <w:color w:val="000000"/>
                <w:sz w:val="20"/>
                <w:szCs w:val="20"/>
              </w:rPr>
              <w:t>0.</w:t>
            </w:r>
            <w:r w:rsidR="00BE466E">
              <w:rPr>
                <w:color w:val="000000"/>
                <w:sz w:val="20"/>
                <w:szCs w:val="20"/>
              </w:rPr>
              <w:t>478</w:t>
            </w:r>
          </w:p>
          <w:p w:rsidR="00553744" w:rsidRPr="00627808" w:rsidRDefault="00553744" w:rsidP="00A071C3">
            <w:pPr>
              <w:jc w:val="right"/>
              <w:rPr>
                <w:color w:val="000000"/>
                <w:sz w:val="20"/>
                <w:szCs w:val="20"/>
              </w:rPr>
            </w:pPr>
            <w:r>
              <w:rPr>
                <w:color w:val="000000"/>
                <w:sz w:val="20"/>
                <w:szCs w:val="20"/>
              </w:rPr>
              <w:t>(</w:t>
            </w:r>
            <w:r w:rsidR="00BE466E">
              <w:rPr>
                <w:color w:val="000000"/>
                <w:sz w:val="20"/>
                <w:szCs w:val="20"/>
              </w:rPr>
              <w:t>3</w:t>
            </w:r>
            <w:r w:rsidR="000B3BCB">
              <w:rPr>
                <w:color w:val="000000"/>
                <w:sz w:val="20"/>
                <w:szCs w:val="20"/>
              </w:rPr>
              <w:t>.</w:t>
            </w:r>
            <w:r w:rsidR="00BE466E">
              <w:rPr>
                <w:color w:val="000000"/>
                <w:sz w:val="20"/>
                <w:szCs w:val="20"/>
              </w:rPr>
              <w:t>63</w:t>
            </w:r>
            <w:r>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Default="00553744" w:rsidP="00A071C3">
            <w:pPr>
              <w:jc w:val="right"/>
              <w:rPr>
                <w:color w:val="000000"/>
                <w:sz w:val="20"/>
                <w:szCs w:val="20"/>
              </w:rPr>
            </w:pPr>
            <w:r>
              <w:rPr>
                <w:color w:val="000000"/>
                <w:sz w:val="20"/>
                <w:szCs w:val="20"/>
              </w:rPr>
              <w:t>0.</w:t>
            </w:r>
            <w:r w:rsidR="00BE466E">
              <w:rPr>
                <w:color w:val="000000"/>
                <w:sz w:val="20"/>
                <w:szCs w:val="20"/>
              </w:rPr>
              <w:t>590</w:t>
            </w:r>
          </w:p>
          <w:p w:rsidR="00553744" w:rsidRPr="00627808" w:rsidRDefault="00553744" w:rsidP="00A071C3">
            <w:pPr>
              <w:jc w:val="right"/>
              <w:rPr>
                <w:color w:val="000000"/>
                <w:sz w:val="20"/>
                <w:szCs w:val="20"/>
              </w:rPr>
            </w:pPr>
            <w:r>
              <w:rPr>
                <w:color w:val="000000"/>
                <w:sz w:val="20"/>
                <w:szCs w:val="20"/>
              </w:rPr>
              <w:t>(</w:t>
            </w:r>
            <w:r w:rsidR="00BE466E">
              <w:rPr>
                <w:color w:val="000000"/>
                <w:sz w:val="20"/>
                <w:szCs w:val="20"/>
              </w:rPr>
              <w:t>3.94</w:t>
            </w:r>
            <w:r>
              <w:rPr>
                <w:color w:val="000000"/>
                <w:sz w:val="20"/>
                <w:szCs w:val="20"/>
              </w:rPr>
              <w:t>)</w:t>
            </w:r>
          </w:p>
        </w:tc>
        <w:tc>
          <w:tcPr>
            <w:tcW w:w="1026" w:type="dxa"/>
            <w:tcBorders>
              <w:top w:val="nil"/>
              <w:left w:val="single" w:sz="4" w:space="0" w:color="auto"/>
              <w:bottom w:val="nil"/>
              <w:right w:val="doub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tcPr>
          <w:p w:rsidR="00553744" w:rsidRPr="00627808" w:rsidRDefault="00553744" w:rsidP="00EE5B23">
            <w:pPr>
              <w:ind w:left="284"/>
              <w:rPr>
                <w:color w:val="000000"/>
                <w:sz w:val="20"/>
                <w:szCs w:val="20"/>
              </w:rPr>
            </w:pPr>
            <w:r>
              <w:rPr>
                <w:color w:val="000000"/>
                <w:sz w:val="20"/>
                <w:szCs w:val="20"/>
              </w:rPr>
              <w:t>Income greater than $125,000 annually</w:t>
            </w:r>
          </w:p>
        </w:tc>
        <w:tc>
          <w:tcPr>
            <w:tcW w:w="1026" w:type="dxa"/>
            <w:tcBorders>
              <w:top w:val="nil"/>
              <w:left w:val="double" w:sz="4" w:space="0" w:color="auto"/>
              <w:bottom w:val="nil"/>
              <w:right w:val="single" w:sz="4" w:space="0" w:color="auto"/>
            </w:tcBorders>
            <w:shd w:val="clear" w:color="auto" w:fill="FFFFFF"/>
            <w:tcMar>
              <w:left w:w="58" w:type="dxa"/>
              <w:right w:w="58" w:type="dxa"/>
            </w:tcMar>
          </w:tcPr>
          <w:p w:rsidR="00553744" w:rsidRPr="00627808" w:rsidRDefault="00A071C3" w:rsidP="00A071C3">
            <w:pPr>
              <w:jc w:val="right"/>
              <w:rPr>
                <w:color w:val="000000"/>
                <w:sz w:val="20"/>
                <w:szCs w:val="20"/>
              </w:rPr>
            </w:pPr>
            <w:r>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Pr="00627808" w:rsidRDefault="00A071C3" w:rsidP="00A071C3">
            <w:pPr>
              <w:jc w:val="right"/>
              <w:rPr>
                <w:color w:val="000000"/>
                <w:sz w:val="20"/>
                <w:szCs w:val="20"/>
              </w:rPr>
            </w:pPr>
            <w:r>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Default="00553744" w:rsidP="00A071C3">
            <w:pPr>
              <w:jc w:val="right"/>
              <w:rPr>
                <w:color w:val="000000"/>
                <w:sz w:val="20"/>
                <w:szCs w:val="20"/>
              </w:rPr>
            </w:pPr>
            <w:r>
              <w:rPr>
                <w:color w:val="000000"/>
                <w:sz w:val="20"/>
                <w:szCs w:val="20"/>
              </w:rPr>
              <w:t>1.</w:t>
            </w:r>
            <w:r w:rsidR="00BE466E">
              <w:rPr>
                <w:color w:val="000000"/>
                <w:sz w:val="20"/>
                <w:szCs w:val="20"/>
              </w:rPr>
              <w:t>231</w:t>
            </w:r>
          </w:p>
          <w:p w:rsidR="00553744" w:rsidRPr="00627808" w:rsidRDefault="00553744" w:rsidP="00A071C3">
            <w:pPr>
              <w:jc w:val="right"/>
              <w:rPr>
                <w:color w:val="000000"/>
                <w:sz w:val="20"/>
                <w:szCs w:val="20"/>
              </w:rPr>
            </w:pPr>
            <w:r>
              <w:rPr>
                <w:color w:val="000000"/>
                <w:sz w:val="20"/>
                <w:szCs w:val="20"/>
              </w:rPr>
              <w:t>(</w:t>
            </w:r>
            <w:r w:rsidR="00BE466E">
              <w:rPr>
                <w:color w:val="000000"/>
                <w:sz w:val="20"/>
                <w:szCs w:val="20"/>
              </w:rPr>
              <w:t>7.26</w:t>
            </w:r>
            <w:r>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Default="00553744" w:rsidP="00A071C3">
            <w:pPr>
              <w:jc w:val="right"/>
              <w:rPr>
                <w:color w:val="000000"/>
                <w:sz w:val="20"/>
                <w:szCs w:val="20"/>
              </w:rPr>
            </w:pPr>
            <w:r>
              <w:rPr>
                <w:color w:val="000000"/>
                <w:sz w:val="20"/>
                <w:szCs w:val="20"/>
              </w:rPr>
              <w:t>0.</w:t>
            </w:r>
            <w:r w:rsidR="00BE466E">
              <w:rPr>
                <w:color w:val="000000"/>
                <w:sz w:val="20"/>
                <w:szCs w:val="20"/>
              </w:rPr>
              <w:t>318</w:t>
            </w:r>
          </w:p>
          <w:p w:rsidR="00553744" w:rsidRPr="00627808" w:rsidRDefault="00553744" w:rsidP="00A071C3">
            <w:pPr>
              <w:jc w:val="right"/>
              <w:rPr>
                <w:color w:val="000000"/>
                <w:sz w:val="20"/>
                <w:szCs w:val="20"/>
              </w:rPr>
            </w:pPr>
            <w:r>
              <w:rPr>
                <w:color w:val="000000"/>
                <w:sz w:val="20"/>
                <w:szCs w:val="20"/>
              </w:rPr>
              <w:t>(</w:t>
            </w:r>
            <w:r w:rsidR="00BE466E">
              <w:rPr>
                <w:color w:val="000000"/>
                <w:sz w:val="20"/>
                <w:szCs w:val="20"/>
              </w:rPr>
              <w:t>1.95</w:t>
            </w:r>
            <w:r>
              <w:rPr>
                <w:color w:val="000000"/>
                <w:sz w:val="20"/>
                <w:szCs w:val="20"/>
              </w:rPr>
              <w:t>)</w:t>
            </w:r>
          </w:p>
        </w:tc>
        <w:tc>
          <w:tcPr>
            <w:tcW w:w="1026" w:type="dxa"/>
            <w:tcBorders>
              <w:top w:val="nil"/>
              <w:left w:val="single" w:sz="4" w:space="0" w:color="auto"/>
              <w:bottom w:val="nil"/>
              <w:right w:val="double" w:sz="4" w:space="0" w:color="auto"/>
            </w:tcBorders>
            <w:shd w:val="clear" w:color="auto" w:fill="FFFFFF"/>
            <w:tcMar>
              <w:left w:w="58" w:type="dxa"/>
              <w:right w:w="58" w:type="dxa"/>
            </w:tcMar>
          </w:tcPr>
          <w:p w:rsidR="00553744" w:rsidRPr="00627808" w:rsidRDefault="00A071C3" w:rsidP="00A071C3">
            <w:pPr>
              <w:jc w:val="right"/>
              <w:rPr>
                <w:color w:val="000000"/>
                <w:sz w:val="20"/>
                <w:szCs w:val="20"/>
              </w:rPr>
            </w:pPr>
            <w:r>
              <w:rPr>
                <w:color w:val="000000"/>
                <w:sz w:val="20"/>
                <w:szCs w:val="20"/>
              </w:rPr>
              <w:t>--</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tcPr>
          <w:p w:rsidR="00553744" w:rsidRPr="00627808" w:rsidRDefault="00553744" w:rsidP="00EE5B23">
            <w:pPr>
              <w:ind w:left="170"/>
              <w:rPr>
                <w:color w:val="000000"/>
                <w:sz w:val="20"/>
                <w:szCs w:val="20"/>
              </w:rPr>
            </w:pPr>
            <w:r w:rsidRPr="00627808">
              <w:rPr>
                <w:color w:val="000000"/>
                <w:sz w:val="20"/>
                <w:szCs w:val="20"/>
              </w:rPr>
              <w:t>Number of children in the household</w:t>
            </w:r>
          </w:p>
        </w:tc>
        <w:tc>
          <w:tcPr>
            <w:tcW w:w="1026" w:type="dxa"/>
            <w:tcBorders>
              <w:top w:val="nil"/>
              <w:left w:val="double" w:sz="4" w:space="0" w:color="auto"/>
              <w:bottom w:val="nil"/>
              <w:right w:val="single" w:sz="4" w:space="0" w:color="auto"/>
            </w:tcBorders>
            <w:shd w:val="clear" w:color="auto" w:fill="FFFFFF"/>
            <w:tcMar>
              <w:left w:w="58" w:type="dxa"/>
              <w:right w:w="58" w:type="dxa"/>
            </w:tcMar>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tcPr>
          <w:p w:rsidR="00553744" w:rsidRPr="00627808" w:rsidRDefault="00553744" w:rsidP="00A071C3">
            <w:pPr>
              <w:jc w:val="right"/>
              <w:rPr>
                <w:color w:val="000000"/>
                <w:sz w:val="20"/>
                <w:szCs w:val="20"/>
              </w:rPr>
            </w:pPr>
            <w:r w:rsidRPr="00627808">
              <w:rPr>
                <w:color w:val="000000"/>
                <w:sz w:val="20"/>
                <w:szCs w:val="20"/>
              </w:rPr>
              <w:t>0.</w:t>
            </w:r>
            <w:r>
              <w:rPr>
                <w:color w:val="000000"/>
                <w:sz w:val="20"/>
                <w:szCs w:val="20"/>
              </w:rPr>
              <w:t>3</w:t>
            </w:r>
            <w:r w:rsidR="00BE466E">
              <w:rPr>
                <w:color w:val="000000"/>
                <w:sz w:val="20"/>
                <w:szCs w:val="20"/>
              </w:rPr>
              <w:t>29</w:t>
            </w:r>
            <w:r w:rsidRPr="00627808">
              <w:rPr>
                <w:color w:val="000000"/>
                <w:sz w:val="20"/>
                <w:szCs w:val="20"/>
              </w:rPr>
              <w:br/>
              <w:t>(</w:t>
            </w:r>
            <w:r>
              <w:rPr>
                <w:color w:val="000000"/>
                <w:sz w:val="20"/>
                <w:szCs w:val="20"/>
              </w:rPr>
              <w:t>6.</w:t>
            </w:r>
            <w:r w:rsidR="00BE466E">
              <w:rPr>
                <w:color w:val="000000"/>
                <w:sz w:val="20"/>
                <w:szCs w:val="20"/>
              </w:rPr>
              <w:t>58</w:t>
            </w:r>
            <w:r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double" w:sz="4" w:space="0" w:color="auto"/>
            </w:tcBorders>
            <w:shd w:val="clear" w:color="auto" w:fill="FFFFFF"/>
            <w:tcMar>
              <w:left w:w="58" w:type="dxa"/>
              <w:right w:w="58" w:type="dxa"/>
            </w:tcMar>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170"/>
              <w:rPr>
                <w:color w:val="000000"/>
                <w:sz w:val="20"/>
                <w:szCs w:val="20"/>
              </w:rPr>
            </w:pPr>
            <w:r w:rsidRPr="00627808">
              <w:rPr>
                <w:color w:val="000000"/>
                <w:sz w:val="20"/>
                <w:szCs w:val="20"/>
              </w:rPr>
              <w:t>Number of adults in the household</w:t>
            </w:r>
          </w:p>
        </w:tc>
        <w:tc>
          <w:tcPr>
            <w:tcW w:w="1026" w:type="dxa"/>
            <w:tcBorders>
              <w:top w:val="nil"/>
              <w:left w:val="doub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-0</w:t>
            </w:r>
            <w:r>
              <w:rPr>
                <w:color w:val="000000"/>
                <w:sz w:val="20"/>
                <w:szCs w:val="20"/>
              </w:rPr>
              <w:t>.</w:t>
            </w:r>
            <w:r w:rsidR="00222FFE">
              <w:rPr>
                <w:color w:val="000000"/>
                <w:sz w:val="20"/>
                <w:szCs w:val="20"/>
              </w:rPr>
              <w:t>406</w:t>
            </w:r>
            <w:r w:rsidRPr="00627808">
              <w:rPr>
                <w:color w:val="000000"/>
                <w:sz w:val="20"/>
                <w:szCs w:val="20"/>
              </w:rPr>
              <w:br/>
              <w:t>(-</w:t>
            </w:r>
            <w:r>
              <w:rPr>
                <w:color w:val="000000"/>
                <w:sz w:val="20"/>
                <w:szCs w:val="20"/>
              </w:rPr>
              <w:t>5.</w:t>
            </w:r>
            <w:r w:rsidR="00222FFE">
              <w:rPr>
                <w:color w:val="000000"/>
                <w:sz w:val="20"/>
                <w:szCs w:val="20"/>
              </w:rPr>
              <w:t>87</w:t>
            </w:r>
            <w:r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0.</w:t>
            </w:r>
            <w:r w:rsidR="00222FFE">
              <w:rPr>
                <w:color w:val="000000"/>
                <w:sz w:val="20"/>
                <w:szCs w:val="20"/>
              </w:rPr>
              <w:t>317</w:t>
            </w:r>
            <w:r w:rsidRPr="00627808">
              <w:rPr>
                <w:color w:val="000000"/>
                <w:sz w:val="20"/>
                <w:szCs w:val="20"/>
              </w:rPr>
              <w:br/>
              <w:t>(</w:t>
            </w:r>
            <w:r>
              <w:rPr>
                <w:color w:val="000000"/>
                <w:sz w:val="20"/>
                <w:szCs w:val="20"/>
              </w:rPr>
              <w:t>2.</w:t>
            </w:r>
            <w:r w:rsidR="00222FFE">
              <w:rPr>
                <w:color w:val="000000"/>
                <w:sz w:val="20"/>
                <w:szCs w:val="20"/>
              </w:rPr>
              <w:t>91</w:t>
            </w:r>
            <w:r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doub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170"/>
              <w:rPr>
                <w:color w:val="000000"/>
                <w:sz w:val="20"/>
                <w:szCs w:val="20"/>
              </w:rPr>
            </w:pPr>
            <w:r w:rsidRPr="00627808">
              <w:rPr>
                <w:color w:val="000000"/>
                <w:sz w:val="20"/>
                <w:szCs w:val="20"/>
              </w:rPr>
              <w:t xml:space="preserve">Race is </w:t>
            </w:r>
            <w:r>
              <w:rPr>
                <w:color w:val="000000"/>
                <w:sz w:val="20"/>
                <w:szCs w:val="20"/>
              </w:rPr>
              <w:t>w</w:t>
            </w:r>
            <w:r w:rsidRPr="00627808">
              <w:rPr>
                <w:color w:val="000000"/>
                <w:sz w:val="20"/>
                <w:szCs w:val="20"/>
              </w:rPr>
              <w:t>hite (Base: Non-white)</w:t>
            </w:r>
          </w:p>
        </w:tc>
        <w:tc>
          <w:tcPr>
            <w:tcW w:w="1026" w:type="dxa"/>
            <w:tcBorders>
              <w:top w:val="nil"/>
              <w:left w:val="doub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0.</w:t>
            </w:r>
            <w:r>
              <w:rPr>
                <w:color w:val="000000"/>
                <w:sz w:val="20"/>
                <w:szCs w:val="20"/>
              </w:rPr>
              <w:t>4</w:t>
            </w:r>
            <w:r w:rsidR="00222FFE">
              <w:rPr>
                <w:color w:val="000000"/>
                <w:sz w:val="20"/>
                <w:szCs w:val="20"/>
              </w:rPr>
              <w:t>3</w:t>
            </w:r>
            <w:r w:rsidR="000B3BCB">
              <w:rPr>
                <w:color w:val="000000"/>
                <w:sz w:val="20"/>
                <w:szCs w:val="20"/>
              </w:rPr>
              <w:t>2</w:t>
            </w:r>
            <w:r w:rsidRPr="00627808">
              <w:rPr>
                <w:color w:val="000000"/>
                <w:sz w:val="20"/>
                <w:szCs w:val="20"/>
              </w:rPr>
              <w:br/>
              <w:t>(</w:t>
            </w:r>
            <w:r>
              <w:rPr>
                <w:color w:val="000000"/>
                <w:sz w:val="20"/>
                <w:szCs w:val="20"/>
              </w:rPr>
              <w:t>3.</w:t>
            </w:r>
            <w:r w:rsidR="00222FFE">
              <w:rPr>
                <w:color w:val="000000"/>
                <w:sz w:val="20"/>
                <w:szCs w:val="20"/>
              </w:rPr>
              <w:t>85</w:t>
            </w:r>
            <w:r w:rsidRPr="00627808">
              <w:rPr>
                <w:color w:val="000000"/>
                <w:sz w:val="20"/>
                <w:szCs w:val="20"/>
              </w:rPr>
              <w:t>)</w:t>
            </w:r>
          </w:p>
        </w:tc>
        <w:tc>
          <w:tcPr>
            <w:tcW w:w="1026" w:type="dxa"/>
            <w:tcBorders>
              <w:top w:val="nil"/>
              <w:left w:val="single" w:sz="4" w:space="0" w:color="auto"/>
              <w:bottom w:val="nil"/>
              <w:right w:val="doub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Pr>
                <w:color w:val="000000"/>
                <w:sz w:val="20"/>
                <w:szCs w:val="20"/>
              </w:rPr>
              <w:t>0.</w:t>
            </w:r>
            <w:r w:rsidR="00222FFE">
              <w:rPr>
                <w:color w:val="000000"/>
                <w:sz w:val="20"/>
                <w:szCs w:val="20"/>
              </w:rPr>
              <w:t>590</w:t>
            </w:r>
            <w:r w:rsidRPr="00627808">
              <w:rPr>
                <w:color w:val="000000"/>
                <w:sz w:val="20"/>
                <w:szCs w:val="20"/>
              </w:rPr>
              <w:br/>
              <w:t>(</w:t>
            </w:r>
            <w:r w:rsidR="00222FFE">
              <w:rPr>
                <w:color w:val="000000"/>
                <w:sz w:val="20"/>
                <w:szCs w:val="20"/>
              </w:rPr>
              <w:t>2.73</w:t>
            </w:r>
            <w:r w:rsidRPr="00627808">
              <w:rPr>
                <w:color w:val="000000"/>
                <w:sz w:val="20"/>
                <w:szCs w:val="20"/>
              </w:rPr>
              <w:t>)</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rPr>
                <w:b/>
                <w:bCs/>
                <w:i/>
                <w:iCs/>
                <w:color w:val="000000"/>
                <w:sz w:val="20"/>
                <w:szCs w:val="20"/>
              </w:rPr>
            </w:pPr>
            <w:r w:rsidRPr="00627808">
              <w:rPr>
                <w:b/>
                <w:bCs/>
                <w:i/>
                <w:iCs/>
                <w:color w:val="000000"/>
                <w:sz w:val="20"/>
                <w:szCs w:val="20"/>
              </w:rPr>
              <w:t>Household location attributes</w:t>
            </w:r>
          </w:p>
        </w:tc>
        <w:tc>
          <w:tcPr>
            <w:tcW w:w="1026" w:type="dxa"/>
            <w:tcBorders>
              <w:top w:val="nil"/>
              <w:left w:val="double" w:sz="4" w:space="0" w:color="auto"/>
              <w:bottom w:val="nil"/>
              <w:right w:val="single" w:sz="4" w:space="0" w:color="auto"/>
            </w:tcBorders>
            <w:shd w:val="clear" w:color="auto" w:fill="FFFFFF"/>
            <w:noWrap/>
            <w:tcMar>
              <w:left w:w="58" w:type="dxa"/>
              <w:right w:w="58" w:type="dxa"/>
            </w:tcMar>
          </w:tcPr>
          <w:p w:rsidR="00553744" w:rsidRPr="00627808" w:rsidRDefault="00553744" w:rsidP="00A071C3">
            <w:pPr>
              <w:jc w:val="right"/>
              <w:rPr>
                <w:color w:val="000000"/>
                <w:sz w:val="20"/>
                <w:szCs w:val="20"/>
              </w:rPr>
            </w:pP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Pr="00627808" w:rsidRDefault="00553744" w:rsidP="00A071C3">
            <w:pPr>
              <w:jc w:val="right"/>
              <w:rPr>
                <w:color w:val="000000"/>
                <w:sz w:val="20"/>
                <w:szCs w:val="20"/>
              </w:rPr>
            </w:pP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Pr="00627808" w:rsidRDefault="00553744" w:rsidP="00A071C3">
            <w:pPr>
              <w:jc w:val="right"/>
              <w:rPr>
                <w:color w:val="000000"/>
                <w:sz w:val="20"/>
                <w:szCs w:val="20"/>
              </w:rPr>
            </w:pPr>
          </w:p>
        </w:tc>
        <w:tc>
          <w:tcPr>
            <w:tcW w:w="1026" w:type="dxa"/>
            <w:tcBorders>
              <w:top w:val="nil"/>
              <w:left w:val="single" w:sz="4" w:space="0" w:color="auto"/>
              <w:bottom w:val="nil"/>
              <w:right w:val="single" w:sz="4" w:space="0" w:color="auto"/>
            </w:tcBorders>
            <w:shd w:val="clear" w:color="auto" w:fill="FFFFFF"/>
            <w:tcMar>
              <w:left w:w="58" w:type="dxa"/>
              <w:right w:w="58" w:type="dxa"/>
            </w:tcMar>
          </w:tcPr>
          <w:p w:rsidR="00553744" w:rsidRPr="00627808" w:rsidRDefault="00553744" w:rsidP="00A071C3">
            <w:pPr>
              <w:jc w:val="right"/>
              <w:rPr>
                <w:color w:val="000000"/>
                <w:sz w:val="20"/>
                <w:szCs w:val="20"/>
              </w:rPr>
            </w:pPr>
          </w:p>
        </w:tc>
        <w:tc>
          <w:tcPr>
            <w:tcW w:w="1026" w:type="dxa"/>
            <w:tcBorders>
              <w:top w:val="nil"/>
              <w:left w:val="single" w:sz="4" w:space="0" w:color="auto"/>
              <w:bottom w:val="nil"/>
              <w:right w:val="double" w:sz="4" w:space="0" w:color="auto"/>
            </w:tcBorders>
            <w:shd w:val="clear" w:color="auto" w:fill="FFFFFF"/>
            <w:tcMar>
              <w:left w:w="58" w:type="dxa"/>
              <w:right w:w="58" w:type="dxa"/>
            </w:tcMar>
          </w:tcPr>
          <w:p w:rsidR="00553744" w:rsidRPr="00627808" w:rsidRDefault="00553744" w:rsidP="00A071C3">
            <w:pPr>
              <w:jc w:val="right"/>
              <w:rPr>
                <w:color w:val="000000"/>
                <w:sz w:val="20"/>
                <w:szCs w:val="20"/>
              </w:rPr>
            </w:pP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330" w:hanging="160"/>
              <w:rPr>
                <w:color w:val="000000"/>
                <w:sz w:val="20"/>
                <w:szCs w:val="20"/>
              </w:rPr>
            </w:pPr>
            <w:r w:rsidRPr="00627808">
              <w:rPr>
                <w:color w:val="000000"/>
                <w:sz w:val="20"/>
                <w:szCs w:val="20"/>
              </w:rPr>
              <w:t>Population density more than 4000 persons/sq. mile (Base: less than 4000 persons/sq. mile)</w:t>
            </w:r>
          </w:p>
        </w:tc>
        <w:tc>
          <w:tcPr>
            <w:tcW w:w="1026" w:type="dxa"/>
            <w:tcBorders>
              <w:top w:val="nil"/>
              <w:left w:val="doub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0.3</w:t>
            </w:r>
            <w:r w:rsidR="00222FFE">
              <w:rPr>
                <w:color w:val="000000"/>
                <w:sz w:val="20"/>
                <w:szCs w:val="20"/>
              </w:rPr>
              <w:t>28</w:t>
            </w:r>
            <w:r w:rsidRPr="00627808">
              <w:rPr>
                <w:color w:val="000000"/>
                <w:sz w:val="20"/>
                <w:szCs w:val="20"/>
              </w:rPr>
              <w:br/>
              <w:t>(</w:t>
            </w:r>
            <w:r>
              <w:rPr>
                <w:color w:val="000000"/>
                <w:sz w:val="20"/>
                <w:szCs w:val="20"/>
              </w:rPr>
              <w:t>3.</w:t>
            </w:r>
            <w:r w:rsidR="00222FFE">
              <w:rPr>
                <w:color w:val="000000"/>
                <w:sz w:val="20"/>
                <w:szCs w:val="20"/>
              </w:rPr>
              <w:t>75</w:t>
            </w:r>
            <w:r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w:t>
            </w:r>
            <w:r w:rsidR="00A071C3">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doub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330" w:hanging="160"/>
              <w:rPr>
                <w:color w:val="000000"/>
                <w:sz w:val="20"/>
                <w:szCs w:val="20"/>
              </w:rPr>
            </w:pPr>
            <w:r w:rsidRPr="00627808">
              <w:rPr>
                <w:color w:val="000000"/>
                <w:sz w:val="20"/>
                <w:szCs w:val="20"/>
              </w:rPr>
              <w:t>Employment density more than 500 workers/sq. mile (Base: less than 500 workers/sq. mile)</w:t>
            </w:r>
          </w:p>
        </w:tc>
        <w:tc>
          <w:tcPr>
            <w:tcW w:w="1026" w:type="dxa"/>
            <w:tcBorders>
              <w:top w:val="nil"/>
              <w:left w:val="double" w:sz="4" w:space="0" w:color="auto"/>
              <w:bottom w:val="nil"/>
              <w:right w:val="single" w:sz="4" w:space="0" w:color="auto"/>
            </w:tcBorders>
            <w:shd w:val="clear" w:color="auto" w:fill="FFFFFF"/>
            <w:noWrap/>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w:t>
            </w:r>
            <w:r w:rsidR="00A071C3">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w:t>
            </w:r>
            <w:r w:rsidR="00A071C3">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-0.</w:t>
            </w:r>
            <w:r>
              <w:rPr>
                <w:color w:val="000000"/>
                <w:sz w:val="20"/>
                <w:szCs w:val="20"/>
              </w:rPr>
              <w:t>3</w:t>
            </w:r>
            <w:r w:rsidR="00222FFE">
              <w:rPr>
                <w:color w:val="000000"/>
                <w:sz w:val="20"/>
                <w:szCs w:val="20"/>
              </w:rPr>
              <w:t>23</w:t>
            </w:r>
            <w:r w:rsidRPr="00627808">
              <w:rPr>
                <w:color w:val="000000"/>
                <w:sz w:val="20"/>
                <w:szCs w:val="20"/>
              </w:rPr>
              <w:br/>
              <w:t>(-</w:t>
            </w:r>
            <w:r>
              <w:rPr>
                <w:color w:val="000000"/>
                <w:sz w:val="20"/>
                <w:szCs w:val="20"/>
              </w:rPr>
              <w:t>3.</w:t>
            </w:r>
            <w:r w:rsidR="00222FFE">
              <w:rPr>
                <w:color w:val="000000"/>
                <w:sz w:val="20"/>
                <w:szCs w:val="20"/>
              </w:rPr>
              <w:t>38</w:t>
            </w:r>
            <w:r w:rsidRPr="00627808">
              <w:rPr>
                <w:color w:val="000000"/>
                <w:sz w:val="20"/>
                <w:szCs w:val="20"/>
              </w:rPr>
              <w:t>)</w:t>
            </w:r>
          </w:p>
        </w:tc>
        <w:tc>
          <w:tcPr>
            <w:tcW w:w="1026" w:type="dxa"/>
            <w:tcBorders>
              <w:top w:val="nil"/>
              <w:left w:val="single" w:sz="4" w:space="0" w:color="auto"/>
              <w:bottom w:val="nil"/>
              <w:right w:val="double" w:sz="4" w:space="0" w:color="auto"/>
            </w:tcBorders>
            <w:shd w:val="clear" w:color="auto" w:fill="FFFFFF"/>
            <w:noWrap/>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r>
      <w:tr w:rsidR="00553744" w:rsidRPr="00627808" w:rsidTr="00A071C3">
        <w:trPr>
          <w:trHeight w:val="576"/>
        </w:trPr>
        <w:tc>
          <w:tcPr>
            <w:tcW w:w="4675" w:type="dxa"/>
            <w:tcBorders>
              <w:top w:val="nil"/>
              <w:left w:val="double" w:sz="4" w:space="0" w:color="auto"/>
              <w:bottom w:val="dashed" w:sz="4" w:space="0" w:color="auto"/>
              <w:right w:val="double" w:sz="4" w:space="0" w:color="auto"/>
            </w:tcBorders>
            <w:shd w:val="clear" w:color="auto" w:fill="FFFFFF"/>
            <w:noWrap/>
            <w:tcMar>
              <w:left w:w="58" w:type="dxa"/>
              <w:right w:w="58" w:type="dxa"/>
            </w:tcMar>
            <w:hideMark/>
          </w:tcPr>
          <w:p w:rsidR="00553744" w:rsidRPr="00627808" w:rsidRDefault="00553744" w:rsidP="00EE5B23">
            <w:pPr>
              <w:rPr>
                <w:b/>
                <w:bCs/>
                <w:i/>
                <w:iCs/>
                <w:color w:val="000000"/>
                <w:sz w:val="20"/>
                <w:szCs w:val="20"/>
              </w:rPr>
            </w:pPr>
            <w:r w:rsidRPr="00627808">
              <w:rPr>
                <w:b/>
                <w:bCs/>
                <w:i/>
                <w:iCs/>
                <w:color w:val="000000"/>
                <w:sz w:val="20"/>
                <w:szCs w:val="20"/>
              </w:rPr>
              <w:t>Baseline preference constants</w:t>
            </w:r>
          </w:p>
        </w:tc>
        <w:tc>
          <w:tcPr>
            <w:tcW w:w="1026" w:type="dxa"/>
            <w:tcBorders>
              <w:top w:val="nil"/>
              <w:left w:val="double" w:sz="4" w:space="0" w:color="auto"/>
              <w:bottom w:val="dashed" w:sz="4" w:space="0" w:color="auto"/>
              <w:right w:val="single" w:sz="4" w:space="0" w:color="auto"/>
            </w:tcBorders>
            <w:shd w:val="clear" w:color="auto" w:fill="FFFFFF"/>
            <w:noWrap/>
            <w:tcMar>
              <w:left w:w="58" w:type="dxa"/>
              <w:right w:w="58" w:type="dxa"/>
            </w:tcMar>
            <w:hideMark/>
          </w:tcPr>
          <w:p w:rsidR="00553744" w:rsidRPr="00627808" w:rsidRDefault="00553744" w:rsidP="00A071C3">
            <w:pPr>
              <w:jc w:val="right"/>
              <w:rPr>
                <w:color w:val="000000"/>
                <w:sz w:val="20"/>
                <w:szCs w:val="20"/>
              </w:rPr>
            </w:pPr>
            <w:r>
              <w:rPr>
                <w:color w:val="000000"/>
                <w:sz w:val="20"/>
                <w:szCs w:val="20"/>
              </w:rPr>
              <w:t>-</w:t>
            </w:r>
            <w:r w:rsidR="00A071C3">
              <w:rPr>
                <w:color w:val="000000"/>
                <w:sz w:val="20"/>
                <w:szCs w:val="20"/>
              </w:rPr>
              <w:t>-</w:t>
            </w:r>
            <w:r w:rsidRPr="00627808">
              <w:rPr>
                <w:color w:val="000000"/>
                <w:sz w:val="20"/>
                <w:szCs w:val="20"/>
              </w:rPr>
              <w:br/>
            </w:r>
          </w:p>
        </w:tc>
        <w:tc>
          <w:tcPr>
            <w:tcW w:w="1026" w:type="dxa"/>
            <w:tcBorders>
              <w:top w:val="nil"/>
              <w:left w:val="single" w:sz="4" w:space="0" w:color="auto"/>
              <w:bottom w:val="dashed" w:sz="4" w:space="0" w:color="auto"/>
              <w:right w:val="single" w:sz="4" w:space="0" w:color="auto"/>
            </w:tcBorders>
            <w:shd w:val="clear" w:color="auto" w:fill="FFFFFF"/>
            <w:noWrap/>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w:t>
            </w:r>
            <w:r w:rsidR="00222FFE">
              <w:rPr>
                <w:color w:val="000000"/>
                <w:sz w:val="20"/>
                <w:szCs w:val="20"/>
              </w:rPr>
              <w:t>3.192</w:t>
            </w:r>
            <w:r w:rsidRPr="00627808">
              <w:rPr>
                <w:color w:val="000000"/>
                <w:sz w:val="20"/>
                <w:szCs w:val="20"/>
              </w:rPr>
              <w:br/>
              <w:t>(-1</w:t>
            </w:r>
            <w:r>
              <w:rPr>
                <w:color w:val="000000"/>
                <w:sz w:val="20"/>
                <w:szCs w:val="20"/>
              </w:rPr>
              <w:t>3</w:t>
            </w:r>
            <w:r w:rsidRPr="00627808">
              <w:rPr>
                <w:color w:val="000000"/>
                <w:sz w:val="20"/>
                <w:szCs w:val="20"/>
              </w:rPr>
              <w:t>.</w:t>
            </w:r>
            <w:r w:rsidR="00222FFE">
              <w:rPr>
                <w:color w:val="000000"/>
                <w:sz w:val="20"/>
                <w:szCs w:val="20"/>
              </w:rPr>
              <w:t>72</w:t>
            </w:r>
            <w:r w:rsidRPr="00627808">
              <w:rPr>
                <w:color w:val="000000"/>
                <w:sz w:val="20"/>
                <w:szCs w:val="20"/>
              </w:rPr>
              <w:t>)</w:t>
            </w:r>
          </w:p>
        </w:tc>
        <w:tc>
          <w:tcPr>
            <w:tcW w:w="1026" w:type="dxa"/>
            <w:tcBorders>
              <w:top w:val="nil"/>
              <w:left w:val="single" w:sz="4" w:space="0" w:color="auto"/>
              <w:bottom w:val="dashed" w:sz="4" w:space="0" w:color="auto"/>
              <w:right w:val="single" w:sz="4" w:space="0" w:color="auto"/>
            </w:tcBorders>
            <w:shd w:val="clear" w:color="auto" w:fill="FFFFFF"/>
            <w:noWrap/>
            <w:tcMar>
              <w:left w:w="58" w:type="dxa"/>
              <w:right w:w="58" w:type="dxa"/>
            </w:tcMar>
            <w:hideMark/>
          </w:tcPr>
          <w:p w:rsidR="00553744" w:rsidRPr="00627808" w:rsidRDefault="00553744" w:rsidP="00A071C3">
            <w:pPr>
              <w:jc w:val="right"/>
              <w:rPr>
                <w:color w:val="000000"/>
                <w:sz w:val="20"/>
                <w:szCs w:val="20"/>
              </w:rPr>
            </w:pPr>
            <w:r>
              <w:rPr>
                <w:color w:val="000000"/>
                <w:sz w:val="20"/>
                <w:szCs w:val="20"/>
              </w:rPr>
              <w:t>-1.</w:t>
            </w:r>
            <w:r w:rsidR="00222FFE">
              <w:rPr>
                <w:color w:val="000000"/>
                <w:sz w:val="20"/>
                <w:szCs w:val="20"/>
              </w:rPr>
              <w:t>494</w:t>
            </w:r>
            <w:r w:rsidRPr="00627808">
              <w:rPr>
                <w:color w:val="000000"/>
                <w:sz w:val="20"/>
                <w:szCs w:val="20"/>
              </w:rPr>
              <w:br/>
              <w:t>(</w:t>
            </w:r>
            <w:r>
              <w:rPr>
                <w:color w:val="000000"/>
                <w:sz w:val="20"/>
                <w:szCs w:val="20"/>
              </w:rPr>
              <w:t>-</w:t>
            </w:r>
            <w:r w:rsidR="000B3BCB">
              <w:rPr>
                <w:color w:val="000000"/>
                <w:sz w:val="20"/>
                <w:szCs w:val="20"/>
              </w:rPr>
              <w:t>1</w:t>
            </w:r>
            <w:r w:rsidR="00222FFE">
              <w:rPr>
                <w:color w:val="000000"/>
                <w:sz w:val="20"/>
                <w:szCs w:val="20"/>
              </w:rPr>
              <w:t>0.29</w:t>
            </w:r>
            <w:r>
              <w:rPr>
                <w:color w:val="000000"/>
                <w:sz w:val="20"/>
                <w:szCs w:val="20"/>
              </w:rPr>
              <w:t>)</w:t>
            </w:r>
          </w:p>
        </w:tc>
        <w:tc>
          <w:tcPr>
            <w:tcW w:w="1026" w:type="dxa"/>
            <w:tcBorders>
              <w:top w:val="nil"/>
              <w:left w:val="single" w:sz="4" w:space="0" w:color="auto"/>
              <w:bottom w:val="dashed" w:sz="4" w:space="0" w:color="auto"/>
              <w:right w:val="sing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w:t>
            </w:r>
            <w:r>
              <w:rPr>
                <w:color w:val="000000"/>
                <w:sz w:val="20"/>
                <w:szCs w:val="20"/>
              </w:rPr>
              <w:t>1.</w:t>
            </w:r>
            <w:r w:rsidR="00222FFE">
              <w:rPr>
                <w:color w:val="000000"/>
                <w:sz w:val="20"/>
                <w:szCs w:val="20"/>
              </w:rPr>
              <w:t>772</w:t>
            </w:r>
            <w:r w:rsidRPr="00627808">
              <w:rPr>
                <w:color w:val="000000"/>
                <w:sz w:val="20"/>
                <w:szCs w:val="20"/>
              </w:rPr>
              <w:br/>
              <w:t>(-</w:t>
            </w:r>
            <w:r>
              <w:rPr>
                <w:color w:val="000000"/>
                <w:sz w:val="20"/>
                <w:szCs w:val="20"/>
              </w:rPr>
              <w:t>9.</w:t>
            </w:r>
            <w:r w:rsidR="00222FFE">
              <w:rPr>
                <w:color w:val="000000"/>
                <w:sz w:val="20"/>
                <w:szCs w:val="20"/>
              </w:rPr>
              <w:t>45</w:t>
            </w:r>
            <w:r w:rsidRPr="00627808">
              <w:rPr>
                <w:color w:val="000000"/>
                <w:sz w:val="20"/>
                <w:szCs w:val="20"/>
              </w:rPr>
              <w:t>)</w:t>
            </w:r>
          </w:p>
        </w:tc>
        <w:tc>
          <w:tcPr>
            <w:tcW w:w="1026" w:type="dxa"/>
            <w:tcBorders>
              <w:top w:val="nil"/>
              <w:left w:val="single" w:sz="4" w:space="0" w:color="auto"/>
              <w:bottom w:val="dashed" w:sz="4" w:space="0" w:color="auto"/>
              <w:right w:val="double" w:sz="4" w:space="0" w:color="auto"/>
            </w:tcBorders>
            <w:shd w:val="clear" w:color="auto" w:fill="FFFFFF"/>
            <w:noWrap/>
            <w:tcMar>
              <w:left w:w="58" w:type="dxa"/>
              <w:right w:w="58" w:type="dxa"/>
            </w:tcMar>
            <w:hideMark/>
          </w:tcPr>
          <w:p w:rsidR="00553744" w:rsidRPr="00627808" w:rsidRDefault="00553744" w:rsidP="00A071C3">
            <w:pPr>
              <w:jc w:val="right"/>
              <w:rPr>
                <w:color w:val="000000"/>
                <w:sz w:val="20"/>
                <w:szCs w:val="20"/>
              </w:rPr>
            </w:pPr>
            <w:r w:rsidRPr="00627808">
              <w:rPr>
                <w:color w:val="000000"/>
                <w:sz w:val="20"/>
                <w:szCs w:val="20"/>
              </w:rPr>
              <w:t>-</w:t>
            </w:r>
            <w:r>
              <w:rPr>
                <w:color w:val="000000"/>
                <w:sz w:val="20"/>
                <w:szCs w:val="20"/>
              </w:rPr>
              <w:t>3.</w:t>
            </w:r>
            <w:r w:rsidR="00222FFE">
              <w:rPr>
                <w:color w:val="000000"/>
                <w:sz w:val="20"/>
                <w:szCs w:val="20"/>
              </w:rPr>
              <w:t>095</w:t>
            </w:r>
            <w:r w:rsidRPr="00627808">
              <w:rPr>
                <w:color w:val="000000"/>
                <w:sz w:val="20"/>
                <w:szCs w:val="20"/>
              </w:rPr>
              <w:br/>
              <w:t>(-</w:t>
            </w:r>
            <w:r>
              <w:rPr>
                <w:color w:val="000000"/>
                <w:sz w:val="20"/>
                <w:szCs w:val="20"/>
              </w:rPr>
              <w:t>1</w:t>
            </w:r>
            <w:r w:rsidR="00222FFE">
              <w:rPr>
                <w:color w:val="000000"/>
                <w:sz w:val="20"/>
                <w:szCs w:val="20"/>
              </w:rPr>
              <w:t>2.77</w:t>
            </w:r>
            <w:r w:rsidRPr="00627808">
              <w:rPr>
                <w:color w:val="000000"/>
                <w:sz w:val="20"/>
                <w:szCs w:val="20"/>
              </w:rPr>
              <w:t>)</w:t>
            </w:r>
          </w:p>
        </w:tc>
      </w:tr>
      <w:tr w:rsidR="00553744" w:rsidRPr="00627808" w:rsidTr="00A071C3">
        <w:trPr>
          <w:trHeight w:val="576"/>
        </w:trPr>
        <w:tc>
          <w:tcPr>
            <w:tcW w:w="4675" w:type="dxa"/>
            <w:tcBorders>
              <w:top w:val="dashed" w:sz="4" w:space="0" w:color="auto"/>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spacing w:before="60"/>
              <w:rPr>
                <w:b/>
                <w:bCs/>
                <w:i/>
                <w:iCs/>
                <w:color w:val="000000"/>
                <w:sz w:val="20"/>
                <w:szCs w:val="20"/>
              </w:rPr>
            </w:pPr>
            <w:r w:rsidRPr="00627808">
              <w:rPr>
                <w:b/>
                <w:bCs/>
                <w:i/>
                <w:iCs/>
                <w:color w:val="000000"/>
                <w:sz w:val="20"/>
                <w:szCs w:val="20"/>
              </w:rPr>
              <w:t>Satiation effects</w:t>
            </w:r>
          </w:p>
        </w:tc>
        <w:tc>
          <w:tcPr>
            <w:tcW w:w="1026" w:type="dxa"/>
            <w:tcBorders>
              <w:top w:val="dashed" w:sz="4" w:space="0" w:color="auto"/>
              <w:left w:val="double" w:sz="4" w:space="0" w:color="auto"/>
              <w:bottom w:val="nil"/>
              <w:right w:val="single" w:sz="4" w:space="0" w:color="auto"/>
            </w:tcBorders>
            <w:shd w:val="clear" w:color="auto" w:fill="FFFFFF"/>
            <w:noWrap/>
            <w:tcMar>
              <w:left w:w="58" w:type="dxa"/>
              <w:right w:w="58" w:type="dxa"/>
            </w:tcMar>
          </w:tcPr>
          <w:p w:rsidR="00553744" w:rsidRPr="00627808" w:rsidRDefault="00553744" w:rsidP="00EE5B23">
            <w:pPr>
              <w:jc w:val="right"/>
              <w:rPr>
                <w:color w:val="000000"/>
                <w:sz w:val="20"/>
                <w:szCs w:val="20"/>
              </w:rPr>
            </w:pPr>
          </w:p>
        </w:tc>
        <w:tc>
          <w:tcPr>
            <w:tcW w:w="1026" w:type="dxa"/>
            <w:tcBorders>
              <w:top w:val="dashed" w:sz="4" w:space="0" w:color="auto"/>
              <w:left w:val="single" w:sz="4" w:space="0" w:color="auto"/>
              <w:bottom w:val="nil"/>
              <w:right w:val="single" w:sz="4" w:space="0" w:color="auto"/>
            </w:tcBorders>
            <w:shd w:val="clear" w:color="auto" w:fill="FFFFFF"/>
            <w:noWrap/>
            <w:tcMar>
              <w:left w:w="58" w:type="dxa"/>
              <w:right w:w="58" w:type="dxa"/>
            </w:tcMar>
          </w:tcPr>
          <w:p w:rsidR="00553744" w:rsidRPr="00627808" w:rsidRDefault="00553744" w:rsidP="00EE5B23">
            <w:pPr>
              <w:jc w:val="right"/>
              <w:rPr>
                <w:color w:val="000000"/>
                <w:sz w:val="20"/>
                <w:szCs w:val="20"/>
              </w:rPr>
            </w:pPr>
          </w:p>
        </w:tc>
        <w:tc>
          <w:tcPr>
            <w:tcW w:w="1026" w:type="dxa"/>
            <w:tcBorders>
              <w:top w:val="dashed" w:sz="4" w:space="0" w:color="auto"/>
              <w:left w:val="single" w:sz="4" w:space="0" w:color="auto"/>
              <w:bottom w:val="nil"/>
              <w:right w:val="single" w:sz="4" w:space="0" w:color="auto"/>
            </w:tcBorders>
            <w:shd w:val="clear" w:color="auto" w:fill="FFFFFF"/>
            <w:noWrap/>
            <w:tcMar>
              <w:left w:w="58" w:type="dxa"/>
              <w:right w:w="58" w:type="dxa"/>
            </w:tcMar>
          </w:tcPr>
          <w:p w:rsidR="00553744" w:rsidRPr="00627808" w:rsidRDefault="00553744" w:rsidP="00EE5B23">
            <w:pPr>
              <w:jc w:val="right"/>
              <w:rPr>
                <w:color w:val="000000"/>
                <w:sz w:val="20"/>
                <w:szCs w:val="20"/>
              </w:rPr>
            </w:pPr>
          </w:p>
        </w:tc>
        <w:tc>
          <w:tcPr>
            <w:tcW w:w="1026" w:type="dxa"/>
            <w:tcBorders>
              <w:top w:val="dashed" w:sz="4" w:space="0" w:color="auto"/>
              <w:left w:val="single" w:sz="4" w:space="0" w:color="auto"/>
              <w:bottom w:val="nil"/>
              <w:right w:val="single" w:sz="4" w:space="0" w:color="auto"/>
            </w:tcBorders>
            <w:shd w:val="clear" w:color="auto" w:fill="FFFFFF"/>
            <w:tcMar>
              <w:left w:w="58" w:type="dxa"/>
              <w:right w:w="58" w:type="dxa"/>
            </w:tcMar>
          </w:tcPr>
          <w:p w:rsidR="00553744" w:rsidRPr="00627808" w:rsidRDefault="00553744" w:rsidP="00EE5B23">
            <w:pPr>
              <w:jc w:val="right"/>
              <w:rPr>
                <w:color w:val="000000"/>
                <w:sz w:val="20"/>
                <w:szCs w:val="20"/>
              </w:rPr>
            </w:pPr>
          </w:p>
        </w:tc>
        <w:tc>
          <w:tcPr>
            <w:tcW w:w="1026" w:type="dxa"/>
            <w:tcBorders>
              <w:top w:val="dashed" w:sz="4" w:space="0" w:color="auto"/>
              <w:left w:val="single" w:sz="4" w:space="0" w:color="auto"/>
              <w:bottom w:val="nil"/>
              <w:right w:val="double" w:sz="4" w:space="0" w:color="auto"/>
            </w:tcBorders>
            <w:shd w:val="clear" w:color="auto" w:fill="FFFFFF"/>
            <w:noWrap/>
            <w:tcMar>
              <w:left w:w="58" w:type="dxa"/>
              <w:right w:w="58" w:type="dxa"/>
            </w:tcMar>
          </w:tcPr>
          <w:p w:rsidR="00553744" w:rsidRPr="00627808" w:rsidRDefault="00553744" w:rsidP="00EE5B23">
            <w:pPr>
              <w:jc w:val="right"/>
              <w:rPr>
                <w:color w:val="000000"/>
                <w:sz w:val="20"/>
                <w:szCs w:val="20"/>
              </w:rPr>
            </w:pP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spacing w:before="60"/>
              <w:ind w:left="330" w:hanging="160"/>
              <w:rPr>
                <w:color w:val="000000"/>
                <w:sz w:val="20"/>
                <w:szCs w:val="20"/>
              </w:rPr>
            </w:pPr>
            <w:r w:rsidRPr="00627808">
              <w:rPr>
                <w:color w:val="000000"/>
                <w:sz w:val="20"/>
                <w:szCs w:val="20"/>
              </w:rPr>
              <w:t xml:space="preserve">Income </w:t>
            </w:r>
            <w:r>
              <w:rPr>
                <w:color w:val="000000"/>
                <w:sz w:val="20"/>
                <w:szCs w:val="20"/>
              </w:rPr>
              <w:t xml:space="preserve">between </w:t>
            </w:r>
            <w:r w:rsidRPr="00627808">
              <w:rPr>
                <w:color w:val="000000"/>
                <w:sz w:val="20"/>
                <w:szCs w:val="20"/>
              </w:rPr>
              <w:t>$35,000</w:t>
            </w:r>
            <w:r>
              <w:rPr>
                <w:color w:val="000000"/>
                <w:sz w:val="20"/>
                <w:szCs w:val="20"/>
              </w:rPr>
              <w:t>-$75,000</w:t>
            </w:r>
            <w:r w:rsidRPr="00627808">
              <w:rPr>
                <w:color w:val="000000"/>
                <w:sz w:val="20"/>
                <w:szCs w:val="20"/>
              </w:rPr>
              <w:t xml:space="preserve"> annually</w:t>
            </w:r>
          </w:p>
        </w:tc>
        <w:tc>
          <w:tcPr>
            <w:tcW w:w="1026" w:type="dxa"/>
            <w:tcBorders>
              <w:top w:val="nil"/>
              <w:left w:val="double" w:sz="4" w:space="0" w:color="auto"/>
              <w:bottom w:val="nil"/>
              <w:right w:val="single" w:sz="4" w:space="0" w:color="auto"/>
            </w:tcBorders>
            <w:shd w:val="clear" w:color="auto" w:fill="FFFFFF"/>
            <w:tcMar>
              <w:left w:w="58" w:type="dxa"/>
              <w:right w:w="58" w:type="dxa"/>
            </w:tcMar>
            <w:hideMark/>
          </w:tcPr>
          <w:p w:rsidR="00553744" w:rsidRPr="00627808" w:rsidRDefault="00A071C3" w:rsidP="00A071C3">
            <w:pPr>
              <w:spacing w:before="60"/>
              <w:jc w:val="right"/>
              <w:rPr>
                <w:color w:val="000000"/>
                <w:sz w:val="20"/>
                <w:szCs w:val="20"/>
              </w:rPr>
            </w:pPr>
            <w:r>
              <w:rPr>
                <w:color w:val="000000"/>
                <w:sz w:val="20"/>
                <w:szCs w:val="20"/>
              </w:rPr>
              <w:t>-</w:t>
            </w:r>
            <w:r w:rsidR="00553744">
              <w:rPr>
                <w:color w:val="000000"/>
                <w:sz w:val="20"/>
                <w:szCs w:val="20"/>
              </w:rPr>
              <w:t>-</w:t>
            </w:r>
            <w:r w:rsidR="00553744" w:rsidRPr="00627808">
              <w:rPr>
                <w:color w:val="000000"/>
                <w:sz w:val="20"/>
                <w:szCs w:val="20"/>
              </w:rPr>
              <w:br/>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spacing w:before="60"/>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A071C3" w:rsidP="00A071C3">
            <w:pPr>
              <w:spacing w:before="60"/>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spacing w:before="60"/>
              <w:jc w:val="right"/>
              <w:rPr>
                <w:color w:val="000000"/>
                <w:sz w:val="20"/>
                <w:szCs w:val="20"/>
              </w:rPr>
            </w:pPr>
            <w:r w:rsidRPr="00627808">
              <w:rPr>
                <w:color w:val="000000"/>
                <w:sz w:val="20"/>
                <w:szCs w:val="20"/>
              </w:rPr>
              <w:t>-0.</w:t>
            </w:r>
            <w:r w:rsidR="00222FFE">
              <w:rPr>
                <w:color w:val="000000"/>
                <w:sz w:val="20"/>
                <w:szCs w:val="20"/>
              </w:rPr>
              <w:t>824</w:t>
            </w:r>
            <w:r w:rsidRPr="00627808">
              <w:rPr>
                <w:color w:val="000000"/>
                <w:sz w:val="20"/>
                <w:szCs w:val="20"/>
              </w:rPr>
              <w:br/>
              <w:t>(-</w:t>
            </w:r>
            <w:r w:rsidR="00222FFE">
              <w:rPr>
                <w:color w:val="000000"/>
                <w:sz w:val="20"/>
                <w:szCs w:val="20"/>
              </w:rPr>
              <w:t>2.78</w:t>
            </w:r>
            <w:r w:rsidRPr="00627808">
              <w:rPr>
                <w:color w:val="000000"/>
                <w:sz w:val="20"/>
                <w:szCs w:val="20"/>
              </w:rPr>
              <w:t>)</w:t>
            </w:r>
          </w:p>
        </w:tc>
        <w:tc>
          <w:tcPr>
            <w:tcW w:w="1026" w:type="dxa"/>
            <w:tcBorders>
              <w:top w:val="nil"/>
              <w:left w:val="single" w:sz="4" w:space="0" w:color="auto"/>
              <w:bottom w:val="nil"/>
              <w:right w:val="double" w:sz="4" w:space="0" w:color="auto"/>
            </w:tcBorders>
            <w:shd w:val="clear" w:color="auto" w:fill="FFFFFF"/>
            <w:noWrap/>
            <w:tcMar>
              <w:left w:w="58" w:type="dxa"/>
              <w:right w:w="58" w:type="dxa"/>
            </w:tcMar>
            <w:hideMark/>
          </w:tcPr>
          <w:p w:rsidR="00222FFE" w:rsidRPr="00627808" w:rsidRDefault="00222FFE" w:rsidP="007422FC">
            <w:pPr>
              <w:spacing w:before="60"/>
              <w:jc w:val="right"/>
              <w:rPr>
                <w:color w:val="000000"/>
                <w:sz w:val="20"/>
                <w:szCs w:val="20"/>
              </w:rPr>
            </w:pPr>
            <w:r>
              <w:rPr>
                <w:color w:val="000000"/>
                <w:sz w:val="20"/>
                <w:szCs w:val="20"/>
              </w:rPr>
              <w:t>-2.628</w:t>
            </w:r>
            <w:r w:rsidRPr="00627808">
              <w:rPr>
                <w:color w:val="000000"/>
                <w:sz w:val="20"/>
                <w:szCs w:val="20"/>
              </w:rPr>
              <w:br/>
              <w:t>(-</w:t>
            </w:r>
            <w:r>
              <w:rPr>
                <w:color w:val="000000"/>
                <w:sz w:val="20"/>
                <w:szCs w:val="20"/>
              </w:rPr>
              <w:t>4.48</w:t>
            </w:r>
            <w:r w:rsidRPr="00627808">
              <w:rPr>
                <w:color w:val="000000"/>
                <w:sz w:val="20"/>
                <w:szCs w:val="20"/>
              </w:rPr>
              <w:t>)</w:t>
            </w:r>
          </w:p>
        </w:tc>
      </w:tr>
      <w:tr w:rsidR="00553744" w:rsidRPr="00627808" w:rsidTr="00A071C3">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hideMark/>
          </w:tcPr>
          <w:p w:rsidR="00553744" w:rsidRPr="00627808" w:rsidRDefault="00553744" w:rsidP="00EE5B23">
            <w:pPr>
              <w:ind w:left="170"/>
              <w:rPr>
                <w:color w:val="000000"/>
                <w:sz w:val="20"/>
                <w:szCs w:val="20"/>
              </w:rPr>
            </w:pPr>
            <w:r>
              <w:rPr>
                <w:color w:val="000000"/>
                <w:sz w:val="20"/>
                <w:szCs w:val="20"/>
              </w:rPr>
              <w:t>Income between $75,000-$125,000 annually</w:t>
            </w:r>
          </w:p>
        </w:tc>
        <w:tc>
          <w:tcPr>
            <w:tcW w:w="1026" w:type="dxa"/>
            <w:tcBorders>
              <w:top w:val="nil"/>
              <w:left w:val="double" w:sz="4" w:space="0" w:color="auto"/>
              <w:bottom w:val="nil"/>
              <w:right w:val="sing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hideMark/>
          </w:tcPr>
          <w:p w:rsidR="00553744" w:rsidRPr="00627808" w:rsidRDefault="00222FFE" w:rsidP="00A071C3">
            <w:pPr>
              <w:jc w:val="right"/>
              <w:rPr>
                <w:color w:val="000000"/>
                <w:sz w:val="20"/>
                <w:szCs w:val="20"/>
              </w:rPr>
            </w:pPr>
            <w:r>
              <w:rPr>
                <w:color w:val="000000"/>
                <w:sz w:val="20"/>
                <w:szCs w:val="20"/>
              </w:rPr>
              <w:t>0.724</w:t>
            </w:r>
            <w:r w:rsidRPr="00627808">
              <w:rPr>
                <w:color w:val="000000"/>
                <w:sz w:val="20"/>
                <w:szCs w:val="20"/>
              </w:rPr>
              <w:br/>
              <w:t>(</w:t>
            </w:r>
            <w:r>
              <w:rPr>
                <w:color w:val="000000"/>
                <w:sz w:val="20"/>
                <w:szCs w:val="20"/>
              </w:rPr>
              <w:t>2.24</w:t>
            </w:r>
            <w:r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hideMark/>
          </w:tcPr>
          <w:p w:rsidR="00553744" w:rsidRPr="00627808" w:rsidRDefault="00553744" w:rsidP="00A071C3">
            <w:pPr>
              <w:jc w:val="right"/>
              <w:rPr>
                <w:color w:val="000000"/>
                <w:sz w:val="20"/>
                <w:szCs w:val="20"/>
              </w:rPr>
            </w:pPr>
            <w:r>
              <w:rPr>
                <w:color w:val="000000"/>
                <w:sz w:val="20"/>
                <w:szCs w:val="20"/>
              </w:rPr>
              <w:t>-1.</w:t>
            </w:r>
            <w:r w:rsidR="00222FFE">
              <w:rPr>
                <w:color w:val="000000"/>
                <w:sz w:val="20"/>
                <w:szCs w:val="20"/>
              </w:rPr>
              <w:t>363</w:t>
            </w:r>
            <w:r w:rsidRPr="00627808">
              <w:rPr>
                <w:color w:val="000000"/>
                <w:sz w:val="20"/>
                <w:szCs w:val="20"/>
              </w:rPr>
              <w:br/>
              <w:t>(</w:t>
            </w:r>
            <w:r>
              <w:rPr>
                <w:color w:val="000000"/>
                <w:sz w:val="20"/>
                <w:szCs w:val="20"/>
              </w:rPr>
              <w:t>-</w:t>
            </w:r>
            <w:r w:rsidR="00222FFE">
              <w:rPr>
                <w:color w:val="000000"/>
                <w:sz w:val="20"/>
                <w:szCs w:val="20"/>
              </w:rPr>
              <w:t>4.22</w:t>
            </w:r>
            <w:r w:rsidRPr="00627808">
              <w:rPr>
                <w:color w:val="000000"/>
                <w:sz w:val="20"/>
                <w:szCs w:val="20"/>
              </w:rPr>
              <w:t>)</w:t>
            </w:r>
          </w:p>
        </w:tc>
        <w:tc>
          <w:tcPr>
            <w:tcW w:w="1026" w:type="dxa"/>
            <w:tcBorders>
              <w:top w:val="nil"/>
              <w:left w:val="single" w:sz="4" w:space="0" w:color="auto"/>
              <w:bottom w:val="nil"/>
              <w:right w:val="double" w:sz="4" w:space="0" w:color="auto"/>
            </w:tcBorders>
            <w:shd w:val="clear" w:color="auto" w:fill="FFFFFF"/>
            <w:noWrap/>
            <w:tcMar>
              <w:left w:w="58" w:type="dxa"/>
              <w:right w:w="58" w:type="dxa"/>
            </w:tcMar>
            <w:hideMark/>
          </w:tcPr>
          <w:p w:rsidR="00553744" w:rsidRPr="00627808" w:rsidRDefault="00222FFE" w:rsidP="00A071C3">
            <w:pPr>
              <w:jc w:val="right"/>
              <w:rPr>
                <w:color w:val="000000"/>
                <w:sz w:val="20"/>
                <w:szCs w:val="20"/>
              </w:rPr>
            </w:pPr>
            <w:r>
              <w:rPr>
                <w:color w:val="000000"/>
                <w:sz w:val="20"/>
                <w:szCs w:val="20"/>
              </w:rPr>
              <w:t>-1.760</w:t>
            </w:r>
            <w:r w:rsidRPr="00627808">
              <w:rPr>
                <w:color w:val="000000"/>
                <w:sz w:val="20"/>
                <w:szCs w:val="20"/>
              </w:rPr>
              <w:br/>
              <w:t>(-</w:t>
            </w:r>
            <w:r>
              <w:rPr>
                <w:color w:val="000000"/>
                <w:sz w:val="20"/>
                <w:szCs w:val="20"/>
              </w:rPr>
              <w:t>2.60</w:t>
            </w:r>
            <w:r w:rsidRPr="00627808">
              <w:rPr>
                <w:color w:val="000000"/>
                <w:sz w:val="20"/>
                <w:szCs w:val="20"/>
              </w:rPr>
              <w:t>)</w:t>
            </w:r>
          </w:p>
        </w:tc>
      </w:tr>
      <w:tr w:rsidR="00553744" w:rsidRPr="00627808" w:rsidTr="007422FC">
        <w:trPr>
          <w:trHeight w:val="576"/>
        </w:trPr>
        <w:tc>
          <w:tcPr>
            <w:tcW w:w="4675" w:type="dxa"/>
            <w:tcBorders>
              <w:top w:val="nil"/>
              <w:left w:val="double" w:sz="4" w:space="0" w:color="auto"/>
              <w:bottom w:val="nil"/>
              <w:right w:val="double" w:sz="4" w:space="0" w:color="auto"/>
            </w:tcBorders>
            <w:shd w:val="clear" w:color="auto" w:fill="FFFFFF"/>
            <w:noWrap/>
            <w:tcMar>
              <w:left w:w="58" w:type="dxa"/>
              <w:right w:w="58" w:type="dxa"/>
            </w:tcMar>
          </w:tcPr>
          <w:p w:rsidR="00553744" w:rsidRPr="00627808" w:rsidRDefault="00553744" w:rsidP="00EE5B23">
            <w:pPr>
              <w:ind w:left="170"/>
              <w:rPr>
                <w:color w:val="000000"/>
                <w:sz w:val="20"/>
                <w:szCs w:val="20"/>
              </w:rPr>
            </w:pPr>
            <w:r>
              <w:rPr>
                <w:color w:val="000000"/>
                <w:sz w:val="20"/>
                <w:szCs w:val="20"/>
              </w:rPr>
              <w:t>Income greater than $125,000 annually</w:t>
            </w:r>
          </w:p>
        </w:tc>
        <w:tc>
          <w:tcPr>
            <w:tcW w:w="1026" w:type="dxa"/>
            <w:tcBorders>
              <w:top w:val="nil"/>
              <w:left w:val="double" w:sz="4" w:space="0" w:color="auto"/>
              <w:bottom w:val="nil"/>
              <w:right w:val="single" w:sz="4" w:space="0" w:color="auto"/>
            </w:tcBorders>
            <w:shd w:val="clear" w:color="auto" w:fill="FFFFFF"/>
            <w:tcMar>
              <w:left w:w="58" w:type="dxa"/>
              <w:right w:w="58" w:type="dxa"/>
            </w:tcMar>
          </w:tcPr>
          <w:p w:rsidR="00553744" w:rsidRPr="00627808" w:rsidRDefault="00A071C3" w:rsidP="00A071C3">
            <w:pPr>
              <w:jc w:val="right"/>
              <w:rPr>
                <w:color w:val="000000"/>
                <w:sz w:val="20"/>
                <w:szCs w:val="20"/>
              </w:rPr>
            </w:pPr>
            <w:r>
              <w:rPr>
                <w:color w:val="000000"/>
                <w:sz w:val="20"/>
                <w:szCs w:val="20"/>
              </w:rPr>
              <w:t>-</w:t>
            </w:r>
            <w:r w:rsidR="00553744" w:rsidRPr="00627808">
              <w:rPr>
                <w:color w:val="000000"/>
                <w:sz w:val="20"/>
                <w:szCs w:val="20"/>
              </w:rPr>
              <w:t xml:space="preserve">-       </w:t>
            </w:r>
          </w:p>
        </w:tc>
        <w:tc>
          <w:tcPr>
            <w:tcW w:w="1026" w:type="dxa"/>
            <w:tcBorders>
              <w:top w:val="nil"/>
              <w:left w:val="single" w:sz="4" w:space="0" w:color="auto"/>
              <w:bottom w:val="nil"/>
              <w:right w:val="single" w:sz="4" w:space="0" w:color="auto"/>
            </w:tcBorders>
            <w:shd w:val="clear" w:color="auto" w:fill="FFFFFF"/>
            <w:noWrap/>
            <w:tcMar>
              <w:left w:w="58" w:type="dxa"/>
              <w:right w:w="58" w:type="dxa"/>
            </w:tcMar>
          </w:tcPr>
          <w:p w:rsidR="00553744" w:rsidRPr="00627808" w:rsidRDefault="00222FFE" w:rsidP="00A071C3">
            <w:pPr>
              <w:jc w:val="right"/>
              <w:rPr>
                <w:color w:val="000000"/>
                <w:sz w:val="20"/>
                <w:szCs w:val="20"/>
              </w:rPr>
            </w:pPr>
            <w:r>
              <w:rPr>
                <w:color w:val="000000"/>
                <w:sz w:val="20"/>
                <w:szCs w:val="20"/>
              </w:rPr>
              <w:t>1.614</w:t>
            </w:r>
            <w:r w:rsidRPr="00627808">
              <w:rPr>
                <w:color w:val="000000"/>
                <w:sz w:val="20"/>
                <w:szCs w:val="20"/>
              </w:rPr>
              <w:br/>
              <w:t>(</w:t>
            </w:r>
            <w:r>
              <w:rPr>
                <w:color w:val="000000"/>
                <w:sz w:val="20"/>
                <w:szCs w:val="20"/>
              </w:rPr>
              <w:t>4.67</w:t>
            </w:r>
            <w:r w:rsidRPr="00627808">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tcPr>
          <w:p w:rsidR="00553744" w:rsidRDefault="00553744" w:rsidP="00A071C3">
            <w:pPr>
              <w:jc w:val="right"/>
              <w:rPr>
                <w:color w:val="000000"/>
                <w:sz w:val="20"/>
                <w:szCs w:val="20"/>
              </w:rPr>
            </w:pPr>
            <w:r>
              <w:rPr>
                <w:color w:val="000000"/>
                <w:sz w:val="20"/>
                <w:szCs w:val="20"/>
              </w:rPr>
              <w:t>-</w:t>
            </w:r>
            <w:r w:rsidR="00222FFE">
              <w:rPr>
                <w:color w:val="000000"/>
                <w:sz w:val="20"/>
                <w:szCs w:val="20"/>
              </w:rPr>
              <w:t>2.142</w:t>
            </w:r>
          </w:p>
          <w:p w:rsidR="00553744" w:rsidRPr="00627808" w:rsidRDefault="00553744" w:rsidP="00A071C3">
            <w:pPr>
              <w:jc w:val="right"/>
              <w:rPr>
                <w:color w:val="000000"/>
                <w:sz w:val="20"/>
                <w:szCs w:val="20"/>
              </w:rPr>
            </w:pPr>
            <w:r>
              <w:rPr>
                <w:color w:val="000000"/>
                <w:sz w:val="20"/>
                <w:szCs w:val="20"/>
              </w:rPr>
              <w:t>(-7.</w:t>
            </w:r>
            <w:r w:rsidR="00222FFE">
              <w:rPr>
                <w:color w:val="000000"/>
                <w:sz w:val="20"/>
                <w:szCs w:val="20"/>
              </w:rPr>
              <w:t>32</w:t>
            </w:r>
            <w:r>
              <w:rPr>
                <w:color w:val="000000"/>
                <w:sz w:val="20"/>
                <w:szCs w:val="20"/>
              </w:rPr>
              <w:t>)</w:t>
            </w:r>
          </w:p>
        </w:tc>
        <w:tc>
          <w:tcPr>
            <w:tcW w:w="1026" w:type="dxa"/>
            <w:tcBorders>
              <w:top w:val="nil"/>
              <w:left w:val="single" w:sz="4" w:space="0" w:color="auto"/>
              <w:bottom w:val="nil"/>
              <w:right w:val="single" w:sz="4" w:space="0" w:color="auto"/>
            </w:tcBorders>
            <w:shd w:val="clear" w:color="auto" w:fill="FFFFFF"/>
            <w:tcMar>
              <w:left w:w="58" w:type="dxa"/>
              <w:right w:w="58" w:type="dxa"/>
            </w:tcMar>
          </w:tcPr>
          <w:p w:rsidR="00553744" w:rsidRDefault="00553744" w:rsidP="00A071C3">
            <w:pPr>
              <w:jc w:val="right"/>
              <w:rPr>
                <w:color w:val="000000"/>
                <w:sz w:val="20"/>
                <w:szCs w:val="20"/>
              </w:rPr>
            </w:pPr>
            <w:r w:rsidRPr="00627808">
              <w:rPr>
                <w:color w:val="000000"/>
                <w:sz w:val="20"/>
                <w:szCs w:val="20"/>
              </w:rPr>
              <w:t>-</w:t>
            </w:r>
            <w:r>
              <w:rPr>
                <w:color w:val="000000"/>
                <w:sz w:val="20"/>
                <w:szCs w:val="20"/>
              </w:rPr>
              <w:t>0</w:t>
            </w:r>
            <w:r w:rsidR="00222FFE">
              <w:rPr>
                <w:color w:val="000000"/>
                <w:sz w:val="20"/>
                <w:szCs w:val="20"/>
              </w:rPr>
              <w:t>.837</w:t>
            </w:r>
          </w:p>
          <w:p w:rsidR="00553744" w:rsidRPr="00627808" w:rsidRDefault="00553744" w:rsidP="00A071C3">
            <w:pPr>
              <w:jc w:val="right"/>
              <w:rPr>
                <w:color w:val="000000"/>
                <w:sz w:val="20"/>
                <w:szCs w:val="20"/>
              </w:rPr>
            </w:pPr>
            <w:r>
              <w:rPr>
                <w:color w:val="000000"/>
                <w:sz w:val="20"/>
                <w:szCs w:val="20"/>
              </w:rPr>
              <w:t>(-</w:t>
            </w:r>
            <w:r w:rsidR="00222FFE">
              <w:rPr>
                <w:color w:val="000000"/>
                <w:sz w:val="20"/>
                <w:szCs w:val="20"/>
              </w:rPr>
              <w:t>2.08</w:t>
            </w:r>
            <w:r>
              <w:rPr>
                <w:color w:val="000000"/>
                <w:sz w:val="20"/>
                <w:szCs w:val="20"/>
              </w:rPr>
              <w:t>)</w:t>
            </w:r>
          </w:p>
        </w:tc>
        <w:tc>
          <w:tcPr>
            <w:tcW w:w="1026" w:type="dxa"/>
            <w:tcBorders>
              <w:top w:val="nil"/>
              <w:left w:val="single" w:sz="4" w:space="0" w:color="auto"/>
              <w:bottom w:val="nil"/>
              <w:right w:val="double" w:sz="4" w:space="0" w:color="auto"/>
            </w:tcBorders>
            <w:shd w:val="clear" w:color="auto" w:fill="FFFFFF"/>
            <w:noWrap/>
            <w:tcMar>
              <w:left w:w="58" w:type="dxa"/>
              <w:right w:w="58" w:type="dxa"/>
            </w:tcMar>
          </w:tcPr>
          <w:p w:rsidR="00553744" w:rsidRPr="00627808" w:rsidRDefault="00222FFE" w:rsidP="007422FC">
            <w:pPr>
              <w:jc w:val="right"/>
              <w:rPr>
                <w:color w:val="000000"/>
                <w:sz w:val="20"/>
                <w:szCs w:val="20"/>
              </w:rPr>
            </w:pPr>
            <w:r>
              <w:rPr>
                <w:color w:val="000000"/>
                <w:sz w:val="20"/>
                <w:szCs w:val="20"/>
              </w:rPr>
              <w:t>-3.781</w:t>
            </w:r>
            <w:r w:rsidRPr="00627808">
              <w:rPr>
                <w:color w:val="000000"/>
                <w:sz w:val="20"/>
                <w:szCs w:val="20"/>
              </w:rPr>
              <w:br/>
              <w:t>(-</w:t>
            </w:r>
            <w:r>
              <w:rPr>
                <w:color w:val="000000"/>
                <w:sz w:val="20"/>
                <w:szCs w:val="20"/>
              </w:rPr>
              <w:t>6.28)</w:t>
            </w:r>
          </w:p>
        </w:tc>
      </w:tr>
      <w:tr w:rsidR="00553744" w:rsidRPr="00627808" w:rsidTr="00A071C3">
        <w:trPr>
          <w:trHeight w:val="576"/>
        </w:trPr>
        <w:tc>
          <w:tcPr>
            <w:tcW w:w="4675" w:type="dxa"/>
            <w:tcBorders>
              <w:top w:val="nil"/>
              <w:left w:val="double" w:sz="4" w:space="0" w:color="auto"/>
              <w:bottom w:val="double" w:sz="4" w:space="0" w:color="auto"/>
              <w:right w:val="double" w:sz="4" w:space="0" w:color="auto"/>
            </w:tcBorders>
            <w:shd w:val="clear" w:color="auto" w:fill="FFFFFF"/>
            <w:noWrap/>
            <w:tcMar>
              <w:left w:w="58" w:type="dxa"/>
              <w:right w:w="58" w:type="dxa"/>
            </w:tcMar>
          </w:tcPr>
          <w:p w:rsidR="00553744" w:rsidRPr="00627808" w:rsidRDefault="00553744" w:rsidP="00EE5B23">
            <w:pPr>
              <w:ind w:left="170"/>
              <w:rPr>
                <w:color w:val="000000"/>
                <w:sz w:val="20"/>
                <w:szCs w:val="20"/>
              </w:rPr>
            </w:pPr>
            <w:r w:rsidRPr="00627808">
              <w:rPr>
                <w:color w:val="000000"/>
                <w:sz w:val="20"/>
                <w:szCs w:val="20"/>
              </w:rPr>
              <w:t>Satiation constant</w:t>
            </w:r>
          </w:p>
        </w:tc>
        <w:tc>
          <w:tcPr>
            <w:tcW w:w="1026" w:type="dxa"/>
            <w:tcBorders>
              <w:top w:val="nil"/>
              <w:left w:val="double" w:sz="4" w:space="0" w:color="auto"/>
              <w:bottom w:val="double" w:sz="4" w:space="0" w:color="auto"/>
              <w:right w:val="single" w:sz="4" w:space="0" w:color="auto"/>
            </w:tcBorders>
            <w:shd w:val="clear" w:color="auto" w:fill="FFFFFF"/>
            <w:tcMar>
              <w:left w:w="58" w:type="dxa"/>
              <w:right w:w="58" w:type="dxa"/>
            </w:tcMar>
          </w:tcPr>
          <w:p w:rsidR="00553744" w:rsidRPr="00627808" w:rsidRDefault="00553744" w:rsidP="00A071C3">
            <w:pPr>
              <w:jc w:val="right"/>
              <w:rPr>
                <w:color w:val="000000"/>
                <w:sz w:val="20"/>
                <w:szCs w:val="20"/>
              </w:rPr>
            </w:pPr>
            <w:r>
              <w:rPr>
                <w:color w:val="000000"/>
                <w:sz w:val="20"/>
                <w:szCs w:val="20"/>
              </w:rPr>
              <w:t>-0.2</w:t>
            </w:r>
            <w:r w:rsidR="00222FFE">
              <w:rPr>
                <w:color w:val="000000"/>
                <w:sz w:val="20"/>
                <w:szCs w:val="20"/>
              </w:rPr>
              <w:t>66</w:t>
            </w:r>
            <w:r w:rsidRPr="00627808">
              <w:rPr>
                <w:color w:val="000000"/>
                <w:sz w:val="20"/>
                <w:szCs w:val="20"/>
              </w:rPr>
              <w:br/>
              <w:t xml:space="preserve"> (</w:t>
            </w:r>
            <w:r>
              <w:rPr>
                <w:color w:val="000000"/>
                <w:sz w:val="20"/>
                <w:szCs w:val="20"/>
              </w:rPr>
              <w:t>-2.</w:t>
            </w:r>
            <w:r w:rsidR="00222FFE">
              <w:rPr>
                <w:color w:val="000000"/>
                <w:sz w:val="20"/>
                <w:szCs w:val="20"/>
              </w:rPr>
              <w:t>70</w:t>
            </w:r>
            <w:r w:rsidRPr="00627808">
              <w:rPr>
                <w:color w:val="000000"/>
                <w:sz w:val="20"/>
                <w:szCs w:val="20"/>
              </w:rPr>
              <w:t>)</w:t>
            </w:r>
          </w:p>
        </w:tc>
        <w:tc>
          <w:tcPr>
            <w:tcW w:w="1026" w:type="dxa"/>
            <w:tcBorders>
              <w:top w:val="nil"/>
              <w:left w:val="single" w:sz="4" w:space="0" w:color="auto"/>
              <w:bottom w:val="double" w:sz="4" w:space="0" w:color="auto"/>
              <w:right w:val="single" w:sz="4" w:space="0" w:color="auto"/>
            </w:tcBorders>
            <w:shd w:val="clear" w:color="auto" w:fill="FFFFFF"/>
            <w:noWrap/>
            <w:tcMar>
              <w:left w:w="58" w:type="dxa"/>
              <w:right w:w="58" w:type="dxa"/>
            </w:tcMar>
          </w:tcPr>
          <w:p w:rsidR="00553744" w:rsidRPr="00627808" w:rsidRDefault="00222FFE" w:rsidP="00A071C3">
            <w:pPr>
              <w:jc w:val="right"/>
              <w:rPr>
                <w:color w:val="000000"/>
                <w:sz w:val="20"/>
                <w:szCs w:val="20"/>
              </w:rPr>
            </w:pPr>
            <w:r>
              <w:rPr>
                <w:color w:val="000000"/>
                <w:sz w:val="20"/>
                <w:szCs w:val="20"/>
              </w:rPr>
              <w:t>1</w:t>
            </w:r>
            <w:r w:rsidR="00553744">
              <w:rPr>
                <w:color w:val="000000"/>
                <w:sz w:val="20"/>
                <w:szCs w:val="20"/>
              </w:rPr>
              <w:t>.</w:t>
            </w:r>
            <w:r w:rsidR="008D5887">
              <w:rPr>
                <w:color w:val="000000"/>
                <w:sz w:val="20"/>
                <w:szCs w:val="20"/>
              </w:rPr>
              <w:t>9</w:t>
            </w:r>
            <w:r>
              <w:rPr>
                <w:color w:val="000000"/>
                <w:sz w:val="20"/>
                <w:szCs w:val="20"/>
              </w:rPr>
              <w:t>94</w:t>
            </w:r>
            <w:r w:rsidR="00553744" w:rsidRPr="00627808">
              <w:rPr>
                <w:color w:val="000000"/>
                <w:sz w:val="20"/>
                <w:szCs w:val="20"/>
              </w:rPr>
              <w:br/>
              <w:t>(</w:t>
            </w:r>
            <w:r>
              <w:rPr>
                <w:color w:val="000000"/>
                <w:sz w:val="20"/>
                <w:szCs w:val="20"/>
              </w:rPr>
              <w:t>4.27</w:t>
            </w:r>
            <w:r w:rsidR="00553744" w:rsidRPr="00627808">
              <w:rPr>
                <w:color w:val="000000"/>
                <w:sz w:val="20"/>
                <w:szCs w:val="20"/>
              </w:rPr>
              <w:t>)</w:t>
            </w:r>
          </w:p>
        </w:tc>
        <w:tc>
          <w:tcPr>
            <w:tcW w:w="1026" w:type="dxa"/>
            <w:tcBorders>
              <w:top w:val="nil"/>
              <w:left w:val="single" w:sz="4" w:space="0" w:color="auto"/>
              <w:bottom w:val="double" w:sz="4" w:space="0" w:color="auto"/>
              <w:right w:val="single" w:sz="4" w:space="0" w:color="auto"/>
            </w:tcBorders>
            <w:shd w:val="clear" w:color="auto" w:fill="FFFFFF"/>
            <w:tcMar>
              <w:left w:w="58" w:type="dxa"/>
              <w:right w:w="58" w:type="dxa"/>
            </w:tcMar>
          </w:tcPr>
          <w:p w:rsidR="00553744" w:rsidRPr="00627808" w:rsidRDefault="008D5887" w:rsidP="00A071C3">
            <w:pPr>
              <w:jc w:val="right"/>
              <w:rPr>
                <w:color w:val="000000"/>
                <w:sz w:val="20"/>
                <w:szCs w:val="20"/>
              </w:rPr>
            </w:pPr>
            <w:r>
              <w:rPr>
                <w:color w:val="000000"/>
                <w:sz w:val="20"/>
                <w:szCs w:val="20"/>
              </w:rPr>
              <w:t>0.</w:t>
            </w:r>
            <w:r w:rsidR="00222FFE">
              <w:rPr>
                <w:color w:val="000000"/>
                <w:sz w:val="20"/>
                <w:szCs w:val="20"/>
              </w:rPr>
              <w:t>942</w:t>
            </w:r>
            <w:r w:rsidR="00553744" w:rsidRPr="00627808">
              <w:rPr>
                <w:color w:val="000000"/>
                <w:sz w:val="20"/>
                <w:szCs w:val="20"/>
              </w:rPr>
              <w:br/>
              <w:t>(</w:t>
            </w:r>
            <w:r w:rsidR="00553744">
              <w:rPr>
                <w:color w:val="000000"/>
                <w:sz w:val="20"/>
                <w:szCs w:val="20"/>
              </w:rPr>
              <w:t>4</w:t>
            </w:r>
            <w:r w:rsidR="00222FFE">
              <w:rPr>
                <w:color w:val="000000"/>
                <w:sz w:val="20"/>
                <w:szCs w:val="20"/>
              </w:rPr>
              <w:t>.95</w:t>
            </w:r>
            <w:r w:rsidR="00553744" w:rsidRPr="00627808">
              <w:rPr>
                <w:color w:val="000000"/>
                <w:sz w:val="20"/>
                <w:szCs w:val="20"/>
              </w:rPr>
              <w:t>)</w:t>
            </w:r>
          </w:p>
        </w:tc>
        <w:tc>
          <w:tcPr>
            <w:tcW w:w="1026" w:type="dxa"/>
            <w:tcBorders>
              <w:top w:val="nil"/>
              <w:left w:val="single" w:sz="4" w:space="0" w:color="auto"/>
              <w:bottom w:val="double" w:sz="4" w:space="0" w:color="auto"/>
              <w:right w:val="single" w:sz="4" w:space="0" w:color="auto"/>
            </w:tcBorders>
            <w:shd w:val="clear" w:color="auto" w:fill="FFFFFF"/>
            <w:tcMar>
              <w:left w:w="58" w:type="dxa"/>
              <w:right w:w="58" w:type="dxa"/>
            </w:tcMar>
          </w:tcPr>
          <w:p w:rsidR="00553744" w:rsidRPr="00627808" w:rsidRDefault="00553744" w:rsidP="00A071C3">
            <w:pPr>
              <w:jc w:val="right"/>
              <w:rPr>
                <w:color w:val="000000"/>
                <w:sz w:val="20"/>
                <w:szCs w:val="20"/>
              </w:rPr>
            </w:pPr>
            <w:r>
              <w:rPr>
                <w:color w:val="000000"/>
                <w:sz w:val="20"/>
                <w:szCs w:val="20"/>
              </w:rPr>
              <w:t>0.</w:t>
            </w:r>
            <w:r w:rsidR="00222FFE">
              <w:rPr>
                <w:color w:val="000000"/>
                <w:sz w:val="20"/>
                <w:szCs w:val="20"/>
              </w:rPr>
              <w:t>575</w:t>
            </w:r>
            <w:r w:rsidRPr="00627808">
              <w:rPr>
                <w:color w:val="000000"/>
                <w:sz w:val="20"/>
                <w:szCs w:val="20"/>
              </w:rPr>
              <w:br/>
              <w:t>(</w:t>
            </w:r>
            <w:r w:rsidR="00222FFE">
              <w:rPr>
                <w:color w:val="000000"/>
                <w:sz w:val="20"/>
                <w:szCs w:val="20"/>
              </w:rPr>
              <w:t>2.36</w:t>
            </w:r>
            <w:r w:rsidRPr="00627808">
              <w:rPr>
                <w:color w:val="000000"/>
                <w:sz w:val="20"/>
                <w:szCs w:val="20"/>
              </w:rPr>
              <w:t>)</w:t>
            </w:r>
          </w:p>
        </w:tc>
        <w:tc>
          <w:tcPr>
            <w:tcW w:w="1026" w:type="dxa"/>
            <w:tcBorders>
              <w:top w:val="nil"/>
              <w:left w:val="single" w:sz="4" w:space="0" w:color="auto"/>
              <w:bottom w:val="double" w:sz="4" w:space="0" w:color="auto"/>
              <w:right w:val="double" w:sz="4" w:space="0" w:color="auto"/>
            </w:tcBorders>
            <w:shd w:val="clear" w:color="auto" w:fill="FFFFFF"/>
            <w:noWrap/>
            <w:tcMar>
              <w:left w:w="58" w:type="dxa"/>
              <w:right w:w="58" w:type="dxa"/>
            </w:tcMar>
          </w:tcPr>
          <w:p w:rsidR="00553744" w:rsidRPr="00627808" w:rsidRDefault="00222FFE" w:rsidP="00A071C3">
            <w:pPr>
              <w:jc w:val="right"/>
              <w:rPr>
                <w:color w:val="000000"/>
                <w:sz w:val="20"/>
                <w:szCs w:val="20"/>
              </w:rPr>
            </w:pPr>
            <w:r>
              <w:rPr>
                <w:color w:val="000000"/>
                <w:sz w:val="20"/>
                <w:szCs w:val="20"/>
              </w:rPr>
              <w:t>0.988</w:t>
            </w:r>
            <w:r w:rsidR="00553744" w:rsidRPr="00627808">
              <w:rPr>
                <w:color w:val="000000"/>
                <w:sz w:val="20"/>
                <w:szCs w:val="20"/>
              </w:rPr>
              <w:br/>
              <w:t>(</w:t>
            </w:r>
            <w:r w:rsidR="00D0512C">
              <w:rPr>
                <w:color w:val="000000"/>
                <w:sz w:val="20"/>
                <w:szCs w:val="20"/>
              </w:rPr>
              <w:t>1.89</w:t>
            </w:r>
            <w:r w:rsidR="00553744" w:rsidRPr="00627808">
              <w:rPr>
                <w:color w:val="000000"/>
                <w:sz w:val="20"/>
                <w:szCs w:val="20"/>
              </w:rPr>
              <w:t>)</w:t>
            </w:r>
          </w:p>
        </w:tc>
      </w:tr>
    </w:tbl>
    <w:p w:rsidR="00553744" w:rsidRDefault="00553744" w:rsidP="00553744">
      <w:pPr>
        <w:spacing w:after="120"/>
      </w:pPr>
    </w:p>
    <w:p w:rsidR="00553744" w:rsidRDefault="00553744" w:rsidP="00553744">
      <w:pPr>
        <w:spacing w:after="120"/>
      </w:pPr>
    </w:p>
    <w:p w:rsidR="00553744" w:rsidRPr="0015566E" w:rsidRDefault="00553744" w:rsidP="00506FA0">
      <w:pPr>
        <w:spacing w:after="120"/>
        <w:rPr>
          <w:b/>
        </w:rPr>
      </w:pPr>
      <w:r>
        <w:br w:type="page"/>
      </w:r>
      <w:r w:rsidRPr="0015566E">
        <w:rPr>
          <w:b/>
        </w:rPr>
        <w:lastRenderedPageBreak/>
        <w:t xml:space="preserve">Table </w:t>
      </w:r>
      <w:r>
        <w:rPr>
          <w:b/>
        </w:rPr>
        <w:t>3</w:t>
      </w:r>
      <w:r w:rsidR="00D1647F">
        <w:rPr>
          <w:b/>
        </w:rPr>
        <w:t>.</w:t>
      </w:r>
      <w:r w:rsidRPr="0015566E">
        <w:rPr>
          <w:b/>
        </w:rPr>
        <w:t xml:space="preserve"> Tobit Model for Total Mileage by Motorized Modes</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2250"/>
        <w:gridCol w:w="2088"/>
      </w:tblGrid>
      <w:tr w:rsidR="00553744" w:rsidTr="00506FA0">
        <w:trPr>
          <w:trHeight w:val="288"/>
        </w:trPr>
        <w:tc>
          <w:tcPr>
            <w:tcW w:w="5238" w:type="dxa"/>
            <w:tcBorders>
              <w:top w:val="double" w:sz="4" w:space="0" w:color="auto"/>
              <w:left w:val="double" w:sz="4" w:space="0" w:color="auto"/>
              <w:bottom w:val="double" w:sz="4" w:space="0" w:color="auto"/>
              <w:right w:val="double" w:sz="4" w:space="0" w:color="auto"/>
            </w:tcBorders>
            <w:shd w:val="clear" w:color="auto" w:fill="auto"/>
            <w:vAlign w:val="center"/>
          </w:tcPr>
          <w:p w:rsidR="00553744" w:rsidRPr="00EF758A" w:rsidRDefault="00553744" w:rsidP="00506FA0">
            <w:pPr>
              <w:jc w:val="center"/>
              <w:rPr>
                <w:b/>
                <w:sz w:val="22"/>
                <w:szCs w:val="22"/>
              </w:rPr>
            </w:pPr>
            <w:r w:rsidRPr="00EF758A">
              <w:rPr>
                <w:b/>
                <w:sz w:val="22"/>
                <w:szCs w:val="22"/>
              </w:rPr>
              <w:t>Variables</w:t>
            </w:r>
          </w:p>
        </w:tc>
        <w:tc>
          <w:tcPr>
            <w:tcW w:w="2250" w:type="dxa"/>
            <w:tcBorders>
              <w:top w:val="double" w:sz="4" w:space="0" w:color="auto"/>
              <w:left w:val="double" w:sz="4" w:space="0" w:color="auto"/>
              <w:bottom w:val="double" w:sz="4" w:space="0" w:color="auto"/>
              <w:right w:val="double" w:sz="4" w:space="0" w:color="auto"/>
            </w:tcBorders>
            <w:shd w:val="clear" w:color="auto" w:fill="auto"/>
            <w:vAlign w:val="center"/>
          </w:tcPr>
          <w:p w:rsidR="00553744" w:rsidRPr="00EF758A" w:rsidRDefault="00553744" w:rsidP="00506FA0">
            <w:pPr>
              <w:jc w:val="center"/>
              <w:rPr>
                <w:b/>
                <w:sz w:val="22"/>
                <w:szCs w:val="22"/>
              </w:rPr>
            </w:pPr>
            <w:r w:rsidRPr="00EF758A">
              <w:rPr>
                <w:b/>
                <w:sz w:val="22"/>
                <w:szCs w:val="22"/>
              </w:rPr>
              <w:t>Coefficient estimates</w:t>
            </w:r>
          </w:p>
        </w:tc>
        <w:tc>
          <w:tcPr>
            <w:tcW w:w="2088" w:type="dxa"/>
            <w:tcBorders>
              <w:top w:val="double" w:sz="4" w:space="0" w:color="auto"/>
              <w:left w:val="double" w:sz="4" w:space="0" w:color="auto"/>
              <w:bottom w:val="double" w:sz="4" w:space="0" w:color="auto"/>
              <w:right w:val="double" w:sz="4" w:space="0" w:color="auto"/>
            </w:tcBorders>
            <w:shd w:val="clear" w:color="auto" w:fill="auto"/>
            <w:vAlign w:val="center"/>
          </w:tcPr>
          <w:p w:rsidR="00553744" w:rsidRPr="00EF758A" w:rsidRDefault="00553744" w:rsidP="00506FA0">
            <w:pPr>
              <w:jc w:val="center"/>
              <w:rPr>
                <w:b/>
                <w:sz w:val="22"/>
                <w:szCs w:val="22"/>
              </w:rPr>
            </w:pPr>
            <w:r w:rsidRPr="00EF758A">
              <w:rPr>
                <w:b/>
                <w:sz w:val="22"/>
                <w:szCs w:val="22"/>
              </w:rPr>
              <w:t>t-statistics</w:t>
            </w:r>
          </w:p>
        </w:tc>
      </w:tr>
      <w:tr w:rsidR="00553744" w:rsidTr="00A071C3">
        <w:tc>
          <w:tcPr>
            <w:tcW w:w="5238" w:type="dxa"/>
            <w:tcBorders>
              <w:top w:val="double" w:sz="4" w:space="0" w:color="auto"/>
              <w:left w:val="double" w:sz="4" w:space="0" w:color="auto"/>
              <w:bottom w:val="nil"/>
              <w:right w:val="double" w:sz="4" w:space="0" w:color="auto"/>
            </w:tcBorders>
            <w:shd w:val="clear" w:color="auto" w:fill="auto"/>
          </w:tcPr>
          <w:p w:rsidR="00553744" w:rsidRPr="00EF758A" w:rsidRDefault="00553744" w:rsidP="00EF758A">
            <w:pPr>
              <w:spacing w:after="120"/>
              <w:rPr>
                <w:b/>
                <w:i/>
                <w:sz w:val="22"/>
                <w:szCs w:val="22"/>
              </w:rPr>
            </w:pPr>
            <w:r w:rsidRPr="00EF758A">
              <w:rPr>
                <w:b/>
                <w:i/>
                <w:sz w:val="22"/>
                <w:szCs w:val="22"/>
              </w:rPr>
              <w:t>Household sociodemographic</w:t>
            </w:r>
          </w:p>
        </w:tc>
        <w:tc>
          <w:tcPr>
            <w:tcW w:w="2250" w:type="dxa"/>
            <w:tcBorders>
              <w:top w:val="double" w:sz="4" w:space="0" w:color="auto"/>
              <w:left w:val="double" w:sz="4" w:space="0" w:color="auto"/>
              <w:bottom w:val="nil"/>
              <w:right w:val="double" w:sz="4" w:space="0" w:color="auto"/>
            </w:tcBorders>
            <w:shd w:val="clear" w:color="auto" w:fill="auto"/>
          </w:tcPr>
          <w:p w:rsidR="00553744" w:rsidRPr="00EF758A" w:rsidRDefault="00553744" w:rsidP="00EF758A">
            <w:pPr>
              <w:spacing w:after="120"/>
              <w:rPr>
                <w:sz w:val="22"/>
                <w:szCs w:val="22"/>
              </w:rPr>
            </w:pPr>
          </w:p>
        </w:tc>
        <w:tc>
          <w:tcPr>
            <w:tcW w:w="2088" w:type="dxa"/>
            <w:tcBorders>
              <w:top w:val="double" w:sz="4" w:space="0" w:color="auto"/>
              <w:left w:val="double" w:sz="4" w:space="0" w:color="auto"/>
              <w:bottom w:val="nil"/>
              <w:right w:val="double" w:sz="4" w:space="0" w:color="auto"/>
            </w:tcBorders>
            <w:shd w:val="clear" w:color="auto" w:fill="auto"/>
          </w:tcPr>
          <w:p w:rsidR="00553744" w:rsidRPr="00EF758A" w:rsidRDefault="00553744" w:rsidP="00EF758A">
            <w:pPr>
              <w:spacing w:after="120"/>
              <w:rPr>
                <w:sz w:val="22"/>
                <w:szCs w:val="22"/>
              </w:rPr>
            </w:pPr>
          </w:p>
        </w:tc>
      </w:tr>
      <w:tr w:rsidR="00553744" w:rsidTr="00A071C3">
        <w:tc>
          <w:tcPr>
            <w:tcW w:w="5238"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ind w:left="270"/>
              <w:rPr>
                <w:sz w:val="22"/>
                <w:szCs w:val="22"/>
              </w:rPr>
            </w:pPr>
            <w:r w:rsidRPr="00EF758A">
              <w:rPr>
                <w:sz w:val="22"/>
                <w:szCs w:val="22"/>
              </w:rPr>
              <w:t>Income less than $35,000 annually</w:t>
            </w:r>
          </w:p>
        </w:tc>
        <w:tc>
          <w:tcPr>
            <w:tcW w:w="2250"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jc w:val="center"/>
              <w:rPr>
                <w:sz w:val="22"/>
                <w:szCs w:val="22"/>
              </w:rPr>
            </w:pPr>
            <w:r w:rsidRPr="00EF758A">
              <w:rPr>
                <w:sz w:val="22"/>
                <w:szCs w:val="22"/>
              </w:rPr>
              <w:t>-</w:t>
            </w:r>
            <w:r w:rsidR="00D0512C">
              <w:rPr>
                <w:sz w:val="22"/>
                <w:szCs w:val="22"/>
              </w:rPr>
              <w:t>0.587</w:t>
            </w:r>
          </w:p>
        </w:tc>
        <w:tc>
          <w:tcPr>
            <w:tcW w:w="2088" w:type="dxa"/>
            <w:tcBorders>
              <w:top w:val="nil"/>
              <w:left w:val="double" w:sz="4" w:space="0" w:color="auto"/>
              <w:bottom w:val="nil"/>
              <w:right w:val="double" w:sz="4" w:space="0" w:color="auto"/>
            </w:tcBorders>
            <w:shd w:val="clear" w:color="auto" w:fill="auto"/>
          </w:tcPr>
          <w:p w:rsidR="00553744" w:rsidRPr="00EF758A" w:rsidRDefault="008C6E65" w:rsidP="00EF758A">
            <w:pPr>
              <w:spacing w:after="120"/>
              <w:jc w:val="center"/>
              <w:rPr>
                <w:sz w:val="22"/>
                <w:szCs w:val="22"/>
              </w:rPr>
            </w:pPr>
            <w:r w:rsidRPr="00EF758A">
              <w:rPr>
                <w:sz w:val="22"/>
                <w:szCs w:val="22"/>
              </w:rPr>
              <w:t xml:space="preserve"> </w:t>
            </w:r>
            <w:r w:rsidR="00553744" w:rsidRPr="00EF758A">
              <w:rPr>
                <w:sz w:val="22"/>
                <w:szCs w:val="22"/>
              </w:rPr>
              <w:t>-</w:t>
            </w:r>
            <w:r w:rsidR="00D0512C">
              <w:rPr>
                <w:sz w:val="22"/>
                <w:szCs w:val="22"/>
              </w:rPr>
              <w:t>6.06</w:t>
            </w:r>
          </w:p>
        </w:tc>
      </w:tr>
      <w:tr w:rsidR="00553744" w:rsidTr="00A071C3">
        <w:tc>
          <w:tcPr>
            <w:tcW w:w="5238"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ind w:left="270"/>
              <w:rPr>
                <w:sz w:val="22"/>
                <w:szCs w:val="22"/>
              </w:rPr>
            </w:pPr>
            <w:r w:rsidRPr="00EF758A">
              <w:rPr>
                <w:sz w:val="22"/>
                <w:szCs w:val="22"/>
              </w:rPr>
              <w:t>Number of adults</w:t>
            </w:r>
          </w:p>
        </w:tc>
        <w:tc>
          <w:tcPr>
            <w:tcW w:w="2250"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jc w:val="center"/>
              <w:rPr>
                <w:sz w:val="22"/>
                <w:szCs w:val="22"/>
              </w:rPr>
            </w:pPr>
            <w:r w:rsidRPr="00EF758A">
              <w:rPr>
                <w:sz w:val="22"/>
                <w:szCs w:val="22"/>
              </w:rPr>
              <w:t xml:space="preserve"> 0.</w:t>
            </w:r>
            <w:r w:rsidR="00D0512C">
              <w:rPr>
                <w:sz w:val="22"/>
                <w:szCs w:val="22"/>
              </w:rPr>
              <w:t>180</w:t>
            </w:r>
          </w:p>
        </w:tc>
        <w:tc>
          <w:tcPr>
            <w:tcW w:w="2088"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jc w:val="center"/>
              <w:rPr>
                <w:sz w:val="22"/>
                <w:szCs w:val="22"/>
              </w:rPr>
            </w:pPr>
            <w:r w:rsidRPr="00EF758A">
              <w:rPr>
                <w:sz w:val="22"/>
                <w:szCs w:val="22"/>
              </w:rPr>
              <w:t xml:space="preserve"> </w:t>
            </w:r>
            <w:r w:rsidR="008C6E65" w:rsidRPr="00EF758A">
              <w:rPr>
                <w:sz w:val="22"/>
                <w:szCs w:val="22"/>
              </w:rPr>
              <w:t xml:space="preserve"> </w:t>
            </w:r>
            <w:r w:rsidR="00D0512C">
              <w:rPr>
                <w:sz w:val="22"/>
                <w:szCs w:val="22"/>
              </w:rPr>
              <w:t>3.00</w:t>
            </w:r>
          </w:p>
        </w:tc>
      </w:tr>
      <w:tr w:rsidR="00553744" w:rsidTr="00A071C3">
        <w:tc>
          <w:tcPr>
            <w:tcW w:w="5238"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ind w:left="270"/>
              <w:rPr>
                <w:sz w:val="22"/>
                <w:szCs w:val="22"/>
              </w:rPr>
            </w:pPr>
            <w:r w:rsidRPr="00EF758A">
              <w:rPr>
                <w:sz w:val="22"/>
                <w:szCs w:val="22"/>
              </w:rPr>
              <w:t>Number of workers</w:t>
            </w:r>
          </w:p>
        </w:tc>
        <w:tc>
          <w:tcPr>
            <w:tcW w:w="2250"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jc w:val="center"/>
              <w:rPr>
                <w:sz w:val="22"/>
                <w:szCs w:val="22"/>
              </w:rPr>
            </w:pPr>
            <w:r w:rsidRPr="00EF758A">
              <w:rPr>
                <w:sz w:val="22"/>
                <w:szCs w:val="22"/>
              </w:rPr>
              <w:t xml:space="preserve"> 0.</w:t>
            </w:r>
            <w:r w:rsidR="00D0512C">
              <w:rPr>
                <w:sz w:val="22"/>
                <w:szCs w:val="22"/>
              </w:rPr>
              <w:t>383</w:t>
            </w:r>
          </w:p>
        </w:tc>
        <w:tc>
          <w:tcPr>
            <w:tcW w:w="2088"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jc w:val="center"/>
              <w:rPr>
                <w:sz w:val="22"/>
                <w:szCs w:val="22"/>
              </w:rPr>
            </w:pPr>
            <w:r w:rsidRPr="00EF758A">
              <w:rPr>
                <w:sz w:val="22"/>
                <w:szCs w:val="22"/>
              </w:rPr>
              <w:t xml:space="preserve"> </w:t>
            </w:r>
            <w:r w:rsidR="008C6E65" w:rsidRPr="00EF758A">
              <w:rPr>
                <w:sz w:val="22"/>
                <w:szCs w:val="22"/>
              </w:rPr>
              <w:t xml:space="preserve"> </w:t>
            </w:r>
            <w:r w:rsidR="00D0512C">
              <w:rPr>
                <w:sz w:val="22"/>
                <w:szCs w:val="22"/>
              </w:rPr>
              <w:t>9.79</w:t>
            </w:r>
          </w:p>
        </w:tc>
      </w:tr>
      <w:tr w:rsidR="00553744" w:rsidTr="00A071C3">
        <w:tc>
          <w:tcPr>
            <w:tcW w:w="5238" w:type="dxa"/>
            <w:tcBorders>
              <w:top w:val="nil"/>
              <w:left w:val="double" w:sz="4" w:space="0" w:color="auto"/>
              <w:right w:val="double" w:sz="4" w:space="0" w:color="auto"/>
            </w:tcBorders>
            <w:shd w:val="clear" w:color="auto" w:fill="auto"/>
          </w:tcPr>
          <w:p w:rsidR="00553744" w:rsidRPr="00EF758A" w:rsidRDefault="00553744" w:rsidP="00EF758A">
            <w:pPr>
              <w:spacing w:after="120"/>
              <w:ind w:left="270"/>
              <w:rPr>
                <w:sz w:val="22"/>
                <w:szCs w:val="22"/>
              </w:rPr>
            </w:pPr>
            <w:r w:rsidRPr="00EF758A">
              <w:rPr>
                <w:sz w:val="22"/>
                <w:szCs w:val="22"/>
              </w:rPr>
              <w:t>Race is white</w:t>
            </w:r>
          </w:p>
        </w:tc>
        <w:tc>
          <w:tcPr>
            <w:tcW w:w="2250" w:type="dxa"/>
            <w:tcBorders>
              <w:top w:val="nil"/>
              <w:left w:val="double" w:sz="4" w:space="0" w:color="auto"/>
              <w:right w:val="double" w:sz="4" w:space="0" w:color="auto"/>
            </w:tcBorders>
            <w:shd w:val="clear" w:color="auto" w:fill="auto"/>
          </w:tcPr>
          <w:p w:rsidR="00553744" w:rsidRPr="00EF758A" w:rsidRDefault="00553744" w:rsidP="00EF758A">
            <w:pPr>
              <w:spacing w:after="120"/>
              <w:jc w:val="center"/>
              <w:rPr>
                <w:sz w:val="22"/>
                <w:szCs w:val="22"/>
              </w:rPr>
            </w:pPr>
            <w:r w:rsidRPr="00EF758A">
              <w:rPr>
                <w:sz w:val="22"/>
                <w:szCs w:val="22"/>
              </w:rPr>
              <w:t xml:space="preserve"> 0.</w:t>
            </w:r>
            <w:r w:rsidR="00D0512C">
              <w:rPr>
                <w:sz w:val="22"/>
                <w:szCs w:val="22"/>
              </w:rPr>
              <w:t>236</w:t>
            </w:r>
          </w:p>
        </w:tc>
        <w:tc>
          <w:tcPr>
            <w:tcW w:w="2088" w:type="dxa"/>
            <w:tcBorders>
              <w:top w:val="nil"/>
              <w:left w:val="double" w:sz="4" w:space="0" w:color="auto"/>
              <w:right w:val="double" w:sz="4" w:space="0" w:color="auto"/>
            </w:tcBorders>
            <w:shd w:val="clear" w:color="auto" w:fill="auto"/>
          </w:tcPr>
          <w:p w:rsidR="00553744" w:rsidRPr="00EF758A" w:rsidRDefault="008C6E65" w:rsidP="00EF758A">
            <w:pPr>
              <w:spacing w:after="120"/>
              <w:jc w:val="center"/>
              <w:rPr>
                <w:sz w:val="22"/>
                <w:szCs w:val="22"/>
              </w:rPr>
            </w:pPr>
            <w:r w:rsidRPr="00EF758A">
              <w:rPr>
                <w:sz w:val="22"/>
                <w:szCs w:val="22"/>
              </w:rPr>
              <w:t xml:space="preserve"> </w:t>
            </w:r>
            <w:r w:rsidR="00553744" w:rsidRPr="00EF758A">
              <w:rPr>
                <w:sz w:val="22"/>
                <w:szCs w:val="22"/>
              </w:rPr>
              <w:t xml:space="preserve"> </w:t>
            </w:r>
            <w:r w:rsidR="00D0512C">
              <w:rPr>
                <w:sz w:val="22"/>
                <w:szCs w:val="22"/>
              </w:rPr>
              <w:t>3.42</w:t>
            </w:r>
          </w:p>
        </w:tc>
      </w:tr>
      <w:tr w:rsidR="00553744" w:rsidTr="00A071C3">
        <w:tc>
          <w:tcPr>
            <w:tcW w:w="5238" w:type="dxa"/>
            <w:tcBorders>
              <w:left w:val="double" w:sz="4" w:space="0" w:color="auto"/>
              <w:bottom w:val="nil"/>
              <w:right w:val="double" w:sz="4" w:space="0" w:color="auto"/>
            </w:tcBorders>
            <w:shd w:val="clear" w:color="auto" w:fill="auto"/>
          </w:tcPr>
          <w:p w:rsidR="00553744" w:rsidRPr="00EF758A" w:rsidRDefault="00553744" w:rsidP="00EF758A">
            <w:pPr>
              <w:spacing w:after="120"/>
              <w:rPr>
                <w:sz w:val="22"/>
                <w:szCs w:val="22"/>
              </w:rPr>
            </w:pPr>
            <w:r w:rsidRPr="00EF758A">
              <w:rPr>
                <w:b/>
                <w:bCs/>
                <w:i/>
                <w:iCs/>
                <w:color w:val="000000"/>
                <w:sz w:val="22"/>
                <w:szCs w:val="22"/>
              </w:rPr>
              <w:t>Household location attributes</w:t>
            </w:r>
          </w:p>
        </w:tc>
        <w:tc>
          <w:tcPr>
            <w:tcW w:w="2250" w:type="dxa"/>
            <w:tcBorders>
              <w:left w:val="double" w:sz="4" w:space="0" w:color="auto"/>
              <w:bottom w:val="nil"/>
              <w:right w:val="double" w:sz="4" w:space="0" w:color="auto"/>
            </w:tcBorders>
            <w:shd w:val="clear" w:color="auto" w:fill="auto"/>
          </w:tcPr>
          <w:p w:rsidR="00553744" w:rsidRPr="00EF758A" w:rsidRDefault="00553744" w:rsidP="00EF758A">
            <w:pPr>
              <w:spacing w:after="120"/>
              <w:jc w:val="center"/>
              <w:rPr>
                <w:sz w:val="22"/>
                <w:szCs w:val="22"/>
              </w:rPr>
            </w:pPr>
          </w:p>
        </w:tc>
        <w:tc>
          <w:tcPr>
            <w:tcW w:w="2088" w:type="dxa"/>
            <w:tcBorders>
              <w:left w:val="double" w:sz="4" w:space="0" w:color="auto"/>
              <w:bottom w:val="nil"/>
              <w:right w:val="double" w:sz="4" w:space="0" w:color="auto"/>
            </w:tcBorders>
            <w:shd w:val="clear" w:color="auto" w:fill="auto"/>
          </w:tcPr>
          <w:p w:rsidR="00553744" w:rsidRPr="00EF758A" w:rsidRDefault="00553744" w:rsidP="00EF758A">
            <w:pPr>
              <w:spacing w:after="120"/>
              <w:jc w:val="center"/>
              <w:rPr>
                <w:sz w:val="22"/>
                <w:szCs w:val="22"/>
              </w:rPr>
            </w:pPr>
          </w:p>
        </w:tc>
      </w:tr>
      <w:tr w:rsidR="00553744" w:rsidTr="00A071C3">
        <w:tc>
          <w:tcPr>
            <w:tcW w:w="5238"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ind w:left="270"/>
              <w:rPr>
                <w:sz w:val="22"/>
                <w:szCs w:val="22"/>
              </w:rPr>
            </w:pPr>
            <w:r w:rsidRPr="00EF758A">
              <w:rPr>
                <w:color w:val="000000"/>
                <w:sz w:val="22"/>
                <w:szCs w:val="22"/>
              </w:rPr>
              <w:t>Population density more than 4000 persons/sq. mile (Base: less than 4000 persons/sq. mile</w:t>
            </w:r>
          </w:p>
        </w:tc>
        <w:tc>
          <w:tcPr>
            <w:tcW w:w="2250" w:type="dxa"/>
            <w:tcBorders>
              <w:top w:val="nil"/>
              <w:left w:val="double" w:sz="4" w:space="0" w:color="auto"/>
              <w:bottom w:val="nil"/>
              <w:right w:val="double" w:sz="4" w:space="0" w:color="auto"/>
            </w:tcBorders>
            <w:shd w:val="clear" w:color="auto" w:fill="auto"/>
          </w:tcPr>
          <w:p w:rsidR="00553744" w:rsidRPr="00EF758A" w:rsidRDefault="00553744" w:rsidP="00EF758A">
            <w:pPr>
              <w:spacing w:after="120"/>
              <w:jc w:val="center"/>
              <w:rPr>
                <w:sz w:val="22"/>
                <w:szCs w:val="22"/>
              </w:rPr>
            </w:pPr>
            <w:r w:rsidRPr="00EF758A">
              <w:rPr>
                <w:sz w:val="22"/>
                <w:szCs w:val="22"/>
              </w:rPr>
              <w:t>-0.</w:t>
            </w:r>
            <w:r w:rsidR="00D0512C">
              <w:rPr>
                <w:sz w:val="22"/>
                <w:szCs w:val="22"/>
              </w:rPr>
              <w:t>088</w:t>
            </w:r>
          </w:p>
        </w:tc>
        <w:tc>
          <w:tcPr>
            <w:tcW w:w="2088" w:type="dxa"/>
            <w:tcBorders>
              <w:top w:val="nil"/>
              <w:left w:val="double" w:sz="4" w:space="0" w:color="auto"/>
              <w:bottom w:val="nil"/>
              <w:right w:val="double" w:sz="4" w:space="0" w:color="auto"/>
            </w:tcBorders>
            <w:shd w:val="clear" w:color="auto" w:fill="auto"/>
          </w:tcPr>
          <w:p w:rsidR="00553744" w:rsidRPr="00EF758A" w:rsidRDefault="008C6E65" w:rsidP="00EF758A">
            <w:pPr>
              <w:spacing w:after="120"/>
              <w:jc w:val="center"/>
              <w:rPr>
                <w:sz w:val="22"/>
                <w:szCs w:val="22"/>
              </w:rPr>
            </w:pPr>
            <w:r w:rsidRPr="00EF758A">
              <w:rPr>
                <w:sz w:val="22"/>
                <w:szCs w:val="22"/>
              </w:rPr>
              <w:t xml:space="preserve"> </w:t>
            </w:r>
            <w:r w:rsidR="00553744" w:rsidRPr="00EF758A">
              <w:rPr>
                <w:sz w:val="22"/>
                <w:szCs w:val="22"/>
              </w:rPr>
              <w:t>-1.</w:t>
            </w:r>
            <w:r w:rsidR="00D0512C">
              <w:rPr>
                <w:sz w:val="22"/>
                <w:szCs w:val="22"/>
              </w:rPr>
              <w:t>3</w:t>
            </w:r>
            <w:r w:rsidR="0067440C">
              <w:rPr>
                <w:sz w:val="22"/>
                <w:szCs w:val="22"/>
              </w:rPr>
              <w:t>0</w:t>
            </w:r>
          </w:p>
        </w:tc>
      </w:tr>
      <w:tr w:rsidR="00553744" w:rsidTr="00A071C3">
        <w:tc>
          <w:tcPr>
            <w:tcW w:w="5238" w:type="dxa"/>
            <w:tcBorders>
              <w:top w:val="nil"/>
              <w:left w:val="double" w:sz="4" w:space="0" w:color="auto"/>
              <w:right w:val="double" w:sz="4" w:space="0" w:color="auto"/>
            </w:tcBorders>
            <w:shd w:val="clear" w:color="auto" w:fill="auto"/>
          </w:tcPr>
          <w:p w:rsidR="00553744" w:rsidRPr="00EF758A" w:rsidRDefault="00553744" w:rsidP="00EF758A">
            <w:pPr>
              <w:spacing w:after="120"/>
              <w:ind w:left="270"/>
              <w:rPr>
                <w:sz w:val="22"/>
                <w:szCs w:val="22"/>
              </w:rPr>
            </w:pPr>
            <w:r w:rsidRPr="00EF758A">
              <w:rPr>
                <w:color w:val="000000"/>
                <w:sz w:val="22"/>
                <w:szCs w:val="22"/>
              </w:rPr>
              <w:t>Employment density more than 500 workers/sq. mile (Base: less than 500 workers/sq. mile)</w:t>
            </w:r>
          </w:p>
        </w:tc>
        <w:tc>
          <w:tcPr>
            <w:tcW w:w="2250" w:type="dxa"/>
            <w:tcBorders>
              <w:top w:val="nil"/>
              <w:left w:val="double" w:sz="4" w:space="0" w:color="auto"/>
              <w:right w:val="double" w:sz="4" w:space="0" w:color="auto"/>
            </w:tcBorders>
            <w:shd w:val="clear" w:color="auto" w:fill="auto"/>
          </w:tcPr>
          <w:p w:rsidR="00553744" w:rsidRPr="00EF758A" w:rsidRDefault="00553744" w:rsidP="00EF758A">
            <w:pPr>
              <w:spacing w:after="120"/>
              <w:jc w:val="center"/>
              <w:rPr>
                <w:sz w:val="22"/>
                <w:szCs w:val="22"/>
              </w:rPr>
            </w:pPr>
            <w:r w:rsidRPr="00EF758A">
              <w:rPr>
                <w:sz w:val="22"/>
                <w:szCs w:val="22"/>
              </w:rPr>
              <w:t>-0.</w:t>
            </w:r>
            <w:r w:rsidR="00D0512C">
              <w:rPr>
                <w:sz w:val="22"/>
                <w:szCs w:val="22"/>
              </w:rPr>
              <w:t>264</w:t>
            </w:r>
          </w:p>
        </w:tc>
        <w:tc>
          <w:tcPr>
            <w:tcW w:w="2088" w:type="dxa"/>
            <w:tcBorders>
              <w:top w:val="nil"/>
              <w:left w:val="double" w:sz="4" w:space="0" w:color="auto"/>
              <w:right w:val="double" w:sz="4" w:space="0" w:color="auto"/>
            </w:tcBorders>
            <w:shd w:val="clear" w:color="auto" w:fill="auto"/>
          </w:tcPr>
          <w:p w:rsidR="00553744" w:rsidRPr="00EF758A" w:rsidRDefault="008C6E65" w:rsidP="00EF758A">
            <w:pPr>
              <w:spacing w:after="120"/>
              <w:jc w:val="center"/>
              <w:rPr>
                <w:sz w:val="22"/>
                <w:szCs w:val="22"/>
              </w:rPr>
            </w:pPr>
            <w:r w:rsidRPr="00EF758A">
              <w:rPr>
                <w:sz w:val="22"/>
                <w:szCs w:val="22"/>
              </w:rPr>
              <w:t xml:space="preserve"> </w:t>
            </w:r>
            <w:r w:rsidR="00553744" w:rsidRPr="00EF758A">
              <w:rPr>
                <w:sz w:val="22"/>
                <w:szCs w:val="22"/>
              </w:rPr>
              <w:t>-3.</w:t>
            </w:r>
            <w:r w:rsidR="00D0512C">
              <w:rPr>
                <w:sz w:val="22"/>
                <w:szCs w:val="22"/>
              </w:rPr>
              <w:t>69</w:t>
            </w:r>
          </w:p>
        </w:tc>
      </w:tr>
      <w:tr w:rsidR="00553744" w:rsidTr="00A071C3">
        <w:tc>
          <w:tcPr>
            <w:tcW w:w="5238" w:type="dxa"/>
            <w:tcBorders>
              <w:left w:val="double" w:sz="4" w:space="0" w:color="auto"/>
              <w:right w:val="double" w:sz="4" w:space="0" w:color="auto"/>
            </w:tcBorders>
            <w:shd w:val="clear" w:color="auto" w:fill="auto"/>
          </w:tcPr>
          <w:p w:rsidR="00553744" w:rsidRPr="00EF758A" w:rsidRDefault="00553744" w:rsidP="00EF758A">
            <w:pPr>
              <w:spacing w:after="120"/>
              <w:rPr>
                <w:b/>
                <w:i/>
                <w:color w:val="000000"/>
                <w:sz w:val="22"/>
                <w:szCs w:val="22"/>
              </w:rPr>
            </w:pPr>
            <w:r w:rsidRPr="00EF758A">
              <w:rPr>
                <w:b/>
                <w:i/>
                <w:color w:val="000000"/>
                <w:sz w:val="22"/>
                <w:szCs w:val="22"/>
              </w:rPr>
              <w:t>Linkage Parameter</w:t>
            </w:r>
          </w:p>
        </w:tc>
        <w:tc>
          <w:tcPr>
            <w:tcW w:w="2250" w:type="dxa"/>
            <w:tcBorders>
              <w:left w:val="double" w:sz="4" w:space="0" w:color="auto"/>
              <w:right w:val="double" w:sz="4" w:space="0" w:color="auto"/>
            </w:tcBorders>
            <w:shd w:val="clear" w:color="auto" w:fill="auto"/>
          </w:tcPr>
          <w:p w:rsidR="00553744" w:rsidRPr="00EF758A" w:rsidRDefault="008C6E65" w:rsidP="00EF758A">
            <w:pPr>
              <w:spacing w:after="120"/>
              <w:jc w:val="center"/>
              <w:rPr>
                <w:sz w:val="22"/>
                <w:szCs w:val="22"/>
              </w:rPr>
            </w:pPr>
            <w:r w:rsidRPr="00EF758A">
              <w:rPr>
                <w:sz w:val="22"/>
                <w:szCs w:val="22"/>
              </w:rPr>
              <w:t xml:space="preserve"> 0.</w:t>
            </w:r>
            <w:r w:rsidR="00D0512C">
              <w:rPr>
                <w:sz w:val="22"/>
                <w:szCs w:val="22"/>
              </w:rPr>
              <w:t>713</w:t>
            </w:r>
          </w:p>
        </w:tc>
        <w:tc>
          <w:tcPr>
            <w:tcW w:w="2088" w:type="dxa"/>
            <w:tcBorders>
              <w:left w:val="double" w:sz="4" w:space="0" w:color="auto"/>
              <w:right w:val="double" w:sz="4" w:space="0" w:color="auto"/>
            </w:tcBorders>
            <w:shd w:val="clear" w:color="auto" w:fill="auto"/>
          </w:tcPr>
          <w:p w:rsidR="00553744" w:rsidRPr="00EF758A" w:rsidRDefault="00D0512C" w:rsidP="00EF758A">
            <w:pPr>
              <w:spacing w:after="120"/>
              <w:jc w:val="center"/>
              <w:rPr>
                <w:sz w:val="22"/>
                <w:szCs w:val="22"/>
              </w:rPr>
            </w:pPr>
            <w:r>
              <w:rPr>
                <w:sz w:val="22"/>
                <w:szCs w:val="22"/>
              </w:rPr>
              <w:t>21</w:t>
            </w:r>
            <w:r w:rsidR="008C6E65" w:rsidRPr="00EF758A">
              <w:rPr>
                <w:sz w:val="22"/>
                <w:szCs w:val="22"/>
              </w:rPr>
              <w:t>.</w:t>
            </w:r>
            <w:r>
              <w:rPr>
                <w:sz w:val="22"/>
                <w:szCs w:val="22"/>
              </w:rPr>
              <w:t>83</w:t>
            </w:r>
          </w:p>
        </w:tc>
      </w:tr>
      <w:tr w:rsidR="00553744" w:rsidTr="00A071C3">
        <w:tc>
          <w:tcPr>
            <w:tcW w:w="5238" w:type="dxa"/>
            <w:tcBorders>
              <w:left w:val="double" w:sz="4" w:space="0" w:color="auto"/>
              <w:bottom w:val="double" w:sz="4" w:space="0" w:color="auto"/>
              <w:right w:val="double" w:sz="4" w:space="0" w:color="auto"/>
            </w:tcBorders>
            <w:shd w:val="clear" w:color="auto" w:fill="auto"/>
          </w:tcPr>
          <w:p w:rsidR="00553744" w:rsidRPr="00EF758A" w:rsidRDefault="00553744" w:rsidP="00EF758A">
            <w:pPr>
              <w:spacing w:after="120"/>
              <w:rPr>
                <w:color w:val="000000"/>
                <w:sz w:val="22"/>
                <w:szCs w:val="22"/>
              </w:rPr>
            </w:pPr>
            <w:r w:rsidRPr="00EF758A">
              <w:rPr>
                <w:color w:val="000000"/>
                <w:sz w:val="22"/>
                <w:szCs w:val="22"/>
              </w:rPr>
              <w:t>Constant</w:t>
            </w:r>
          </w:p>
        </w:tc>
        <w:tc>
          <w:tcPr>
            <w:tcW w:w="2250" w:type="dxa"/>
            <w:tcBorders>
              <w:left w:val="double" w:sz="4" w:space="0" w:color="auto"/>
              <w:bottom w:val="double" w:sz="4" w:space="0" w:color="auto"/>
              <w:right w:val="double" w:sz="4" w:space="0" w:color="auto"/>
            </w:tcBorders>
            <w:shd w:val="clear" w:color="auto" w:fill="auto"/>
          </w:tcPr>
          <w:p w:rsidR="00553744" w:rsidRPr="00EF758A" w:rsidRDefault="00D0512C" w:rsidP="00EF758A">
            <w:pPr>
              <w:spacing w:after="120"/>
              <w:jc w:val="center"/>
              <w:rPr>
                <w:sz w:val="22"/>
                <w:szCs w:val="22"/>
              </w:rPr>
            </w:pPr>
            <w:r>
              <w:rPr>
                <w:sz w:val="22"/>
                <w:szCs w:val="22"/>
              </w:rPr>
              <w:t xml:space="preserve"> </w:t>
            </w:r>
            <w:r w:rsidR="00553744" w:rsidRPr="00EF758A">
              <w:rPr>
                <w:sz w:val="22"/>
                <w:szCs w:val="22"/>
              </w:rPr>
              <w:t>0.</w:t>
            </w:r>
            <w:r>
              <w:rPr>
                <w:sz w:val="22"/>
                <w:szCs w:val="22"/>
              </w:rPr>
              <w:t>182</w:t>
            </w:r>
          </w:p>
        </w:tc>
        <w:tc>
          <w:tcPr>
            <w:tcW w:w="2088" w:type="dxa"/>
            <w:tcBorders>
              <w:left w:val="double" w:sz="4" w:space="0" w:color="auto"/>
              <w:bottom w:val="double" w:sz="4" w:space="0" w:color="auto"/>
              <w:right w:val="double" w:sz="4" w:space="0" w:color="auto"/>
            </w:tcBorders>
            <w:shd w:val="clear" w:color="auto" w:fill="auto"/>
          </w:tcPr>
          <w:p w:rsidR="00553744" w:rsidRPr="00EF758A" w:rsidRDefault="008C6E65" w:rsidP="00EF758A">
            <w:pPr>
              <w:spacing w:after="120"/>
              <w:jc w:val="center"/>
              <w:rPr>
                <w:sz w:val="22"/>
                <w:szCs w:val="22"/>
              </w:rPr>
            </w:pPr>
            <w:r w:rsidRPr="00EF758A">
              <w:rPr>
                <w:sz w:val="22"/>
                <w:szCs w:val="22"/>
              </w:rPr>
              <w:t xml:space="preserve"> </w:t>
            </w:r>
            <w:r w:rsidR="00D0512C">
              <w:rPr>
                <w:sz w:val="22"/>
                <w:szCs w:val="22"/>
              </w:rPr>
              <w:t xml:space="preserve"> 1</w:t>
            </w:r>
            <w:r w:rsidR="00553744" w:rsidRPr="00EF758A">
              <w:rPr>
                <w:sz w:val="22"/>
                <w:szCs w:val="22"/>
              </w:rPr>
              <w:t>.</w:t>
            </w:r>
            <w:r w:rsidR="00D0512C">
              <w:rPr>
                <w:sz w:val="22"/>
                <w:szCs w:val="22"/>
              </w:rPr>
              <w:t>09</w:t>
            </w:r>
          </w:p>
        </w:tc>
      </w:tr>
    </w:tbl>
    <w:p w:rsidR="008C6E65" w:rsidRDefault="008C6E65" w:rsidP="005D76C0">
      <w:pPr>
        <w:spacing w:line="276" w:lineRule="auto"/>
      </w:pPr>
    </w:p>
    <w:p w:rsidR="00506FA0" w:rsidRDefault="00506FA0" w:rsidP="005D76C0">
      <w:pPr>
        <w:spacing w:line="276" w:lineRule="auto"/>
      </w:pPr>
    </w:p>
    <w:p w:rsidR="00EE09AF" w:rsidRDefault="00EE09AF" w:rsidP="005D76C0">
      <w:pPr>
        <w:spacing w:line="276" w:lineRule="auto"/>
      </w:pPr>
    </w:p>
    <w:p w:rsidR="003A0DC1" w:rsidRPr="00553744" w:rsidRDefault="003A0DC1" w:rsidP="00506FA0">
      <w:pPr>
        <w:spacing w:after="120" w:line="276" w:lineRule="auto"/>
        <w:rPr>
          <w:b/>
        </w:rPr>
      </w:pPr>
      <w:r w:rsidRPr="00553744">
        <w:rPr>
          <w:b/>
        </w:rPr>
        <w:t>Table</w:t>
      </w:r>
      <w:r w:rsidR="00553744" w:rsidRPr="00553744">
        <w:rPr>
          <w:b/>
        </w:rPr>
        <w:t xml:space="preserve"> 4</w:t>
      </w:r>
      <w:r w:rsidRPr="00553744">
        <w:rPr>
          <w:b/>
        </w:rPr>
        <w:t>. Likelihood Based Data Fit Measures</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5263"/>
        <w:gridCol w:w="2250"/>
        <w:gridCol w:w="2160"/>
      </w:tblGrid>
      <w:tr w:rsidR="00E84A9A" w:rsidRPr="00B33B59" w:rsidTr="007422FC">
        <w:trPr>
          <w:trHeight w:val="288"/>
        </w:trPr>
        <w:tc>
          <w:tcPr>
            <w:tcW w:w="5263" w:type="dxa"/>
            <w:vMerge w:val="restart"/>
            <w:tcBorders>
              <w:top w:val="double" w:sz="4" w:space="0" w:color="auto"/>
              <w:left w:val="double" w:sz="4" w:space="0" w:color="auto"/>
              <w:right w:val="double" w:sz="4" w:space="0" w:color="auto"/>
            </w:tcBorders>
            <w:shd w:val="clear" w:color="auto" w:fill="auto"/>
          </w:tcPr>
          <w:p w:rsidR="00E84A9A" w:rsidRPr="005B4CFE" w:rsidRDefault="00E84A9A" w:rsidP="00FC2915">
            <w:pPr>
              <w:rPr>
                <w:sz w:val="22"/>
              </w:rPr>
            </w:pPr>
          </w:p>
        </w:tc>
        <w:tc>
          <w:tcPr>
            <w:tcW w:w="4410" w:type="dxa"/>
            <w:gridSpan w:val="2"/>
            <w:tcBorders>
              <w:top w:val="double" w:sz="4" w:space="0" w:color="auto"/>
              <w:left w:val="double" w:sz="4" w:space="0" w:color="auto"/>
              <w:right w:val="double" w:sz="4" w:space="0" w:color="auto"/>
            </w:tcBorders>
            <w:shd w:val="clear" w:color="auto" w:fill="auto"/>
            <w:vAlign w:val="bottom"/>
          </w:tcPr>
          <w:p w:rsidR="00E84A9A" w:rsidRPr="005B4CFE" w:rsidRDefault="00E84A9A" w:rsidP="005B4CFE">
            <w:pPr>
              <w:jc w:val="center"/>
              <w:rPr>
                <w:b/>
                <w:sz w:val="22"/>
              </w:rPr>
            </w:pPr>
            <w:r w:rsidRPr="005B4CFE">
              <w:rPr>
                <w:b/>
                <w:sz w:val="22"/>
              </w:rPr>
              <w:t>Estimation Sample (N = 1423)</w:t>
            </w:r>
          </w:p>
        </w:tc>
      </w:tr>
      <w:tr w:rsidR="00E84A9A" w:rsidRPr="00B33B59" w:rsidTr="007422FC">
        <w:trPr>
          <w:trHeight w:val="288"/>
        </w:trPr>
        <w:tc>
          <w:tcPr>
            <w:tcW w:w="5263" w:type="dxa"/>
            <w:vMerge/>
            <w:tcBorders>
              <w:left w:val="double" w:sz="4" w:space="0" w:color="auto"/>
              <w:bottom w:val="double" w:sz="4" w:space="0" w:color="auto"/>
              <w:right w:val="double" w:sz="4" w:space="0" w:color="auto"/>
            </w:tcBorders>
            <w:shd w:val="clear" w:color="auto" w:fill="auto"/>
          </w:tcPr>
          <w:p w:rsidR="00E84A9A" w:rsidRPr="005B4CFE" w:rsidRDefault="00E84A9A" w:rsidP="00FC2915">
            <w:pPr>
              <w:rPr>
                <w:sz w:val="22"/>
              </w:rPr>
            </w:pPr>
          </w:p>
        </w:tc>
        <w:tc>
          <w:tcPr>
            <w:tcW w:w="2250" w:type="dxa"/>
            <w:tcBorders>
              <w:left w:val="double" w:sz="4" w:space="0" w:color="auto"/>
              <w:bottom w:val="double" w:sz="4" w:space="0" w:color="auto"/>
            </w:tcBorders>
            <w:shd w:val="clear" w:color="auto" w:fill="auto"/>
            <w:vAlign w:val="bottom"/>
          </w:tcPr>
          <w:p w:rsidR="00E84A9A" w:rsidRPr="005B4CFE" w:rsidRDefault="00E84A9A" w:rsidP="005B4CFE">
            <w:pPr>
              <w:jc w:val="center"/>
              <w:rPr>
                <w:sz w:val="22"/>
              </w:rPr>
            </w:pPr>
            <w:r w:rsidRPr="005B4CFE">
              <w:rPr>
                <w:sz w:val="22"/>
              </w:rPr>
              <w:t>Unlinked Model</w:t>
            </w:r>
          </w:p>
        </w:tc>
        <w:tc>
          <w:tcPr>
            <w:tcW w:w="2160" w:type="dxa"/>
            <w:tcBorders>
              <w:bottom w:val="double" w:sz="4" w:space="0" w:color="auto"/>
              <w:right w:val="double" w:sz="4" w:space="0" w:color="auto"/>
            </w:tcBorders>
            <w:shd w:val="clear" w:color="auto" w:fill="auto"/>
            <w:vAlign w:val="bottom"/>
          </w:tcPr>
          <w:p w:rsidR="00E84A9A" w:rsidRPr="005B4CFE" w:rsidRDefault="00E84A9A" w:rsidP="005B4CFE">
            <w:pPr>
              <w:jc w:val="center"/>
              <w:rPr>
                <w:sz w:val="22"/>
              </w:rPr>
            </w:pPr>
            <w:r w:rsidRPr="005B4CFE">
              <w:rPr>
                <w:sz w:val="22"/>
              </w:rPr>
              <w:t>Linked Model</w:t>
            </w:r>
          </w:p>
        </w:tc>
      </w:tr>
      <w:tr w:rsidR="00E84A9A" w:rsidRPr="00B33B59" w:rsidTr="007422FC">
        <w:trPr>
          <w:trHeight w:val="576"/>
        </w:trPr>
        <w:tc>
          <w:tcPr>
            <w:tcW w:w="5263" w:type="dxa"/>
            <w:tcBorders>
              <w:top w:val="double" w:sz="4" w:space="0" w:color="auto"/>
              <w:left w:val="double" w:sz="4" w:space="0" w:color="auto"/>
              <w:right w:val="double" w:sz="4" w:space="0" w:color="auto"/>
            </w:tcBorders>
            <w:shd w:val="clear" w:color="auto" w:fill="auto"/>
          </w:tcPr>
          <w:p w:rsidR="00E84A9A" w:rsidRPr="005B4CFE" w:rsidRDefault="00E84A9A" w:rsidP="00FC2915">
            <w:pPr>
              <w:rPr>
                <w:sz w:val="22"/>
              </w:rPr>
            </w:pPr>
            <w:r w:rsidRPr="005B4CFE">
              <w:rPr>
                <w:sz w:val="22"/>
              </w:rPr>
              <w:t>Log-likelihood at Convergence (predictive for hold-out sample)</w:t>
            </w:r>
          </w:p>
        </w:tc>
        <w:tc>
          <w:tcPr>
            <w:tcW w:w="2250" w:type="dxa"/>
            <w:tcBorders>
              <w:top w:val="double" w:sz="4" w:space="0" w:color="auto"/>
              <w:left w:val="double" w:sz="4" w:space="0" w:color="auto"/>
            </w:tcBorders>
            <w:shd w:val="clear" w:color="auto" w:fill="auto"/>
          </w:tcPr>
          <w:p w:rsidR="00E84A9A" w:rsidRPr="005B4CFE" w:rsidRDefault="00E84A9A" w:rsidP="005B4CFE">
            <w:pPr>
              <w:jc w:val="center"/>
              <w:rPr>
                <w:sz w:val="22"/>
              </w:rPr>
            </w:pPr>
            <w:r w:rsidRPr="005B4CFE">
              <w:rPr>
                <w:sz w:val="22"/>
              </w:rPr>
              <w:t>-4</w:t>
            </w:r>
            <w:r>
              <w:rPr>
                <w:sz w:val="22"/>
              </w:rPr>
              <w:t>,879.0</w:t>
            </w:r>
          </w:p>
        </w:tc>
        <w:tc>
          <w:tcPr>
            <w:tcW w:w="2160" w:type="dxa"/>
            <w:tcBorders>
              <w:top w:val="double" w:sz="4" w:space="0" w:color="auto"/>
              <w:right w:val="double" w:sz="4" w:space="0" w:color="auto"/>
            </w:tcBorders>
            <w:shd w:val="clear" w:color="auto" w:fill="auto"/>
          </w:tcPr>
          <w:p w:rsidR="00E84A9A" w:rsidRPr="005B4CFE" w:rsidRDefault="00E84A9A" w:rsidP="005B4CFE">
            <w:pPr>
              <w:jc w:val="center"/>
              <w:rPr>
                <w:sz w:val="22"/>
              </w:rPr>
            </w:pPr>
            <w:r w:rsidRPr="005B4CFE">
              <w:rPr>
                <w:sz w:val="22"/>
              </w:rPr>
              <w:t>-</w:t>
            </w:r>
            <w:r>
              <w:rPr>
                <w:sz w:val="22"/>
              </w:rPr>
              <w:t>4,868.1</w:t>
            </w:r>
          </w:p>
        </w:tc>
      </w:tr>
      <w:tr w:rsidR="00E84A9A" w:rsidRPr="00B33B59" w:rsidTr="007422FC">
        <w:trPr>
          <w:trHeight w:val="576"/>
        </w:trPr>
        <w:tc>
          <w:tcPr>
            <w:tcW w:w="5263" w:type="dxa"/>
            <w:tcBorders>
              <w:left w:val="double" w:sz="4" w:space="0" w:color="auto"/>
              <w:right w:val="double" w:sz="4" w:space="0" w:color="auto"/>
            </w:tcBorders>
            <w:shd w:val="clear" w:color="auto" w:fill="auto"/>
          </w:tcPr>
          <w:p w:rsidR="00E84A9A" w:rsidRPr="005B4CFE" w:rsidRDefault="00E84A9A" w:rsidP="00FC2915">
            <w:pPr>
              <w:rPr>
                <w:sz w:val="22"/>
              </w:rPr>
            </w:pPr>
            <w:r w:rsidRPr="005B4CFE">
              <w:rPr>
                <w:sz w:val="22"/>
              </w:rPr>
              <w:t>Log-likelihood at Constants (predictive for hold-out sample)</w:t>
            </w:r>
          </w:p>
        </w:tc>
        <w:tc>
          <w:tcPr>
            <w:tcW w:w="2250" w:type="dxa"/>
            <w:tcBorders>
              <w:left w:val="double" w:sz="4" w:space="0" w:color="auto"/>
            </w:tcBorders>
            <w:shd w:val="clear" w:color="auto" w:fill="auto"/>
          </w:tcPr>
          <w:p w:rsidR="00E84A9A" w:rsidRPr="005B4CFE" w:rsidRDefault="00E84A9A" w:rsidP="005B4CFE">
            <w:pPr>
              <w:jc w:val="center"/>
              <w:rPr>
                <w:sz w:val="22"/>
              </w:rPr>
            </w:pPr>
            <w:r w:rsidRPr="005B4CFE">
              <w:rPr>
                <w:sz w:val="22"/>
              </w:rPr>
              <w:t>-5</w:t>
            </w:r>
            <w:r>
              <w:rPr>
                <w:sz w:val="22"/>
              </w:rPr>
              <w:t>,306</w:t>
            </w:r>
            <w:r w:rsidRPr="005B4CFE">
              <w:rPr>
                <w:sz w:val="22"/>
              </w:rPr>
              <w:t>.6</w:t>
            </w:r>
          </w:p>
        </w:tc>
        <w:tc>
          <w:tcPr>
            <w:tcW w:w="2160" w:type="dxa"/>
            <w:tcBorders>
              <w:right w:val="double" w:sz="4" w:space="0" w:color="auto"/>
            </w:tcBorders>
            <w:shd w:val="clear" w:color="auto" w:fill="auto"/>
          </w:tcPr>
          <w:p w:rsidR="00E84A9A" w:rsidRPr="005B4CFE" w:rsidRDefault="00E84A9A" w:rsidP="005B4CFE">
            <w:pPr>
              <w:jc w:val="center"/>
              <w:rPr>
                <w:sz w:val="22"/>
              </w:rPr>
            </w:pPr>
            <w:r w:rsidRPr="005B4CFE">
              <w:rPr>
                <w:sz w:val="22"/>
              </w:rPr>
              <w:t>-5</w:t>
            </w:r>
            <w:r>
              <w:rPr>
                <w:sz w:val="22"/>
              </w:rPr>
              <w:t>,336.3</w:t>
            </w:r>
          </w:p>
        </w:tc>
      </w:tr>
      <w:tr w:rsidR="00E84A9A" w:rsidRPr="00B33B59" w:rsidTr="007422FC">
        <w:trPr>
          <w:trHeight w:val="576"/>
        </w:trPr>
        <w:tc>
          <w:tcPr>
            <w:tcW w:w="5263" w:type="dxa"/>
            <w:tcBorders>
              <w:left w:val="double" w:sz="4" w:space="0" w:color="auto"/>
              <w:right w:val="double" w:sz="4" w:space="0" w:color="auto"/>
            </w:tcBorders>
            <w:shd w:val="clear" w:color="auto" w:fill="auto"/>
          </w:tcPr>
          <w:p w:rsidR="00E84A9A" w:rsidRPr="005B4CFE" w:rsidRDefault="00E84A9A" w:rsidP="00826D41">
            <w:pPr>
              <w:rPr>
                <w:sz w:val="22"/>
              </w:rPr>
            </w:pPr>
            <w:r w:rsidRPr="005B4CFE">
              <w:rPr>
                <w:sz w:val="22"/>
              </w:rPr>
              <w:t>Number of non-constant and non-scale parameters</w:t>
            </w:r>
          </w:p>
        </w:tc>
        <w:tc>
          <w:tcPr>
            <w:tcW w:w="2250" w:type="dxa"/>
            <w:tcBorders>
              <w:left w:val="double" w:sz="4" w:space="0" w:color="auto"/>
            </w:tcBorders>
            <w:shd w:val="clear" w:color="auto" w:fill="auto"/>
          </w:tcPr>
          <w:p w:rsidR="00E84A9A" w:rsidRPr="005B4CFE" w:rsidRDefault="00E84A9A" w:rsidP="005B4CFE">
            <w:pPr>
              <w:jc w:val="center"/>
              <w:rPr>
                <w:sz w:val="22"/>
              </w:rPr>
            </w:pPr>
            <w:r>
              <w:rPr>
                <w:sz w:val="22"/>
              </w:rPr>
              <w:t>41</w:t>
            </w:r>
          </w:p>
        </w:tc>
        <w:tc>
          <w:tcPr>
            <w:tcW w:w="2160" w:type="dxa"/>
            <w:tcBorders>
              <w:right w:val="double" w:sz="4" w:space="0" w:color="auto"/>
            </w:tcBorders>
            <w:shd w:val="clear" w:color="auto" w:fill="auto"/>
          </w:tcPr>
          <w:p w:rsidR="00E84A9A" w:rsidRPr="005B4CFE" w:rsidRDefault="00E84A9A" w:rsidP="005B4CFE">
            <w:pPr>
              <w:jc w:val="center"/>
              <w:rPr>
                <w:sz w:val="22"/>
              </w:rPr>
            </w:pPr>
            <w:r>
              <w:rPr>
                <w:sz w:val="22"/>
              </w:rPr>
              <w:t>41</w:t>
            </w:r>
          </w:p>
        </w:tc>
      </w:tr>
      <w:tr w:rsidR="00E84A9A" w:rsidRPr="00B33B59" w:rsidTr="007422FC">
        <w:trPr>
          <w:trHeight w:val="576"/>
        </w:trPr>
        <w:tc>
          <w:tcPr>
            <w:tcW w:w="5263" w:type="dxa"/>
            <w:tcBorders>
              <w:left w:val="double" w:sz="4" w:space="0" w:color="auto"/>
              <w:right w:val="double" w:sz="4" w:space="0" w:color="auto"/>
            </w:tcBorders>
            <w:shd w:val="clear" w:color="auto" w:fill="auto"/>
          </w:tcPr>
          <w:p w:rsidR="00E84A9A" w:rsidRPr="005B4CFE" w:rsidRDefault="00E84A9A" w:rsidP="00826D41">
            <w:pPr>
              <w:rPr>
                <w:sz w:val="22"/>
              </w:rPr>
            </w:pPr>
            <w:r>
              <w:rPr>
                <w:sz w:val="22"/>
              </w:rPr>
              <w:t xml:space="preserve">Number of constant parameters (in MDCEV baseline preference and satiation, and Tobit model) plus scale parameter </w:t>
            </w:r>
          </w:p>
        </w:tc>
        <w:tc>
          <w:tcPr>
            <w:tcW w:w="2250" w:type="dxa"/>
            <w:tcBorders>
              <w:left w:val="double" w:sz="4" w:space="0" w:color="auto"/>
            </w:tcBorders>
            <w:shd w:val="clear" w:color="auto" w:fill="auto"/>
            <w:vAlign w:val="center"/>
          </w:tcPr>
          <w:p w:rsidR="00E84A9A" w:rsidRDefault="00E84A9A" w:rsidP="00BB1B5C">
            <w:pPr>
              <w:jc w:val="center"/>
              <w:rPr>
                <w:sz w:val="22"/>
              </w:rPr>
            </w:pPr>
            <w:r>
              <w:rPr>
                <w:sz w:val="22"/>
              </w:rPr>
              <w:t>11</w:t>
            </w:r>
          </w:p>
        </w:tc>
        <w:tc>
          <w:tcPr>
            <w:tcW w:w="2160" w:type="dxa"/>
            <w:tcBorders>
              <w:right w:val="double" w:sz="4" w:space="0" w:color="auto"/>
            </w:tcBorders>
            <w:shd w:val="clear" w:color="auto" w:fill="auto"/>
            <w:vAlign w:val="center"/>
          </w:tcPr>
          <w:p w:rsidR="00E84A9A" w:rsidRDefault="00E84A9A" w:rsidP="007422FC">
            <w:pPr>
              <w:jc w:val="center"/>
              <w:rPr>
                <w:sz w:val="22"/>
              </w:rPr>
            </w:pPr>
            <w:r>
              <w:rPr>
                <w:sz w:val="22"/>
              </w:rPr>
              <w:t>11</w:t>
            </w:r>
          </w:p>
        </w:tc>
      </w:tr>
      <w:tr w:rsidR="00E84A9A" w:rsidRPr="00B33B59" w:rsidTr="007422FC">
        <w:trPr>
          <w:trHeight w:val="576"/>
        </w:trPr>
        <w:tc>
          <w:tcPr>
            <w:tcW w:w="5263" w:type="dxa"/>
            <w:tcBorders>
              <w:left w:val="double" w:sz="4" w:space="0" w:color="auto"/>
              <w:right w:val="double" w:sz="4" w:space="0" w:color="auto"/>
            </w:tcBorders>
            <w:shd w:val="clear" w:color="auto" w:fill="auto"/>
          </w:tcPr>
          <w:p w:rsidR="00E84A9A" w:rsidRPr="005B4CFE" w:rsidRDefault="00E84A9A" w:rsidP="00826D41">
            <w:pPr>
              <w:rPr>
                <w:sz w:val="22"/>
              </w:rPr>
            </w:pPr>
            <w:r w:rsidRPr="005B4CFE">
              <w:rPr>
                <w:sz w:val="22"/>
              </w:rPr>
              <w:t>Nested Likelihood Ratio Test w.r.t Constants Only Model (informal test in hold-out sample)</w:t>
            </w:r>
          </w:p>
        </w:tc>
        <w:tc>
          <w:tcPr>
            <w:tcW w:w="2250" w:type="dxa"/>
            <w:tcBorders>
              <w:left w:val="double" w:sz="4" w:space="0" w:color="auto"/>
            </w:tcBorders>
            <w:shd w:val="clear" w:color="auto" w:fill="auto"/>
          </w:tcPr>
          <w:p w:rsidR="00E84A9A" w:rsidRPr="005B4CFE" w:rsidRDefault="00E84A9A" w:rsidP="005B4CFE">
            <w:pPr>
              <w:jc w:val="center"/>
              <w:rPr>
                <w:sz w:val="22"/>
              </w:rPr>
            </w:pPr>
            <w:r>
              <w:rPr>
                <w:sz w:val="22"/>
              </w:rPr>
              <w:t>855</w:t>
            </w:r>
          </w:p>
        </w:tc>
        <w:tc>
          <w:tcPr>
            <w:tcW w:w="2160" w:type="dxa"/>
            <w:tcBorders>
              <w:right w:val="double" w:sz="4" w:space="0" w:color="auto"/>
            </w:tcBorders>
            <w:shd w:val="clear" w:color="auto" w:fill="auto"/>
          </w:tcPr>
          <w:p w:rsidR="00E84A9A" w:rsidRPr="005B4CFE" w:rsidRDefault="00E84A9A" w:rsidP="005B4CFE">
            <w:pPr>
              <w:jc w:val="center"/>
              <w:rPr>
                <w:sz w:val="22"/>
              </w:rPr>
            </w:pPr>
            <w:r>
              <w:rPr>
                <w:sz w:val="22"/>
              </w:rPr>
              <w:t>936</w:t>
            </w:r>
          </w:p>
        </w:tc>
      </w:tr>
      <w:tr w:rsidR="00E84A9A" w:rsidRPr="00B33B59" w:rsidTr="007422FC">
        <w:trPr>
          <w:trHeight w:val="576"/>
        </w:trPr>
        <w:tc>
          <w:tcPr>
            <w:tcW w:w="5263" w:type="dxa"/>
            <w:tcBorders>
              <w:left w:val="double" w:sz="4" w:space="0" w:color="auto"/>
              <w:right w:val="double" w:sz="4" w:space="0" w:color="auto"/>
            </w:tcBorders>
            <w:shd w:val="clear" w:color="auto" w:fill="auto"/>
          </w:tcPr>
          <w:p w:rsidR="00E84A9A" w:rsidRPr="005B4CFE" w:rsidRDefault="00E84A9A" w:rsidP="009A164F">
            <w:pPr>
              <w:rPr>
                <w:sz w:val="22"/>
              </w:rPr>
            </w:pPr>
            <w:r w:rsidRPr="005B4CFE">
              <w:rPr>
                <w:sz w:val="22"/>
              </w:rPr>
              <w:t>Adjusted Likelihood Ratio Index (predictive for hold-out sample</w:t>
            </w:r>
            <w:r>
              <w:rPr>
                <w:sz w:val="22"/>
              </w:rPr>
              <w:t>) with respect to the unlinked base model</w:t>
            </w:r>
          </w:p>
        </w:tc>
        <w:tc>
          <w:tcPr>
            <w:tcW w:w="2250" w:type="dxa"/>
            <w:tcBorders>
              <w:left w:val="double" w:sz="4" w:space="0" w:color="auto"/>
            </w:tcBorders>
            <w:shd w:val="clear" w:color="auto" w:fill="auto"/>
          </w:tcPr>
          <w:p w:rsidR="00E84A9A" w:rsidRPr="005B4CFE" w:rsidRDefault="00E84A9A" w:rsidP="005B4CFE">
            <w:pPr>
              <w:jc w:val="center"/>
              <w:rPr>
                <w:sz w:val="22"/>
              </w:rPr>
            </w:pPr>
            <w:r w:rsidRPr="005B4CFE">
              <w:rPr>
                <w:sz w:val="22"/>
              </w:rPr>
              <w:t>0.0</w:t>
            </w:r>
            <w:r>
              <w:rPr>
                <w:sz w:val="22"/>
              </w:rPr>
              <w:t>75</w:t>
            </w:r>
          </w:p>
        </w:tc>
        <w:tc>
          <w:tcPr>
            <w:tcW w:w="2160" w:type="dxa"/>
            <w:tcBorders>
              <w:right w:val="double" w:sz="4" w:space="0" w:color="auto"/>
            </w:tcBorders>
            <w:shd w:val="clear" w:color="auto" w:fill="auto"/>
          </w:tcPr>
          <w:p w:rsidR="00E84A9A" w:rsidRPr="005B4CFE" w:rsidRDefault="00E84A9A" w:rsidP="005B4CFE">
            <w:pPr>
              <w:jc w:val="center"/>
              <w:rPr>
                <w:sz w:val="22"/>
              </w:rPr>
            </w:pPr>
            <w:r w:rsidRPr="005B4CFE">
              <w:rPr>
                <w:sz w:val="22"/>
              </w:rPr>
              <w:t>0.</w:t>
            </w:r>
            <w:r>
              <w:rPr>
                <w:sz w:val="22"/>
              </w:rPr>
              <w:t>077</w:t>
            </w:r>
          </w:p>
        </w:tc>
      </w:tr>
      <w:tr w:rsidR="00E84A9A" w:rsidRPr="00B33B59" w:rsidTr="007422FC">
        <w:tc>
          <w:tcPr>
            <w:tcW w:w="5263" w:type="dxa"/>
            <w:tcBorders>
              <w:left w:val="double" w:sz="4" w:space="0" w:color="auto"/>
              <w:bottom w:val="double" w:sz="4" w:space="0" w:color="auto"/>
              <w:right w:val="double" w:sz="4" w:space="0" w:color="auto"/>
            </w:tcBorders>
            <w:shd w:val="clear" w:color="auto" w:fill="auto"/>
          </w:tcPr>
          <w:p w:rsidR="00E84A9A" w:rsidRPr="005B4CFE" w:rsidRDefault="00E84A9A" w:rsidP="009A164F">
            <w:pPr>
              <w:rPr>
                <w:sz w:val="22"/>
              </w:rPr>
            </w:pPr>
            <w:r w:rsidRPr="005B4CFE">
              <w:rPr>
                <w:sz w:val="22"/>
              </w:rPr>
              <w:t>Non-Nested Likelihood Ratio Test between the Unlinked and Linked Models (informal test in hold-out sample)</w:t>
            </w:r>
          </w:p>
        </w:tc>
        <w:tc>
          <w:tcPr>
            <w:tcW w:w="4410" w:type="dxa"/>
            <w:gridSpan w:val="2"/>
            <w:tcBorders>
              <w:left w:val="double" w:sz="4" w:space="0" w:color="auto"/>
              <w:bottom w:val="double" w:sz="4" w:space="0" w:color="auto"/>
              <w:right w:val="double" w:sz="4" w:space="0" w:color="auto"/>
            </w:tcBorders>
            <w:shd w:val="clear" w:color="auto" w:fill="auto"/>
          </w:tcPr>
          <w:p w:rsidR="00E84A9A" w:rsidRPr="005B4CFE" w:rsidRDefault="00E84A9A" w:rsidP="005B4CFE">
            <w:pPr>
              <w:jc w:val="center"/>
              <w:rPr>
                <w:sz w:val="22"/>
              </w:rPr>
            </w:pPr>
            <w:proofErr w:type="gramStart"/>
            <w:r w:rsidRPr="005B4CFE">
              <w:rPr>
                <w:sz w:val="22"/>
              </w:rPr>
              <w:t>Φ(</w:t>
            </w:r>
            <w:proofErr w:type="gramEnd"/>
            <w:r w:rsidRPr="005B4CFE">
              <w:rPr>
                <w:sz w:val="22"/>
              </w:rPr>
              <w:t>-</w:t>
            </w:r>
            <w:r>
              <w:rPr>
                <w:sz w:val="22"/>
              </w:rPr>
              <w:t>4.58</w:t>
            </w:r>
            <w:r w:rsidRPr="005B4CFE">
              <w:rPr>
                <w:sz w:val="22"/>
              </w:rPr>
              <w:t>) &lt;&lt; 0.001</w:t>
            </w:r>
          </w:p>
        </w:tc>
      </w:tr>
    </w:tbl>
    <w:p w:rsidR="003A0DC1" w:rsidRDefault="003A0DC1" w:rsidP="003A0DC1"/>
    <w:p w:rsidR="004E3D03" w:rsidRDefault="004E3D03" w:rsidP="003A0DC1">
      <w:pPr>
        <w:sectPr w:rsidR="004E3D03" w:rsidSect="00A071C3">
          <w:pgSz w:w="12240" w:h="15840" w:code="1"/>
          <w:pgMar w:top="1440" w:right="1440" w:bottom="1440" w:left="1440" w:header="720" w:footer="720" w:gutter="0"/>
          <w:cols w:space="720"/>
          <w:docGrid w:linePitch="360"/>
        </w:sectPr>
      </w:pPr>
    </w:p>
    <w:p w:rsidR="00BE466E" w:rsidRDefault="00BE466E" w:rsidP="00506FA0">
      <w:pPr>
        <w:spacing w:after="120"/>
        <w:rPr>
          <w:b/>
        </w:rPr>
      </w:pPr>
    </w:p>
    <w:p w:rsidR="00BE466E" w:rsidRDefault="00BE466E" w:rsidP="00506FA0">
      <w:pPr>
        <w:spacing w:after="120"/>
        <w:rPr>
          <w:b/>
        </w:rPr>
      </w:pPr>
    </w:p>
    <w:p w:rsidR="00D0512C" w:rsidRDefault="00D0512C" w:rsidP="00506FA0">
      <w:pPr>
        <w:spacing w:after="120"/>
        <w:rPr>
          <w:b/>
        </w:rPr>
      </w:pPr>
    </w:p>
    <w:p w:rsidR="003A0DC1" w:rsidRPr="00553744" w:rsidRDefault="003A0DC1" w:rsidP="00506FA0">
      <w:pPr>
        <w:spacing w:after="120"/>
        <w:rPr>
          <w:b/>
        </w:rPr>
      </w:pPr>
      <w:r w:rsidRPr="00216776">
        <w:rPr>
          <w:b/>
        </w:rPr>
        <w:t xml:space="preserve">Table </w:t>
      </w:r>
      <w:r w:rsidR="00553744">
        <w:rPr>
          <w:b/>
        </w:rPr>
        <w:t>5</w:t>
      </w:r>
      <w:r w:rsidRPr="00216776">
        <w:rPr>
          <w:b/>
        </w:rPr>
        <w:t>. Aggregate Level Predictions for Two-Vehicle Households</w:t>
      </w:r>
    </w:p>
    <w:tbl>
      <w:tblPr>
        <w:tblW w:w="13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160"/>
        <w:gridCol w:w="591"/>
        <w:gridCol w:w="759"/>
        <w:gridCol w:w="629"/>
        <w:gridCol w:w="8"/>
        <w:gridCol w:w="810"/>
        <w:gridCol w:w="623"/>
        <w:gridCol w:w="626"/>
        <w:gridCol w:w="761"/>
        <w:gridCol w:w="569"/>
        <w:gridCol w:w="650"/>
        <w:gridCol w:w="763"/>
        <w:gridCol w:w="560"/>
        <w:gridCol w:w="970"/>
        <w:gridCol w:w="744"/>
        <w:gridCol w:w="567"/>
        <w:gridCol w:w="787"/>
        <w:gridCol w:w="563"/>
        <w:gridCol w:w="1029"/>
      </w:tblGrid>
      <w:tr w:rsidR="003A0DC1" w:rsidRPr="000C72FD" w:rsidTr="007422FC">
        <w:trPr>
          <w:trHeight w:val="288"/>
        </w:trPr>
        <w:tc>
          <w:tcPr>
            <w:tcW w:w="1160" w:type="dxa"/>
            <w:vMerge w:val="restart"/>
            <w:tcBorders>
              <w:top w:val="double" w:sz="4" w:space="0" w:color="auto"/>
              <w:left w:val="double" w:sz="4" w:space="0" w:color="auto"/>
              <w:right w:val="double" w:sz="4" w:space="0" w:color="auto"/>
            </w:tcBorders>
            <w:shd w:val="clear" w:color="auto" w:fill="auto"/>
            <w:tcMar>
              <w:left w:w="29" w:type="dxa"/>
              <w:right w:w="29" w:type="dxa"/>
            </w:tcMar>
            <w:vAlign w:val="bottom"/>
          </w:tcPr>
          <w:p w:rsidR="003A0DC1" w:rsidRPr="005B4CFE" w:rsidRDefault="003A0DC1" w:rsidP="005B4CFE">
            <w:pPr>
              <w:jc w:val="center"/>
              <w:rPr>
                <w:b/>
                <w:sz w:val="18"/>
                <w:szCs w:val="18"/>
              </w:rPr>
            </w:pPr>
            <w:r w:rsidRPr="005B4CFE">
              <w:rPr>
                <w:b/>
                <w:sz w:val="18"/>
                <w:szCs w:val="18"/>
              </w:rPr>
              <w:t>Combination</w:t>
            </w:r>
          </w:p>
        </w:tc>
        <w:tc>
          <w:tcPr>
            <w:tcW w:w="3420" w:type="dxa"/>
            <w:gridSpan w:val="6"/>
            <w:tcBorders>
              <w:top w:val="double" w:sz="4" w:space="0" w:color="auto"/>
              <w:left w:val="double" w:sz="4" w:space="0" w:color="auto"/>
              <w:right w:val="double" w:sz="4" w:space="0" w:color="auto"/>
            </w:tcBorders>
            <w:shd w:val="clear" w:color="auto" w:fill="auto"/>
            <w:tcMar>
              <w:left w:w="29" w:type="dxa"/>
              <w:right w:w="29" w:type="dxa"/>
            </w:tcMar>
            <w:vAlign w:val="center"/>
          </w:tcPr>
          <w:p w:rsidR="003A0DC1" w:rsidRPr="005B4CFE" w:rsidRDefault="003A0DC1" w:rsidP="005B4CFE">
            <w:pPr>
              <w:jc w:val="center"/>
              <w:rPr>
                <w:b/>
                <w:sz w:val="18"/>
                <w:szCs w:val="18"/>
              </w:rPr>
            </w:pPr>
            <w:r w:rsidRPr="005B4CFE">
              <w:rPr>
                <w:b/>
                <w:sz w:val="18"/>
                <w:szCs w:val="18"/>
              </w:rPr>
              <w:t>Discrete-level Prediction (Percentage)</w:t>
            </w:r>
          </w:p>
        </w:tc>
        <w:tc>
          <w:tcPr>
            <w:tcW w:w="8589" w:type="dxa"/>
            <w:gridSpan w:val="12"/>
            <w:tcBorders>
              <w:top w:val="double" w:sz="4" w:space="0" w:color="auto"/>
              <w:left w:val="double" w:sz="4" w:space="0" w:color="auto"/>
              <w:right w:val="double" w:sz="4" w:space="0" w:color="auto"/>
            </w:tcBorders>
            <w:shd w:val="clear" w:color="auto" w:fill="auto"/>
            <w:tcMar>
              <w:left w:w="29" w:type="dxa"/>
              <w:right w:w="29" w:type="dxa"/>
            </w:tcMar>
            <w:vAlign w:val="center"/>
          </w:tcPr>
          <w:p w:rsidR="003A0DC1" w:rsidRPr="005B4CFE" w:rsidRDefault="003A0DC1" w:rsidP="005B4CFE">
            <w:pPr>
              <w:jc w:val="center"/>
              <w:rPr>
                <w:b/>
                <w:sz w:val="18"/>
                <w:szCs w:val="18"/>
              </w:rPr>
            </w:pPr>
            <w:r w:rsidRPr="005B4CFE">
              <w:rPr>
                <w:b/>
                <w:sz w:val="18"/>
                <w:szCs w:val="18"/>
              </w:rPr>
              <w:t>Continuous-level Prediction (Annual Mileage Values are miles/1,000)</w:t>
            </w:r>
          </w:p>
        </w:tc>
      </w:tr>
      <w:tr w:rsidR="00012C47" w:rsidRPr="000C72FD" w:rsidTr="007422FC">
        <w:trPr>
          <w:trHeight w:val="288"/>
        </w:trPr>
        <w:tc>
          <w:tcPr>
            <w:tcW w:w="1160" w:type="dxa"/>
            <w:vMerge/>
            <w:tcBorders>
              <w:left w:val="double" w:sz="4" w:space="0" w:color="auto"/>
              <w:righ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591" w:type="dxa"/>
            <w:vMerge w:val="restart"/>
            <w:tcBorders>
              <w:lef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Actual</w:t>
            </w:r>
          </w:p>
        </w:tc>
        <w:tc>
          <w:tcPr>
            <w:tcW w:w="1396" w:type="dxa"/>
            <w:gridSpan w:val="3"/>
            <w:shd w:val="clear" w:color="auto" w:fill="auto"/>
            <w:tcMar>
              <w:left w:w="29" w:type="dxa"/>
              <w:right w:w="29" w:type="dxa"/>
            </w:tcMar>
            <w:vAlign w:val="center"/>
          </w:tcPr>
          <w:p w:rsidR="003A0DC1" w:rsidRPr="005B4CFE" w:rsidRDefault="003A0DC1" w:rsidP="005B4CFE">
            <w:pPr>
              <w:jc w:val="center"/>
              <w:rPr>
                <w:b/>
                <w:sz w:val="18"/>
                <w:szCs w:val="18"/>
              </w:rPr>
            </w:pPr>
            <w:r w:rsidRPr="005B4CFE">
              <w:rPr>
                <w:b/>
                <w:sz w:val="18"/>
                <w:szCs w:val="18"/>
              </w:rPr>
              <w:t>Unlinked Model</w:t>
            </w:r>
          </w:p>
        </w:tc>
        <w:tc>
          <w:tcPr>
            <w:tcW w:w="1433" w:type="dxa"/>
            <w:gridSpan w:val="2"/>
            <w:tcBorders>
              <w:right w:val="double" w:sz="4" w:space="0" w:color="auto"/>
            </w:tcBorders>
            <w:shd w:val="clear" w:color="auto" w:fill="auto"/>
            <w:tcMar>
              <w:left w:w="29" w:type="dxa"/>
              <w:right w:w="29" w:type="dxa"/>
            </w:tcMar>
            <w:vAlign w:val="center"/>
          </w:tcPr>
          <w:p w:rsidR="003A0DC1" w:rsidRPr="005B4CFE" w:rsidRDefault="003A0DC1" w:rsidP="005B4CFE">
            <w:pPr>
              <w:jc w:val="center"/>
              <w:rPr>
                <w:b/>
                <w:sz w:val="18"/>
                <w:szCs w:val="18"/>
              </w:rPr>
            </w:pPr>
            <w:r w:rsidRPr="005B4CFE">
              <w:rPr>
                <w:b/>
                <w:sz w:val="18"/>
                <w:szCs w:val="18"/>
              </w:rPr>
              <w:t>Linked Model</w:t>
            </w:r>
          </w:p>
        </w:tc>
        <w:tc>
          <w:tcPr>
            <w:tcW w:w="4899" w:type="dxa"/>
            <w:gridSpan w:val="7"/>
            <w:tcBorders>
              <w:left w:val="double" w:sz="4" w:space="0" w:color="auto"/>
              <w:right w:val="double" w:sz="4" w:space="0" w:color="auto"/>
            </w:tcBorders>
            <w:shd w:val="clear" w:color="auto" w:fill="auto"/>
            <w:tcMar>
              <w:left w:w="29" w:type="dxa"/>
              <w:right w:w="29" w:type="dxa"/>
            </w:tcMar>
            <w:vAlign w:val="center"/>
          </w:tcPr>
          <w:p w:rsidR="003A0DC1" w:rsidRPr="005B4CFE" w:rsidRDefault="003A0DC1" w:rsidP="005B4CFE">
            <w:pPr>
              <w:jc w:val="center"/>
              <w:rPr>
                <w:sz w:val="18"/>
                <w:szCs w:val="18"/>
              </w:rPr>
            </w:pPr>
            <w:r w:rsidRPr="005B4CFE">
              <w:rPr>
                <w:b/>
                <w:sz w:val="18"/>
                <w:szCs w:val="18"/>
              </w:rPr>
              <w:t>Unlinked Model</w:t>
            </w:r>
          </w:p>
        </w:tc>
        <w:tc>
          <w:tcPr>
            <w:tcW w:w="3690" w:type="dxa"/>
            <w:gridSpan w:val="5"/>
            <w:tcBorders>
              <w:left w:val="double" w:sz="4" w:space="0" w:color="auto"/>
              <w:right w:val="double" w:sz="4" w:space="0" w:color="auto"/>
            </w:tcBorders>
            <w:shd w:val="clear" w:color="auto" w:fill="auto"/>
            <w:tcMar>
              <w:left w:w="29" w:type="dxa"/>
              <w:right w:w="29" w:type="dxa"/>
            </w:tcMar>
            <w:vAlign w:val="center"/>
          </w:tcPr>
          <w:p w:rsidR="003A0DC1" w:rsidRPr="005B4CFE" w:rsidRDefault="003A0DC1" w:rsidP="005B4CFE">
            <w:pPr>
              <w:jc w:val="center"/>
              <w:rPr>
                <w:sz w:val="18"/>
                <w:szCs w:val="18"/>
              </w:rPr>
            </w:pPr>
            <w:r w:rsidRPr="005B4CFE">
              <w:rPr>
                <w:b/>
                <w:sz w:val="18"/>
                <w:szCs w:val="18"/>
              </w:rPr>
              <w:t>Linked Model</w:t>
            </w:r>
          </w:p>
        </w:tc>
      </w:tr>
      <w:tr w:rsidR="00012C47" w:rsidRPr="000C72FD" w:rsidTr="007422FC">
        <w:trPr>
          <w:trHeight w:val="288"/>
        </w:trPr>
        <w:tc>
          <w:tcPr>
            <w:tcW w:w="1160" w:type="dxa"/>
            <w:vMerge/>
            <w:tcBorders>
              <w:left w:val="double" w:sz="4" w:space="0" w:color="auto"/>
              <w:righ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591" w:type="dxa"/>
            <w:vMerge/>
            <w:tcBorders>
              <w:lef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759" w:type="dxa"/>
            <w:vMerge w:val="restart"/>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Predicted</w:t>
            </w:r>
          </w:p>
        </w:tc>
        <w:tc>
          <w:tcPr>
            <w:tcW w:w="629" w:type="dxa"/>
            <w:vMerge w:val="restart"/>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APE</w:t>
            </w:r>
          </w:p>
        </w:tc>
        <w:tc>
          <w:tcPr>
            <w:tcW w:w="818" w:type="dxa"/>
            <w:gridSpan w:val="2"/>
            <w:vMerge w:val="restart"/>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Predicted</w:t>
            </w:r>
          </w:p>
        </w:tc>
        <w:tc>
          <w:tcPr>
            <w:tcW w:w="623" w:type="dxa"/>
            <w:vMerge w:val="restart"/>
            <w:tcBorders>
              <w:righ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APE</w:t>
            </w:r>
          </w:p>
        </w:tc>
        <w:tc>
          <w:tcPr>
            <w:tcW w:w="1956" w:type="dxa"/>
            <w:gridSpan w:val="3"/>
            <w:tcBorders>
              <w:left w:val="double" w:sz="4" w:space="0" w:color="auto"/>
            </w:tcBorders>
            <w:shd w:val="clear" w:color="auto" w:fill="auto"/>
            <w:tcMar>
              <w:left w:w="29" w:type="dxa"/>
              <w:right w:w="29" w:type="dxa"/>
            </w:tcMar>
            <w:vAlign w:val="bottom"/>
          </w:tcPr>
          <w:p w:rsidR="003A0DC1" w:rsidRPr="005B4CFE" w:rsidRDefault="003A0DC1" w:rsidP="005B4CFE">
            <w:pPr>
              <w:jc w:val="center"/>
              <w:rPr>
                <w:b/>
                <w:sz w:val="18"/>
                <w:szCs w:val="18"/>
              </w:rPr>
            </w:pPr>
            <w:r w:rsidRPr="005B4CFE">
              <w:rPr>
                <w:b/>
                <w:sz w:val="18"/>
                <w:szCs w:val="18"/>
              </w:rPr>
              <w:t>Vehicle 1</w:t>
            </w:r>
          </w:p>
        </w:tc>
        <w:tc>
          <w:tcPr>
            <w:tcW w:w="1973" w:type="dxa"/>
            <w:gridSpan w:val="3"/>
            <w:shd w:val="clear" w:color="auto" w:fill="auto"/>
            <w:tcMar>
              <w:left w:w="29" w:type="dxa"/>
              <w:right w:w="29" w:type="dxa"/>
            </w:tcMar>
            <w:vAlign w:val="bottom"/>
          </w:tcPr>
          <w:p w:rsidR="003A0DC1" w:rsidRPr="005B4CFE" w:rsidRDefault="003A0DC1" w:rsidP="005B4CFE">
            <w:pPr>
              <w:jc w:val="center"/>
              <w:rPr>
                <w:b/>
                <w:sz w:val="18"/>
                <w:szCs w:val="18"/>
              </w:rPr>
            </w:pPr>
            <w:r w:rsidRPr="005B4CFE">
              <w:rPr>
                <w:b/>
                <w:sz w:val="18"/>
                <w:szCs w:val="18"/>
              </w:rPr>
              <w:t>Vehicle 2</w:t>
            </w:r>
          </w:p>
        </w:tc>
        <w:tc>
          <w:tcPr>
            <w:tcW w:w="970" w:type="dxa"/>
            <w:vMerge w:val="restart"/>
            <w:tcBorders>
              <w:righ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 xml:space="preserve">Within </w:t>
            </w:r>
            <w:r w:rsidR="00D0512C">
              <w:rPr>
                <w:sz w:val="18"/>
                <w:szCs w:val="18"/>
              </w:rPr>
              <w:t>combination</w:t>
            </w:r>
            <w:r w:rsidRPr="005B4CFE">
              <w:rPr>
                <w:sz w:val="18"/>
                <w:szCs w:val="18"/>
              </w:rPr>
              <w:t xml:space="preserve"> mileage MAPE</w:t>
            </w:r>
          </w:p>
        </w:tc>
        <w:tc>
          <w:tcPr>
            <w:tcW w:w="1311" w:type="dxa"/>
            <w:gridSpan w:val="2"/>
            <w:tcBorders>
              <w:lef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b/>
                <w:sz w:val="18"/>
                <w:szCs w:val="18"/>
              </w:rPr>
              <w:t>Vehicle 1</w:t>
            </w:r>
          </w:p>
        </w:tc>
        <w:tc>
          <w:tcPr>
            <w:tcW w:w="1350" w:type="dxa"/>
            <w:gridSpan w:val="2"/>
            <w:shd w:val="clear" w:color="auto" w:fill="auto"/>
            <w:tcMar>
              <w:left w:w="29" w:type="dxa"/>
              <w:right w:w="29" w:type="dxa"/>
            </w:tcMar>
            <w:vAlign w:val="bottom"/>
          </w:tcPr>
          <w:p w:rsidR="003A0DC1" w:rsidRPr="005B4CFE" w:rsidRDefault="003A0DC1" w:rsidP="005B4CFE">
            <w:pPr>
              <w:jc w:val="center"/>
              <w:rPr>
                <w:sz w:val="18"/>
                <w:szCs w:val="18"/>
              </w:rPr>
            </w:pPr>
            <w:r w:rsidRPr="005B4CFE">
              <w:rPr>
                <w:b/>
                <w:sz w:val="18"/>
                <w:szCs w:val="18"/>
              </w:rPr>
              <w:t>Vehicle 2</w:t>
            </w:r>
          </w:p>
        </w:tc>
        <w:tc>
          <w:tcPr>
            <w:tcW w:w="1029" w:type="dxa"/>
            <w:vMerge w:val="restart"/>
            <w:tcBorders>
              <w:righ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Within co</w:t>
            </w:r>
            <w:r w:rsidR="00D0512C">
              <w:rPr>
                <w:sz w:val="18"/>
                <w:szCs w:val="18"/>
              </w:rPr>
              <w:t>mbination</w:t>
            </w:r>
            <w:r w:rsidRPr="005B4CFE">
              <w:rPr>
                <w:sz w:val="18"/>
                <w:szCs w:val="18"/>
              </w:rPr>
              <w:t xml:space="preserve"> mileage MAPE</w:t>
            </w:r>
          </w:p>
        </w:tc>
      </w:tr>
      <w:tr w:rsidR="00012C47" w:rsidRPr="000C72FD" w:rsidTr="007422FC">
        <w:trPr>
          <w:trHeight w:val="288"/>
        </w:trPr>
        <w:tc>
          <w:tcPr>
            <w:tcW w:w="1160" w:type="dxa"/>
            <w:vMerge/>
            <w:tcBorders>
              <w:left w:val="double" w:sz="4" w:space="0" w:color="auto"/>
              <w:bottom w:val="double" w:sz="4" w:space="0" w:color="auto"/>
              <w:righ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591" w:type="dxa"/>
            <w:vMerge/>
            <w:tcBorders>
              <w:left w:val="double" w:sz="4" w:space="0" w:color="auto"/>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759" w:type="dxa"/>
            <w:vMerge/>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629" w:type="dxa"/>
            <w:vMerge/>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818" w:type="dxa"/>
            <w:gridSpan w:val="2"/>
            <w:vMerge/>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623" w:type="dxa"/>
            <w:vMerge/>
            <w:tcBorders>
              <w:bottom w:val="double" w:sz="4" w:space="0" w:color="auto"/>
              <w:right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p>
        </w:tc>
        <w:tc>
          <w:tcPr>
            <w:tcW w:w="626" w:type="dxa"/>
            <w:tcBorders>
              <w:left w:val="double" w:sz="4" w:space="0" w:color="auto"/>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Actual</w:t>
            </w:r>
          </w:p>
        </w:tc>
        <w:tc>
          <w:tcPr>
            <w:tcW w:w="761" w:type="dxa"/>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Predicted</w:t>
            </w:r>
          </w:p>
        </w:tc>
        <w:tc>
          <w:tcPr>
            <w:tcW w:w="569" w:type="dxa"/>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APE</w:t>
            </w:r>
          </w:p>
        </w:tc>
        <w:tc>
          <w:tcPr>
            <w:tcW w:w="650" w:type="dxa"/>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Actual</w:t>
            </w:r>
          </w:p>
        </w:tc>
        <w:tc>
          <w:tcPr>
            <w:tcW w:w="763" w:type="dxa"/>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Predicted</w:t>
            </w:r>
          </w:p>
        </w:tc>
        <w:tc>
          <w:tcPr>
            <w:tcW w:w="560" w:type="dxa"/>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APE</w:t>
            </w:r>
          </w:p>
        </w:tc>
        <w:tc>
          <w:tcPr>
            <w:tcW w:w="970" w:type="dxa"/>
            <w:vMerge/>
            <w:tcBorders>
              <w:bottom w:val="double" w:sz="4" w:space="0" w:color="auto"/>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p>
        </w:tc>
        <w:tc>
          <w:tcPr>
            <w:tcW w:w="744" w:type="dxa"/>
            <w:tcBorders>
              <w:left w:val="double" w:sz="4" w:space="0" w:color="auto"/>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Predicted</w:t>
            </w:r>
          </w:p>
        </w:tc>
        <w:tc>
          <w:tcPr>
            <w:tcW w:w="567" w:type="dxa"/>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APE</w:t>
            </w:r>
          </w:p>
        </w:tc>
        <w:tc>
          <w:tcPr>
            <w:tcW w:w="787" w:type="dxa"/>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Predicted</w:t>
            </w:r>
          </w:p>
        </w:tc>
        <w:tc>
          <w:tcPr>
            <w:tcW w:w="563" w:type="dxa"/>
            <w:tcBorders>
              <w:bottom w:val="double" w:sz="4" w:space="0" w:color="auto"/>
            </w:tcBorders>
            <w:shd w:val="clear" w:color="auto" w:fill="auto"/>
            <w:tcMar>
              <w:left w:w="29" w:type="dxa"/>
              <w:right w:w="29" w:type="dxa"/>
            </w:tcMar>
            <w:vAlign w:val="bottom"/>
          </w:tcPr>
          <w:p w:rsidR="003A0DC1" w:rsidRPr="005B4CFE" w:rsidRDefault="003A0DC1" w:rsidP="005B4CFE">
            <w:pPr>
              <w:jc w:val="center"/>
              <w:rPr>
                <w:sz w:val="18"/>
                <w:szCs w:val="18"/>
              </w:rPr>
            </w:pPr>
            <w:r w:rsidRPr="005B4CFE">
              <w:rPr>
                <w:sz w:val="18"/>
                <w:szCs w:val="18"/>
              </w:rPr>
              <w:t>APE</w:t>
            </w:r>
          </w:p>
        </w:tc>
        <w:tc>
          <w:tcPr>
            <w:tcW w:w="1029" w:type="dxa"/>
            <w:vMerge/>
            <w:tcBorders>
              <w:bottom w:val="double" w:sz="4" w:space="0" w:color="auto"/>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p>
        </w:tc>
      </w:tr>
      <w:tr w:rsidR="00012C47" w:rsidRPr="000C72FD" w:rsidTr="007422FC">
        <w:trPr>
          <w:trHeight w:val="346"/>
        </w:trPr>
        <w:tc>
          <w:tcPr>
            <w:tcW w:w="1160" w:type="dxa"/>
            <w:tcBorders>
              <w:top w:val="double" w:sz="4" w:space="0" w:color="auto"/>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Car-Van</w:t>
            </w:r>
          </w:p>
        </w:tc>
        <w:tc>
          <w:tcPr>
            <w:tcW w:w="591" w:type="dxa"/>
            <w:tcBorders>
              <w:top w:val="double" w:sz="4" w:space="0" w:color="auto"/>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6.59</w:t>
            </w:r>
          </w:p>
        </w:tc>
        <w:tc>
          <w:tcPr>
            <w:tcW w:w="759" w:type="dxa"/>
            <w:tcBorders>
              <w:top w:val="double" w:sz="4" w:space="0" w:color="auto"/>
            </w:tcBorders>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4.8</w:t>
            </w:r>
            <w:r w:rsidR="00B55129">
              <w:rPr>
                <w:sz w:val="18"/>
                <w:szCs w:val="18"/>
              </w:rPr>
              <w:t>7</w:t>
            </w:r>
          </w:p>
        </w:tc>
        <w:tc>
          <w:tcPr>
            <w:tcW w:w="629" w:type="dxa"/>
            <w:tcBorders>
              <w:top w:val="double" w:sz="4" w:space="0" w:color="auto"/>
            </w:tcBorders>
            <w:shd w:val="clear" w:color="auto" w:fill="auto"/>
            <w:tcMar>
              <w:left w:w="29" w:type="dxa"/>
              <w:right w:w="29" w:type="dxa"/>
            </w:tcMar>
          </w:tcPr>
          <w:p w:rsidR="003A0DC1" w:rsidRPr="005B4CFE" w:rsidRDefault="003A0DC1" w:rsidP="005B4CFE">
            <w:pPr>
              <w:tabs>
                <w:tab w:val="decimal" w:pos="330"/>
              </w:tabs>
              <w:rPr>
                <w:sz w:val="18"/>
                <w:szCs w:val="18"/>
              </w:rPr>
            </w:pPr>
            <w:r w:rsidRPr="005B4CFE">
              <w:rPr>
                <w:sz w:val="18"/>
                <w:szCs w:val="18"/>
              </w:rPr>
              <w:t>26.</w:t>
            </w:r>
            <w:r w:rsidR="00C10783">
              <w:rPr>
                <w:sz w:val="18"/>
                <w:szCs w:val="18"/>
              </w:rPr>
              <w:t>1</w:t>
            </w:r>
          </w:p>
        </w:tc>
        <w:tc>
          <w:tcPr>
            <w:tcW w:w="818" w:type="dxa"/>
            <w:gridSpan w:val="2"/>
            <w:tcBorders>
              <w:top w:val="double" w:sz="4" w:space="0" w:color="auto"/>
            </w:tcBorders>
            <w:shd w:val="clear" w:color="auto" w:fill="auto"/>
            <w:tcMar>
              <w:left w:w="29" w:type="dxa"/>
              <w:right w:w="29" w:type="dxa"/>
            </w:tcMar>
          </w:tcPr>
          <w:p w:rsidR="003A0DC1" w:rsidRPr="005B4CFE" w:rsidRDefault="00B55129" w:rsidP="005B4CFE">
            <w:pPr>
              <w:tabs>
                <w:tab w:val="decimal" w:pos="309"/>
              </w:tabs>
              <w:rPr>
                <w:sz w:val="18"/>
                <w:szCs w:val="18"/>
              </w:rPr>
            </w:pPr>
            <w:r>
              <w:rPr>
                <w:sz w:val="18"/>
                <w:szCs w:val="18"/>
              </w:rPr>
              <w:t>4.66</w:t>
            </w:r>
          </w:p>
        </w:tc>
        <w:tc>
          <w:tcPr>
            <w:tcW w:w="623" w:type="dxa"/>
            <w:tcBorders>
              <w:top w:val="double" w:sz="4" w:space="0" w:color="auto"/>
              <w:right w:val="double" w:sz="4" w:space="0" w:color="auto"/>
            </w:tcBorders>
            <w:shd w:val="clear" w:color="auto" w:fill="auto"/>
            <w:tcMar>
              <w:left w:w="29" w:type="dxa"/>
              <w:right w:w="29" w:type="dxa"/>
            </w:tcMar>
          </w:tcPr>
          <w:p w:rsidR="003A0DC1" w:rsidRPr="005B4CFE" w:rsidRDefault="00C10783" w:rsidP="005B4CFE">
            <w:pPr>
              <w:tabs>
                <w:tab w:val="decimal" w:pos="249"/>
              </w:tabs>
              <w:rPr>
                <w:sz w:val="18"/>
                <w:szCs w:val="18"/>
              </w:rPr>
            </w:pPr>
            <w:r>
              <w:rPr>
                <w:sz w:val="18"/>
                <w:szCs w:val="18"/>
              </w:rPr>
              <w:t>29.2</w:t>
            </w:r>
          </w:p>
        </w:tc>
        <w:tc>
          <w:tcPr>
            <w:tcW w:w="626" w:type="dxa"/>
            <w:tcBorders>
              <w:top w:val="double" w:sz="4" w:space="0" w:color="auto"/>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9.68</w:t>
            </w:r>
          </w:p>
        </w:tc>
        <w:tc>
          <w:tcPr>
            <w:tcW w:w="761" w:type="dxa"/>
            <w:tcBorders>
              <w:top w:val="double" w:sz="4" w:space="0" w:color="auto"/>
            </w:tcBorders>
            <w:shd w:val="clear" w:color="auto" w:fill="auto"/>
            <w:tcMar>
              <w:left w:w="29" w:type="dxa"/>
              <w:right w:w="29" w:type="dxa"/>
            </w:tcMar>
          </w:tcPr>
          <w:p w:rsidR="003A0DC1" w:rsidRPr="005B4CFE" w:rsidRDefault="003A0DC1" w:rsidP="005B4CFE">
            <w:pPr>
              <w:tabs>
                <w:tab w:val="decimal" w:pos="308"/>
              </w:tabs>
              <w:rPr>
                <w:sz w:val="18"/>
                <w:szCs w:val="18"/>
              </w:rPr>
            </w:pPr>
            <w:r w:rsidRPr="005B4CFE">
              <w:rPr>
                <w:sz w:val="18"/>
                <w:szCs w:val="18"/>
              </w:rPr>
              <w:t>8.</w:t>
            </w:r>
            <w:r w:rsidR="000F2D30">
              <w:rPr>
                <w:sz w:val="18"/>
                <w:szCs w:val="18"/>
              </w:rPr>
              <w:t>38</w:t>
            </w:r>
          </w:p>
        </w:tc>
        <w:tc>
          <w:tcPr>
            <w:tcW w:w="569" w:type="dxa"/>
            <w:tcBorders>
              <w:top w:val="double" w:sz="4" w:space="0" w:color="auto"/>
            </w:tcBorders>
            <w:shd w:val="clear" w:color="auto" w:fill="auto"/>
            <w:tcMar>
              <w:left w:w="29" w:type="dxa"/>
              <w:right w:w="29" w:type="dxa"/>
            </w:tcMar>
          </w:tcPr>
          <w:p w:rsidR="003A0DC1" w:rsidRPr="005B4CFE" w:rsidRDefault="00FA08BA" w:rsidP="005B4CFE">
            <w:pPr>
              <w:tabs>
                <w:tab w:val="decimal" w:pos="308"/>
              </w:tabs>
              <w:rPr>
                <w:sz w:val="18"/>
                <w:szCs w:val="18"/>
              </w:rPr>
            </w:pPr>
            <w:r>
              <w:rPr>
                <w:sz w:val="18"/>
                <w:szCs w:val="18"/>
              </w:rPr>
              <w:t>13</w:t>
            </w:r>
            <w:r w:rsidR="003A0DC1" w:rsidRPr="005B4CFE">
              <w:rPr>
                <w:sz w:val="18"/>
                <w:szCs w:val="18"/>
              </w:rPr>
              <w:t>.</w:t>
            </w:r>
            <w:r>
              <w:rPr>
                <w:sz w:val="18"/>
                <w:szCs w:val="18"/>
              </w:rPr>
              <w:t>4</w:t>
            </w:r>
          </w:p>
        </w:tc>
        <w:tc>
          <w:tcPr>
            <w:tcW w:w="650" w:type="dxa"/>
            <w:tcBorders>
              <w:top w:val="double" w:sz="4" w:space="0" w:color="auto"/>
            </w:tcBorders>
            <w:shd w:val="clear" w:color="auto" w:fill="auto"/>
            <w:tcMar>
              <w:left w:w="29" w:type="dxa"/>
              <w:right w:w="29" w:type="dxa"/>
            </w:tcMar>
          </w:tcPr>
          <w:p w:rsidR="003A0DC1" w:rsidRPr="005B4CFE" w:rsidRDefault="003A0DC1" w:rsidP="005B4CFE">
            <w:pPr>
              <w:tabs>
                <w:tab w:val="decimal" w:pos="262"/>
              </w:tabs>
              <w:rPr>
                <w:sz w:val="18"/>
                <w:szCs w:val="18"/>
              </w:rPr>
            </w:pPr>
            <w:r w:rsidRPr="005B4CFE">
              <w:rPr>
                <w:sz w:val="18"/>
                <w:szCs w:val="18"/>
              </w:rPr>
              <w:t>13.29</w:t>
            </w:r>
          </w:p>
        </w:tc>
        <w:tc>
          <w:tcPr>
            <w:tcW w:w="763" w:type="dxa"/>
            <w:tcBorders>
              <w:top w:val="double" w:sz="4" w:space="0" w:color="auto"/>
            </w:tcBorders>
            <w:shd w:val="clear" w:color="auto" w:fill="auto"/>
            <w:tcMar>
              <w:left w:w="29" w:type="dxa"/>
              <w:right w:w="29" w:type="dxa"/>
            </w:tcMar>
          </w:tcPr>
          <w:p w:rsidR="003A0DC1" w:rsidRPr="005B4CFE" w:rsidRDefault="000F2D30" w:rsidP="005B4CFE">
            <w:pPr>
              <w:tabs>
                <w:tab w:val="decimal" w:pos="308"/>
              </w:tabs>
              <w:rPr>
                <w:sz w:val="18"/>
                <w:szCs w:val="18"/>
              </w:rPr>
            </w:pPr>
            <w:r>
              <w:rPr>
                <w:sz w:val="18"/>
                <w:szCs w:val="18"/>
              </w:rPr>
              <w:t>8</w:t>
            </w:r>
            <w:r w:rsidR="003A0DC1" w:rsidRPr="005B4CFE">
              <w:rPr>
                <w:sz w:val="18"/>
                <w:szCs w:val="18"/>
              </w:rPr>
              <w:t>.</w:t>
            </w:r>
            <w:r>
              <w:rPr>
                <w:sz w:val="18"/>
                <w:szCs w:val="18"/>
              </w:rPr>
              <w:t>53</w:t>
            </w:r>
          </w:p>
        </w:tc>
        <w:tc>
          <w:tcPr>
            <w:tcW w:w="560" w:type="dxa"/>
            <w:tcBorders>
              <w:top w:val="double" w:sz="4" w:space="0" w:color="auto"/>
            </w:tcBorders>
            <w:shd w:val="clear" w:color="auto" w:fill="auto"/>
            <w:tcMar>
              <w:left w:w="29" w:type="dxa"/>
              <w:right w:w="29" w:type="dxa"/>
            </w:tcMar>
          </w:tcPr>
          <w:p w:rsidR="003A0DC1" w:rsidRPr="005B4CFE" w:rsidRDefault="00FA08BA" w:rsidP="005B4CFE">
            <w:pPr>
              <w:tabs>
                <w:tab w:val="decimal" w:pos="308"/>
              </w:tabs>
              <w:rPr>
                <w:sz w:val="18"/>
                <w:szCs w:val="18"/>
              </w:rPr>
            </w:pPr>
            <w:r>
              <w:rPr>
                <w:sz w:val="18"/>
                <w:szCs w:val="18"/>
              </w:rPr>
              <w:t>35.8</w:t>
            </w:r>
          </w:p>
        </w:tc>
        <w:tc>
          <w:tcPr>
            <w:tcW w:w="970" w:type="dxa"/>
            <w:tcBorders>
              <w:top w:val="double" w:sz="4" w:space="0" w:color="auto"/>
              <w:right w:val="double" w:sz="4" w:space="0" w:color="auto"/>
            </w:tcBorders>
            <w:shd w:val="clear" w:color="auto" w:fill="auto"/>
            <w:tcMar>
              <w:left w:w="29" w:type="dxa"/>
              <w:right w:w="29" w:type="dxa"/>
            </w:tcMar>
          </w:tcPr>
          <w:p w:rsidR="003A0DC1" w:rsidRPr="005B4CFE" w:rsidRDefault="00FA08BA" w:rsidP="005B4CFE">
            <w:pPr>
              <w:tabs>
                <w:tab w:val="decimal" w:pos="451"/>
              </w:tabs>
              <w:rPr>
                <w:sz w:val="18"/>
                <w:szCs w:val="18"/>
              </w:rPr>
            </w:pPr>
            <w:r>
              <w:rPr>
                <w:sz w:val="18"/>
                <w:szCs w:val="18"/>
              </w:rPr>
              <w:t>23.0</w:t>
            </w:r>
          </w:p>
        </w:tc>
        <w:tc>
          <w:tcPr>
            <w:tcW w:w="744" w:type="dxa"/>
            <w:tcBorders>
              <w:top w:val="double" w:sz="4" w:space="0" w:color="auto"/>
              <w:left w:val="double" w:sz="4" w:space="0" w:color="auto"/>
            </w:tcBorders>
            <w:shd w:val="clear" w:color="auto" w:fill="auto"/>
            <w:tcMar>
              <w:left w:w="29" w:type="dxa"/>
              <w:right w:w="29" w:type="dxa"/>
            </w:tcMar>
          </w:tcPr>
          <w:p w:rsidR="003A0DC1" w:rsidRPr="005B4CFE" w:rsidRDefault="00FA08BA" w:rsidP="005B4CFE">
            <w:pPr>
              <w:tabs>
                <w:tab w:val="decimal" w:pos="343"/>
              </w:tabs>
              <w:rPr>
                <w:sz w:val="18"/>
                <w:szCs w:val="18"/>
              </w:rPr>
            </w:pPr>
            <w:r>
              <w:rPr>
                <w:sz w:val="18"/>
                <w:szCs w:val="18"/>
              </w:rPr>
              <w:t>7</w:t>
            </w:r>
            <w:r w:rsidR="003A0DC1" w:rsidRPr="005B4CFE">
              <w:rPr>
                <w:sz w:val="18"/>
                <w:szCs w:val="18"/>
              </w:rPr>
              <w:t>.7</w:t>
            </w:r>
            <w:r>
              <w:rPr>
                <w:sz w:val="18"/>
                <w:szCs w:val="18"/>
              </w:rPr>
              <w:t>5</w:t>
            </w:r>
          </w:p>
        </w:tc>
        <w:tc>
          <w:tcPr>
            <w:tcW w:w="567" w:type="dxa"/>
            <w:tcBorders>
              <w:top w:val="double" w:sz="4" w:space="0" w:color="auto"/>
            </w:tcBorders>
            <w:shd w:val="clear" w:color="auto" w:fill="auto"/>
            <w:tcMar>
              <w:left w:w="29" w:type="dxa"/>
              <w:right w:w="29" w:type="dxa"/>
            </w:tcMar>
          </w:tcPr>
          <w:p w:rsidR="003A0DC1" w:rsidRPr="005B4CFE" w:rsidRDefault="00220BB0" w:rsidP="005B4CFE">
            <w:pPr>
              <w:tabs>
                <w:tab w:val="decimal" w:pos="275"/>
              </w:tabs>
              <w:rPr>
                <w:sz w:val="18"/>
                <w:szCs w:val="18"/>
              </w:rPr>
            </w:pPr>
            <w:r>
              <w:rPr>
                <w:sz w:val="18"/>
                <w:szCs w:val="18"/>
              </w:rPr>
              <w:t>19</w:t>
            </w:r>
            <w:r w:rsidR="003A0DC1" w:rsidRPr="005B4CFE">
              <w:rPr>
                <w:sz w:val="18"/>
                <w:szCs w:val="18"/>
              </w:rPr>
              <w:t>.</w:t>
            </w:r>
            <w:r>
              <w:rPr>
                <w:sz w:val="18"/>
                <w:szCs w:val="18"/>
              </w:rPr>
              <w:t>9</w:t>
            </w:r>
          </w:p>
        </w:tc>
        <w:tc>
          <w:tcPr>
            <w:tcW w:w="787" w:type="dxa"/>
            <w:tcBorders>
              <w:top w:val="double" w:sz="4" w:space="0" w:color="auto"/>
            </w:tcBorders>
            <w:shd w:val="clear" w:color="auto" w:fill="auto"/>
            <w:tcMar>
              <w:left w:w="29" w:type="dxa"/>
              <w:right w:w="29" w:type="dxa"/>
            </w:tcMar>
          </w:tcPr>
          <w:p w:rsidR="003A0DC1" w:rsidRPr="005B4CFE" w:rsidRDefault="00FA08BA" w:rsidP="005B4CFE">
            <w:pPr>
              <w:tabs>
                <w:tab w:val="decimal" w:pos="343"/>
              </w:tabs>
              <w:rPr>
                <w:sz w:val="18"/>
                <w:szCs w:val="18"/>
              </w:rPr>
            </w:pPr>
            <w:r>
              <w:rPr>
                <w:sz w:val="18"/>
                <w:szCs w:val="18"/>
              </w:rPr>
              <w:t>9</w:t>
            </w:r>
            <w:r w:rsidR="003A0DC1" w:rsidRPr="005B4CFE">
              <w:rPr>
                <w:sz w:val="18"/>
                <w:szCs w:val="18"/>
              </w:rPr>
              <w:t>.</w:t>
            </w:r>
            <w:r>
              <w:rPr>
                <w:sz w:val="18"/>
                <w:szCs w:val="18"/>
              </w:rPr>
              <w:t>3</w:t>
            </w:r>
            <w:r w:rsidR="00220BB0">
              <w:rPr>
                <w:sz w:val="18"/>
                <w:szCs w:val="18"/>
              </w:rPr>
              <w:t>3</w:t>
            </w:r>
          </w:p>
        </w:tc>
        <w:tc>
          <w:tcPr>
            <w:tcW w:w="563" w:type="dxa"/>
            <w:tcBorders>
              <w:top w:val="double" w:sz="4" w:space="0" w:color="auto"/>
            </w:tcBorders>
            <w:shd w:val="clear" w:color="auto" w:fill="auto"/>
            <w:tcMar>
              <w:left w:w="29" w:type="dxa"/>
              <w:right w:w="29" w:type="dxa"/>
            </w:tcMar>
          </w:tcPr>
          <w:p w:rsidR="003A0DC1" w:rsidRPr="005B4CFE" w:rsidRDefault="00220BB0" w:rsidP="005B4CFE">
            <w:pPr>
              <w:tabs>
                <w:tab w:val="decimal" w:pos="271"/>
              </w:tabs>
              <w:rPr>
                <w:sz w:val="18"/>
                <w:szCs w:val="18"/>
              </w:rPr>
            </w:pPr>
            <w:r>
              <w:rPr>
                <w:sz w:val="18"/>
                <w:szCs w:val="18"/>
              </w:rPr>
              <w:t>25.6</w:t>
            </w:r>
          </w:p>
        </w:tc>
        <w:tc>
          <w:tcPr>
            <w:tcW w:w="1029" w:type="dxa"/>
            <w:tcBorders>
              <w:top w:val="double" w:sz="4" w:space="0" w:color="auto"/>
              <w:right w:val="double" w:sz="4" w:space="0" w:color="auto"/>
            </w:tcBorders>
            <w:shd w:val="clear" w:color="auto" w:fill="auto"/>
            <w:tcMar>
              <w:left w:w="29" w:type="dxa"/>
              <w:right w:w="29" w:type="dxa"/>
            </w:tcMar>
          </w:tcPr>
          <w:p w:rsidR="003A0DC1" w:rsidRPr="005B4CFE" w:rsidRDefault="003A0DC1" w:rsidP="005B4CFE">
            <w:pPr>
              <w:tabs>
                <w:tab w:val="decimal" w:pos="433"/>
              </w:tabs>
              <w:rPr>
                <w:sz w:val="18"/>
                <w:szCs w:val="18"/>
              </w:rPr>
            </w:pPr>
            <w:r w:rsidRPr="005B4CFE">
              <w:rPr>
                <w:sz w:val="18"/>
                <w:szCs w:val="18"/>
              </w:rPr>
              <w:t>23.3</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Car-SUV</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32.97</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3</w:t>
            </w:r>
            <w:r w:rsidR="00B55129">
              <w:rPr>
                <w:sz w:val="18"/>
                <w:szCs w:val="18"/>
              </w:rPr>
              <w:t>8</w:t>
            </w:r>
            <w:r w:rsidRPr="005B4CFE">
              <w:rPr>
                <w:sz w:val="18"/>
                <w:szCs w:val="18"/>
              </w:rPr>
              <w:t>.0</w:t>
            </w:r>
            <w:r w:rsidR="00B55129">
              <w:rPr>
                <w:sz w:val="18"/>
                <w:szCs w:val="18"/>
              </w:rPr>
              <w:t>7</w:t>
            </w:r>
          </w:p>
        </w:tc>
        <w:tc>
          <w:tcPr>
            <w:tcW w:w="629" w:type="dxa"/>
            <w:shd w:val="clear" w:color="auto" w:fill="auto"/>
            <w:tcMar>
              <w:left w:w="29" w:type="dxa"/>
              <w:right w:w="29" w:type="dxa"/>
            </w:tcMar>
          </w:tcPr>
          <w:p w:rsidR="003A0DC1" w:rsidRPr="005B4CFE" w:rsidRDefault="003A0DC1" w:rsidP="005B4CFE">
            <w:pPr>
              <w:tabs>
                <w:tab w:val="decimal" w:pos="330"/>
              </w:tabs>
              <w:rPr>
                <w:sz w:val="18"/>
                <w:szCs w:val="18"/>
              </w:rPr>
            </w:pPr>
            <w:r w:rsidRPr="005B4CFE">
              <w:rPr>
                <w:sz w:val="18"/>
                <w:szCs w:val="18"/>
              </w:rPr>
              <w:t>1</w:t>
            </w:r>
            <w:r w:rsidR="00C10783">
              <w:rPr>
                <w:sz w:val="18"/>
                <w:szCs w:val="18"/>
              </w:rPr>
              <w:t>5</w:t>
            </w:r>
            <w:r w:rsidRPr="005B4CFE">
              <w:rPr>
                <w:sz w:val="18"/>
                <w:szCs w:val="18"/>
              </w:rPr>
              <w:t>.</w:t>
            </w:r>
            <w:r w:rsidR="00C10783">
              <w:rPr>
                <w:sz w:val="18"/>
                <w:szCs w:val="18"/>
              </w:rPr>
              <w:t>5</w:t>
            </w:r>
          </w:p>
        </w:tc>
        <w:tc>
          <w:tcPr>
            <w:tcW w:w="818" w:type="dxa"/>
            <w:gridSpan w:val="2"/>
            <w:shd w:val="clear" w:color="auto" w:fill="auto"/>
            <w:tcMar>
              <w:left w:w="29" w:type="dxa"/>
              <w:right w:w="29" w:type="dxa"/>
            </w:tcMar>
          </w:tcPr>
          <w:p w:rsidR="003A0DC1" w:rsidRPr="005B4CFE" w:rsidRDefault="003A0DC1" w:rsidP="005B4CFE">
            <w:pPr>
              <w:tabs>
                <w:tab w:val="decimal" w:pos="309"/>
              </w:tabs>
              <w:rPr>
                <w:sz w:val="18"/>
                <w:szCs w:val="18"/>
              </w:rPr>
            </w:pPr>
            <w:r w:rsidRPr="005B4CFE">
              <w:rPr>
                <w:sz w:val="18"/>
                <w:szCs w:val="18"/>
              </w:rPr>
              <w:t>3</w:t>
            </w:r>
            <w:r w:rsidR="00B55129">
              <w:rPr>
                <w:sz w:val="18"/>
                <w:szCs w:val="18"/>
              </w:rPr>
              <w:t>6.72</w:t>
            </w:r>
          </w:p>
        </w:tc>
        <w:tc>
          <w:tcPr>
            <w:tcW w:w="623" w:type="dxa"/>
            <w:tcBorders>
              <w:right w:val="double" w:sz="4" w:space="0" w:color="auto"/>
            </w:tcBorders>
            <w:shd w:val="clear" w:color="auto" w:fill="auto"/>
            <w:tcMar>
              <w:left w:w="29" w:type="dxa"/>
              <w:right w:w="29" w:type="dxa"/>
            </w:tcMar>
          </w:tcPr>
          <w:p w:rsidR="003A0DC1" w:rsidRPr="005B4CFE" w:rsidRDefault="003A0DC1" w:rsidP="005B4CFE">
            <w:pPr>
              <w:tabs>
                <w:tab w:val="decimal" w:pos="249"/>
              </w:tabs>
              <w:rPr>
                <w:sz w:val="18"/>
                <w:szCs w:val="18"/>
              </w:rPr>
            </w:pPr>
            <w:r w:rsidRPr="005B4CFE">
              <w:rPr>
                <w:sz w:val="18"/>
                <w:szCs w:val="18"/>
              </w:rPr>
              <w:t>1</w:t>
            </w:r>
            <w:r w:rsidR="00C10783">
              <w:rPr>
                <w:sz w:val="18"/>
                <w:szCs w:val="18"/>
              </w:rPr>
              <w:t>1.4</w:t>
            </w:r>
          </w:p>
        </w:tc>
        <w:tc>
          <w:tcPr>
            <w:tcW w:w="626"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10.05</w:t>
            </w:r>
          </w:p>
        </w:tc>
        <w:tc>
          <w:tcPr>
            <w:tcW w:w="761" w:type="dxa"/>
            <w:shd w:val="clear" w:color="auto" w:fill="auto"/>
            <w:tcMar>
              <w:left w:w="29" w:type="dxa"/>
              <w:right w:w="29" w:type="dxa"/>
            </w:tcMar>
          </w:tcPr>
          <w:p w:rsidR="003A0DC1" w:rsidRPr="005B4CFE" w:rsidRDefault="000F2D30" w:rsidP="005B4CFE">
            <w:pPr>
              <w:tabs>
                <w:tab w:val="decimal" w:pos="308"/>
              </w:tabs>
              <w:rPr>
                <w:sz w:val="18"/>
                <w:szCs w:val="18"/>
              </w:rPr>
            </w:pPr>
            <w:r>
              <w:rPr>
                <w:sz w:val="18"/>
                <w:szCs w:val="18"/>
              </w:rPr>
              <w:t>8</w:t>
            </w:r>
            <w:r w:rsidR="003A0DC1" w:rsidRPr="005B4CFE">
              <w:rPr>
                <w:sz w:val="18"/>
                <w:szCs w:val="18"/>
              </w:rPr>
              <w:t>.</w:t>
            </w:r>
            <w:r w:rsidR="0064115A">
              <w:rPr>
                <w:sz w:val="18"/>
                <w:szCs w:val="18"/>
              </w:rPr>
              <w:t>94</w:t>
            </w:r>
          </w:p>
        </w:tc>
        <w:tc>
          <w:tcPr>
            <w:tcW w:w="569" w:type="dxa"/>
            <w:shd w:val="clear" w:color="auto" w:fill="auto"/>
            <w:tcMar>
              <w:left w:w="29" w:type="dxa"/>
              <w:right w:w="29" w:type="dxa"/>
            </w:tcMar>
          </w:tcPr>
          <w:p w:rsidR="003A0DC1" w:rsidRPr="005B4CFE" w:rsidRDefault="00FA08BA" w:rsidP="005B4CFE">
            <w:pPr>
              <w:tabs>
                <w:tab w:val="decimal" w:pos="308"/>
              </w:tabs>
              <w:rPr>
                <w:sz w:val="18"/>
                <w:szCs w:val="18"/>
              </w:rPr>
            </w:pPr>
            <w:r>
              <w:rPr>
                <w:sz w:val="18"/>
                <w:szCs w:val="18"/>
              </w:rPr>
              <w:t>1</w:t>
            </w:r>
            <w:r w:rsidR="0064115A">
              <w:rPr>
                <w:sz w:val="18"/>
                <w:szCs w:val="18"/>
              </w:rPr>
              <w:t>1</w:t>
            </w:r>
            <w:r>
              <w:rPr>
                <w:sz w:val="18"/>
                <w:szCs w:val="18"/>
              </w:rPr>
              <w:t>.0</w:t>
            </w:r>
          </w:p>
        </w:tc>
        <w:tc>
          <w:tcPr>
            <w:tcW w:w="650" w:type="dxa"/>
            <w:shd w:val="clear" w:color="auto" w:fill="auto"/>
            <w:tcMar>
              <w:left w:w="29" w:type="dxa"/>
              <w:right w:w="29" w:type="dxa"/>
            </w:tcMar>
          </w:tcPr>
          <w:p w:rsidR="003A0DC1" w:rsidRPr="005B4CFE" w:rsidRDefault="003A0DC1" w:rsidP="005B4CFE">
            <w:pPr>
              <w:tabs>
                <w:tab w:val="decimal" w:pos="262"/>
              </w:tabs>
              <w:rPr>
                <w:sz w:val="18"/>
                <w:szCs w:val="18"/>
              </w:rPr>
            </w:pPr>
            <w:r w:rsidRPr="005B4CFE">
              <w:rPr>
                <w:sz w:val="18"/>
                <w:szCs w:val="18"/>
              </w:rPr>
              <w:t>1</w:t>
            </w:r>
            <w:r w:rsidR="00763349">
              <w:rPr>
                <w:sz w:val="18"/>
                <w:szCs w:val="18"/>
              </w:rPr>
              <w:t>3.77</w:t>
            </w:r>
          </w:p>
        </w:tc>
        <w:tc>
          <w:tcPr>
            <w:tcW w:w="763" w:type="dxa"/>
            <w:shd w:val="clear" w:color="auto" w:fill="auto"/>
            <w:tcMar>
              <w:left w:w="29" w:type="dxa"/>
              <w:right w:w="29" w:type="dxa"/>
            </w:tcMar>
          </w:tcPr>
          <w:p w:rsidR="003A0DC1" w:rsidRPr="005B4CFE" w:rsidRDefault="0064115A" w:rsidP="005B4CFE">
            <w:pPr>
              <w:tabs>
                <w:tab w:val="decimal" w:pos="308"/>
              </w:tabs>
              <w:rPr>
                <w:sz w:val="18"/>
                <w:szCs w:val="18"/>
              </w:rPr>
            </w:pPr>
            <w:r>
              <w:rPr>
                <w:sz w:val="18"/>
                <w:szCs w:val="18"/>
              </w:rPr>
              <w:t>8</w:t>
            </w:r>
            <w:r w:rsidR="003A0DC1" w:rsidRPr="005B4CFE">
              <w:rPr>
                <w:sz w:val="18"/>
                <w:szCs w:val="18"/>
              </w:rPr>
              <w:t>.</w:t>
            </w:r>
            <w:r>
              <w:rPr>
                <w:sz w:val="18"/>
                <w:szCs w:val="18"/>
              </w:rPr>
              <w:t>74</w:t>
            </w:r>
          </w:p>
        </w:tc>
        <w:tc>
          <w:tcPr>
            <w:tcW w:w="560" w:type="dxa"/>
            <w:shd w:val="clear" w:color="auto" w:fill="auto"/>
            <w:tcMar>
              <w:left w:w="29" w:type="dxa"/>
              <w:right w:w="29" w:type="dxa"/>
            </w:tcMar>
          </w:tcPr>
          <w:p w:rsidR="003A0DC1" w:rsidRPr="005B4CFE" w:rsidRDefault="00763349" w:rsidP="005B4CFE">
            <w:pPr>
              <w:tabs>
                <w:tab w:val="decimal" w:pos="308"/>
              </w:tabs>
              <w:rPr>
                <w:sz w:val="18"/>
                <w:szCs w:val="18"/>
              </w:rPr>
            </w:pPr>
            <w:r>
              <w:rPr>
                <w:sz w:val="18"/>
                <w:szCs w:val="18"/>
              </w:rPr>
              <w:t>3</w:t>
            </w:r>
            <w:r w:rsidR="0064115A">
              <w:rPr>
                <w:sz w:val="18"/>
                <w:szCs w:val="18"/>
              </w:rPr>
              <w:t>6</w:t>
            </w:r>
            <w:r>
              <w:rPr>
                <w:sz w:val="18"/>
                <w:szCs w:val="18"/>
              </w:rPr>
              <w:t>.</w:t>
            </w:r>
            <w:r w:rsidR="0064115A">
              <w:rPr>
                <w:sz w:val="18"/>
                <w:szCs w:val="18"/>
              </w:rPr>
              <w:t>5</w:t>
            </w:r>
          </w:p>
        </w:tc>
        <w:tc>
          <w:tcPr>
            <w:tcW w:w="970" w:type="dxa"/>
            <w:tcBorders>
              <w:right w:val="double" w:sz="4" w:space="0" w:color="auto"/>
            </w:tcBorders>
            <w:shd w:val="clear" w:color="auto" w:fill="auto"/>
            <w:tcMar>
              <w:left w:w="29" w:type="dxa"/>
              <w:right w:w="29" w:type="dxa"/>
            </w:tcMar>
          </w:tcPr>
          <w:p w:rsidR="003A0DC1" w:rsidRPr="005B4CFE" w:rsidRDefault="003A0DC1" w:rsidP="005B4CFE">
            <w:pPr>
              <w:tabs>
                <w:tab w:val="decimal" w:pos="451"/>
              </w:tabs>
              <w:rPr>
                <w:sz w:val="18"/>
                <w:szCs w:val="18"/>
              </w:rPr>
            </w:pPr>
            <w:r w:rsidRPr="005B4CFE">
              <w:rPr>
                <w:sz w:val="18"/>
                <w:szCs w:val="18"/>
              </w:rPr>
              <w:t>2</w:t>
            </w:r>
            <w:r w:rsidR="00763349">
              <w:rPr>
                <w:sz w:val="18"/>
                <w:szCs w:val="18"/>
              </w:rPr>
              <w:t>5.2</w:t>
            </w:r>
          </w:p>
        </w:tc>
        <w:tc>
          <w:tcPr>
            <w:tcW w:w="744" w:type="dxa"/>
            <w:tcBorders>
              <w:left w:val="double" w:sz="4" w:space="0" w:color="auto"/>
            </w:tcBorders>
            <w:shd w:val="clear" w:color="auto" w:fill="auto"/>
            <w:tcMar>
              <w:left w:w="29" w:type="dxa"/>
              <w:right w:w="29" w:type="dxa"/>
            </w:tcMar>
          </w:tcPr>
          <w:p w:rsidR="003A0DC1" w:rsidRPr="005B4CFE" w:rsidRDefault="00FA08BA" w:rsidP="005B4CFE">
            <w:pPr>
              <w:tabs>
                <w:tab w:val="decimal" w:pos="343"/>
              </w:tabs>
              <w:rPr>
                <w:sz w:val="18"/>
                <w:szCs w:val="18"/>
              </w:rPr>
            </w:pPr>
            <w:r>
              <w:rPr>
                <w:sz w:val="18"/>
                <w:szCs w:val="18"/>
              </w:rPr>
              <w:t>9.03</w:t>
            </w:r>
          </w:p>
        </w:tc>
        <w:tc>
          <w:tcPr>
            <w:tcW w:w="567" w:type="dxa"/>
            <w:shd w:val="clear" w:color="auto" w:fill="auto"/>
            <w:tcMar>
              <w:left w:w="29" w:type="dxa"/>
              <w:right w:w="29" w:type="dxa"/>
            </w:tcMar>
          </w:tcPr>
          <w:p w:rsidR="003A0DC1" w:rsidRPr="005B4CFE" w:rsidRDefault="003A0DC1" w:rsidP="005B4CFE">
            <w:pPr>
              <w:tabs>
                <w:tab w:val="decimal" w:pos="275"/>
              </w:tabs>
              <w:rPr>
                <w:sz w:val="18"/>
                <w:szCs w:val="18"/>
              </w:rPr>
            </w:pPr>
            <w:r w:rsidRPr="005B4CFE">
              <w:rPr>
                <w:sz w:val="18"/>
                <w:szCs w:val="18"/>
              </w:rPr>
              <w:t>1</w:t>
            </w:r>
            <w:r w:rsidR="00220BB0">
              <w:rPr>
                <w:sz w:val="18"/>
                <w:szCs w:val="18"/>
              </w:rPr>
              <w:t>0</w:t>
            </w:r>
            <w:r w:rsidRPr="005B4CFE">
              <w:rPr>
                <w:sz w:val="18"/>
                <w:szCs w:val="18"/>
              </w:rPr>
              <w:t>.</w:t>
            </w:r>
            <w:r w:rsidR="00220BB0">
              <w:rPr>
                <w:sz w:val="18"/>
                <w:szCs w:val="18"/>
              </w:rPr>
              <w:t>1</w:t>
            </w:r>
          </w:p>
        </w:tc>
        <w:tc>
          <w:tcPr>
            <w:tcW w:w="787" w:type="dxa"/>
            <w:shd w:val="clear" w:color="auto" w:fill="auto"/>
            <w:tcMar>
              <w:left w:w="29" w:type="dxa"/>
              <w:right w:w="29" w:type="dxa"/>
            </w:tcMar>
          </w:tcPr>
          <w:p w:rsidR="003A0DC1" w:rsidRPr="005B4CFE" w:rsidRDefault="00FA08BA" w:rsidP="005B4CFE">
            <w:pPr>
              <w:tabs>
                <w:tab w:val="decimal" w:pos="343"/>
              </w:tabs>
              <w:rPr>
                <w:sz w:val="18"/>
                <w:szCs w:val="18"/>
              </w:rPr>
            </w:pPr>
            <w:r>
              <w:rPr>
                <w:sz w:val="18"/>
                <w:szCs w:val="18"/>
              </w:rPr>
              <w:t>8</w:t>
            </w:r>
            <w:r w:rsidR="003A0DC1" w:rsidRPr="005B4CFE">
              <w:rPr>
                <w:sz w:val="18"/>
                <w:szCs w:val="18"/>
              </w:rPr>
              <w:t>.7</w:t>
            </w:r>
            <w:r>
              <w:rPr>
                <w:sz w:val="18"/>
                <w:szCs w:val="18"/>
              </w:rPr>
              <w:t>7</w:t>
            </w:r>
          </w:p>
        </w:tc>
        <w:tc>
          <w:tcPr>
            <w:tcW w:w="563" w:type="dxa"/>
            <w:shd w:val="clear" w:color="auto" w:fill="auto"/>
            <w:tcMar>
              <w:left w:w="29" w:type="dxa"/>
              <w:right w:w="29" w:type="dxa"/>
            </w:tcMar>
          </w:tcPr>
          <w:p w:rsidR="003A0DC1" w:rsidRPr="005B4CFE" w:rsidRDefault="00220BB0" w:rsidP="005B4CFE">
            <w:pPr>
              <w:tabs>
                <w:tab w:val="decimal" w:pos="271"/>
              </w:tabs>
              <w:rPr>
                <w:sz w:val="18"/>
                <w:szCs w:val="18"/>
              </w:rPr>
            </w:pPr>
            <w:r>
              <w:rPr>
                <w:sz w:val="18"/>
                <w:szCs w:val="18"/>
              </w:rPr>
              <w:t>36</w:t>
            </w:r>
            <w:r w:rsidR="003A0DC1" w:rsidRPr="005B4CFE">
              <w:rPr>
                <w:sz w:val="18"/>
                <w:szCs w:val="18"/>
              </w:rPr>
              <w:t>.</w:t>
            </w:r>
            <w:r>
              <w:rPr>
                <w:sz w:val="18"/>
                <w:szCs w:val="18"/>
              </w:rPr>
              <w:t>3</w:t>
            </w:r>
          </w:p>
        </w:tc>
        <w:tc>
          <w:tcPr>
            <w:tcW w:w="1029" w:type="dxa"/>
            <w:tcBorders>
              <w:right w:val="double" w:sz="4" w:space="0" w:color="auto"/>
            </w:tcBorders>
            <w:shd w:val="clear" w:color="auto" w:fill="auto"/>
            <w:tcMar>
              <w:left w:w="29" w:type="dxa"/>
              <w:right w:w="29" w:type="dxa"/>
            </w:tcMar>
          </w:tcPr>
          <w:p w:rsidR="003A0DC1" w:rsidRPr="005B4CFE" w:rsidRDefault="001641AB" w:rsidP="005B4CFE">
            <w:pPr>
              <w:tabs>
                <w:tab w:val="decimal" w:pos="433"/>
              </w:tabs>
              <w:rPr>
                <w:sz w:val="18"/>
                <w:szCs w:val="18"/>
              </w:rPr>
            </w:pPr>
            <w:r>
              <w:rPr>
                <w:sz w:val="18"/>
                <w:szCs w:val="18"/>
              </w:rPr>
              <w:t>25</w:t>
            </w:r>
            <w:r w:rsidR="003A0DC1" w:rsidRPr="005B4CFE">
              <w:rPr>
                <w:sz w:val="18"/>
                <w:szCs w:val="18"/>
              </w:rPr>
              <w:t>.</w:t>
            </w:r>
            <w:r>
              <w:rPr>
                <w:sz w:val="18"/>
                <w:szCs w:val="18"/>
              </w:rPr>
              <w:t>3</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Car-Pickup</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25.27</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29.</w:t>
            </w:r>
            <w:r w:rsidR="00B55129">
              <w:rPr>
                <w:sz w:val="18"/>
                <w:szCs w:val="18"/>
              </w:rPr>
              <w:t>44</w:t>
            </w:r>
          </w:p>
        </w:tc>
        <w:tc>
          <w:tcPr>
            <w:tcW w:w="629" w:type="dxa"/>
            <w:shd w:val="clear" w:color="auto" w:fill="auto"/>
            <w:tcMar>
              <w:left w:w="29" w:type="dxa"/>
              <w:right w:w="29" w:type="dxa"/>
            </w:tcMar>
          </w:tcPr>
          <w:p w:rsidR="003A0DC1" w:rsidRPr="005B4CFE" w:rsidRDefault="003A0DC1" w:rsidP="005B4CFE">
            <w:pPr>
              <w:tabs>
                <w:tab w:val="decimal" w:pos="330"/>
              </w:tabs>
              <w:rPr>
                <w:sz w:val="18"/>
                <w:szCs w:val="18"/>
              </w:rPr>
            </w:pPr>
            <w:r w:rsidRPr="005B4CFE">
              <w:rPr>
                <w:sz w:val="18"/>
                <w:szCs w:val="18"/>
              </w:rPr>
              <w:t>1</w:t>
            </w:r>
            <w:r w:rsidR="00C10783">
              <w:rPr>
                <w:sz w:val="18"/>
                <w:szCs w:val="18"/>
              </w:rPr>
              <w:t>6</w:t>
            </w:r>
            <w:r w:rsidRPr="005B4CFE">
              <w:rPr>
                <w:sz w:val="18"/>
                <w:szCs w:val="18"/>
              </w:rPr>
              <w:t>.</w:t>
            </w:r>
            <w:r w:rsidR="00C10783">
              <w:rPr>
                <w:sz w:val="18"/>
                <w:szCs w:val="18"/>
              </w:rPr>
              <w:t>5</w:t>
            </w:r>
          </w:p>
        </w:tc>
        <w:tc>
          <w:tcPr>
            <w:tcW w:w="818" w:type="dxa"/>
            <w:gridSpan w:val="2"/>
            <w:shd w:val="clear" w:color="auto" w:fill="auto"/>
            <w:tcMar>
              <w:left w:w="29" w:type="dxa"/>
              <w:right w:w="29" w:type="dxa"/>
            </w:tcMar>
          </w:tcPr>
          <w:p w:rsidR="003A0DC1" w:rsidRPr="005B4CFE" w:rsidRDefault="003A0DC1" w:rsidP="005B4CFE">
            <w:pPr>
              <w:tabs>
                <w:tab w:val="decimal" w:pos="309"/>
              </w:tabs>
              <w:rPr>
                <w:sz w:val="18"/>
                <w:szCs w:val="18"/>
              </w:rPr>
            </w:pPr>
            <w:r w:rsidRPr="005B4CFE">
              <w:rPr>
                <w:sz w:val="18"/>
                <w:szCs w:val="18"/>
              </w:rPr>
              <w:t>2</w:t>
            </w:r>
            <w:r w:rsidR="00B55129">
              <w:rPr>
                <w:sz w:val="18"/>
                <w:szCs w:val="18"/>
              </w:rPr>
              <w:t>7</w:t>
            </w:r>
            <w:r w:rsidRPr="005B4CFE">
              <w:rPr>
                <w:sz w:val="18"/>
                <w:szCs w:val="18"/>
              </w:rPr>
              <w:t>.</w:t>
            </w:r>
            <w:r w:rsidR="00B55129">
              <w:rPr>
                <w:sz w:val="18"/>
                <w:szCs w:val="18"/>
              </w:rPr>
              <w:t>11</w:t>
            </w:r>
          </w:p>
        </w:tc>
        <w:tc>
          <w:tcPr>
            <w:tcW w:w="623" w:type="dxa"/>
            <w:tcBorders>
              <w:right w:val="double" w:sz="4" w:space="0" w:color="auto"/>
            </w:tcBorders>
            <w:shd w:val="clear" w:color="auto" w:fill="auto"/>
            <w:tcMar>
              <w:left w:w="29" w:type="dxa"/>
              <w:right w:w="29" w:type="dxa"/>
            </w:tcMar>
          </w:tcPr>
          <w:p w:rsidR="003A0DC1" w:rsidRPr="005B4CFE" w:rsidRDefault="00C10783" w:rsidP="005B4CFE">
            <w:pPr>
              <w:tabs>
                <w:tab w:val="decimal" w:pos="249"/>
              </w:tabs>
              <w:rPr>
                <w:sz w:val="18"/>
                <w:szCs w:val="18"/>
              </w:rPr>
            </w:pPr>
            <w:r>
              <w:rPr>
                <w:sz w:val="18"/>
                <w:szCs w:val="18"/>
              </w:rPr>
              <w:t xml:space="preserve"> 7.3</w:t>
            </w:r>
          </w:p>
        </w:tc>
        <w:tc>
          <w:tcPr>
            <w:tcW w:w="626"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11.02</w:t>
            </w:r>
          </w:p>
        </w:tc>
        <w:tc>
          <w:tcPr>
            <w:tcW w:w="761" w:type="dxa"/>
            <w:shd w:val="clear" w:color="auto" w:fill="auto"/>
            <w:tcMar>
              <w:left w:w="29" w:type="dxa"/>
              <w:right w:w="29" w:type="dxa"/>
            </w:tcMar>
          </w:tcPr>
          <w:p w:rsidR="003A0DC1" w:rsidRPr="005B4CFE" w:rsidRDefault="000F2D30" w:rsidP="005B4CFE">
            <w:pPr>
              <w:tabs>
                <w:tab w:val="decimal" w:pos="308"/>
              </w:tabs>
              <w:rPr>
                <w:sz w:val="18"/>
                <w:szCs w:val="18"/>
              </w:rPr>
            </w:pPr>
            <w:r>
              <w:rPr>
                <w:sz w:val="18"/>
                <w:szCs w:val="18"/>
              </w:rPr>
              <w:t>9</w:t>
            </w:r>
            <w:r w:rsidR="003A0DC1" w:rsidRPr="005B4CFE">
              <w:rPr>
                <w:sz w:val="18"/>
                <w:szCs w:val="18"/>
              </w:rPr>
              <w:t>.</w:t>
            </w:r>
            <w:r>
              <w:rPr>
                <w:sz w:val="18"/>
                <w:szCs w:val="18"/>
              </w:rPr>
              <w:t>97</w:t>
            </w:r>
          </w:p>
        </w:tc>
        <w:tc>
          <w:tcPr>
            <w:tcW w:w="569" w:type="dxa"/>
            <w:shd w:val="clear" w:color="auto" w:fill="auto"/>
            <w:tcMar>
              <w:left w:w="29" w:type="dxa"/>
              <w:right w:w="29" w:type="dxa"/>
            </w:tcMar>
          </w:tcPr>
          <w:p w:rsidR="003A0DC1" w:rsidRPr="005B4CFE" w:rsidRDefault="00763349" w:rsidP="005B4CFE">
            <w:pPr>
              <w:tabs>
                <w:tab w:val="decimal" w:pos="308"/>
              </w:tabs>
              <w:rPr>
                <w:sz w:val="18"/>
                <w:szCs w:val="18"/>
              </w:rPr>
            </w:pPr>
            <w:r>
              <w:rPr>
                <w:sz w:val="18"/>
                <w:szCs w:val="18"/>
              </w:rPr>
              <w:t>9.5</w:t>
            </w:r>
          </w:p>
        </w:tc>
        <w:tc>
          <w:tcPr>
            <w:tcW w:w="650" w:type="dxa"/>
            <w:shd w:val="clear" w:color="auto" w:fill="auto"/>
            <w:tcMar>
              <w:left w:w="29" w:type="dxa"/>
              <w:right w:w="29" w:type="dxa"/>
            </w:tcMar>
          </w:tcPr>
          <w:p w:rsidR="003A0DC1" w:rsidRPr="005B4CFE" w:rsidRDefault="003A0DC1" w:rsidP="005B4CFE">
            <w:pPr>
              <w:tabs>
                <w:tab w:val="decimal" w:pos="262"/>
              </w:tabs>
              <w:rPr>
                <w:sz w:val="18"/>
                <w:szCs w:val="18"/>
              </w:rPr>
            </w:pPr>
            <w:r w:rsidRPr="005B4CFE">
              <w:rPr>
                <w:sz w:val="18"/>
                <w:szCs w:val="18"/>
              </w:rPr>
              <w:t>10.79</w:t>
            </w:r>
          </w:p>
        </w:tc>
        <w:tc>
          <w:tcPr>
            <w:tcW w:w="763" w:type="dxa"/>
            <w:shd w:val="clear" w:color="auto" w:fill="auto"/>
            <w:tcMar>
              <w:left w:w="29" w:type="dxa"/>
              <w:right w:w="29" w:type="dxa"/>
            </w:tcMar>
          </w:tcPr>
          <w:p w:rsidR="003A0DC1" w:rsidRPr="005B4CFE" w:rsidRDefault="003A0DC1" w:rsidP="005B4CFE">
            <w:pPr>
              <w:tabs>
                <w:tab w:val="decimal" w:pos="308"/>
              </w:tabs>
              <w:rPr>
                <w:sz w:val="18"/>
                <w:szCs w:val="18"/>
              </w:rPr>
            </w:pPr>
            <w:r w:rsidRPr="005B4CFE">
              <w:rPr>
                <w:sz w:val="18"/>
                <w:szCs w:val="18"/>
              </w:rPr>
              <w:t>7.</w:t>
            </w:r>
            <w:r w:rsidR="000F2D30">
              <w:rPr>
                <w:sz w:val="18"/>
                <w:szCs w:val="18"/>
              </w:rPr>
              <w:t>53</w:t>
            </w:r>
          </w:p>
        </w:tc>
        <w:tc>
          <w:tcPr>
            <w:tcW w:w="560" w:type="dxa"/>
            <w:shd w:val="clear" w:color="auto" w:fill="auto"/>
            <w:tcMar>
              <w:left w:w="29" w:type="dxa"/>
              <w:right w:w="29" w:type="dxa"/>
            </w:tcMar>
          </w:tcPr>
          <w:p w:rsidR="003A0DC1" w:rsidRPr="005B4CFE" w:rsidRDefault="00763349" w:rsidP="005B4CFE">
            <w:pPr>
              <w:tabs>
                <w:tab w:val="decimal" w:pos="308"/>
              </w:tabs>
              <w:rPr>
                <w:sz w:val="18"/>
                <w:szCs w:val="18"/>
              </w:rPr>
            </w:pPr>
            <w:r>
              <w:rPr>
                <w:sz w:val="18"/>
                <w:szCs w:val="18"/>
              </w:rPr>
              <w:t>30.2</w:t>
            </w:r>
          </w:p>
        </w:tc>
        <w:tc>
          <w:tcPr>
            <w:tcW w:w="970" w:type="dxa"/>
            <w:tcBorders>
              <w:right w:val="double" w:sz="4" w:space="0" w:color="auto"/>
            </w:tcBorders>
            <w:shd w:val="clear" w:color="auto" w:fill="auto"/>
            <w:tcMar>
              <w:left w:w="29" w:type="dxa"/>
              <w:right w:w="29" w:type="dxa"/>
            </w:tcMar>
          </w:tcPr>
          <w:p w:rsidR="003A0DC1" w:rsidRPr="005B4CFE" w:rsidRDefault="003A0DC1" w:rsidP="005B4CFE">
            <w:pPr>
              <w:tabs>
                <w:tab w:val="decimal" w:pos="451"/>
              </w:tabs>
              <w:rPr>
                <w:sz w:val="18"/>
                <w:szCs w:val="18"/>
              </w:rPr>
            </w:pPr>
            <w:r w:rsidRPr="005B4CFE">
              <w:rPr>
                <w:sz w:val="18"/>
                <w:szCs w:val="18"/>
              </w:rPr>
              <w:t>1</w:t>
            </w:r>
            <w:r w:rsidR="00763349">
              <w:rPr>
                <w:sz w:val="18"/>
                <w:szCs w:val="18"/>
              </w:rPr>
              <w:t>9</w:t>
            </w:r>
            <w:r w:rsidRPr="005B4CFE">
              <w:rPr>
                <w:sz w:val="18"/>
                <w:szCs w:val="18"/>
              </w:rPr>
              <w:t>.</w:t>
            </w:r>
            <w:r w:rsidR="00763349">
              <w:rPr>
                <w:sz w:val="18"/>
                <w:szCs w:val="18"/>
              </w:rPr>
              <w:t>8</w:t>
            </w:r>
          </w:p>
        </w:tc>
        <w:tc>
          <w:tcPr>
            <w:tcW w:w="744" w:type="dxa"/>
            <w:tcBorders>
              <w:left w:val="double" w:sz="4" w:space="0" w:color="auto"/>
            </w:tcBorders>
            <w:shd w:val="clear" w:color="auto" w:fill="auto"/>
            <w:tcMar>
              <w:left w:w="29" w:type="dxa"/>
              <w:right w:w="29" w:type="dxa"/>
            </w:tcMar>
          </w:tcPr>
          <w:p w:rsidR="003A0DC1" w:rsidRPr="005B4CFE" w:rsidRDefault="00FA08BA" w:rsidP="005B4CFE">
            <w:pPr>
              <w:tabs>
                <w:tab w:val="decimal" w:pos="343"/>
              </w:tabs>
              <w:rPr>
                <w:sz w:val="18"/>
                <w:szCs w:val="18"/>
              </w:rPr>
            </w:pPr>
            <w:r>
              <w:rPr>
                <w:sz w:val="18"/>
                <w:szCs w:val="18"/>
              </w:rPr>
              <w:t>9.70</w:t>
            </w:r>
          </w:p>
        </w:tc>
        <w:tc>
          <w:tcPr>
            <w:tcW w:w="567" w:type="dxa"/>
            <w:shd w:val="clear" w:color="auto" w:fill="auto"/>
            <w:tcMar>
              <w:left w:w="29" w:type="dxa"/>
              <w:right w:w="29" w:type="dxa"/>
            </w:tcMar>
          </w:tcPr>
          <w:p w:rsidR="003A0DC1" w:rsidRPr="005B4CFE" w:rsidRDefault="001641AB" w:rsidP="005B4CFE">
            <w:pPr>
              <w:tabs>
                <w:tab w:val="decimal" w:pos="275"/>
              </w:tabs>
              <w:rPr>
                <w:sz w:val="18"/>
                <w:szCs w:val="18"/>
              </w:rPr>
            </w:pPr>
            <w:r>
              <w:rPr>
                <w:sz w:val="18"/>
                <w:szCs w:val="18"/>
              </w:rPr>
              <w:t>12.0</w:t>
            </w:r>
          </w:p>
        </w:tc>
        <w:tc>
          <w:tcPr>
            <w:tcW w:w="787" w:type="dxa"/>
            <w:shd w:val="clear" w:color="auto" w:fill="auto"/>
            <w:tcMar>
              <w:left w:w="29" w:type="dxa"/>
              <w:right w:w="29" w:type="dxa"/>
            </w:tcMar>
          </w:tcPr>
          <w:p w:rsidR="003A0DC1" w:rsidRPr="005B4CFE" w:rsidRDefault="003A0DC1" w:rsidP="005B4CFE">
            <w:pPr>
              <w:tabs>
                <w:tab w:val="decimal" w:pos="343"/>
              </w:tabs>
              <w:rPr>
                <w:sz w:val="18"/>
                <w:szCs w:val="18"/>
              </w:rPr>
            </w:pPr>
            <w:r w:rsidRPr="005B4CFE">
              <w:rPr>
                <w:sz w:val="18"/>
                <w:szCs w:val="18"/>
              </w:rPr>
              <w:t>7.</w:t>
            </w:r>
            <w:r w:rsidR="00FA08BA">
              <w:rPr>
                <w:sz w:val="18"/>
                <w:szCs w:val="18"/>
              </w:rPr>
              <w:t>44</w:t>
            </w:r>
          </w:p>
        </w:tc>
        <w:tc>
          <w:tcPr>
            <w:tcW w:w="563" w:type="dxa"/>
            <w:shd w:val="clear" w:color="auto" w:fill="auto"/>
            <w:tcMar>
              <w:left w:w="29" w:type="dxa"/>
              <w:right w:w="29" w:type="dxa"/>
            </w:tcMar>
          </w:tcPr>
          <w:p w:rsidR="003A0DC1" w:rsidRPr="005B4CFE" w:rsidRDefault="001641AB" w:rsidP="005B4CFE">
            <w:pPr>
              <w:tabs>
                <w:tab w:val="decimal" w:pos="271"/>
              </w:tabs>
              <w:rPr>
                <w:sz w:val="18"/>
                <w:szCs w:val="18"/>
              </w:rPr>
            </w:pPr>
            <w:r>
              <w:rPr>
                <w:sz w:val="18"/>
                <w:szCs w:val="18"/>
              </w:rPr>
              <w:t>31</w:t>
            </w:r>
            <w:r w:rsidR="003A0DC1" w:rsidRPr="005B4CFE">
              <w:rPr>
                <w:sz w:val="18"/>
                <w:szCs w:val="18"/>
              </w:rPr>
              <w:t>.</w:t>
            </w:r>
            <w:r>
              <w:rPr>
                <w:sz w:val="18"/>
                <w:szCs w:val="18"/>
              </w:rPr>
              <w:t>0</w:t>
            </w:r>
          </w:p>
        </w:tc>
        <w:tc>
          <w:tcPr>
            <w:tcW w:w="1029" w:type="dxa"/>
            <w:tcBorders>
              <w:right w:val="double" w:sz="4" w:space="0" w:color="auto"/>
            </w:tcBorders>
            <w:shd w:val="clear" w:color="auto" w:fill="auto"/>
            <w:tcMar>
              <w:left w:w="29" w:type="dxa"/>
              <w:right w:w="29" w:type="dxa"/>
            </w:tcMar>
          </w:tcPr>
          <w:p w:rsidR="003A0DC1" w:rsidRPr="005B4CFE" w:rsidRDefault="001641AB" w:rsidP="005B4CFE">
            <w:pPr>
              <w:tabs>
                <w:tab w:val="decimal" w:pos="433"/>
              </w:tabs>
              <w:rPr>
                <w:sz w:val="18"/>
                <w:szCs w:val="18"/>
              </w:rPr>
            </w:pPr>
            <w:r>
              <w:rPr>
                <w:sz w:val="18"/>
                <w:szCs w:val="18"/>
              </w:rPr>
              <w:t>21</w:t>
            </w:r>
            <w:r w:rsidR="003A0DC1" w:rsidRPr="005B4CFE">
              <w:rPr>
                <w:sz w:val="18"/>
                <w:szCs w:val="18"/>
              </w:rPr>
              <w:t>.</w:t>
            </w:r>
            <w:r>
              <w:rPr>
                <w:sz w:val="18"/>
                <w:szCs w:val="18"/>
              </w:rPr>
              <w:t>4</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Car-Other</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1.10</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2.2</w:t>
            </w:r>
            <w:r w:rsidR="00B55129">
              <w:rPr>
                <w:sz w:val="18"/>
                <w:szCs w:val="18"/>
              </w:rPr>
              <w:t>0</w:t>
            </w:r>
          </w:p>
        </w:tc>
        <w:tc>
          <w:tcPr>
            <w:tcW w:w="629" w:type="dxa"/>
            <w:shd w:val="clear" w:color="auto" w:fill="auto"/>
            <w:tcMar>
              <w:left w:w="29" w:type="dxa"/>
              <w:right w:w="29" w:type="dxa"/>
            </w:tcMar>
          </w:tcPr>
          <w:p w:rsidR="003A0DC1" w:rsidRPr="005B4CFE" w:rsidRDefault="003A0DC1" w:rsidP="005B4CFE">
            <w:pPr>
              <w:tabs>
                <w:tab w:val="decimal" w:pos="330"/>
              </w:tabs>
              <w:rPr>
                <w:sz w:val="18"/>
                <w:szCs w:val="18"/>
              </w:rPr>
            </w:pPr>
            <w:r w:rsidRPr="005B4CFE">
              <w:rPr>
                <w:sz w:val="18"/>
                <w:szCs w:val="18"/>
              </w:rPr>
              <w:t>1</w:t>
            </w:r>
            <w:r w:rsidR="00C10783">
              <w:rPr>
                <w:sz w:val="18"/>
                <w:szCs w:val="18"/>
              </w:rPr>
              <w:t>00</w:t>
            </w:r>
            <w:r w:rsidRPr="005B4CFE">
              <w:rPr>
                <w:sz w:val="18"/>
                <w:szCs w:val="18"/>
              </w:rPr>
              <w:t>.0</w:t>
            </w:r>
          </w:p>
        </w:tc>
        <w:tc>
          <w:tcPr>
            <w:tcW w:w="818" w:type="dxa"/>
            <w:gridSpan w:val="2"/>
            <w:shd w:val="clear" w:color="auto" w:fill="auto"/>
            <w:tcMar>
              <w:left w:w="29" w:type="dxa"/>
              <w:right w:w="29" w:type="dxa"/>
            </w:tcMar>
          </w:tcPr>
          <w:p w:rsidR="003A0DC1" w:rsidRPr="005B4CFE" w:rsidRDefault="00B55129" w:rsidP="005B4CFE">
            <w:pPr>
              <w:tabs>
                <w:tab w:val="decimal" w:pos="309"/>
              </w:tabs>
              <w:rPr>
                <w:sz w:val="18"/>
                <w:szCs w:val="18"/>
              </w:rPr>
            </w:pPr>
            <w:r>
              <w:rPr>
                <w:sz w:val="18"/>
                <w:szCs w:val="18"/>
              </w:rPr>
              <w:t>2.25</w:t>
            </w:r>
          </w:p>
        </w:tc>
        <w:tc>
          <w:tcPr>
            <w:tcW w:w="623" w:type="dxa"/>
            <w:tcBorders>
              <w:right w:val="double" w:sz="4" w:space="0" w:color="auto"/>
            </w:tcBorders>
            <w:shd w:val="clear" w:color="auto" w:fill="auto"/>
            <w:tcMar>
              <w:left w:w="29" w:type="dxa"/>
              <w:right w:w="29" w:type="dxa"/>
            </w:tcMar>
          </w:tcPr>
          <w:p w:rsidR="003A0DC1" w:rsidRPr="005B4CFE" w:rsidRDefault="00C10783" w:rsidP="005B4CFE">
            <w:pPr>
              <w:tabs>
                <w:tab w:val="decimal" w:pos="249"/>
              </w:tabs>
              <w:rPr>
                <w:sz w:val="18"/>
                <w:szCs w:val="18"/>
              </w:rPr>
            </w:pPr>
            <w:r>
              <w:rPr>
                <w:sz w:val="18"/>
                <w:szCs w:val="18"/>
              </w:rPr>
              <w:t>100.5</w:t>
            </w:r>
          </w:p>
        </w:tc>
        <w:tc>
          <w:tcPr>
            <w:tcW w:w="626" w:type="dxa"/>
            <w:tcBorders>
              <w:lef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61"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9"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650"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63"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0"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970" w:type="dxa"/>
            <w:tcBorders>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44" w:type="dxa"/>
            <w:tcBorders>
              <w:lef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7"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87"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3"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1029" w:type="dxa"/>
            <w:tcBorders>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Van-SUV</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1.65</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2.</w:t>
            </w:r>
            <w:r w:rsidR="00B55129">
              <w:rPr>
                <w:sz w:val="18"/>
                <w:szCs w:val="18"/>
              </w:rPr>
              <w:t>41</w:t>
            </w:r>
          </w:p>
        </w:tc>
        <w:tc>
          <w:tcPr>
            <w:tcW w:w="629" w:type="dxa"/>
            <w:shd w:val="clear" w:color="auto" w:fill="auto"/>
            <w:tcMar>
              <w:left w:w="29" w:type="dxa"/>
              <w:right w:w="29" w:type="dxa"/>
            </w:tcMar>
          </w:tcPr>
          <w:p w:rsidR="003A0DC1" w:rsidRPr="005B4CFE" w:rsidRDefault="00C10783" w:rsidP="005B4CFE">
            <w:pPr>
              <w:tabs>
                <w:tab w:val="decimal" w:pos="330"/>
              </w:tabs>
              <w:rPr>
                <w:sz w:val="18"/>
                <w:szCs w:val="18"/>
              </w:rPr>
            </w:pPr>
            <w:r>
              <w:rPr>
                <w:sz w:val="18"/>
                <w:szCs w:val="18"/>
              </w:rPr>
              <w:t>46</w:t>
            </w:r>
            <w:r w:rsidR="003A0DC1" w:rsidRPr="005B4CFE">
              <w:rPr>
                <w:sz w:val="18"/>
                <w:szCs w:val="18"/>
              </w:rPr>
              <w:t>.</w:t>
            </w:r>
            <w:r>
              <w:rPr>
                <w:sz w:val="18"/>
                <w:szCs w:val="18"/>
              </w:rPr>
              <w:t>1</w:t>
            </w:r>
          </w:p>
        </w:tc>
        <w:tc>
          <w:tcPr>
            <w:tcW w:w="818" w:type="dxa"/>
            <w:gridSpan w:val="2"/>
            <w:shd w:val="clear" w:color="auto" w:fill="auto"/>
            <w:tcMar>
              <w:left w:w="29" w:type="dxa"/>
              <w:right w:w="29" w:type="dxa"/>
            </w:tcMar>
          </w:tcPr>
          <w:p w:rsidR="003A0DC1" w:rsidRPr="005B4CFE" w:rsidRDefault="003A0DC1" w:rsidP="005B4CFE">
            <w:pPr>
              <w:tabs>
                <w:tab w:val="decimal" w:pos="309"/>
              </w:tabs>
              <w:rPr>
                <w:sz w:val="18"/>
                <w:szCs w:val="18"/>
              </w:rPr>
            </w:pPr>
            <w:r w:rsidRPr="005B4CFE">
              <w:rPr>
                <w:sz w:val="18"/>
                <w:szCs w:val="18"/>
              </w:rPr>
              <w:t>2.</w:t>
            </w:r>
            <w:r w:rsidR="00B55129">
              <w:rPr>
                <w:sz w:val="18"/>
                <w:szCs w:val="18"/>
              </w:rPr>
              <w:t>48</w:t>
            </w:r>
          </w:p>
        </w:tc>
        <w:tc>
          <w:tcPr>
            <w:tcW w:w="623" w:type="dxa"/>
            <w:tcBorders>
              <w:right w:val="double" w:sz="4" w:space="0" w:color="auto"/>
            </w:tcBorders>
            <w:shd w:val="clear" w:color="auto" w:fill="auto"/>
            <w:tcMar>
              <w:left w:w="29" w:type="dxa"/>
              <w:right w:w="29" w:type="dxa"/>
            </w:tcMar>
          </w:tcPr>
          <w:p w:rsidR="003A0DC1" w:rsidRPr="005B4CFE" w:rsidRDefault="003A0DC1" w:rsidP="005B4CFE">
            <w:pPr>
              <w:tabs>
                <w:tab w:val="decimal" w:pos="249"/>
              </w:tabs>
              <w:rPr>
                <w:sz w:val="18"/>
                <w:szCs w:val="18"/>
              </w:rPr>
            </w:pPr>
            <w:r w:rsidRPr="005B4CFE">
              <w:rPr>
                <w:sz w:val="18"/>
                <w:szCs w:val="18"/>
              </w:rPr>
              <w:t>5</w:t>
            </w:r>
            <w:r w:rsidR="00C10783">
              <w:rPr>
                <w:sz w:val="18"/>
                <w:szCs w:val="18"/>
              </w:rPr>
              <w:t>0.3</w:t>
            </w:r>
          </w:p>
        </w:tc>
        <w:tc>
          <w:tcPr>
            <w:tcW w:w="626"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1</w:t>
            </w:r>
            <w:r w:rsidR="00763349">
              <w:rPr>
                <w:sz w:val="18"/>
                <w:szCs w:val="18"/>
              </w:rPr>
              <w:t>5.13</w:t>
            </w:r>
          </w:p>
        </w:tc>
        <w:tc>
          <w:tcPr>
            <w:tcW w:w="761" w:type="dxa"/>
            <w:shd w:val="clear" w:color="auto" w:fill="auto"/>
            <w:tcMar>
              <w:left w:w="29" w:type="dxa"/>
              <w:right w:w="29" w:type="dxa"/>
            </w:tcMar>
          </w:tcPr>
          <w:p w:rsidR="003A0DC1" w:rsidRPr="005B4CFE" w:rsidRDefault="0064115A" w:rsidP="005B4CFE">
            <w:pPr>
              <w:tabs>
                <w:tab w:val="decimal" w:pos="300"/>
              </w:tabs>
              <w:rPr>
                <w:sz w:val="18"/>
                <w:szCs w:val="18"/>
              </w:rPr>
            </w:pPr>
            <w:r>
              <w:rPr>
                <w:sz w:val="18"/>
                <w:szCs w:val="18"/>
              </w:rPr>
              <w:t>8</w:t>
            </w:r>
            <w:r w:rsidR="003A0DC1" w:rsidRPr="005B4CFE">
              <w:rPr>
                <w:sz w:val="18"/>
                <w:szCs w:val="18"/>
              </w:rPr>
              <w:t>.</w:t>
            </w:r>
            <w:r>
              <w:rPr>
                <w:sz w:val="18"/>
                <w:szCs w:val="18"/>
              </w:rPr>
              <w:t>89</w:t>
            </w:r>
          </w:p>
        </w:tc>
        <w:tc>
          <w:tcPr>
            <w:tcW w:w="569" w:type="dxa"/>
            <w:shd w:val="clear" w:color="auto" w:fill="auto"/>
            <w:tcMar>
              <w:left w:w="29" w:type="dxa"/>
              <w:right w:w="29" w:type="dxa"/>
            </w:tcMar>
          </w:tcPr>
          <w:p w:rsidR="003A0DC1" w:rsidRPr="005B4CFE" w:rsidRDefault="00220BB0" w:rsidP="005B4CFE">
            <w:pPr>
              <w:tabs>
                <w:tab w:val="decimal" w:pos="300"/>
              </w:tabs>
              <w:rPr>
                <w:sz w:val="18"/>
                <w:szCs w:val="18"/>
              </w:rPr>
            </w:pPr>
            <w:r>
              <w:rPr>
                <w:sz w:val="18"/>
                <w:szCs w:val="18"/>
              </w:rPr>
              <w:t>41</w:t>
            </w:r>
            <w:r w:rsidR="00763349">
              <w:rPr>
                <w:sz w:val="18"/>
                <w:szCs w:val="18"/>
              </w:rPr>
              <w:t>.</w:t>
            </w:r>
            <w:r>
              <w:rPr>
                <w:sz w:val="18"/>
                <w:szCs w:val="18"/>
              </w:rPr>
              <w:t>2</w:t>
            </w:r>
          </w:p>
        </w:tc>
        <w:tc>
          <w:tcPr>
            <w:tcW w:w="650" w:type="dxa"/>
            <w:shd w:val="clear" w:color="auto" w:fill="auto"/>
            <w:tcMar>
              <w:left w:w="29" w:type="dxa"/>
              <w:right w:w="29" w:type="dxa"/>
            </w:tcMar>
          </w:tcPr>
          <w:p w:rsidR="003A0DC1" w:rsidRPr="005B4CFE" w:rsidRDefault="003A0DC1" w:rsidP="005B4CFE">
            <w:pPr>
              <w:tabs>
                <w:tab w:val="decimal" w:pos="262"/>
              </w:tabs>
              <w:rPr>
                <w:sz w:val="18"/>
                <w:szCs w:val="18"/>
              </w:rPr>
            </w:pPr>
            <w:r w:rsidRPr="005B4CFE">
              <w:rPr>
                <w:sz w:val="18"/>
                <w:szCs w:val="18"/>
              </w:rPr>
              <w:t>12.33</w:t>
            </w:r>
          </w:p>
        </w:tc>
        <w:tc>
          <w:tcPr>
            <w:tcW w:w="763" w:type="dxa"/>
            <w:shd w:val="clear" w:color="auto" w:fill="auto"/>
            <w:tcMar>
              <w:left w:w="29" w:type="dxa"/>
              <w:right w:w="29" w:type="dxa"/>
            </w:tcMar>
          </w:tcPr>
          <w:p w:rsidR="003A0DC1" w:rsidRPr="005B4CFE" w:rsidRDefault="0064115A" w:rsidP="005B4CFE">
            <w:pPr>
              <w:tabs>
                <w:tab w:val="decimal" w:pos="300"/>
              </w:tabs>
              <w:rPr>
                <w:sz w:val="18"/>
                <w:szCs w:val="18"/>
              </w:rPr>
            </w:pPr>
            <w:r>
              <w:rPr>
                <w:sz w:val="18"/>
                <w:szCs w:val="18"/>
              </w:rPr>
              <w:t>10</w:t>
            </w:r>
            <w:r w:rsidR="003A0DC1" w:rsidRPr="005B4CFE">
              <w:rPr>
                <w:sz w:val="18"/>
                <w:szCs w:val="18"/>
              </w:rPr>
              <w:t>.</w:t>
            </w:r>
            <w:r>
              <w:rPr>
                <w:sz w:val="18"/>
                <w:szCs w:val="18"/>
              </w:rPr>
              <w:t>16</w:t>
            </w:r>
          </w:p>
        </w:tc>
        <w:tc>
          <w:tcPr>
            <w:tcW w:w="560" w:type="dxa"/>
            <w:shd w:val="clear" w:color="auto" w:fill="auto"/>
            <w:tcMar>
              <w:left w:w="29" w:type="dxa"/>
              <w:right w:w="29" w:type="dxa"/>
            </w:tcMar>
          </w:tcPr>
          <w:p w:rsidR="003A0DC1" w:rsidRPr="005B4CFE" w:rsidRDefault="00220BB0" w:rsidP="005B4CFE">
            <w:pPr>
              <w:tabs>
                <w:tab w:val="decimal" w:pos="300"/>
              </w:tabs>
              <w:rPr>
                <w:sz w:val="18"/>
                <w:szCs w:val="18"/>
              </w:rPr>
            </w:pPr>
            <w:r>
              <w:rPr>
                <w:sz w:val="18"/>
                <w:szCs w:val="18"/>
              </w:rPr>
              <w:t>17</w:t>
            </w:r>
            <w:r w:rsidR="00763349">
              <w:rPr>
                <w:sz w:val="18"/>
                <w:szCs w:val="18"/>
              </w:rPr>
              <w:t>.</w:t>
            </w:r>
            <w:r>
              <w:rPr>
                <w:sz w:val="18"/>
                <w:szCs w:val="18"/>
              </w:rPr>
              <w:t>6</w:t>
            </w:r>
          </w:p>
        </w:tc>
        <w:tc>
          <w:tcPr>
            <w:tcW w:w="970" w:type="dxa"/>
            <w:tcBorders>
              <w:right w:val="double" w:sz="4" w:space="0" w:color="auto"/>
            </w:tcBorders>
            <w:shd w:val="clear" w:color="auto" w:fill="auto"/>
            <w:tcMar>
              <w:left w:w="29" w:type="dxa"/>
              <w:right w:w="29" w:type="dxa"/>
            </w:tcMar>
          </w:tcPr>
          <w:p w:rsidR="003A0DC1" w:rsidRPr="005B4CFE" w:rsidRDefault="00220BB0" w:rsidP="005B4CFE">
            <w:pPr>
              <w:tabs>
                <w:tab w:val="decimal" w:pos="451"/>
              </w:tabs>
              <w:rPr>
                <w:sz w:val="18"/>
                <w:szCs w:val="18"/>
              </w:rPr>
            </w:pPr>
            <w:r>
              <w:rPr>
                <w:sz w:val="18"/>
                <w:szCs w:val="18"/>
              </w:rPr>
              <w:t>30.6</w:t>
            </w:r>
          </w:p>
        </w:tc>
        <w:tc>
          <w:tcPr>
            <w:tcW w:w="744" w:type="dxa"/>
            <w:tcBorders>
              <w:left w:val="double" w:sz="4" w:space="0" w:color="auto"/>
            </w:tcBorders>
            <w:shd w:val="clear" w:color="auto" w:fill="auto"/>
            <w:tcMar>
              <w:left w:w="29" w:type="dxa"/>
              <w:right w:w="29" w:type="dxa"/>
            </w:tcMar>
          </w:tcPr>
          <w:p w:rsidR="003A0DC1" w:rsidRPr="005B4CFE" w:rsidRDefault="003A0DC1" w:rsidP="005B4CFE">
            <w:pPr>
              <w:tabs>
                <w:tab w:val="decimal" w:pos="326"/>
              </w:tabs>
              <w:rPr>
                <w:sz w:val="18"/>
                <w:szCs w:val="18"/>
              </w:rPr>
            </w:pPr>
            <w:r w:rsidRPr="005B4CFE">
              <w:rPr>
                <w:sz w:val="18"/>
                <w:szCs w:val="18"/>
              </w:rPr>
              <w:t>1</w:t>
            </w:r>
            <w:r w:rsidR="00FA08BA">
              <w:rPr>
                <w:sz w:val="18"/>
                <w:szCs w:val="18"/>
              </w:rPr>
              <w:t>1.90</w:t>
            </w:r>
          </w:p>
        </w:tc>
        <w:tc>
          <w:tcPr>
            <w:tcW w:w="567" w:type="dxa"/>
            <w:shd w:val="clear" w:color="auto" w:fill="auto"/>
            <w:tcMar>
              <w:left w:w="29" w:type="dxa"/>
              <w:right w:w="29" w:type="dxa"/>
            </w:tcMar>
          </w:tcPr>
          <w:p w:rsidR="003A0DC1" w:rsidRPr="005B4CFE" w:rsidRDefault="001641AB" w:rsidP="005B4CFE">
            <w:pPr>
              <w:tabs>
                <w:tab w:val="decimal" w:pos="275"/>
              </w:tabs>
              <w:rPr>
                <w:sz w:val="18"/>
                <w:szCs w:val="18"/>
              </w:rPr>
            </w:pPr>
            <w:r>
              <w:rPr>
                <w:sz w:val="18"/>
                <w:szCs w:val="18"/>
              </w:rPr>
              <w:t>21.3</w:t>
            </w:r>
          </w:p>
        </w:tc>
        <w:tc>
          <w:tcPr>
            <w:tcW w:w="787" w:type="dxa"/>
            <w:shd w:val="clear" w:color="auto" w:fill="auto"/>
            <w:tcMar>
              <w:left w:w="29" w:type="dxa"/>
              <w:right w:w="29" w:type="dxa"/>
            </w:tcMar>
          </w:tcPr>
          <w:p w:rsidR="003A0DC1" w:rsidRPr="005B4CFE" w:rsidRDefault="00FA08BA" w:rsidP="005B4CFE">
            <w:pPr>
              <w:tabs>
                <w:tab w:val="decimal" w:pos="326"/>
              </w:tabs>
              <w:rPr>
                <w:sz w:val="18"/>
                <w:szCs w:val="18"/>
              </w:rPr>
            </w:pPr>
            <w:r>
              <w:rPr>
                <w:sz w:val="18"/>
                <w:szCs w:val="18"/>
              </w:rPr>
              <w:t>8</w:t>
            </w:r>
            <w:r w:rsidR="003A0DC1" w:rsidRPr="005B4CFE">
              <w:rPr>
                <w:sz w:val="18"/>
                <w:szCs w:val="18"/>
              </w:rPr>
              <w:t>.</w:t>
            </w:r>
            <w:r>
              <w:rPr>
                <w:sz w:val="18"/>
                <w:szCs w:val="18"/>
              </w:rPr>
              <w:t>81</w:t>
            </w:r>
          </w:p>
        </w:tc>
        <w:tc>
          <w:tcPr>
            <w:tcW w:w="563" w:type="dxa"/>
            <w:shd w:val="clear" w:color="auto" w:fill="auto"/>
            <w:tcMar>
              <w:left w:w="29" w:type="dxa"/>
              <w:right w:w="29" w:type="dxa"/>
            </w:tcMar>
          </w:tcPr>
          <w:p w:rsidR="003A0DC1" w:rsidRPr="005B4CFE" w:rsidRDefault="001641AB" w:rsidP="005B4CFE">
            <w:pPr>
              <w:tabs>
                <w:tab w:val="decimal" w:pos="271"/>
              </w:tabs>
              <w:rPr>
                <w:sz w:val="18"/>
                <w:szCs w:val="18"/>
              </w:rPr>
            </w:pPr>
            <w:r>
              <w:rPr>
                <w:sz w:val="18"/>
                <w:szCs w:val="18"/>
              </w:rPr>
              <w:t>28</w:t>
            </w:r>
            <w:r w:rsidR="003A0DC1" w:rsidRPr="005B4CFE">
              <w:rPr>
                <w:sz w:val="18"/>
                <w:szCs w:val="18"/>
              </w:rPr>
              <w:t>.</w:t>
            </w:r>
            <w:r>
              <w:rPr>
                <w:sz w:val="18"/>
                <w:szCs w:val="18"/>
              </w:rPr>
              <w:t>5</w:t>
            </w:r>
          </w:p>
        </w:tc>
        <w:tc>
          <w:tcPr>
            <w:tcW w:w="1029" w:type="dxa"/>
            <w:tcBorders>
              <w:right w:val="double" w:sz="4" w:space="0" w:color="auto"/>
            </w:tcBorders>
            <w:shd w:val="clear" w:color="auto" w:fill="auto"/>
            <w:tcMar>
              <w:left w:w="29" w:type="dxa"/>
              <w:right w:w="29" w:type="dxa"/>
            </w:tcMar>
          </w:tcPr>
          <w:p w:rsidR="003A0DC1" w:rsidRPr="005B4CFE" w:rsidRDefault="001641AB" w:rsidP="005B4CFE">
            <w:pPr>
              <w:tabs>
                <w:tab w:val="decimal" w:pos="433"/>
              </w:tabs>
              <w:rPr>
                <w:sz w:val="18"/>
                <w:szCs w:val="18"/>
              </w:rPr>
            </w:pPr>
            <w:r>
              <w:rPr>
                <w:sz w:val="18"/>
                <w:szCs w:val="18"/>
              </w:rPr>
              <w:t>24.6</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Van-Pickup</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3.30</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2.</w:t>
            </w:r>
            <w:r w:rsidR="00B55129">
              <w:rPr>
                <w:sz w:val="18"/>
                <w:szCs w:val="18"/>
              </w:rPr>
              <w:t>64</w:t>
            </w:r>
          </w:p>
        </w:tc>
        <w:tc>
          <w:tcPr>
            <w:tcW w:w="629" w:type="dxa"/>
            <w:shd w:val="clear" w:color="auto" w:fill="auto"/>
            <w:tcMar>
              <w:left w:w="29" w:type="dxa"/>
              <w:right w:w="29" w:type="dxa"/>
            </w:tcMar>
          </w:tcPr>
          <w:p w:rsidR="003A0DC1" w:rsidRPr="005B4CFE" w:rsidRDefault="00C10783" w:rsidP="005B4CFE">
            <w:pPr>
              <w:tabs>
                <w:tab w:val="decimal" w:pos="330"/>
              </w:tabs>
              <w:rPr>
                <w:sz w:val="18"/>
                <w:szCs w:val="18"/>
              </w:rPr>
            </w:pPr>
            <w:r>
              <w:rPr>
                <w:sz w:val="18"/>
                <w:szCs w:val="18"/>
              </w:rPr>
              <w:t>20</w:t>
            </w:r>
            <w:r w:rsidR="003A0DC1" w:rsidRPr="005B4CFE">
              <w:rPr>
                <w:sz w:val="18"/>
                <w:szCs w:val="18"/>
              </w:rPr>
              <w:t>.</w:t>
            </w:r>
            <w:r>
              <w:rPr>
                <w:sz w:val="18"/>
                <w:szCs w:val="18"/>
              </w:rPr>
              <w:t>0</w:t>
            </w:r>
          </w:p>
        </w:tc>
        <w:tc>
          <w:tcPr>
            <w:tcW w:w="818" w:type="dxa"/>
            <w:gridSpan w:val="2"/>
            <w:shd w:val="clear" w:color="auto" w:fill="auto"/>
            <w:tcMar>
              <w:left w:w="29" w:type="dxa"/>
              <w:right w:w="29" w:type="dxa"/>
            </w:tcMar>
          </w:tcPr>
          <w:p w:rsidR="003A0DC1" w:rsidRPr="005B4CFE" w:rsidRDefault="003A0DC1" w:rsidP="005B4CFE">
            <w:pPr>
              <w:tabs>
                <w:tab w:val="decimal" w:pos="309"/>
              </w:tabs>
              <w:rPr>
                <w:sz w:val="18"/>
                <w:szCs w:val="18"/>
              </w:rPr>
            </w:pPr>
            <w:r w:rsidRPr="005B4CFE">
              <w:rPr>
                <w:sz w:val="18"/>
                <w:szCs w:val="18"/>
              </w:rPr>
              <w:t>2.4</w:t>
            </w:r>
            <w:r w:rsidR="00B55129">
              <w:rPr>
                <w:sz w:val="18"/>
                <w:szCs w:val="18"/>
              </w:rPr>
              <w:t>9</w:t>
            </w:r>
          </w:p>
        </w:tc>
        <w:tc>
          <w:tcPr>
            <w:tcW w:w="623" w:type="dxa"/>
            <w:tcBorders>
              <w:right w:val="double" w:sz="4" w:space="0" w:color="auto"/>
            </w:tcBorders>
            <w:shd w:val="clear" w:color="auto" w:fill="auto"/>
            <w:tcMar>
              <w:left w:w="29" w:type="dxa"/>
              <w:right w:w="29" w:type="dxa"/>
            </w:tcMar>
          </w:tcPr>
          <w:p w:rsidR="003A0DC1" w:rsidRPr="005B4CFE" w:rsidRDefault="003A0DC1" w:rsidP="005B4CFE">
            <w:pPr>
              <w:tabs>
                <w:tab w:val="decimal" w:pos="249"/>
              </w:tabs>
              <w:rPr>
                <w:sz w:val="18"/>
                <w:szCs w:val="18"/>
              </w:rPr>
            </w:pPr>
            <w:r w:rsidRPr="005B4CFE">
              <w:rPr>
                <w:sz w:val="18"/>
                <w:szCs w:val="18"/>
              </w:rPr>
              <w:t>24.</w:t>
            </w:r>
            <w:r w:rsidR="00C10783">
              <w:rPr>
                <w:sz w:val="18"/>
                <w:szCs w:val="18"/>
              </w:rPr>
              <w:t>5</w:t>
            </w:r>
          </w:p>
        </w:tc>
        <w:tc>
          <w:tcPr>
            <w:tcW w:w="626"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9.88</w:t>
            </w:r>
          </w:p>
        </w:tc>
        <w:tc>
          <w:tcPr>
            <w:tcW w:w="761" w:type="dxa"/>
            <w:shd w:val="clear" w:color="auto" w:fill="auto"/>
            <w:tcMar>
              <w:left w:w="29" w:type="dxa"/>
              <w:right w:w="29" w:type="dxa"/>
            </w:tcMar>
          </w:tcPr>
          <w:p w:rsidR="003A0DC1" w:rsidRPr="005B4CFE" w:rsidRDefault="003A0DC1" w:rsidP="005B4CFE">
            <w:pPr>
              <w:tabs>
                <w:tab w:val="decimal" w:pos="300"/>
              </w:tabs>
              <w:rPr>
                <w:sz w:val="18"/>
                <w:szCs w:val="18"/>
              </w:rPr>
            </w:pPr>
            <w:r w:rsidRPr="005B4CFE">
              <w:rPr>
                <w:sz w:val="18"/>
                <w:szCs w:val="18"/>
              </w:rPr>
              <w:t>1</w:t>
            </w:r>
            <w:r w:rsidR="00220BB0">
              <w:rPr>
                <w:sz w:val="18"/>
                <w:szCs w:val="18"/>
              </w:rPr>
              <w:t>0.27</w:t>
            </w:r>
          </w:p>
        </w:tc>
        <w:tc>
          <w:tcPr>
            <w:tcW w:w="569" w:type="dxa"/>
            <w:shd w:val="clear" w:color="auto" w:fill="auto"/>
            <w:tcMar>
              <w:left w:w="29" w:type="dxa"/>
              <w:right w:w="29" w:type="dxa"/>
            </w:tcMar>
          </w:tcPr>
          <w:p w:rsidR="003A0DC1" w:rsidRPr="005B4CFE" w:rsidRDefault="00220BB0" w:rsidP="005B4CFE">
            <w:pPr>
              <w:tabs>
                <w:tab w:val="decimal" w:pos="300"/>
              </w:tabs>
              <w:rPr>
                <w:sz w:val="18"/>
                <w:szCs w:val="18"/>
              </w:rPr>
            </w:pPr>
            <w:r>
              <w:rPr>
                <w:sz w:val="18"/>
                <w:szCs w:val="18"/>
              </w:rPr>
              <w:t>3.9</w:t>
            </w:r>
          </w:p>
        </w:tc>
        <w:tc>
          <w:tcPr>
            <w:tcW w:w="650" w:type="dxa"/>
            <w:shd w:val="clear" w:color="auto" w:fill="auto"/>
            <w:tcMar>
              <w:left w:w="29" w:type="dxa"/>
              <w:right w:w="29" w:type="dxa"/>
            </w:tcMar>
          </w:tcPr>
          <w:p w:rsidR="003A0DC1" w:rsidRPr="005B4CFE" w:rsidRDefault="003A0DC1" w:rsidP="005B4CFE">
            <w:pPr>
              <w:tabs>
                <w:tab w:val="decimal" w:pos="262"/>
              </w:tabs>
              <w:rPr>
                <w:sz w:val="18"/>
                <w:szCs w:val="18"/>
              </w:rPr>
            </w:pPr>
            <w:r w:rsidRPr="005B4CFE">
              <w:rPr>
                <w:sz w:val="18"/>
                <w:szCs w:val="18"/>
              </w:rPr>
              <w:t>4.30</w:t>
            </w:r>
          </w:p>
        </w:tc>
        <w:tc>
          <w:tcPr>
            <w:tcW w:w="763" w:type="dxa"/>
            <w:shd w:val="clear" w:color="auto" w:fill="auto"/>
            <w:tcMar>
              <w:left w:w="29" w:type="dxa"/>
              <w:right w:w="29" w:type="dxa"/>
            </w:tcMar>
          </w:tcPr>
          <w:p w:rsidR="003A0DC1" w:rsidRPr="005B4CFE" w:rsidRDefault="003A0DC1" w:rsidP="005B4CFE">
            <w:pPr>
              <w:tabs>
                <w:tab w:val="decimal" w:pos="300"/>
              </w:tabs>
              <w:rPr>
                <w:sz w:val="18"/>
                <w:szCs w:val="18"/>
              </w:rPr>
            </w:pPr>
            <w:r w:rsidRPr="005B4CFE">
              <w:rPr>
                <w:sz w:val="18"/>
                <w:szCs w:val="18"/>
              </w:rPr>
              <w:t>8</w:t>
            </w:r>
            <w:r w:rsidR="00220BB0">
              <w:rPr>
                <w:sz w:val="18"/>
                <w:szCs w:val="18"/>
              </w:rPr>
              <w:t>.45</w:t>
            </w:r>
          </w:p>
        </w:tc>
        <w:tc>
          <w:tcPr>
            <w:tcW w:w="560" w:type="dxa"/>
            <w:shd w:val="clear" w:color="auto" w:fill="auto"/>
            <w:tcMar>
              <w:left w:w="29" w:type="dxa"/>
              <w:right w:w="29" w:type="dxa"/>
            </w:tcMar>
          </w:tcPr>
          <w:p w:rsidR="003A0DC1" w:rsidRPr="005B4CFE" w:rsidRDefault="00220BB0" w:rsidP="005B4CFE">
            <w:pPr>
              <w:tabs>
                <w:tab w:val="decimal" w:pos="300"/>
              </w:tabs>
              <w:rPr>
                <w:sz w:val="18"/>
                <w:szCs w:val="18"/>
              </w:rPr>
            </w:pPr>
            <w:r>
              <w:rPr>
                <w:sz w:val="18"/>
                <w:szCs w:val="18"/>
              </w:rPr>
              <w:t>96.5</w:t>
            </w:r>
          </w:p>
        </w:tc>
        <w:tc>
          <w:tcPr>
            <w:tcW w:w="970" w:type="dxa"/>
            <w:tcBorders>
              <w:right w:val="double" w:sz="4" w:space="0" w:color="auto"/>
            </w:tcBorders>
            <w:shd w:val="clear" w:color="auto" w:fill="auto"/>
            <w:tcMar>
              <w:left w:w="29" w:type="dxa"/>
              <w:right w:w="29" w:type="dxa"/>
            </w:tcMar>
          </w:tcPr>
          <w:p w:rsidR="003A0DC1" w:rsidRPr="005B4CFE" w:rsidRDefault="003A0DC1" w:rsidP="005B4CFE">
            <w:pPr>
              <w:tabs>
                <w:tab w:val="decimal" w:pos="451"/>
              </w:tabs>
              <w:rPr>
                <w:sz w:val="18"/>
                <w:szCs w:val="18"/>
              </w:rPr>
            </w:pPr>
            <w:r w:rsidRPr="005B4CFE">
              <w:rPr>
                <w:sz w:val="18"/>
                <w:szCs w:val="18"/>
              </w:rPr>
              <w:t>3</w:t>
            </w:r>
            <w:r w:rsidR="00220BB0">
              <w:rPr>
                <w:sz w:val="18"/>
                <w:szCs w:val="18"/>
              </w:rPr>
              <w:t>2.0</w:t>
            </w:r>
          </w:p>
        </w:tc>
        <w:tc>
          <w:tcPr>
            <w:tcW w:w="744" w:type="dxa"/>
            <w:tcBorders>
              <w:left w:val="double" w:sz="4" w:space="0" w:color="auto"/>
            </w:tcBorders>
            <w:shd w:val="clear" w:color="auto" w:fill="auto"/>
            <w:tcMar>
              <w:left w:w="29" w:type="dxa"/>
              <w:right w:w="29" w:type="dxa"/>
            </w:tcMar>
          </w:tcPr>
          <w:p w:rsidR="003A0DC1" w:rsidRPr="005B4CFE" w:rsidRDefault="003A0DC1" w:rsidP="005B4CFE">
            <w:pPr>
              <w:tabs>
                <w:tab w:val="decimal" w:pos="326"/>
              </w:tabs>
              <w:rPr>
                <w:sz w:val="18"/>
                <w:szCs w:val="18"/>
              </w:rPr>
            </w:pPr>
            <w:r w:rsidRPr="005B4CFE">
              <w:rPr>
                <w:sz w:val="18"/>
                <w:szCs w:val="18"/>
              </w:rPr>
              <w:t>1</w:t>
            </w:r>
            <w:r w:rsidR="00FA08BA">
              <w:rPr>
                <w:sz w:val="18"/>
                <w:szCs w:val="18"/>
              </w:rPr>
              <w:t>1.27</w:t>
            </w:r>
          </w:p>
        </w:tc>
        <w:tc>
          <w:tcPr>
            <w:tcW w:w="567" w:type="dxa"/>
            <w:shd w:val="clear" w:color="auto" w:fill="auto"/>
            <w:tcMar>
              <w:left w:w="29" w:type="dxa"/>
              <w:right w:w="29" w:type="dxa"/>
            </w:tcMar>
          </w:tcPr>
          <w:p w:rsidR="003A0DC1" w:rsidRPr="005B4CFE" w:rsidRDefault="001641AB" w:rsidP="005B4CFE">
            <w:pPr>
              <w:tabs>
                <w:tab w:val="decimal" w:pos="275"/>
              </w:tabs>
              <w:rPr>
                <w:sz w:val="18"/>
                <w:szCs w:val="18"/>
              </w:rPr>
            </w:pPr>
            <w:r>
              <w:rPr>
                <w:sz w:val="18"/>
                <w:szCs w:val="18"/>
              </w:rPr>
              <w:t>14.</w:t>
            </w:r>
            <w:r w:rsidR="003A0DC1" w:rsidRPr="005B4CFE">
              <w:rPr>
                <w:sz w:val="18"/>
                <w:szCs w:val="18"/>
              </w:rPr>
              <w:t>0</w:t>
            </w:r>
          </w:p>
        </w:tc>
        <w:tc>
          <w:tcPr>
            <w:tcW w:w="787" w:type="dxa"/>
            <w:shd w:val="clear" w:color="auto" w:fill="auto"/>
            <w:tcMar>
              <w:left w:w="29" w:type="dxa"/>
              <w:right w:w="29" w:type="dxa"/>
            </w:tcMar>
          </w:tcPr>
          <w:p w:rsidR="003A0DC1" w:rsidRPr="005B4CFE" w:rsidRDefault="003A0DC1" w:rsidP="005B4CFE">
            <w:pPr>
              <w:tabs>
                <w:tab w:val="decimal" w:pos="326"/>
              </w:tabs>
              <w:rPr>
                <w:sz w:val="18"/>
                <w:szCs w:val="18"/>
              </w:rPr>
            </w:pPr>
            <w:r w:rsidRPr="005B4CFE">
              <w:rPr>
                <w:sz w:val="18"/>
                <w:szCs w:val="18"/>
              </w:rPr>
              <w:t>8.</w:t>
            </w:r>
            <w:r w:rsidR="00FA08BA">
              <w:rPr>
                <w:sz w:val="18"/>
                <w:szCs w:val="18"/>
              </w:rPr>
              <w:t>03</w:t>
            </w:r>
          </w:p>
        </w:tc>
        <w:tc>
          <w:tcPr>
            <w:tcW w:w="563" w:type="dxa"/>
            <w:shd w:val="clear" w:color="auto" w:fill="auto"/>
            <w:tcMar>
              <w:left w:w="29" w:type="dxa"/>
              <w:right w:w="29" w:type="dxa"/>
            </w:tcMar>
          </w:tcPr>
          <w:p w:rsidR="003A0DC1" w:rsidRPr="005B4CFE" w:rsidRDefault="001641AB" w:rsidP="005B4CFE">
            <w:pPr>
              <w:tabs>
                <w:tab w:val="decimal" w:pos="271"/>
              </w:tabs>
              <w:rPr>
                <w:sz w:val="18"/>
                <w:szCs w:val="18"/>
              </w:rPr>
            </w:pPr>
            <w:r>
              <w:rPr>
                <w:sz w:val="18"/>
                <w:szCs w:val="18"/>
              </w:rPr>
              <w:t>86</w:t>
            </w:r>
            <w:r w:rsidR="003A0DC1" w:rsidRPr="005B4CFE">
              <w:rPr>
                <w:sz w:val="18"/>
                <w:szCs w:val="18"/>
              </w:rPr>
              <w:t>.</w:t>
            </w:r>
            <w:r>
              <w:rPr>
                <w:sz w:val="18"/>
                <w:szCs w:val="18"/>
              </w:rPr>
              <w:t>7</w:t>
            </w:r>
          </w:p>
        </w:tc>
        <w:tc>
          <w:tcPr>
            <w:tcW w:w="1029" w:type="dxa"/>
            <w:tcBorders>
              <w:right w:val="double" w:sz="4" w:space="0" w:color="auto"/>
            </w:tcBorders>
            <w:shd w:val="clear" w:color="auto" w:fill="auto"/>
            <w:tcMar>
              <w:left w:w="29" w:type="dxa"/>
              <w:right w:w="29" w:type="dxa"/>
            </w:tcMar>
          </w:tcPr>
          <w:p w:rsidR="003A0DC1" w:rsidRPr="005B4CFE" w:rsidRDefault="003A0DC1" w:rsidP="005B4CFE">
            <w:pPr>
              <w:tabs>
                <w:tab w:val="decimal" w:pos="433"/>
              </w:tabs>
              <w:rPr>
                <w:sz w:val="18"/>
                <w:szCs w:val="18"/>
              </w:rPr>
            </w:pPr>
            <w:r w:rsidRPr="005B4CFE">
              <w:rPr>
                <w:sz w:val="18"/>
                <w:szCs w:val="18"/>
              </w:rPr>
              <w:t>3</w:t>
            </w:r>
            <w:r w:rsidR="001641AB">
              <w:rPr>
                <w:sz w:val="18"/>
                <w:szCs w:val="18"/>
              </w:rPr>
              <w:t>6</w:t>
            </w:r>
            <w:r w:rsidRPr="005B4CFE">
              <w:rPr>
                <w:sz w:val="18"/>
                <w:szCs w:val="18"/>
              </w:rPr>
              <w:t>.</w:t>
            </w:r>
            <w:r w:rsidR="001641AB">
              <w:rPr>
                <w:sz w:val="18"/>
                <w:szCs w:val="18"/>
              </w:rPr>
              <w:t>1</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Van-Other</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0.00</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0.</w:t>
            </w:r>
            <w:r w:rsidR="00B55129">
              <w:rPr>
                <w:sz w:val="18"/>
                <w:szCs w:val="18"/>
              </w:rPr>
              <w:t>4</w:t>
            </w:r>
            <w:r w:rsidRPr="005B4CFE">
              <w:rPr>
                <w:sz w:val="18"/>
                <w:szCs w:val="18"/>
              </w:rPr>
              <w:t>0</w:t>
            </w:r>
          </w:p>
        </w:tc>
        <w:tc>
          <w:tcPr>
            <w:tcW w:w="629"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softHyphen/>
              <w:t>–</w:t>
            </w:r>
          </w:p>
        </w:tc>
        <w:tc>
          <w:tcPr>
            <w:tcW w:w="818" w:type="dxa"/>
            <w:gridSpan w:val="2"/>
            <w:shd w:val="clear" w:color="auto" w:fill="auto"/>
            <w:tcMar>
              <w:left w:w="29" w:type="dxa"/>
              <w:right w:w="29" w:type="dxa"/>
            </w:tcMar>
          </w:tcPr>
          <w:p w:rsidR="003A0DC1" w:rsidRPr="005B4CFE" w:rsidRDefault="003A0DC1" w:rsidP="005B4CFE">
            <w:pPr>
              <w:tabs>
                <w:tab w:val="decimal" w:pos="309"/>
              </w:tabs>
              <w:rPr>
                <w:sz w:val="18"/>
                <w:szCs w:val="18"/>
              </w:rPr>
            </w:pPr>
            <w:r w:rsidRPr="005B4CFE">
              <w:rPr>
                <w:sz w:val="18"/>
                <w:szCs w:val="18"/>
              </w:rPr>
              <w:t>0.</w:t>
            </w:r>
            <w:r w:rsidR="00B55129">
              <w:rPr>
                <w:sz w:val="18"/>
                <w:szCs w:val="18"/>
              </w:rPr>
              <w:t>4</w:t>
            </w:r>
            <w:r w:rsidRPr="005B4CFE">
              <w:rPr>
                <w:sz w:val="18"/>
                <w:szCs w:val="18"/>
              </w:rPr>
              <w:t>0</w:t>
            </w:r>
          </w:p>
        </w:tc>
        <w:tc>
          <w:tcPr>
            <w:tcW w:w="623" w:type="dxa"/>
            <w:tcBorders>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626" w:type="dxa"/>
            <w:tcBorders>
              <w:lef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61"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9"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650"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63"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0"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970" w:type="dxa"/>
            <w:tcBorders>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44" w:type="dxa"/>
            <w:tcBorders>
              <w:lef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7"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87"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3"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1029" w:type="dxa"/>
            <w:tcBorders>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SUV-Pickup</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25.80</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17.</w:t>
            </w:r>
            <w:r w:rsidR="000F2D30">
              <w:rPr>
                <w:sz w:val="18"/>
                <w:szCs w:val="18"/>
              </w:rPr>
              <w:t>29</w:t>
            </w:r>
          </w:p>
        </w:tc>
        <w:tc>
          <w:tcPr>
            <w:tcW w:w="629" w:type="dxa"/>
            <w:shd w:val="clear" w:color="auto" w:fill="auto"/>
            <w:tcMar>
              <w:left w:w="29" w:type="dxa"/>
              <w:right w:w="29" w:type="dxa"/>
            </w:tcMar>
          </w:tcPr>
          <w:p w:rsidR="003A0DC1" w:rsidRPr="005B4CFE" w:rsidRDefault="00C10783" w:rsidP="005B4CFE">
            <w:pPr>
              <w:tabs>
                <w:tab w:val="decimal" w:pos="330"/>
              </w:tabs>
              <w:rPr>
                <w:sz w:val="18"/>
                <w:szCs w:val="18"/>
              </w:rPr>
            </w:pPr>
            <w:r>
              <w:rPr>
                <w:sz w:val="18"/>
                <w:szCs w:val="18"/>
              </w:rPr>
              <w:t>33.0</w:t>
            </w:r>
          </w:p>
        </w:tc>
        <w:tc>
          <w:tcPr>
            <w:tcW w:w="818" w:type="dxa"/>
            <w:gridSpan w:val="2"/>
            <w:shd w:val="clear" w:color="auto" w:fill="auto"/>
            <w:tcMar>
              <w:left w:w="29" w:type="dxa"/>
              <w:right w:w="29" w:type="dxa"/>
            </w:tcMar>
          </w:tcPr>
          <w:p w:rsidR="003A0DC1" w:rsidRPr="005B4CFE" w:rsidRDefault="000F2D30" w:rsidP="005B4CFE">
            <w:pPr>
              <w:tabs>
                <w:tab w:val="decimal" w:pos="309"/>
              </w:tabs>
              <w:rPr>
                <w:sz w:val="18"/>
                <w:szCs w:val="18"/>
              </w:rPr>
            </w:pPr>
            <w:r>
              <w:rPr>
                <w:sz w:val="18"/>
                <w:szCs w:val="18"/>
              </w:rPr>
              <w:t>21</w:t>
            </w:r>
            <w:r w:rsidR="003A0DC1" w:rsidRPr="005B4CFE">
              <w:rPr>
                <w:sz w:val="18"/>
                <w:szCs w:val="18"/>
              </w:rPr>
              <w:t>.</w:t>
            </w:r>
            <w:r>
              <w:rPr>
                <w:sz w:val="18"/>
                <w:szCs w:val="18"/>
              </w:rPr>
              <w:t>25</w:t>
            </w:r>
          </w:p>
        </w:tc>
        <w:tc>
          <w:tcPr>
            <w:tcW w:w="623" w:type="dxa"/>
            <w:tcBorders>
              <w:right w:val="double" w:sz="4" w:space="0" w:color="auto"/>
            </w:tcBorders>
            <w:shd w:val="clear" w:color="auto" w:fill="auto"/>
            <w:tcMar>
              <w:left w:w="29" w:type="dxa"/>
              <w:right w:w="29" w:type="dxa"/>
            </w:tcMar>
          </w:tcPr>
          <w:p w:rsidR="003A0DC1" w:rsidRPr="005B4CFE" w:rsidRDefault="00C10783" w:rsidP="005B4CFE">
            <w:pPr>
              <w:tabs>
                <w:tab w:val="decimal" w:pos="232"/>
              </w:tabs>
              <w:rPr>
                <w:sz w:val="18"/>
                <w:szCs w:val="18"/>
              </w:rPr>
            </w:pPr>
            <w:r>
              <w:rPr>
                <w:sz w:val="18"/>
                <w:szCs w:val="18"/>
              </w:rPr>
              <w:t>17.6</w:t>
            </w:r>
          </w:p>
        </w:tc>
        <w:tc>
          <w:tcPr>
            <w:tcW w:w="626"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11.62</w:t>
            </w:r>
          </w:p>
        </w:tc>
        <w:tc>
          <w:tcPr>
            <w:tcW w:w="761" w:type="dxa"/>
            <w:shd w:val="clear" w:color="auto" w:fill="auto"/>
            <w:tcMar>
              <w:left w:w="29" w:type="dxa"/>
              <w:right w:w="29" w:type="dxa"/>
            </w:tcMar>
          </w:tcPr>
          <w:p w:rsidR="003A0DC1" w:rsidRPr="005B4CFE" w:rsidRDefault="003A0DC1" w:rsidP="005B4CFE">
            <w:pPr>
              <w:tabs>
                <w:tab w:val="decimal" w:pos="339"/>
              </w:tabs>
              <w:rPr>
                <w:sz w:val="18"/>
                <w:szCs w:val="18"/>
              </w:rPr>
            </w:pPr>
            <w:r w:rsidRPr="005B4CFE">
              <w:rPr>
                <w:sz w:val="18"/>
                <w:szCs w:val="18"/>
              </w:rPr>
              <w:t>1</w:t>
            </w:r>
            <w:r w:rsidR="00220BB0">
              <w:rPr>
                <w:sz w:val="18"/>
                <w:szCs w:val="18"/>
              </w:rPr>
              <w:t>0.87</w:t>
            </w:r>
          </w:p>
        </w:tc>
        <w:tc>
          <w:tcPr>
            <w:tcW w:w="569" w:type="dxa"/>
            <w:shd w:val="clear" w:color="auto" w:fill="auto"/>
            <w:tcMar>
              <w:left w:w="29" w:type="dxa"/>
              <w:right w:w="29" w:type="dxa"/>
            </w:tcMar>
          </w:tcPr>
          <w:p w:rsidR="003A0DC1" w:rsidRPr="005B4CFE" w:rsidRDefault="00220BB0" w:rsidP="005B4CFE">
            <w:pPr>
              <w:tabs>
                <w:tab w:val="decimal" w:pos="296"/>
              </w:tabs>
              <w:rPr>
                <w:sz w:val="18"/>
                <w:szCs w:val="18"/>
              </w:rPr>
            </w:pPr>
            <w:r>
              <w:rPr>
                <w:sz w:val="18"/>
                <w:szCs w:val="18"/>
              </w:rPr>
              <w:t>6.5</w:t>
            </w:r>
          </w:p>
        </w:tc>
        <w:tc>
          <w:tcPr>
            <w:tcW w:w="650" w:type="dxa"/>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12.01</w:t>
            </w:r>
          </w:p>
        </w:tc>
        <w:tc>
          <w:tcPr>
            <w:tcW w:w="763" w:type="dxa"/>
            <w:shd w:val="clear" w:color="auto" w:fill="auto"/>
            <w:tcMar>
              <w:left w:w="29" w:type="dxa"/>
              <w:right w:w="29" w:type="dxa"/>
            </w:tcMar>
          </w:tcPr>
          <w:p w:rsidR="003A0DC1" w:rsidRPr="005B4CFE" w:rsidRDefault="00220BB0" w:rsidP="005B4CFE">
            <w:pPr>
              <w:tabs>
                <w:tab w:val="decimal" w:pos="339"/>
              </w:tabs>
              <w:rPr>
                <w:sz w:val="18"/>
                <w:szCs w:val="18"/>
              </w:rPr>
            </w:pPr>
            <w:r>
              <w:rPr>
                <w:sz w:val="18"/>
                <w:szCs w:val="18"/>
              </w:rPr>
              <w:t>7</w:t>
            </w:r>
            <w:r w:rsidR="003A0DC1" w:rsidRPr="005B4CFE">
              <w:rPr>
                <w:sz w:val="18"/>
                <w:szCs w:val="18"/>
              </w:rPr>
              <w:t>.</w:t>
            </w:r>
            <w:r w:rsidR="000F2D30">
              <w:rPr>
                <w:sz w:val="18"/>
                <w:szCs w:val="18"/>
              </w:rPr>
              <w:t>97</w:t>
            </w:r>
          </w:p>
        </w:tc>
        <w:tc>
          <w:tcPr>
            <w:tcW w:w="560" w:type="dxa"/>
            <w:shd w:val="clear" w:color="auto" w:fill="auto"/>
            <w:tcMar>
              <w:left w:w="29" w:type="dxa"/>
              <w:right w:w="29" w:type="dxa"/>
            </w:tcMar>
          </w:tcPr>
          <w:p w:rsidR="003A0DC1" w:rsidRPr="005B4CFE" w:rsidRDefault="003A0DC1" w:rsidP="005B4CFE">
            <w:pPr>
              <w:tabs>
                <w:tab w:val="decimal" w:pos="279"/>
              </w:tabs>
              <w:rPr>
                <w:sz w:val="18"/>
                <w:szCs w:val="18"/>
              </w:rPr>
            </w:pPr>
            <w:r w:rsidRPr="005B4CFE">
              <w:rPr>
                <w:sz w:val="18"/>
                <w:szCs w:val="18"/>
              </w:rPr>
              <w:t>3</w:t>
            </w:r>
            <w:r w:rsidR="00220BB0">
              <w:rPr>
                <w:sz w:val="18"/>
                <w:szCs w:val="18"/>
              </w:rPr>
              <w:t>3</w:t>
            </w:r>
            <w:r w:rsidRPr="005B4CFE">
              <w:rPr>
                <w:sz w:val="18"/>
                <w:szCs w:val="18"/>
              </w:rPr>
              <w:t>.</w:t>
            </w:r>
            <w:r w:rsidR="00220BB0">
              <w:rPr>
                <w:sz w:val="18"/>
                <w:szCs w:val="18"/>
              </w:rPr>
              <w:t>6</w:t>
            </w:r>
          </w:p>
        </w:tc>
        <w:tc>
          <w:tcPr>
            <w:tcW w:w="970" w:type="dxa"/>
            <w:tcBorders>
              <w:right w:val="double" w:sz="4" w:space="0" w:color="auto"/>
            </w:tcBorders>
            <w:shd w:val="clear" w:color="auto" w:fill="auto"/>
            <w:tcMar>
              <w:left w:w="29" w:type="dxa"/>
              <w:right w:w="29" w:type="dxa"/>
            </w:tcMar>
          </w:tcPr>
          <w:p w:rsidR="003A0DC1" w:rsidRPr="005B4CFE" w:rsidRDefault="00220BB0" w:rsidP="005B4CFE">
            <w:pPr>
              <w:tabs>
                <w:tab w:val="decimal" w:pos="451"/>
              </w:tabs>
              <w:rPr>
                <w:sz w:val="18"/>
                <w:szCs w:val="18"/>
              </w:rPr>
            </w:pPr>
            <w:r>
              <w:rPr>
                <w:sz w:val="18"/>
                <w:szCs w:val="18"/>
              </w:rPr>
              <w:t>20.3</w:t>
            </w:r>
          </w:p>
        </w:tc>
        <w:tc>
          <w:tcPr>
            <w:tcW w:w="744" w:type="dxa"/>
            <w:tcBorders>
              <w:left w:val="double" w:sz="4" w:space="0" w:color="auto"/>
            </w:tcBorders>
            <w:shd w:val="clear" w:color="auto" w:fill="auto"/>
            <w:tcMar>
              <w:left w:w="29" w:type="dxa"/>
              <w:right w:w="29" w:type="dxa"/>
            </w:tcMar>
          </w:tcPr>
          <w:p w:rsidR="003A0DC1" w:rsidRPr="005B4CFE" w:rsidRDefault="003A0DC1" w:rsidP="005B4CFE">
            <w:pPr>
              <w:tabs>
                <w:tab w:val="decimal" w:pos="343"/>
              </w:tabs>
              <w:rPr>
                <w:sz w:val="18"/>
                <w:szCs w:val="18"/>
              </w:rPr>
            </w:pPr>
            <w:r w:rsidRPr="005B4CFE">
              <w:rPr>
                <w:sz w:val="18"/>
                <w:szCs w:val="18"/>
              </w:rPr>
              <w:t>1</w:t>
            </w:r>
            <w:r w:rsidR="00FA08BA">
              <w:rPr>
                <w:sz w:val="18"/>
                <w:szCs w:val="18"/>
              </w:rPr>
              <w:t>1.05</w:t>
            </w:r>
          </w:p>
        </w:tc>
        <w:tc>
          <w:tcPr>
            <w:tcW w:w="567" w:type="dxa"/>
            <w:shd w:val="clear" w:color="auto" w:fill="auto"/>
            <w:tcMar>
              <w:left w:w="29" w:type="dxa"/>
              <w:right w:w="29" w:type="dxa"/>
            </w:tcMar>
          </w:tcPr>
          <w:p w:rsidR="003A0DC1" w:rsidRPr="005B4CFE" w:rsidRDefault="003A0DC1" w:rsidP="005B4CFE">
            <w:pPr>
              <w:tabs>
                <w:tab w:val="decimal" w:pos="275"/>
              </w:tabs>
              <w:rPr>
                <w:sz w:val="18"/>
                <w:szCs w:val="18"/>
              </w:rPr>
            </w:pPr>
            <w:r w:rsidRPr="005B4CFE">
              <w:rPr>
                <w:sz w:val="18"/>
                <w:szCs w:val="18"/>
              </w:rPr>
              <w:t>4.</w:t>
            </w:r>
            <w:r w:rsidR="001641AB">
              <w:rPr>
                <w:sz w:val="18"/>
                <w:szCs w:val="18"/>
              </w:rPr>
              <w:t>9</w:t>
            </w:r>
          </w:p>
        </w:tc>
        <w:tc>
          <w:tcPr>
            <w:tcW w:w="787" w:type="dxa"/>
            <w:shd w:val="clear" w:color="auto" w:fill="auto"/>
            <w:tcMar>
              <w:left w:w="29" w:type="dxa"/>
              <w:right w:w="29" w:type="dxa"/>
            </w:tcMar>
          </w:tcPr>
          <w:p w:rsidR="003A0DC1" w:rsidRPr="005B4CFE" w:rsidRDefault="003A0DC1" w:rsidP="005B4CFE">
            <w:pPr>
              <w:tabs>
                <w:tab w:val="decimal" w:pos="343"/>
              </w:tabs>
              <w:rPr>
                <w:sz w:val="18"/>
                <w:szCs w:val="18"/>
              </w:rPr>
            </w:pPr>
            <w:r w:rsidRPr="005B4CFE">
              <w:rPr>
                <w:sz w:val="18"/>
                <w:szCs w:val="18"/>
              </w:rPr>
              <w:t>8.</w:t>
            </w:r>
            <w:r w:rsidR="00FA08BA">
              <w:rPr>
                <w:sz w:val="18"/>
                <w:szCs w:val="18"/>
              </w:rPr>
              <w:t>31</w:t>
            </w:r>
          </w:p>
        </w:tc>
        <w:tc>
          <w:tcPr>
            <w:tcW w:w="563" w:type="dxa"/>
            <w:shd w:val="clear" w:color="auto" w:fill="auto"/>
            <w:tcMar>
              <w:left w:w="29" w:type="dxa"/>
              <w:right w:w="29" w:type="dxa"/>
            </w:tcMar>
          </w:tcPr>
          <w:p w:rsidR="003A0DC1" w:rsidRPr="005B4CFE" w:rsidRDefault="001641AB" w:rsidP="005B4CFE">
            <w:pPr>
              <w:tabs>
                <w:tab w:val="decimal" w:pos="271"/>
              </w:tabs>
              <w:rPr>
                <w:sz w:val="18"/>
                <w:szCs w:val="18"/>
              </w:rPr>
            </w:pPr>
            <w:r>
              <w:rPr>
                <w:sz w:val="18"/>
                <w:szCs w:val="18"/>
              </w:rPr>
              <w:t>30</w:t>
            </w:r>
            <w:r w:rsidR="003A0DC1" w:rsidRPr="005B4CFE">
              <w:rPr>
                <w:sz w:val="18"/>
                <w:szCs w:val="18"/>
              </w:rPr>
              <w:t>.</w:t>
            </w:r>
            <w:r>
              <w:rPr>
                <w:sz w:val="18"/>
                <w:szCs w:val="18"/>
              </w:rPr>
              <w:t>8</w:t>
            </w:r>
          </w:p>
        </w:tc>
        <w:tc>
          <w:tcPr>
            <w:tcW w:w="1029" w:type="dxa"/>
            <w:tcBorders>
              <w:right w:val="double" w:sz="4" w:space="0" w:color="auto"/>
            </w:tcBorders>
            <w:shd w:val="clear" w:color="auto" w:fill="auto"/>
            <w:tcMar>
              <w:left w:w="29" w:type="dxa"/>
              <w:right w:w="29" w:type="dxa"/>
            </w:tcMar>
          </w:tcPr>
          <w:p w:rsidR="003A0DC1" w:rsidRPr="005B4CFE" w:rsidRDefault="003A0DC1" w:rsidP="005B4CFE">
            <w:pPr>
              <w:tabs>
                <w:tab w:val="decimal" w:pos="433"/>
              </w:tabs>
              <w:rPr>
                <w:sz w:val="18"/>
                <w:szCs w:val="18"/>
              </w:rPr>
            </w:pPr>
            <w:r w:rsidRPr="005B4CFE">
              <w:rPr>
                <w:sz w:val="18"/>
                <w:szCs w:val="18"/>
              </w:rPr>
              <w:t>1</w:t>
            </w:r>
            <w:r w:rsidR="001641AB">
              <w:rPr>
                <w:sz w:val="18"/>
                <w:szCs w:val="18"/>
              </w:rPr>
              <w:t>8</w:t>
            </w:r>
            <w:r w:rsidRPr="005B4CFE">
              <w:rPr>
                <w:sz w:val="18"/>
                <w:szCs w:val="18"/>
              </w:rPr>
              <w:t>.</w:t>
            </w:r>
            <w:r w:rsidR="001641AB">
              <w:rPr>
                <w:sz w:val="18"/>
                <w:szCs w:val="18"/>
              </w:rPr>
              <w:t>0</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SUV-Other</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1.10</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1.</w:t>
            </w:r>
            <w:r w:rsidR="00B55129">
              <w:rPr>
                <w:sz w:val="18"/>
                <w:szCs w:val="18"/>
              </w:rPr>
              <w:t>39</w:t>
            </w:r>
          </w:p>
        </w:tc>
        <w:tc>
          <w:tcPr>
            <w:tcW w:w="629" w:type="dxa"/>
            <w:shd w:val="clear" w:color="auto" w:fill="auto"/>
            <w:tcMar>
              <w:left w:w="29" w:type="dxa"/>
              <w:right w:w="29" w:type="dxa"/>
            </w:tcMar>
          </w:tcPr>
          <w:p w:rsidR="003A0DC1" w:rsidRPr="005B4CFE" w:rsidRDefault="00C10783" w:rsidP="005B4CFE">
            <w:pPr>
              <w:tabs>
                <w:tab w:val="decimal" w:pos="330"/>
              </w:tabs>
              <w:rPr>
                <w:sz w:val="18"/>
                <w:szCs w:val="18"/>
              </w:rPr>
            </w:pPr>
            <w:r>
              <w:rPr>
                <w:sz w:val="18"/>
                <w:szCs w:val="18"/>
              </w:rPr>
              <w:t>29.0</w:t>
            </w:r>
          </w:p>
        </w:tc>
        <w:tc>
          <w:tcPr>
            <w:tcW w:w="818" w:type="dxa"/>
            <w:gridSpan w:val="2"/>
            <w:shd w:val="clear" w:color="auto" w:fill="auto"/>
            <w:tcMar>
              <w:left w:w="29" w:type="dxa"/>
              <w:right w:w="29" w:type="dxa"/>
            </w:tcMar>
          </w:tcPr>
          <w:p w:rsidR="003A0DC1" w:rsidRPr="005B4CFE" w:rsidRDefault="003A0DC1" w:rsidP="005B4CFE">
            <w:pPr>
              <w:tabs>
                <w:tab w:val="decimal" w:pos="309"/>
              </w:tabs>
              <w:rPr>
                <w:sz w:val="18"/>
                <w:szCs w:val="18"/>
              </w:rPr>
            </w:pPr>
            <w:r w:rsidRPr="005B4CFE">
              <w:rPr>
                <w:sz w:val="18"/>
                <w:szCs w:val="18"/>
              </w:rPr>
              <w:t>1.</w:t>
            </w:r>
            <w:r w:rsidR="00B55129">
              <w:rPr>
                <w:sz w:val="18"/>
                <w:szCs w:val="18"/>
              </w:rPr>
              <w:t>37</w:t>
            </w:r>
          </w:p>
        </w:tc>
        <w:tc>
          <w:tcPr>
            <w:tcW w:w="623" w:type="dxa"/>
            <w:tcBorders>
              <w:right w:val="double" w:sz="4" w:space="0" w:color="auto"/>
            </w:tcBorders>
            <w:shd w:val="clear" w:color="auto" w:fill="auto"/>
            <w:tcMar>
              <w:left w:w="29" w:type="dxa"/>
              <w:right w:w="29" w:type="dxa"/>
            </w:tcMar>
          </w:tcPr>
          <w:p w:rsidR="003A0DC1" w:rsidRPr="005B4CFE" w:rsidRDefault="00C10783" w:rsidP="005B4CFE">
            <w:pPr>
              <w:tabs>
                <w:tab w:val="decimal" w:pos="232"/>
              </w:tabs>
              <w:rPr>
                <w:sz w:val="18"/>
                <w:szCs w:val="18"/>
              </w:rPr>
            </w:pPr>
            <w:r>
              <w:rPr>
                <w:sz w:val="18"/>
                <w:szCs w:val="18"/>
              </w:rPr>
              <w:t>24.5</w:t>
            </w:r>
          </w:p>
        </w:tc>
        <w:tc>
          <w:tcPr>
            <w:tcW w:w="626" w:type="dxa"/>
            <w:tcBorders>
              <w:lef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61"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9"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650"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63"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0"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970" w:type="dxa"/>
            <w:tcBorders>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44" w:type="dxa"/>
            <w:tcBorders>
              <w:lef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7"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787"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563" w:type="dxa"/>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c>
          <w:tcPr>
            <w:tcW w:w="1029" w:type="dxa"/>
            <w:tcBorders>
              <w:right w:val="double" w:sz="4" w:space="0" w:color="auto"/>
            </w:tcBorders>
            <w:shd w:val="clear" w:color="auto" w:fill="auto"/>
            <w:tcMar>
              <w:left w:w="29" w:type="dxa"/>
              <w:right w:w="29" w:type="dxa"/>
            </w:tcMar>
          </w:tcPr>
          <w:p w:rsidR="003A0DC1" w:rsidRPr="005B4CFE" w:rsidRDefault="003A0DC1" w:rsidP="005B4CFE">
            <w:pPr>
              <w:jc w:val="center"/>
              <w:rPr>
                <w:sz w:val="18"/>
                <w:szCs w:val="18"/>
              </w:rPr>
            </w:pPr>
            <w:r w:rsidRPr="005B4CFE">
              <w:rPr>
                <w:sz w:val="18"/>
                <w:szCs w:val="18"/>
              </w:rPr>
              <w:t>–</w:t>
            </w:r>
          </w:p>
        </w:tc>
      </w:tr>
      <w:tr w:rsidR="00012C47" w:rsidRPr="000C72FD" w:rsidTr="007422FC">
        <w:trPr>
          <w:trHeight w:val="346"/>
        </w:trPr>
        <w:tc>
          <w:tcPr>
            <w:tcW w:w="1160" w:type="dxa"/>
            <w:tcBorders>
              <w:left w:val="double" w:sz="4" w:space="0" w:color="auto"/>
              <w:right w:val="double" w:sz="4" w:space="0" w:color="auto"/>
            </w:tcBorders>
            <w:shd w:val="clear" w:color="auto" w:fill="auto"/>
            <w:tcMar>
              <w:left w:w="29" w:type="dxa"/>
              <w:right w:w="29" w:type="dxa"/>
            </w:tcMar>
          </w:tcPr>
          <w:p w:rsidR="003A0DC1" w:rsidRPr="005B4CFE" w:rsidRDefault="003A0DC1" w:rsidP="00FC2915">
            <w:pPr>
              <w:rPr>
                <w:sz w:val="18"/>
                <w:szCs w:val="18"/>
              </w:rPr>
            </w:pPr>
            <w:r w:rsidRPr="005B4CFE">
              <w:rPr>
                <w:sz w:val="18"/>
                <w:szCs w:val="18"/>
              </w:rPr>
              <w:t>Pick-Other</w:t>
            </w:r>
          </w:p>
        </w:tc>
        <w:tc>
          <w:tcPr>
            <w:tcW w:w="591" w:type="dxa"/>
            <w:tcBorders>
              <w:left w:val="double" w:sz="4" w:space="0" w:color="auto"/>
            </w:tcBorders>
            <w:shd w:val="clear" w:color="auto" w:fill="auto"/>
            <w:tcMar>
              <w:left w:w="29" w:type="dxa"/>
              <w:right w:w="29" w:type="dxa"/>
            </w:tcMar>
          </w:tcPr>
          <w:p w:rsidR="003A0DC1" w:rsidRPr="005B4CFE" w:rsidRDefault="003A0DC1" w:rsidP="005B4CFE">
            <w:pPr>
              <w:tabs>
                <w:tab w:val="decimal" w:pos="244"/>
              </w:tabs>
              <w:rPr>
                <w:sz w:val="18"/>
                <w:szCs w:val="18"/>
              </w:rPr>
            </w:pPr>
            <w:r w:rsidRPr="005B4CFE">
              <w:rPr>
                <w:sz w:val="18"/>
                <w:szCs w:val="18"/>
              </w:rPr>
              <w:t>2.22</w:t>
            </w:r>
          </w:p>
        </w:tc>
        <w:tc>
          <w:tcPr>
            <w:tcW w:w="759" w:type="dxa"/>
            <w:shd w:val="clear" w:color="auto" w:fill="auto"/>
            <w:tcMar>
              <w:left w:w="29" w:type="dxa"/>
              <w:right w:w="29" w:type="dxa"/>
            </w:tcMar>
          </w:tcPr>
          <w:p w:rsidR="003A0DC1" w:rsidRPr="005B4CFE" w:rsidRDefault="003A0DC1" w:rsidP="005B4CFE">
            <w:pPr>
              <w:tabs>
                <w:tab w:val="decimal" w:pos="317"/>
              </w:tabs>
              <w:rPr>
                <w:sz w:val="18"/>
                <w:szCs w:val="18"/>
              </w:rPr>
            </w:pPr>
            <w:r w:rsidRPr="005B4CFE">
              <w:rPr>
                <w:sz w:val="18"/>
                <w:szCs w:val="18"/>
              </w:rPr>
              <w:t>1.3</w:t>
            </w:r>
            <w:r w:rsidR="000F2D30">
              <w:rPr>
                <w:sz w:val="18"/>
                <w:szCs w:val="18"/>
              </w:rPr>
              <w:t>3</w:t>
            </w:r>
          </w:p>
        </w:tc>
        <w:tc>
          <w:tcPr>
            <w:tcW w:w="629" w:type="dxa"/>
            <w:shd w:val="clear" w:color="auto" w:fill="auto"/>
            <w:tcMar>
              <w:left w:w="29" w:type="dxa"/>
              <w:right w:w="29" w:type="dxa"/>
            </w:tcMar>
          </w:tcPr>
          <w:p w:rsidR="003A0DC1" w:rsidRPr="005B4CFE" w:rsidRDefault="00C10783" w:rsidP="005B4CFE">
            <w:pPr>
              <w:tabs>
                <w:tab w:val="decimal" w:pos="330"/>
              </w:tabs>
              <w:rPr>
                <w:sz w:val="18"/>
                <w:szCs w:val="18"/>
              </w:rPr>
            </w:pPr>
            <w:r>
              <w:rPr>
                <w:sz w:val="18"/>
                <w:szCs w:val="18"/>
              </w:rPr>
              <w:t>40.0</w:t>
            </w:r>
          </w:p>
        </w:tc>
        <w:tc>
          <w:tcPr>
            <w:tcW w:w="818" w:type="dxa"/>
            <w:gridSpan w:val="2"/>
            <w:shd w:val="clear" w:color="auto" w:fill="auto"/>
            <w:tcMar>
              <w:left w:w="29" w:type="dxa"/>
              <w:right w:w="29" w:type="dxa"/>
            </w:tcMar>
          </w:tcPr>
          <w:p w:rsidR="003A0DC1" w:rsidRPr="005B4CFE" w:rsidRDefault="003A0DC1" w:rsidP="005B4CFE">
            <w:pPr>
              <w:tabs>
                <w:tab w:val="decimal" w:pos="309"/>
              </w:tabs>
              <w:rPr>
                <w:sz w:val="18"/>
                <w:szCs w:val="18"/>
              </w:rPr>
            </w:pPr>
            <w:r w:rsidRPr="005B4CFE">
              <w:rPr>
                <w:sz w:val="18"/>
                <w:szCs w:val="18"/>
              </w:rPr>
              <w:t>1.</w:t>
            </w:r>
            <w:r w:rsidR="00B55129">
              <w:rPr>
                <w:sz w:val="18"/>
                <w:szCs w:val="18"/>
              </w:rPr>
              <w:t>2</w:t>
            </w:r>
            <w:r w:rsidR="000F2D30">
              <w:rPr>
                <w:sz w:val="18"/>
                <w:szCs w:val="18"/>
              </w:rPr>
              <w:t>7</w:t>
            </w:r>
          </w:p>
        </w:tc>
        <w:tc>
          <w:tcPr>
            <w:tcW w:w="623" w:type="dxa"/>
            <w:tcBorders>
              <w:right w:val="double" w:sz="4" w:space="0" w:color="auto"/>
            </w:tcBorders>
            <w:shd w:val="clear" w:color="auto" w:fill="auto"/>
            <w:tcMar>
              <w:left w:w="29" w:type="dxa"/>
              <w:right w:w="29" w:type="dxa"/>
            </w:tcMar>
          </w:tcPr>
          <w:p w:rsidR="003A0DC1" w:rsidRPr="005B4CFE" w:rsidRDefault="00C10783" w:rsidP="005B4CFE">
            <w:pPr>
              <w:tabs>
                <w:tab w:val="decimal" w:pos="232"/>
              </w:tabs>
              <w:rPr>
                <w:sz w:val="18"/>
                <w:szCs w:val="18"/>
              </w:rPr>
            </w:pPr>
            <w:r>
              <w:rPr>
                <w:sz w:val="18"/>
                <w:szCs w:val="18"/>
              </w:rPr>
              <w:t>42.8</w:t>
            </w:r>
          </w:p>
        </w:tc>
        <w:tc>
          <w:tcPr>
            <w:tcW w:w="626" w:type="dxa"/>
            <w:tcBorders>
              <w:left w:val="double" w:sz="4" w:space="0" w:color="auto"/>
            </w:tcBorders>
            <w:shd w:val="clear" w:color="auto" w:fill="auto"/>
            <w:tcMar>
              <w:left w:w="29" w:type="dxa"/>
              <w:right w:w="29" w:type="dxa"/>
            </w:tcMar>
          </w:tcPr>
          <w:p w:rsidR="003A0DC1" w:rsidRPr="005B4CFE" w:rsidRDefault="000B182A" w:rsidP="005B4CFE">
            <w:pPr>
              <w:tabs>
                <w:tab w:val="decimal" w:pos="244"/>
              </w:tabs>
              <w:rPr>
                <w:sz w:val="18"/>
                <w:szCs w:val="18"/>
              </w:rPr>
            </w:pPr>
            <w:r w:rsidRPr="005B4CFE">
              <w:rPr>
                <w:sz w:val="18"/>
                <w:szCs w:val="18"/>
              </w:rPr>
              <w:t>–</w:t>
            </w:r>
          </w:p>
        </w:tc>
        <w:tc>
          <w:tcPr>
            <w:tcW w:w="761" w:type="dxa"/>
            <w:shd w:val="clear" w:color="auto" w:fill="auto"/>
            <w:tcMar>
              <w:left w:w="29" w:type="dxa"/>
              <w:right w:w="29" w:type="dxa"/>
            </w:tcMar>
          </w:tcPr>
          <w:p w:rsidR="003A0DC1" w:rsidRPr="005B4CFE" w:rsidRDefault="000B182A" w:rsidP="005B4CFE">
            <w:pPr>
              <w:tabs>
                <w:tab w:val="decimal" w:pos="339"/>
              </w:tabs>
              <w:rPr>
                <w:sz w:val="18"/>
                <w:szCs w:val="18"/>
              </w:rPr>
            </w:pPr>
            <w:r w:rsidRPr="005B4CFE">
              <w:rPr>
                <w:sz w:val="18"/>
                <w:szCs w:val="18"/>
              </w:rPr>
              <w:t>–</w:t>
            </w:r>
          </w:p>
        </w:tc>
        <w:tc>
          <w:tcPr>
            <w:tcW w:w="569" w:type="dxa"/>
            <w:shd w:val="clear" w:color="auto" w:fill="auto"/>
            <w:tcMar>
              <w:left w:w="29" w:type="dxa"/>
              <w:right w:w="29" w:type="dxa"/>
            </w:tcMar>
          </w:tcPr>
          <w:p w:rsidR="003A0DC1" w:rsidRPr="005B4CFE" w:rsidRDefault="000B182A" w:rsidP="005B4CFE">
            <w:pPr>
              <w:tabs>
                <w:tab w:val="decimal" w:pos="296"/>
              </w:tabs>
              <w:rPr>
                <w:sz w:val="18"/>
                <w:szCs w:val="18"/>
              </w:rPr>
            </w:pPr>
            <w:r w:rsidRPr="005B4CFE">
              <w:rPr>
                <w:sz w:val="18"/>
                <w:szCs w:val="18"/>
              </w:rPr>
              <w:t>–</w:t>
            </w:r>
          </w:p>
        </w:tc>
        <w:tc>
          <w:tcPr>
            <w:tcW w:w="650" w:type="dxa"/>
            <w:shd w:val="clear" w:color="auto" w:fill="auto"/>
            <w:tcMar>
              <w:left w:w="29" w:type="dxa"/>
              <w:right w:w="29" w:type="dxa"/>
            </w:tcMar>
          </w:tcPr>
          <w:p w:rsidR="003A0DC1" w:rsidRPr="005B4CFE" w:rsidRDefault="000B182A" w:rsidP="005B4CFE">
            <w:pPr>
              <w:tabs>
                <w:tab w:val="decimal" w:pos="244"/>
              </w:tabs>
              <w:rPr>
                <w:sz w:val="18"/>
                <w:szCs w:val="18"/>
              </w:rPr>
            </w:pPr>
            <w:r w:rsidRPr="005B4CFE">
              <w:rPr>
                <w:sz w:val="18"/>
                <w:szCs w:val="18"/>
              </w:rPr>
              <w:t>–</w:t>
            </w:r>
          </w:p>
        </w:tc>
        <w:tc>
          <w:tcPr>
            <w:tcW w:w="763" w:type="dxa"/>
            <w:shd w:val="clear" w:color="auto" w:fill="auto"/>
            <w:tcMar>
              <w:left w:w="29" w:type="dxa"/>
              <w:right w:w="29" w:type="dxa"/>
            </w:tcMar>
          </w:tcPr>
          <w:p w:rsidR="003A0DC1" w:rsidRPr="005B4CFE" w:rsidRDefault="000B182A" w:rsidP="005B4CFE">
            <w:pPr>
              <w:tabs>
                <w:tab w:val="decimal" w:pos="339"/>
              </w:tabs>
              <w:rPr>
                <w:sz w:val="18"/>
                <w:szCs w:val="18"/>
              </w:rPr>
            </w:pPr>
            <w:r w:rsidRPr="005B4CFE">
              <w:rPr>
                <w:sz w:val="18"/>
                <w:szCs w:val="18"/>
              </w:rPr>
              <w:t>–</w:t>
            </w:r>
          </w:p>
        </w:tc>
        <w:tc>
          <w:tcPr>
            <w:tcW w:w="560" w:type="dxa"/>
            <w:shd w:val="clear" w:color="auto" w:fill="auto"/>
            <w:tcMar>
              <w:left w:w="29" w:type="dxa"/>
              <w:right w:w="29" w:type="dxa"/>
            </w:tcMar>
          </w:tcPr>
          <w:p w:rsidR="003A0DC1" w:rsidRPr="005B4CFE" w:rsidRDefault="000B182A" w:rsidP="005B4CFE">
            <w:pPr>
              <w:tabs>
                <w:tab w:val="decimal" w:pos="279"/>
              </w:tabs>
              <w:rPr>
                <w:sz w:val="18"/>
                <w:szCs w:val="18"/>
              </w:rPr>
            </w:pPr>
            <w:r w:rsidRPr="005B4CFE">
              <w:rPr>
                <w:sz w:val="18"/>
                <w:szCs w:val="18"/>
              </w:rPr>
              <w:t>–</w:t>
            </w:r>
          </w:p>
        </w:tc>
        <w:tc>
          <w:tcPr>
            <w:tcW w:w="970" w:type="dxa"/>
            <w:tcBorders>
              <w:right w:val="double" w:sz="4" w:space="0" w:color="auto"/>
            </w:tcBorders>
            <w:shd w:val="clear" w:color="auto" w:fill="auto"/>
            <w:tcMar>
              <w:left w:w="29" w:type="dxa"/>
              <w:right w:w="29" w:type="dxa"/>
            </w:tcMar>
          </w:tcPr>
          <w:p w:rsidR="003A0DC1" w:rsidRPr="005B4CFE" w:rsidRDefault="000B182A" w:rsidP="005B4CFE">
            <w:pPr>
              <w:tabs>
                <w:tab w:val="decimal" w:pos="451"/>
              </w:tabs>
              <w:rPr>
                <w:sz w:val="18"/>
                <w:szCs w:val="18"/>
              </w:rPr>
            </w:pPr>
            <w:r w:rsidRPr="005B4CFE">
              <w:rPr>
                <w:sz w:val="18"/>
                <w:szCs w:val="18"/>
              </w:rPr>
              <w:t>–</w:t>
            </w:r>
          </w:p>
        </w:tc>
        <w:tc>
          <w:tcPr>
            <w:tcW w:w="744" w:type="dxa"/>
            <w:tcBorders>
              <w:left w:val="double" w:sz="4" w:space="0" w:color="auto"/>
            </w:tcBorders>
            <w:shd w:val="clear" w:color="auto" w:fill="auto"/>
            <w:tcMar>
              <w:left w:w="29" w:type="dxa"/>
              <w:right w:w="29" w:type="dxa"/>
            </w:tcMar>
          </w:tcPr>
          <w:p w:rsidR="003A0DC1" w:rsidRPr="005B4CFE" w:rsidRDefault="000B182A" w:rsidP="005B4CFE">
            <w:pPr>
              <w:tabs>
                <w:tab w:val="decimal" w:pos="326"/>
              </w:tabs>
              <w:rPr>
                <w:sz w:val="18"/>
                <w:szCs w:val="18"/>
              </w:rPr>
            </w:pPr>
            <w:r w:rsidRPr="005B4CFE">
              <w:rPr>
                <w:sz w:val="18"/>
                <w:szCs w:val="18"/>
              </w:rPr>
              <w:t>–</w:t>
            </w:r>
          </w:p>
        </w:tc>
        <w:tc>
          <w:tcPr>
            <w:tcW w:w="567" w:type="dxa"/>
            <w:shd w:val="clear" w:color="auto" w:fill="auto"/>
            <w:tcMar>
              <w:left w:w="29" w:type="dxa"/>
              <w:right w:w="29" w:type="dxa"/>
            </w:tcMar>
          </w:tcPr>
          <w:p w:rsidR="003A0DC1" w:rsidRPr="005B4CFE" w:rsidRDefault="000B182A" w:rsidP="005B4CFE">
            <w:pPr>
              <w:tabs>
                <w:tab w:val="decimal" w:pos="275"/>
              </w:tabs>
              <w:rPr>
                <w:sz w:val="18"/>
                <w:szCs w:val="18"/>
              </w:rPr>
            </w:pPr>
            <w:r w:rsidRPr="005B4CFE">
              <w:rPr>
                <w:sz w:val="18"/>
                <w:szCs w:val="18"/>
              </w:rPr>
              <w:t>–</w:t>
            </w:r>
          </w:p>
        </w:tc>
        <w:tc>
          <w:tcPr>
            <w:tcW w:w="787" w:type="dxa"/>
            <w:shd w:val="clear" w:color="auto" w:fill="auto"/>
            <w:tcMar>
              <w:left w:w="29" w:type="dxa"/>
              <w:right w:w="29" w:type="dxa"/>
            </w:tcMar>
          </w:tcPr>
          <w:p w:rsidR="003A0DC1" w:rsidRPr="005B4CFE" w:rsidRDefault="000B182A" w:rsidP="005B4CFE">
            <w:pPr>
              <w:tabs>
                <w:tab w:val="decimal" w:pos="326"/>
              </w:tabs>
              <w:rPr>
                <w:sz w:val="18"/>
                <w:szCs w:val="18"/>
              </w:rPr>
            </w:pPr>
            <w:r w:rsidRPr="005B4CFE">
              <w:rPr>
                <w:sz w:val="18"/>
                <w:szCs w:val="18"/>
              </w:rPr>
              <w:t>–</w:t>
            </w:r>
          </w:p>
        </w:tc>
        <w:tc>
          <w:tcPr>
            <w:tcW w:w="563" w:type="dxa"/>
            <w:shd w:val="clear" w:color="auto" w:fill="auto"/>
            <w:tcMar>
              <w:left w:w="29" w:type="dxa"/>
              <w:right w:w="29" w:type="dxa"/>
            </w:tcMar>
          </w:tcPr>
          <w:p w:rsidR="003A0DC1" w:rsidRPr="005B4CFE" w:rsidRDefault="000B182A" w:rsidP="005B4CFE">
            <w:pPr>
              <w:tabs>
                <w:tab w:val="decimal" w:pos="271"/>
              </w:tabs>
              <w:rPr>
                <w:sz w:val="18"/>
                <w:szCs w:val="18"/>
              </w:rPr>
            </w:pPr>
            <w:r w:rsidRPr="005B4CFE">
              <w:rPr>
                <w:sz w:val="18"/>
                <w:szCs w:val="18"/>
              </w:rPr>
              <w:t>–</w:t>
            </w:r>
          </w:p>
        </w:tc>
        <w:tc>
          <w:tcPr>
            <w:tcW w:w="1029" w:type="dxa"/>
            <w:tcBorders>
              <w:right w:val="double" w:sz="4" w:space="0" w:color="auto"/>
            </w:tcBorders>
            <w:shd w:val="clear" w:color="auto" w:fill="auto"/>
            <w:tcMar>
              <w:left w:w="29" w:type="dxa"/>
              <w:right w:w="29" w:type="dxa"/>
            </w:tcMar>
          </w:tcPr>
          <w:p w:rsidR="003A0DC1" w:rsidRPr="005B4CFE" w:rsidRDefault="000B182A" w:rsidP="005B4CFE">
            <w:pPr>
              <w:tabs>
                <w:tab w:val="decimal" w:pos="433"/>
              </w:tabs>
              <w:rPr>
                <w:sz w:val="18"/>
                <w:szCs w:val="18"/>
              </w:rPr>
            </w:pPr>
            <w:r w:rsidRPr="005B4CFE">
              <w:rPr>
                <w:sz w:val="18"/>
                <w:szCs w:val="18"/>
              </w:rPr>
              <w:t>–</w:t>
            </w:r>
          </w:p>
        </w:tc>
      </w:tr>
      <w:tr w:rsidR="00012C47" w:rsidRPr="000C72FD" w:rsidTr="007422FC">
        <w:trPr>
          <w:trHeight w:val="346"/>
        </w:trPr>
        <w:tc>
          <w:tcPr>
            <w:tcW w:w="1160" w:type="dxa"/>
            <w:tcBorders>
              <w:left w:val="double" w:sz="4" w:space="0" w:color="auto"/>
              <w:bottom w:val="single" w:sz="4" w:space="0" w:color="auto"/>
              <w:right w:val="double" w:sz="4" w:space="0" w:color="auto"/>
            </w:tcBorders>
            <w:shd w:val="clear" w:color="auto" w:fill="auto"/>
            <w:tcMar>
              <w:left w:w="29" w:type="dxa"/>
              <w:right w:w="29" w:type="dxa"/>
            </w:tcMar>
          </w:tcPr>
          <w:p w:rsidR="000B182A" w:rsidRPr="005B4CFE" w:rsidRDefault="000B182A" w:rsidP="000B182A">
            <w:pPr>
              <w:rPr>
                <w:sz w:val="18"/>
                <w:szCs w:val="18"/>
              </w:rPr>
            </w:pPr>
            <w:r w:rsidRPr="005B4CFE">
              <w:rPr>
                <w:sz w:val="18"/>
                <w:szCs w:val="18"/>
              </w:rPr>
              <w:t>Mean APE</w:t>
            </w:r>
          </w:p>
        </w:tc>
        <w:tc>
          <w:tcPr>
            <w:tcW w:w="591" w:type="dxa"/>
            <w:tcBorders>
              <w:left w:val="double" w:sz="4" w:space="0" w:color="auto"/>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759"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629" w:type="dxa"/>
            <w:tcBorders>
              <w:bottom w:val="single" w:sz="4" w:space="0" w:color="auto"/>
            </w:tcBorders>
            <w:shd w:val="clear" w:color="auto" w:fill="auto"/>
            <w:tcMar>
              <w:left w:w="29" w:type="dxa"/>
              <w:right w:w="29" w:type="dxa"/>
            </w:tcMar>
          </w:tcPr>
          <w:p w:rsidR="000B182A" w:rsidRPr="005B4CFE" w:rsidRDefault="000B182A" w:rsidP="005B4CFE">
            <w:pPr>
              <w:tabs>
                <w:tab w:val="decimal" w:pos="330"/>
              </w:tabs>
              <w:rPr>
                <w:sz w:val="18"/>
                <w:szCs w:val="18"/>
              </w:rPr>
            </w:pPr>
            <w:r w:rsidRPr="005B4CFE">
              <w:rPr>
                <w:sz w:val="18"/>
                <w:szCs w:val="18"/>
              </w:rPr>
              <w:t>3</w:t>
            </w:r>
            <w:r w:rsidR="00C10783">
              <w:rPr>
                <w:sz w:val="18"/>
                <w:szCs w:val="18"/>
              </w:rPr>
              <w:t>2</w:t>
            </w:r>
            <w:r w:rsidRPr="005B4CFE">
              <w:rPr>
                <w:sz w:val="18"/>
                <w:szCs w:val="18"/>
              </w:rPr>
              <w:t>.</w:t>
            </w:r>
            <w:r w:rsidR="00C10783">
              <w:rPr>
                <w:sz w:val="18"/>
                <w:szCs w:val="18"/>
              </w:rPr>
              <w:t>6</w:t>
            </w:r>
            <w:r w:rsidRPr="005B4CFE">
              <w:rPr>
                <w:sz w:val="18"/>
                <w:szCs w:val="18"/>
              </w:rPr>
              <w:t>%</w:t>
            </w:r>
          </w:p>
        </w:tc>
        <w:tc>
          <w:tcPr>
            <w:tcW w:w="818" w:type="dxa"/>
            <w:gridSpan w:val="2"/>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623" w:type="dxa"/>
            <w:tcBorders>
              <w:bottom w:val="single" w:sz="4" w:space="0" w:color="auto"/>
              <w:right w:val="double" w:sz="4" w:space="0" w:color="auto"/>
            </w:tcBorders>
            <w:shd w:val="clear" w:color="auto" w:fill="auto"/>
            <w:tcMar>
              <w:left w:w="29" w:type="dxa"/>
              <w:right w:w="29" w:type="dxa"/>
            </w:tcMar>
          </w:tcPr>
          <w:p w:rsidR="000B182A" w:rsidRPr="005B4CFE" w:rsidRDefault="000B182A" w:rsidP="005B4CFE">
            <w:pPr>
              <w:tabs>
                <w:tab w:val="decimal" w:pos="232"/>
              </w:tabs>
              <w:rPr>
                <w:sz w:val="18"/>
                <w:szCs w:val="18"/>
              </w:rPr>
            </w:pPr>
            <w:r w:rsidRPr="005B4CFE">
              <w:rPr>
                <w:sz w:val="18"/>
                <w:szCs w:val="18"/>
              </w:rPr>
              <w:t>3</w:t>
            </w:r>
            <w:r w:rsidR="00C10783">
              <w:rPr>
                <w:sz w:val="18"/>
                <w:szCs w:val="18"/>
              </w:rPr>
              <w:t>1</w:t>
            </w:r>
            <w:r w:rsidRPr="005B4CFE">
              <w:rPr>
                <w:sz w:val="18"/>
                <w:szCs w:val="18"/>
              </w:rPr>
              <w:t>.</w:t>
            </w:r>
            <w:r w:rsidR="00C10783">
              <w:rPr>
                <w:sz w:val="18"/>
                <w:szCs w:val="18"/>
              </w:rPr>
              <w:t>8</w:t>
            </w:r>
            <w:r w:rsidRPr="005B4CFE">
              <w:rPr>
                <w:sz w:val="18"/>
                <w:szCs w:val="18"/>
              </w:rPr>
              <w:t>%</w:t>
            </w:r>
          </w:p>
        </w:tc>
        <w:tc>
          <w:tcPr>
            <w:tcW w:w="626" w:type="dxa"/>
            <w:tcBorders>
              <w:left w:val="double" w:sz="4" w:space="0" w:color="auto"/>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761"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569"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650"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763"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560"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970" w:type="dxa"/>
            <w:tcBorders>
              <w:bottom w:val="single" w:sz="4" w:space="0" w:color="auto"/>
              <w:right w:val="double" w:sz="4" w:space="0" w:color="auto"/>
            </w:tcBorders>
            <w:shd w:val="clear" w:color="auto" w:fill="auto"/>
            <w:tcMar>
              <w:left w:w="29" w:type="dxa"/>
              <w:right w:w="29" w:type="dxa"/>
            </w:tcMar>
          </w:tcPr>
          <w:p w:rsidR="000B182A" w:rsidRPr="005B4CFE" w:rsidRDefault="000B182A" w:rsidP="005B4CFE">
            <w:pPr>
              <w:tabs>
                <w:tab w:val="decimal" w:pos="451"/>
              </w:tabs>
              <w:rPr>
                <w:sz w:val="18"/>
                <w:szCs w:val="18"/>
              </w:rPr>
            </w:pPr>
            <w:r w:rsidRPr="005B4CFE">
              <w:rPr>
                <w:sz w:val="18"/>
                <w:szCs w:val="18"/>
              </w:rPr>
              <w:t>2</w:t>
            </w:r>
            <w:r w:rsidR="001641AB">
              <w:rPr>
                <w:sz w:val="18"/>
                <w:szCs w:val="18"/>
              </w:rPr>
              <w:t>5</w:t>
            </w:r>
            <w:r w:rsidRPr="005B4CFE">
              <w:rPr>
                <w:sz w:val="18"/>
                <w:szCs w:val="18"/>
              </w:rPr>
              <w:t>.</w:t>
            </w:r>
            <w:r w:rsidR="001641AB">
              <w:rPr>
                <w:sz w:val="18"/>
                <w:szCs w:val="18"/>
              </w:rPr>
              <w:t>2</w:t>
            </w:r>
            <w:r w:rsidRPr="005B4CFE">
              <w:rPr>
                <w:sz w:val="18"/>
                <w:szCs w:val="18"/>
              </w:rPr>
              <w:t>%</w:t>
            </w:r>
          </w:p>
        </w:tc>
        <w:tc>
          <w:tcPr>
            <w:tcW w:w="744" w:type="dxa"/>
            <w:tcBorders>
              <w:left w:val="double" w:sz="4" w:space="0" w:color="auto"/>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567"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787"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563" w:type="dxa"/>
            <w:tcBorders>
              <w:bottom w:val="sing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1029" w:type="dxa"/>
            <w:tcBorders>
              <w:bottom w:val="single" w:sz="4" w:space="0" w:color="auto"/>
              <w:right w:val="double" w:sz="4" w:space="0" w:color="auto"/>
            </w:tcBorders>
            <w:shd w:val="clear" w:color="auto" w:fill="auto"/>
            <w:tcMar>
              <w:left w:w="29" w:type="dxa"/>
              <w:right w:w="29" w:type="dxa"/>
            </w:tcMar>
          </w:tcPr>
          <w:p w:rsidR="000B182A" w:rsidRPr="005B4CFE" w:rsidRDefault="00C10783" w:rsidP="005B4CFE">
            <w:pPr>
              <w:tabs>
                <w:tab w:val="decimal" w:pos="433"/>
              </w:tabs>
              <w:rPr>
                <w:sz w:val="18"/>
                <w:szCs w:val="18"/>
              </w:rPr>
            </w:pPr>
            <w:r>
              <w:rPr>
                <w:sz w:val="18"/>
                <w:szCs w:val="18"/>
              </w:rPr>
              <w:t>24.8</w:t>
            </w:r>
            <w:r w:rsidR="000B182A" w:rsidRPr="005B4CFE">
              <w:rPr>
                <w:sz w:val="18"/>
                <w:szCs w:val="18"/>
              </w:rPr>
              <w:t>%</w:t>
            </w:r>
          </w:p>
        </w:tc>
      </w:tr>
      <w:tr w:rsidR="00012C47" w:rsidRPr="000C72FD" w:rsidTr="007422FC">
        <w:trPr>
          <w:trHeight w:val="346"/>
        </w:trPr>
        <w:tc>
          <w:tcPr>
            <w:tcW w:w="1160" w:type="dxa"/>
            <w:tcBorders>
              <w:left w:val="double" w:sz="4" w:space="0" w:color="auto"/>
              <w:bottom w:val="double" w:sz="4" w:space="0" w:color="auto"/>
              <w:right w:val="double" w:sz="4" w:space="0" w:color="auto"/>
            </w:tcBorders>
            <w:shd w:val="clear" w:color="auto" w:fill="auto"/>
            <w:tcMar>
              <w:left w:w="29" w:type="dxa"/>
              <w:right w:w="29" w:type="dxa"/>
            </w:tcMar>
          </w:tcPr>
          <w:p w:rsidR="000B182A" w:rsidRPr="005B4CFE" w:rsidRDefault="000B182A" w:rsidP="000B182A">
            <w:pPr>
              <w:rPr>
                <w:sz w:val="18"/>
                <w:szCs w:val="18"/>
              </w:rPr>
            </w:pPr>
            <w:r w:rsidRPr="005B4CFE">
              <w:rPr>
                <w:sz w:val="18"/>
                <w:szCs w:val="18"/>
              </w:rPr>
              <w:t>Weighted MAPE</w:t>
            </w:r>
          </w:p>
        </w:tc>
        <w:tc>
          <w:tcPr>
            <w:tcW w:w="591" w:type="dxa"/>
            <w:tcBorders>
              <w:left w:val="double" w:sz="4" w:space="0" w:color="auto"/>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759"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629" w:type="dxa"/>
            <w:tcBorders>
              <w:bottom w:val="double" w:sz="4" w:space="0" w:color="auto"/>
            </w:tcBorders>
            <w:shd w:val="clear" w:color="auto" w:fill="auto"/>
            <w:tcMar>
              <w:left w:w="29" w:type="dxa"/>
              <w:right w:w="29" w:type="dxa"/>
            </w:tcMar>
          </w:tcPr>
          <w:p w:rsidR="000B182A" w:rsidRPr="005B4CFE" w:rsidRDefault="000B182A" w:rsidP="005B4CFE">
            <w:pPr>
              <w:tabs>
                <w:tab w:val="decimal" w:pos="330"/>
              </w:tabs>
              <w:rPr>
                <w:sz w:val="18"/>
                <w:szCs w:val="18"/>
              </w:rPr>
            </w:pPr>
            <w:r w:rsidRPr="005B4CFE">
              <w:rPr>
                <w:sz w:val="18"/>
                <w:szCs w:val="18"/>
              </w:rPr>
              <w:t>2</w:t>
            </w:r>
            <w:r w:rsidR="00415685">
              <w:rPr>
                <w:sz w:val="18"/>
                <w:szCs w:val="18"/>
              </w:rPr>
              <w:t>3.2</w:t>
            </w:r>
            <w:r w:rsidRPr="005B4CFE">
              <w:rPr>
                <w:sz w:val="18"/>
                <w:szCs w:val="18"/>
              </w:rPr>
              <w:t>%</w:t>
            </w:r>
          </w:p>
        </w:tc>
        <w:tc>
          <w:tcPr>
            <w:tcW w:w="818" w:type="dxa"/>
            <w:gridSpan w:val="2"/>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623" w:type="dxa"/>
            <w:tcBorders>
              <w:bottom w:val="double" w:sz="4" w:space="0" w:color="auto"/>
              <w:right w:val="double" w:sz="4" w:space="0" w:color="auto"/>
            </w:tcBorders>
            <w:shd w:val="clear" w:color="auto" w:fill="auto"/>
            <w:tcMar>
              <w:left w:w="29" w:type="dxa"/>
              <w:right w:w="29" w:type="dxa"/>
            </w:tcMar>
          </w:tcPr>
          <w:p w:rsidR="000B182A" w:rsidRPr="005B4CFE" w:rsidRDefault="00415685" w:rsidP="005B4CFE">
            <w:pPr>
              <w:tabs>
                <w:tab w:val="decimal" w:pos="232"/>
              </w:tabs>
              <w:rPr>
                <w:sz w:val="18"/>
                <w:szCs w:val="18"/>
              </w:rPr>
            </w:pPr>
            <w:r>
              <w:rPr>
                <w:sz w:val="18"/>
                <w:szCs w:val="18"/>
              </w:rPr>
              <w:t>16</w:t>
            </w:r>
            <w:r w:rsidR="000B182A" w:rsidRPr="005B4CFE">
              <w:rPr>
                <w:sz w:val="18"/>
                <w:szCs w:val="18"/>
              </w:rPr>
              <w:t>.</w:t>
            </w:r>
            <w:r>
              <w:rPr>
                <w:sz w:val="18"/>
                <w:szCs w:val="18"/>
              </w:rPr>
              <w:t>0</w:t>
            </w:r>
            <w:r w:rsidR="000B182A" w:rsidRPr="005B4CFE">
              <w:rPr>
                <w:sz w:val="18"/>
                <w:szCs w:val="18"/>
              </w:rPr>
              <w:t>%</w:t>
            </w:r>
          </w:p>
        </w:tc>
        <w:tc>
          <w:tcPr>
            <w:tcW w:w="626" w:type="dxa"/>
            <w:tcBorders>
              <w:left w:val="double" w:sz="4" w:space="0" w:color="auto"/>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761"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569"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650"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763"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560"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970" w:type="dxa"/>
            <w:tcBorders>
              <w:bottom w:val="double" w:sz="4" w:space="0" w:color="auto"/>
              <w:right w:val="double" w:sz="4" w:space="0" w:color="auto"/>
            </w:tcBorders>
            <w:shd w:val="clear" w:color="auto" w:fill="auto"/>
            <w:tcMar>
              <w:left w:w="29" w:type="dxa"/>
              <w:right w:w="29" w:type="dxa"/>
            </w:tcMar>
          </w:tcPr>
          <w:p w:rsidR="000B182A" w:rsidRPr="005B4CFE" w:rsidRDefault="000B182A" w:rsidP="005B4CFE">
            <w:pPr>
              <w:tabs>
                <w:tab w:val="decimal" w:pos="451"/>
              </w:tabs>
              <w:rPr>
                <w:sz w:val="18"/>
                <w:szCs w:val="18"/>
              </w:rPr>
            </w:pPr>
            <w:r w:rsidRPr="005B4CFE">
              <w:rPr>
                <w:sz w:val="18"/>
                <w:szCs w:val="18"/>
              </w:rPr>
              <w:t>2</w:t>
            </w:r>
            <w:r w:rsidR="00415685">
              <w:rPr>
                <w:sz w:val="18"/>
                <w:szCs w:val="18"/>
              </w:rPr>
              <w:t>2</w:t>
            </w:r>
            <w:r w:rsidRPr="005B4CFE">
              <w:rPr>
                <w:sz w:val="18"/>
                <w:szCs w:val="18"/>
              </w:rPr>
              <w:t>.</w:t>
            </w:r>
            <w:r w:rsidR="00415685">
              <w:rPr>
                <w:sz w:val="18"/>
                <w:szCs w:val="18"/>
              </w:rPr>
              <w:t>6</w:t>
            </w:r>
            <w:r w:rsidRPr="005B4CFE">
              <w:rPr>
                <w:sz w:val="18"/>
                <w:szCs w:val="18"/>
              </w:rPr>
              <w:t>%</w:t>
            </w:r>
          </w:p>
        </w:tc>
        <w:tc>
          <w:tcPr>
            <w:tcW w:w="744" w:type="dxa"/>
            <w:tcBorders>
              <w:left w:val="double" w:sz="4" w:space="0" w:color="auto"/>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567"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787"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563" w:type="dxa"/>
            <w:tcBorders>
              <w:bottom w:val="double" w:sz="4" w:space="0" w:color="auto"/>
            </w:tcBorders>
            <w:shd w:val="clear" w:color="auto" w:fill="auto"/>
            <w:tcMar>
              <w:left w:w="29" w:type="dxa"/>
              <w:right w:w="29" w:type="dxa"/>
            </w:tcMar>
          </w:tcPr>
          <w:p w:rsidR="000B182A" w:rsidRPr="005B4CFE" w:rsidRDefault="000B182A" w:rsidP="005B4CFE">
            <w:pPr>
              <w:jc w:val="center"/>
              <w:rPr>
                <w:sz w:val="18"/>
                <w:szCs w:val="18"/>
              </w:rPr>
            </w:pPr>
            <w:r w:rsidRPr="005B4CFE">
              <w:rPr>
                <w:sz w:val="18"/>
                <w:szCs w:val="18"/>
              </w:rPr>
              <w:t>–</w:t>
            </w:r>
          </w:p>
        </w:tc>
        <w:tc>
          <w:tcPr>
            <w:tcW w:w="1029" w:type="dxa"/>
            <w:tcBorders>
              <w:bottom w:val="double" w:sz="4" w:space="0" w:color="auto"/>
              <w:right w:val="double" w:sz="4" w:space="0" w:color="auto"/>
            </w:tcBorders>
            <w:shd w:val="clear" w:color="auto" w:fill="auto"/>
            <w:tcMar>
              <w:left w:w="29" w:type="dxa"/>
              <w:right w:w="29" w:type="dxa"/>
            </w:tcMar>
          </w:tcPr>
          <w:p w:rsidR="000B182A" w:rsidRPr="005B4CFE" w:rsidRDefault="00415685" w:rsidP="005B4CFE">
            <w:pPr>
              <w:tabs>
                <w:tab w:val="decimal" w:pos="433"/>
              </w:tabs>
              <w:rPr>
                <w:sz w:val="18"/>
                <w:szCs w:val="18"/>
              </w:rPr>
            </w:pPr>
            <w:r>
              <w:rPr>
                <w:sz w:val="18"/>
                <w:szCs w:val="18"/>
              </w:rPr>
              <w:t>22</w:t>
            </w:r>
            <w:r w:rsidR="000B182A" w:rsidRPr="005B4CFE">
              <w:rPr>
                <w:sz w:val="18"/>
                <w:szCs w:val="18"/>
              </w:rPr>
              <w:t>.</w:t>
            </w:r>
            <w:r>
              <w:rPr>
                <w:sz w:val="18"/>
                <w:szCs w:val="18"/>
              </w:rPr>
              <w:t>5</w:t>
            </w:r>
            <w:r w:rsidR="000B182A" w:rsidRPr="005B4CFE">
              <w:rPr>
                <w:sz w:val="18"/>
                <w:szCs w:val="18"/>
              </w:rPr>
              <w:t>%</w:t>
            </w:r>
          </w:p>
        </w:tc>
      </w:tr>
    </w:tbl>
    <w:p w:rsidR="003A0DC1" w:rsidRDefault="003A0DC1" w:rsidP="003A0DC1"/>
    <w:p w:rsidR="003A0DC1" w:rsidRDefault="003A0DC1" w:rsidP="003A0DC1"/>
    <w:p w:rsidR="003A0DC1" w:rsidRDefault="003A0DC1" w:rsidP="003A0DC1"/>
    <w:p w:rsidR="004E3D03" w:rsidRDefault="004E3D03" w:rsidP="004E3D03">
      <w:pPr>
        <w:spacing w:after="160" w:line="276" w:lineRule="auto"/>
        <w:rPr>
          <w:b/>
        </w:rPr>
        <w:sectPr w:rsidR="004E3D03" w:rsidSect="00A071C3">
          <w:pgSz w:w="15840" w:h="12240" w:orient="landscape" w:code="1"/>
          <w:pgMar w:top="1440" w:right="1440" w:bottom="1440" w:left="1440" w:header="720" w:footer="720" w:gutter="0"/>
          <w:cols w:space="720"/>
          <w:docGrid w:linePitch="360"/>
        </w:sectPr>
      </w:pPr>
    </w:p>
    <w:p w:rsidR="009048AC" w:rsidRPr="009048AC" w:rsidRDefault="009048AC" w:rsidP="0070560A">
      <w:pPr>
        <w:spacing w:after="160" w:line="276" w:lineRule="auto"/>
        <w:jc w:val="center"/>
        <w:rPr>
          <w:b/>
        </w:rPr>
      </w:pPr>
      <w:r w:rsidRPr="009048AC">
        <w:rPr>
          <w:b/>
        </w:rPr>
        <w:lastRenderedPageBreak/>
        <w:t xml:space="preserve">APPENDIX A: </w:t>
      </w:r>
      <w:r w:rsidR="00553744">
        <w:rPr>
          <w:b/>
        </w:rPr>
        <w:t>MinLogistic</w:t>
      </w:r>
      <w:r w:rsidRPr="009048AC">
        <w:rPr>
          <w:b/>
        </w:rPr>
        <w:t xml:space="preserve"> Distribution Properties</w:t>
      </w:r>
    </w:p>
    <w:p w:rsidR="0005784C" w:rsidRDefault="0005784C" w:rsidP="004B450C">
      <w:pPr>
        <w:spacing w:line="276" w:lineRule="auto"/>
        <w:jc w:val="both"/>
      </w:pPr>
      <w:r>
        <w:rPr>
          <w:b/>
        </w:rPr>
        <w:t>A</w:t>
      </w:r>
      <w:r w:rsidR="00D1647F">
        <w:rPr>
          <w:b/>
        </w:rPr>
        <w:t>.</w:t>
      </w:r>
      <w:r w:rsidR="009048AC">
        <w:rPr>
          <w:b/>
        </w:rPr>
        <w:t>1</w:t>
      </w:r>
      <w:r w:rsidRPr="00671392">
        <w:rPr>
          <w:b/>
        </w:rPr>
        <w:t>:</w:t>
      </w:r>
      <w:r w:rsidR="009048AC">
        <w:rPr>
          <w:b/>
        </w:rPr>
        <w:t xml:space="preserve"> Derivation of the Survival Distribution Function </w:t>
      </w:r>
      <w:r w:rsidRPr="00671392">
        <w:rPr>
          <w:b/>
        </w:rPr>
        <w:t xml:space="preserve"> </w:t>
      </w:r>
    </w:p>
    <w:p w:rsidR="00C371BF" w:rsidRPr="00CB4D5B" w:rsidRDefault="00C371BF" w:rsidP="0070560A">
      <w:pPr>
        <w:spacing w:line="276" w:lineRule="auto"/>
        <w:jc w:val="both"/>
      </w:pPr>
      <w:r>
        <w:t xml:space="preserve">From </w:t>
      </w:r>
      <w:r w:rsidRPr="00CB4D5B">
        <w:t>Equation (</w:t>
      </w:r>
      <w:r w:rsidR="0070560A" w:rsidRPr="00CB4D5B">
        <w:t>2</w:t>
      </w:r>
      <w:r w:rsidR="004F1E34" w:rsidRPr="00CB4D5B">
        <w:t>6</w:t>
      </w:r>
      <w:r w:rsidRPr="00CB4D5B">
        <w:t>)</w:t>
      </w:r>
      <w:r w:rsidR="004A0E62" w:rsidRPr="00CB4D5B">
        <w:t>,</w:t>
      </w:r>
    </w:p>
    <w:p w:rsidR="0005784C" w:rsidRDefault="0070560A" w:rsidP="00CB4D5B">
      <w:pPr>
        <w:spacing w:before="60" w:after="60" w:line="276" w:lineRule="auto"/>
        <w:jc w:val="both"/>
      </w:pPr>
      <w:r w:rsidRPr="00CB4D5B">
        <w:rPr>
          <w:position w:val="-110"/>
        </w:rPr>
        <w:object w:dxaOrig="5740" w:dyaOrig="2360">
          <v:shape id="_x0000_i1328" type="#_x0000_t75" style="width:287.15pt;height:117.85pt" o:ole="">
            <v:imagedata r:id="rId582" o:title=""/>
          </v:shape>
          <o:OLEObject Type="Embed" ProgID="Equation.DSMT4" ShapeID="_x0000_i1328" DrawAspect="Content" ObjectID="_1722089821" r:id="rId583"/>
        </w:object>
      </w:r>
    </w:p>
    <w:p w:rsidR="0005784C" w:rsidRPr="00671392" w:rsidRDefault="00755009" w:rsidP="0070560A">
      <w:pPr>
        <w:tabs>
          <w:tab w:val="right" w:pos="9360"/>
        </w:tabs>
        <w:spacing w:before="60" w:after="60" w:line="276" w:lineRule="auto"/>
        <w:jc w:val="both"/>
      </w:pPr>
      <w:r>
        <w:t xml:space="preserve">where </w:t>
      </w:r>
      <w:r w:rsidRPr="00755009">
        <w:rPr>
          <w:position w:val="-10"/>
        </w:rPr>
        <w:object w:dxaOrig="240" w:dyaOrig="380">
          <v:shape id="_x0000_i1329" type="#_x0000_t75" style="width:12pt;height:18.85pt" o:ole="">
            <v:imagedata r:id="rId584" o:title=""/>
          </v:shape>
          <o:OLEObject Type="Embed" ProgID="Equation.DSMT4" ShapeID="_x0000_i1329" DrawAspect="Content" ObjectID="_1722089822" r:id="rId585"/>
        </w:object>
      </w:r>
      <w:r>
        <w:t xml:space="preserve"> and </w:t>
      </w:r>
      <w:r w:rsidRPr="00755009">
        <w:rPr>
          <w:position w:val="-12"/>
        </w:rPr>
        <w:object w:dxaOrig="300" w:dyaOrig="360">
          <v:shape id="_x0000_i1330" type="#_x0000_t75" style="width:15pt;height:18pt" o:ole="">
            <v:imagedata r:id="rId586" o:title=""/>
          </v:shape>
          <o:OLEObject Type="Embed" ProgID="Equation.DSMT4" ShapeID="_x0000_i1330" DrawAspect="Content" ObjectID="_1722089823" r:id="rId587"/>
        </w:object>
      </w:r>
      <w:r>
        <w:t xml:space="preserve"> are all standard </w:t>
      </w:r>
      <w:r w:rsidR="00FB15E7">
        <w:t xml:space="preserve">(and independent) </w:t>
      </w:r>
      <w:r>
        <w:t xml:space="preserve">reverse-Gumbel terms. Using </w:t>
      </w:r>
      <w:r w:rsidR="0005784C" w:rsidRPr="002A249E">
        <w:t>standard reverse-Gumbel distribution</w:t>
      </w:r>
      <w:r>
        <w:t xml:space="preserve"> properties</w:t>
      </w:r>
      <w:r w:rsidR="0005784C">
        <w:t xml:space="preserve">, we </w:t>
      </w:r>
      <w:r>
        <w:t>may write:</w:t>
      </w:r>
      <w:r w:rsidR="0005784C">
        <w:t xml:space="preserve"> </w:t>
      </w:r>
    </w:p>
    <w:p w:rsidR="0005784C" w:rsidRDefault="00FB15E7" w:rsidP="00CB4D5B">
      <w:pPr>
        <w:tabs>
          <w:tab w:val="right" w:pos="9360"/>
        </w:tabs>
        <w:spacing w:before="60" w:after="60" w:line="276" w:lineRule="auto"/>
        <w:jc w:val="both"/>
      </w:pPr>
      <w:r w:rsidRPr="00FB15E7">
        <w:rPr>
          <w:position w:val="-82"/>
        </w:rPr>
        <w:object w:dxaOrig="7420" w:dyaOrig="1740">
          <v:shape id="_x0000_i1331" type="#_x0000_t75" style="width:370.7pt;height:87.45pt" o:ole="" o:preferrelative="f">
            <v:imagedata r:id="rId588" o:title=""/>
            <o:lock v:ext="edit" aspectratio="f"/>
          </v:shape>
          <o:OLEObject Type="Embed" ProgID="Equation.DSMT4" ShapeID="_x0000_i1331" DrawAspect="Content" ObjectID="_1722089824" r:id="rId589"/>
        </w:object>
      </w:r>
      <w:r w:rsidR="0005784C" w:rsidRPr="00671392">
        <w:tab/>
      </w:r>
      <w:r w:rsidR="0005784C">
        <w:t xml:space="preserve">               </w:t>
      </w:r>
    </w:p>
    <w:p w:rsidR="009048AC" w:rsidRDefault="009048AC" w:rsidP="0070560A">
      <w:pPr>
        <w:spacing w:line="276" w:lineRule="auto"/>
        <w:jc w:val="both"/>
      </w:pPr>
      <w:r>
        <w:t xml:space="preserve">Next, consider the first integral. Straightforward integration and application of the limits provides the result that it is equal to </w:t>
      </w:r>
      <w:r w:rsidRPr="009048AC">
        <w:rPr>
          <w:position w:val="-32"/>
        </w:rPr>
        <w:object w:dxaOrig="1040" w:dyaOrig="700">
          <v:shape id="_x0000_i1332" type="#_x0000_t75" style="width:51.85pt;height:34.7pt" o:ole="" o:preferrelative="f">
            <v:imagedata r:id="rId590" o:title=""/>
            <o:lock v:ext="edit" aspectratio="f"/>
          </v:shape>
          <o:OLEObject Type="Embed" ProgID="Equation.DSMT4" ShapeID="_x0000_i1332" DrawAspect="Content" ObjectID="_1722089825" r:id="rId591"/>
        </w:object>
      </w:r>
      <w:r>
        <w:t xml:space="preserve"> Other subsequent integrals may be similarly computed to give the result that:</w:t>
      </w:r>
    </w:p>
    <w:p w:rsidR="009048AC" w:rsidRDefault="009048AC" w:rsidP="004F68A2">
      <w:pPr>
        <w:spacing w:before="120" w:after="120" w:line="276" w:lineRule="auto"/>
        <w:jc w:val="both"/>
      </w:pPr>
      <w:r w:rsidRPr="009048AC">
        <w:rPr>
          <w:position w:val="-60"/>
        </w:rPr>
        <w:object w:dxaOrig="3660" w:dyaOrig="980">
          <v:shape id="_x0000_i1333" type="#_x0000_t75" style="width:183pt;height:48.85pt" o:ole="">
            <v:imagedata r:id="rId592" o:title=""/>
          </v:shape>
          <o:OLEObject Type="Embed" ProgID="Equation.DSMT4" ShapeID="_x0000_i1333" DrawAspect="Content" ObjectID="_1722089826" r:id="rId593"/>
        </w:object>
      </w:r>
      <w:r>
        <w:t xml:space="preserve"> as in </w:t>
      </w:r>
      <w:r w:rsidRPr="00CB4D5B">
        <w:t>Equation (</w:t>
      </w:r>
      <w:r w:rsidR="00563E2B" w:rsidRPr="00CB4D5B">
        <w:t>2</w:t>
      </w:r>
      <w:r w:rsidR="004F1E34" w:rsidRPr="00CB4D5B">
        <w:t>7</w:t>
      </w:r>
      <w:r w:rsidRPr="00CB4D5B">
        <w:t>).</w:t>
      </w:r>
      <w:r>
        <w:t xml:space="preserve"> </w:t>
      </w:r>
    </w:p>
    <w:p w:rsidR="0005784C" w:rsidRDefault="009048AC" w:rsidP="0070560A">
      <w:pPr>
        <w:spacing w:line="276" w:lineRule="auto"/>
        <w:jc w:val="both"/>
      </w:pPr>
      <w:r w:rsidRPr="00CB4D5B">
        <w:t>Equation (</w:t>
      </w:r>
      <w:r w:rsidR="00563E2B" w:rsidRPr="00CB4D5B">
        <w:t>2</w:t>
      </w:r>
      <w:r w:rsidR="008E70B5" w:rsidRPr="00CB4D5B">
        <w:t>8</w:t>
      </w:r>
      <w:r w:rsidRPr="00CB4D5B">
        <w:t>) r</w:t>
      </w:r>
      <w:r w:rsidRPr="00506FA0">
        <w:t>esult</w:t>
      </w:r>
      <w:r w:rsidR="004F1E34">
        <w:t>s</w:t>
      </w:r>
      <w:r>
        <w:t xml:space="preserve"> directly from the above surviv</w:t>
      </w:r>
      <w:r w:rsidR="00ED1C8F">
        <w:t>al</w:t>
      </w:r>
      <w:r>
        <w:t xml:space="preserve"> distribution function. </w:t>
      </w:r>
    </w:p>
    <w:p w:rsidR="00DE0C9C" w:rsidRDefault="00DE0C9C" w:rsidP="004B450C">
      <w:pPr>
        <w:spacing w:line="276" w:lineRule="auto"/>
        <w:jc w:val="both"/>
      </w:pPr>
    </w:p>
    <w:p w:rsidR="00720A0A" w:rsidRPr="00456DB7" w:rsidRDefault="00720A0A" w:rsidP="004B450C">
      <w:pPr>
        <w:spacing w:line="276" w:lineRule="auto"/>
        <w:rPr>
          <w:b/>
        </w:rPr>
      </w:pPr>
      <w:bookmarkStart w:id="6" w:name="_Hlk97025393"/>
      <w:r w:rsidRPr="00456DB7">
        <w:rPr>
          <w:b/>
        </w:rPr>
        <w:t>A</w:t>
      </w:r>
      <w:r w:rsidR="00D1647F">
        <w:rPr>
          <w:b/>
        </w:rPr>
        <w:t>.</w:t>
      </w:r>
      <w:r w:rsidRPr="00456DB7">
        <w:rPr>
          <w:b/>
        </w:rPr>
        <w:t xml:space="preserve">2: Unimodality and </w:t>
      </w:r>
      <w:r w:rsidR="00D1647F">
        <w:rPr>
          <w:b/>
        </w:rPr>
        <w:t>M</w:t>
      </w:r>
      <w:r w:rsidRPr="00456DB7">
        <w:rPr>
          <w:b/>
        </w:rPr>
        <w:t xml:space="preserve">odal </w:t>
      </w:r>
      <w:r w:rsidR="00D1647F">
        <w:rPr>
          <w:b/>
        </w:rPr>
        <w:t>V</w:t>
      </w:r>
      <w:r w:rsidRPr="00456DB7">
        <w:rPr>
          <w:b/>
        </w:rPr>
        <w:t xml:space="preserve">alue of the </w:t>
      </w:r>
      <w:r w:rsidR="00D1647F">
        <w:rPr>
          <w:b/>
        </w:rPr>
        <w:t>M</w:t>
      </w:r>
      <w:r w:rsidRPr="00456DB7">
        <w:rPr>
          <w:b/>
        </w:rPr>
        <w:t xml:space="preserve">inLogistic </w:t>
      </w:r>
      <w:r w:rsidR="00D1647F">
        <w:rPr>
          <w:b/>
        </w:rPr>
        <w:t>D</w:t>
      </w:r>
      <w:r w:rsidRPr="00456DB7">
        <w:rPr>
          <w:b/>
        </w:rPr>
        <w:t>istribution</w:t>
      </w:r>
    </w:p>
    <w:p w:rsidR="004B450C" w:rsidRDefault="00720A0A" w:rsidP="004B450C">
      <w:pPr>
        <w:spacing w:line="276" w:lineRule="auto"/>
        <w:jc w:val="both"/>
      </w:pPr>
      <w:r w:rsidRPr="00456DB7">
        <w:t>To prove that the minLogistic distribution is unimodal, it suffices to show that the density funct</w:t>
      </w:r>
      <w:r w:rsidR="00D1647F">
        <w:t>i</w:t>
      </w:r>
      <w:r w:rsidRPr="00456DB7">
        <w:t xml:space="preserve">on is log-concave. That is, that the logarithm of the density function is globally concave (see </w:t>
      </w:r>
      <w:r w:rsidRPr="006567A3">
        <w:t>Saumard and Wellner, 2014).</w:t>
      </w:r>
      <w:r w:rsidRPr="00456DB7">
        <w:t xml:space="preserve">  </w:t>
      </w:r>
    </w:p>
    <w:p w:rsidR="00456DB7" w:rsidRDefault="00720A0A" w:rsidP="004B450C">
      <w:pPr>
        <w:spacing w:line="276" w:lineRule="auto"/>
        <w:jc w:val="both"/>
      </w:pPr>
      <w:r w:rsidRPr="00456DB7">
        <w:br/>
        <w:t>Thus, we need to show that:</w:t>
      </w:r>
    </w:p>
    <w:p w:rsidR="00720A0A" w:rsidRPr="00456DB7" w:rsidRDefault="00720A0A" w:rsidP="0070560A">
      <w:pPr>
        <w:spacing w:line="276" w:lineRule="auto"/>
      </w:pPr>
      <w:r w:rsidRPr="00456DB7">
        <w:br/>
      </w:r>
      <w:r w:rsidR="009A08FE">
        <w:pict>
          <v:shape id="_x0000_i1334" type="#_x0000_t75" style="width:76.7pt;height:2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7A&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F93A7A&quot; wsp:rsidRDefault=&quot;00F93A7A&quot; wsp:rsidP=&quot;00F93A7A&quot;&gt;&lt;m:oMathPara&gt;&lt;m:oMathParaPr&gt;&lt;m:jc m:val=&quot;left&quot;/&gt;&lt;/m:oMathParaPr&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âˆ‚&lt;/m:t&gt;&lt;/m:r&gt;&lt;/m:e&gt;&lt;m:sup&gt;&lt;m:r&gt;&lt;w:rPr&gt;&lt;w:rFonts w:ascii=&quot;Cambria Math&quot; w:h-ansi=&quot;Cambria Math&quot;/&gt;&lt;wx:font wx:val=&quot;Cambria Math&quot;/&gt;&lt;w:i/&gt;&lt;/w:rPr&gt;&lt;m:t&gt;2&lt;/m:t&gt;&lt;/m:r&gt;&lt;/m:sup&gt;&lt;/m:sSup&gt;&lt;m:func&gt;&lt;m:funcPr&gt;&lt;m:ctrlPr&gt;&lt;w:rPr&gt;&lt;w:rFonts w:ascii=&quot;Cambria Math&quot; w:h-ansi=&quot;Cambria Math&quot;/&gt;&lt;wx:font wx:val=&quot;Cambria Math&quot;/&gt;&lt;w:i/&gt;&lt;/w:rPr&gt;&lt;/m:ctrlPr&gt;&lt;/m:funcPr&gt;&lt;m:fName&gt;&lt;m:r&gt;&lt;m:rPr&gt;&lt;m:sty m:val=&quot;p&quot;/&gt;&lt;/m:rPr&gt;&lt;w:rPr&gt;&lt;w:rFonts w:ascii=&quot;Cambria Math&quot; w:h-ansi=&quot;Cambria Math&quot;/&gt;&lt;wx:font wx:val=&quot;Cambria Math&quot;/&gt;&lt;/w:rPr&gt;&lt;m:t&gt;ln&lt;/m:t&gt;&lt;/m:r&gt;&lt;/m:fNa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 &lt;/m:t&gt;&lt;/m:r&gt;&lt;/m:e&gt;&lt;/m:func&gt;&lt;/m:num&gt;&lt;m:den&gt;&lt;m:r&gt;&lt;w:rPr&gt;&lt;w:rFonts w:ascii=&quot;Cambria Math&quot; w:h-ansi=&quot;Cambria Math&quot;/&gt;&lt;wx:font wx:val=&quot;Cambria Math&quot;/&gt;&lt;w:i/&gt;&lt;/w:rPr&gt;&lt;m:t&gt;âˆ‚&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amp;lt;0&lt;/m:t&gt;&lt;/m:r&gt;&lt;/m:oMath&gt;&lt;/m:oMathPara&gt;&lt;/w:p&gt;&lt;w:sectPr wsp:rsidR=&quot;00000000&quot; wsp:rsidRPr=&quot;00F93A7A&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4" o:title="" chromakey="white"/>
          </v:shape>
        </w:pict>
      </w:r>
    </w:p>
    <w:p w:rsidR="00456DB7" w:rsidRDefault="00456DB7" w:rsidP="00720A0A"/>
    <w:p w:rsidR="00720A0A" w:rsidRPr="00456DB7" w:rsidRDefault="00720A0A" w:rsidP="00720A0A">
      <w:r w:rsidRPr="00CB4D5B">
        <w:lastRenderedPageBreak/>
        <w:t>From Equation (</w:t>
      </w:r>
      <w:r w:rsidR="00563E2B" w:rsidRPr="00CB4D5B">
        <w:t>2</w:t>
      </w:r>
      <w:r w:rsidR="008E70B5" w:rsidRPr="00CB4D5B">
        <w:t>8</w:t>
      </w:r>
      <w:r w:rsidRPr="00CB4D5B">
        <w:t>)</w:t>
      </w:r>
      <w:r w:rsidRPr="00506FA0">
        <w:t xml:space="preserve"> in</w:t>
      </w:r>
      <w:r w:rsidRPr="00456DB7">
        <w:t xml:space="preserve"> the text,</w:t>
      </w:r>
    </w:p>
    <w:p w:rsidR="00720A0A" w:rsidRPr="00456DB7" w:rsidRDefault="009A08FE" w:rsidP="00525917">
      <w:pPr>
        <w:spacing w:line="276" w:lineRule="auto"/>
        <w:rPr>
          <w:i/>
        </w:rPr>
      </w:pPr>
      <w:r>
        <w:pict>
          <v:shape id="_x0000_i1335" type="#_x0000_t75" style="width:223.7pt;height:4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3434&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D63434&quot; wsp:rsidRDefault=&quot;00D63434&quot; wsp:rsidP=&quot;00D63434&quot;&gt;&lt;m:oMathPara&gt;&lt;m:oMathParaPr&gt;&lt;m:jc m:val=&quot;left&quot;/&gt;&lt;/m:oMathParaPr&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Ïƒ&lt;/m:t&gt;&lt;/m:r&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e&gt;&lt;/m:nary&gt;&lt;m:r&gt;&lt;w:rPr&gt;&lt;w:rFonts w:ascii=&quot;Cambria Math&quot; w:h-ansi=&quot;Cambria Math&quot;/&gt;&lt;wx:font wx:val=&quot;Cambria Math&quot;/&gt;&lt;w:i/&gt;&lt;/w:rPr&gt;&lt;m:t&gt;)&lt;/m:t&gt;&lt;/m:r&gt;&lt;/m:den&gt;&lt;/m:f&gt;&lt;m:r&gt;&lt;w:rPr&gt;&lt;w:rFonts w:ascii=&quot;Cambria Math&quot; w:h-ansi=&quot;Cambria Math&quot;/&gt;&lt;wx:font wx:val=&quot;Cambria Math&quot;/&gt;&lt;w:i/&gt;&lt;/w:rPr&gt;&lt;m:t&gt; &lt;/m:t&gt;&lt;/m:r&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num&gt;&lt;m:den&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en&gt;&lt;/m:f&gt;&lt;/m:e&gt;&lt;/m:d&gt;&lt;/m:e&gt;&lt;/m:nary&gt;&lt;m:r&gt;&lt;w:rPr&gt;&lt;w:rFonts w:ascii=&quot;Cambria Math&quot; w:h-ansi=&quot;Cambria Math&quot;/&gt;&lt;wx:font wx:val=&quot;Cambria Math&quot;/&gt;&lt;w:i/&gt;&lt;/w:rPr&gt;&lt;m:t&gt; &lt;/m:t&gt;&lt;/m:r&gt;&lt;/m:oMath&gt;&lt;/m:oMathPara&gt;&lt;/w:p&gt;&lt;w:sectPr wsp:rsidR=&quot;00000000&quot; wsp:rsidRPr=&quot;00D63434&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p>
    <w:p w:rsidR="00720A0A" w:rsidRPr="00456DB7" w:rsidRDefault="009A08FE" w:rsidP="00525917">
      <w:pPr>
        <w:spacing w:line="276" w:lineRule="auto"/>
      </w:pPr>
      <w:r>
        <w:pict>
          <v:shape id="_x0000_i1336" type="#_x0000_t75" style="width:301.3pt;height:34.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620&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30620&quot; wsp:rsidRDefault=&quot;00830620&quot; wsp:rsidP=&quot;00830620&quot;&gt;&lt;m:oMathPara&gt;&lt;m:oMathParaPr&gt;&lt;m:jc m:val=&quot;left&quot;/&gt;&lt;/m:oMathParaPr&gt;&lt;m:oMath&gt;&lt;m:func&gt;&lt;m:funcPr&gt;&lt;m:ctrlPr&gt;&lt;w:rPr&gt;&lt;w:rFonts w:ascii=&quot;Cambria Math&quot; w:h-ansi=&quot;Cambria Math&quot;/&gt;&lt;wx:font wx:val=&quot;Cambria Math&quot;/&gt;&lt;w:i/&gt;&lt;/w:rPr&gt;&lt;/m:ctrlPr&gt;&lt;/m:funcPr&gt;&lt;m:fName&gt;&lt;m:r&gt;&lt;w:rPr&gt;&lt;w:rFonts w:ascii=&quot;Cambria Math&quot; w:h-ansi=&quot;Cambria Math&quot;/&gt;&lt;wx:font wx:val=&quot;Cambria Math&quot;/&gt;&lt;w:i/&gt;&lt;/w:rPr&gt;&lt;m:t&gt;ln&lt;/m:t&gt;&lt;/m:r&gt;&lt;/m:fNa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lt;/m:t&gt;&lt;/m:r&gt;&lt;m:func&gt;&lt;m:funcPr&gt;&lt;m:ctrlPr&gt;&lt;w:rPr&gt;&lt;w:rFonts w:ascii=&quot;Cambria Math&quot; w:h-ansi=&quot;Cambria Math&quot;/&gt;&lt;wx:font wx:val=&quot;Cambria Math&quot;/&gt;&lt;w:i/&gt;&lt;/w:rPr&gt;&lt;/m:ctrlPr&gt;&lt;/m:funcPr&gt;&lt;m:fName&gt;&lt;m:r&gt;&lt;w:rPr&gt;&lt;w:rFonts w:ascii=&quot;Cambria Math&quot; w:h-ansi=&quot;Cambria Math&quot;/&gt;&lt;wx:font wx:val=&quot;Cambria Math&quot;/&gt;&lt;w:i/&gt;&lt;/w:rPr&gt;&lt;m:t&gt;ln&lt;/m:t&gt;&lt;/m:r&gt;&lt;/m:fName&gt;&lt;m:e&gt;&lt;m:r&gt;&lt;w:rPr&gt;&lt;w:rFonts w:ascii=&quot;Cambria Math&quot; w:h-ansi=&quot;Cambria Math&quot;/&gt;&lt;wx:font wx:val=&quot;Cambria Math&quot;/&gt;&lt;w:i/&gt;&lt;/w:rPr&gt;&lt;m:t&gt;Ïƒ+&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e&gt;&lt;/m:func&gt;&lt;/m:e&gt;&lt;/m:func&gt;&lt;m:r&gt;&lt;w:rPr&gt;&lt;w:rFonts w:ascii=&quot;Cambria Math&quot; w:h-ansi=&quot;Cambria Math&quot;/&gt;&lt;wx:font wx:val=&quot;Cambria Math&quot;/&gt;&lt;w:i/&gt;&lt;/w:rPr&gt;&lt;m:t&gt;-&lt;/m:t&gt;&lt;/m:r&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func&gt;&lt;m:funcPr&gt;&lt;m:ctrlPr&gt;&lt;w:rPr&gt;&lt;w:rFonts w:ascii=&quot;Cambria Math&quot; w:h-ansi=&quot;Cambria Math&quot;/&gt;&lt;wx:font wx:val=&quot;Cambria Math&quot;/&gt;&lt;w:i/&gt;&lt;/w:rPr&gt;&lt;/m:ctrlPr&gt;&lt;/m:funcPr&gt;&lt;m:fName&gt;&lt;m:r&gt;&lt;w:rPr&gt;&lt;w:rFonts w:ascii=&quot;Cambria Math&quot; w:h-ansi=&quot;Cambria Math&quot;/&gt;&lt;wx:font wx:val=&quot;Cambria Math&quot;/&gt;&lt;w:i/&gt;&lt;/w:rPr&gt;&lt;m:t&gt;ln&lt;/m:t&gt;&lt;/m:r&gt;&lt;/m:fName&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e&gt;&lt;/m:d&gt;&lt;m:r&gt;&lt;w:rPr&gt;&lt;w:rFonts w:ascii=&quot;Cambria Math&quot; w:h-ansi=&quot;Cambria Math&quot;/&gt;&lt;wx:font wx:val=&quot;Cambria Math&quot;/&gt;&lt;w:i/&gt;&lt;/w:rPr&gt;&lt;m:t&gt;+&lt;/m:t&gt;&lt;/m:r&gt;&lt;m:func&gt;&lt;m:funcPr&gt;&lt;m:ctrlPr&gt;&lt;w:rPr&gt;&lt;w:rFonts w:ascii=&quot;Cambria Math&quot; w:h-ansi=&quot;Cambria Math&quot;/&gt;&lt;wx:font wx:val=&quot;Cambria Math&quot;/&gt;&lt;w:i/&gt;&lt;/w:rPr&gt;&lt;/m:ctrlPr&gt;&lt;/m:funcPr&gt;&lt;m:fName&gt;&lt;m:r&gt;&lt;w:rPr&gt;&lt;w:rFonts w:ascii=&quot;Cambria Math&quot; w:h-ansi=&quot;Cambria Math&quot;/&gt;&lt;wx:font wx:val=&quot;Cambria Math&quot;/&gt;&lt;w:i/&gt;&lt;/w:rPr&gt;&lt;m:t&gt;ln&lt;/m:t&gt;&lt;/m:r&gt;&lt;/m:fName&gt;&lt;m:e&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num&gt;&lt;m:den&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en&gt;&lt;/m:f&gt;&lt;/m:e&gt;&lt;/m:nary&gt;&lt;/m:e&gt;&lt;/m:func&gt;&lt;/m:e&gt;&lt;/m:func&gt;&lt;/m:e&gt;&lt;/m:nary&gt;&lt;/m:oMath&gt;&lt;/m:oMathPara&gt;&lt;/w:p&gt;&lt;w:sectPr wsp:rsidR=&quot;00000000&quot; wsp:rsidRPr=&quot;00830620&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6" o:title="" chromakey="white"/>
          </v:shape>
        </w:pict>
      </w:r>
    </w:p>
    <w:p w:rsidR="00720A0A" w:rsidRPr="00456DB7" w:rsidRDefault="009A08FE" w:rsidP="00525917">
      <w:pPr>
        <w:spacing w:line="276" w:lineRule="auto"/>
        <w:rPr>
          <w:i/>
        </w:rPr>
      </w:pPr>
      <w:r>
        <w:pict>
          <v:shape id="_x0000_i1337" type="#_x0000_t75" style="width:410.55pt;height:43.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73C&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0473C&quot; wsp:rsidRDefault=&quot;0080473C&quot; wsp:rsidP=&quot;0080473C&quot;&gt;&lt;m:oMathPara&gt;&lt;m:oMathParaPr&gt;&lt;m:jc m:val=&quot;left&quot;/&gt;&lt;/m:oMathParaPr&gt;&lt;m:oMath&gt;&lt;m:r&gt;&lt;m:rPr&gt;&lt;m:sty m:val=&quot;p&quot;/&gt;&lt;/m:rPr&gt;&lt;w:rPr&gt;&lt;w:rFonts w:ascii=&quot;Cambria Math&quot; w:h-ansi=&quot;Cambria Math&quot;/&gt;&lt;wx:font wx:val=&quot;Cambria Math&quot;/&gt;&lt;/w:rPr&gt;&lt;m:t&gt;Defining&lt;/m:t&gt;&lt;/m:r&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num&gt;&lt;m:den&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en&gt;&lt;/m:f&gt;&lt;m:r&gt;&lt;w:rPr&gt;&lt;w:rFonts w:ascii=&quot;Cambria Math&quot; w:h-ansi=&quot;Cambria Math&quot;/&gt;&lt;wx:font wx:val=&quot;Cambria Math&quot;/&gt;&lt;w:i/&gt;&lt;/w:rPr&gt;&lt;m:t&gt;;  &lt;/m:t&gt;&lt;/m:r&gt;&lt;m:r&gt;&lt;m:rPr&gt;&lt;m:sty m:val=&quot;p&quot;/&gt;&lt;/m:rPr&gt;&lt;w:rPr&gt;&lt;w:rFonts w:ascii=&quot;Cambria Math&quot; w:h-ansi=&quot;Cambria Math&quot;/&gt;&lt;wx:font wx:val=&quot;Cambria Math&quot;/&gt;&lt;/w:rPr&gt;&lt;m:t&gt;and after some straightforward differentiation, we get&lt;/m:t&gt;&lt;/m:r&gt;&lt;m:r&gt;&lt;w:rPr&gt;&lt;w:rFonts w:ascii=&quot;Cambria Math&quot; w:h-ansi=&quot;Cambria Math&quot;/&gt;&lt;wx:font wx:val=&quot;Cambria Math&quot;/&gt;&lt;w:i/&gt;&lt;/w:rPr&gt;&lt;m:t&gt;:&lt;/m:t&gt;&lt;/m:r&gt;&lt;/m:oMath&gt;&lt;/m:oMathPara&gt;&lt;/w:p&gt;&lt;w:sectPr wsp:rsidR=&quot;00000000&quot; wsp:rsidRPr=&quot;0080473C&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7" o:title="" chromakey="white"/>
          </v:shape>
        </w:pict>
      </w:r>
    </w:p>
    <w:p w:rsidR="00720A0A" w:rsidRPr="00456DB7" w:rsidRDefault="009A08FE" w:rsidP="00525917">
      <w:pPr>
        <w:spacing w:before="120" w:line="276" w:lineRule="auto"/>
      </w:pPr>
      <w:r>
        <w:pict>
          <v:shape id="_x0000_i1338" type="#_x0000_t75" style="width:187.7pt;height:4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47797&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47797&quot; wsp:rsidRDefault=&quot;00347797&quot; wsp:rsidP=&quot;00347797&quot;&gt;&lt;m:oMathPara&gt;&lt;m:oMathParaPr&gt;&lt;m:jc m:val=&quot;left&quot;/&gt;&lt;/m:oMathParaPr&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ˆ‚&lt;/m:t&gt;&lt;/m:r&gt;&lt;m:func&gt;&lt;m:funcPr&gt;&lt;m:ctrlPr&gt;&lt;w:rPr&gt;&lt;w:rFonts w:ascii=&quot;Cambria Math&quot; w:h-ansi=&quot;Cambria Math&quot;/&gt;&lt;wx:font wx:val=&quot;Cambria Math&quot;/&gt;&lt;w:i/&gt;&lt;/w:rPr&gt;&lt;/m:ctrlPr&gt;&lt;/m:funcPr&gt;&lt;m:fName&gt;&lt;m:r&gt;&lt;w:rPr&gt;&lt;w:rFonts w:ascii=&quot;Cambria Math&quot; w:h-ansi=&quot;Cambria Math&quot;/&gt;&lt;wx:font wx:val=&quot;Cambria Math&quot;/&gt;&lt;w:i/&gt;&lt;/w:rPr&gt;&lt;m:t&gt;ln&lt;/m:t&gt;&lt;/m:r&gt;&lt;/m:fNa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e&gt;&lt;/m:func&gt;&lt;/m:num&gt;&lt;m:den&gt;&lt;m:r&gt;&lt;w:rPr&gt;&lt;w:rFonts w:ascii=&quot;Cambria Math&quot; w:h-ansi=&quot;Cambria Math&quot;/&gt;&lt;wx:font wx:val=&quot;Cambria Math&quot;/&gt;&lt;w:i/&gt;&lt;/w:rPr&gt;&lt;m:t&gt;âˆ‚t&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Ïƒ&lt;/m:t&gt;&lt;/m:r&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Ïƒ&lt;/m:t&gt;&lt;/m:r&gt;&lt;/m:den&gt;&lt;/m:f&gt;&lt;m:d&gt;&lt;m:dPr&gt;&lt;m:begChr m:val=&quot;[&quot;/&gt;&lt;m:endChr m:val=&quot;]&quot;/&gt;&lt;m:ctrlPr&gt;&lt;w:rPr&gt;&lt;w:rFonts w:ascii=&quot;Cambria Math&quot; w:h-ansi=&quot;Cambria Math&quot;/&gt;&lt;wx:font wx:val=&quot;Cambria Math&quot;/&gt;&lt;w:i/&gt;&lt;/w:rPr&gt;&lt;/m:ctrlPr&gt;&lt;/m:dPr&gt;&lt;m:e&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e&gt;&lt;/m:nary&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2&lt;/m:t&gt;&lt;/m:r&gt;&lt;/m:sup&gt;&lt;/m:sSubSup&gt;&lt;/m:e&gt;&lt;/m:nary&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e&gt;&lt;/m:nary&gt;&lt;/m:den&gt;&lt;/m:f&gt;&lt;/m:e&gt;&lt;/m:d&gt;&lt;/m:oMath&gt;&lt;/m:oMathPara&gt;&lt;/w:p&gt;&lt;w:sectPr wsp:rsidR=&quot;00000000&quot; wsp:rsidRPr=&quot;00347797&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8" o:title="" chromakey="white"/>
          </v:shape>
        </w:pict>
      </w:r>
    </w:p>
    <w:p w:rsidR="00720A0A" w:rsidRPr="00456DB7" w:rsidRDefault="009A08FE" w:rsidP="00525917">
      <w:pPr>
        <w:spacing w:line="276" w:lineRule="auto"/>
        <w:rPr>
          <w:i/>
        </w:rPr>
      </w:pPr>
      <w:r>
        <w:pict>
          <v:shape id="_x0000_i1339" type="#_x0000_t75" style="width:357.85pt;height:37.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0464&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170464&quot; wsp:rsidRDefault=&quot;00170464&quot; wsp:rsidP=&quot;00170464&quot;&gt;&lt;m:oMathPara&gt;&lt;m:oMathParaPr&gt;&lt;m:jc m:val=&quot;left&quot;/&gt;&lt;/m:oMathParaPr&gt;&lt;m:oMath&gt;&lt;m:r&gt;&lt;m:rPr&gt;&lt;m:sty m:val=&quot;p&quot;/&gt;&lt;/m:rPr&gt;&lt;w:rPr&gt;&lt;w:rFonts w:ascii=&quot;Cambria Math&quot; w:h-ansi=&quot;Cambria Math&quot;/&gt;&lt;wx:font wx:val=&quot;Cambria Math&quot;/&gt;&lt;/w:rPr&gt;&lt;m:t&gt;Noting that&lt;/m:t&gt;&lt;/m:r&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âˆ‚&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num&gt;&lt;m:den&gt;&lt;m:r&gt;&lt;w:rPr&gt;&lt;w:rFonts w:ascii=&quot;Cambria Math&quot; w:h-ansi=&quot;Cambria Math&quot;/&gt;&lt;wx:font wx:val=&quot;Cambria Math&quot;/&gt;&lt;w:i/&gt;&lt;/w:rPr&gt;&lt;m:t&gt;âˆ‚t&lt;/m:t&gt;&lt;/m:r&gt;&lt;/m:den&gt;&lt;/m:f&gt;&lt;m:r&gt;&lt;w:rPr&gt;&lt;w:rFonts w:ascii=&quot;Cambria Math&quot; w:h-ansi=&quot;Cambria Math&quot;/&gt;&lt;wx:font wx:val=&quot;Cambria Math&quot;/&gt;&lt;w:i/&gt;&lt;/w:rPr&gt;&lt;m:t&gt;= &lt;/m:t&gt;&lt;/m:r&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2&lt;/m:t&gt;&lt;/m:r&gt;&lt;/m:sup&gt;&lt;/m:sSubSup&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num&gt;&lt;m:den&gt;&lt;m:r&gt;&lt;w:rPr&gt;&lt;w:rFonts w:ascii=&quot;Cambria Math&quot; w:h-ansi=&quot;Cambria Math&quot;/&gt;&lt;wx:font wx:val=&quot;Cambria Math&quot;/&gt;&lt;w:i/&gt;&lt;/w:rPr&gt;&lt;m:t&gt;Ïƒ&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den&gt;&lt;/m:f&gt;&lt;m:r&gt;&lt;w:rPr&gt;&lt;w:rFonts w:ascii=&quot;Cambria Math&quot; w:h-ansi=&quot;Cambria Math&quot;/&gt;&lt;wx:font wx:val=&quot;Cambria Math&quot;/&gt;&lt;w:i/&gt;&lt;/w:rPr&gt;&lt;m:t&gt; , &lt;/m:t&gt;&lt;/m:r&gt;&lt;m:r&gt;&lt;m:rPr&gt;&lt;m:sty m:val=&quot;p&quot;/&gt;&lt;/m:rPr&gt;&lt;w:rPr&gt;&lt;w:rFonts w:ascii=&quot;Cambria Math&quot; w:h-ansi=&quot;Cambria Math&quot;/&gt;&lt;wx:font wx:val=&quot;Cambria Math&quot;/&gt;&lt;/w:rPr&gt;&lt;m:t&gt;and differentiating again, the end result is&lt;/m:t&gt;&lt;/m:r&gt;&lt;m:r&gt;&lt;w:rPr&gt;&lt;w:rFonts w:ascii=&quot;Cambria Math&quot; w:h-ansi=&quot;Cambria Math&quot;/&gt;&lt;wx:font wx:val=&quot;Cambria Math&quot;/&gt;&lt;w:i/&gt;&lt;/w:rPr&gt;&lt;m:t&gt;:&lt;/m:t&gt;&lt;/m:r&gt;&lt;/m:oMath&gt;&lt;/m:oMathPara&gt;&lt;/w:p&gt;&lt;w:sectPr wsp:rsidR=&quot;00000000&quot; wsp:rsidRPr=&quot;00170464&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9" o:title="" chromakey="white"/>
          </v:shape>
        </w:pict>
      </w:r>
    </w:p>
    <w:p w:rsidR="00720A0A" w:rsidRPr="00456DB7" w:rsidRDefault="009A08FE" w:rsidP="00525917">
      <w:pPr>
        <w:spacing w:line="276" w:lineRule="auto"/>
        <w:rPr>
          <w:i/>
        </w:rPr>
      </w:pPr>
      <w:r>
        <w:pict>
          <v:shape id="_x0000_i1340" type="#_x0000_t75" style="width:375pt;height:55.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4870&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B24870&quot; wsp:rsidRDefault=&quot;00B24870&quot; wsp:rsidP=&quot;00B24870&quot;&gt;&lt;m:oMathPara&gt;&lt;m:oMathParaPr&gt;&lt;m:jc m:val=&quot;left&quot;/&gt;&lt;/m:oMathParaPr&gt;&lt;m:oMath&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âˆ‚&lt;/m:t&gt;&lt;/m:r&gt;&lt;/m:e&gt;&lt;m:sup&gt;&lt;m:r&gt;&lt;w:rPr&gt;&lt;w:rFonts w:ascii=&quot;Cambria Math&quot; w:h-ansi=&quot;Cambria Math&quot;/&gt;&lt;wx:font wx:val=&quot;Cambria Math&quot;/&gt;&lt;w:i/&gt;&lt;/w:rPr&gt;&lt;m:t&gt;2&lt;/m:t&gt;&lt;/m:r&gt;&lt;/m:sup&gt;&lt;/m:sSup&gt;&lt;m:func&gt;&lt;m:funcPr&gt;&lt;m:ctrlPr&gt;&lt;w:rPr&gt;&lt;w:rFonts w:ascii=&quot;Cambria Math&quot; w:h-ansi=&quot;Cambria Math&quot;/&gt;&lt;wx:font wx:val=&quot;Cambria Math&quot;/&gt;&lt;w:i/&gt;&lt;/w:rPr&gt;&lt;/m:ctrlPr&gt;&lt;/m:funcPr&gt;&lt;m:fName&gt;&lt;m:r&gt;&lt;w:rPr&gt;&lt;w:rFonts w:ascii=&quot;Cambria Math&quot; w:h-ansi=&quot;Cambria Math&quot;/&gt;&lt;wx:font wx:val=&quot;Cambria Math&quot;/&gt;&lt;w:i/&gt;&lt;/w:rPr&gt;&lt;m:t&gt;ln&lt;/m:t&gt;&lt;/m:r&gt;&lt;/m:fName&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r&gt;&lt;w:rPr&gt;&lt;w:rFonts w:ascii=&quot;Cambria Math&quot; w:h-ansi=&quot;Cambria Math&quot;/&gt;&lt;wx:font wx:val=&quot;Cambria Math&quot;/&gt;&lt;w:i/&gt;&lt;/w:rPr&gt;&lt;m:t&gt;(t) &lt;/m:t&gt;&lt;/m:r&gt;&lt;/m:e&gt;&lt;/m:func&gt;&lt;/m:num&gt;&lt;m:den&gt;&lt;m:r&gt;&lt;w:rPr&gt;&lt;w:rFonts w:ascii=&quot;Cambria Math&quot; w:h-ansi=&quot;Cambria Math&quot;/&gt;&lt;wx:font wx:val=&quot;Cambria Math&quot;/&gt;&lt;w:i/&gt;&lt;/w:rPr&gt;&lt;m:t&gt;âˆ‚&lt;/m:t&gt;&lt;/m:r&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Ïƒ&lt;/m:t&gt;&lt;/m:r&gt;&lt;/m:e&gt;&lt;m:sup&gt;&lt;m:r&gt;&lt;w:rPr&gt;&lt;w:rFonts w:ascii=&quot;Cambria Math&quot; w:h-ansi=&quot;Cambria Math&quot;/&gt;&lt;wx:font wx:val=&quot;Cambria Math&quot;/&gt;&lt;w:i/&gt;&lt;/w:rPr&gt;&lt;m:t&gt;2&lt;/m:t&gt;&lt;/m:r&gt;&lt;/m:sup&gt;&lt;/m:sSup&gt;&lt;/m:den&gt;&lt;/m:f&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gt;&lt;m:dPr&gt;&lt;m:begChr m:val=&quot;[&quot;/&gt;&lt;m:endChr m:val=&quot;]&quot;/&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d&gt;&lt;m:dPr&gt;&lt;m:begChr m:val=&quot;{&quot;/&gt;&lt;m:endChr m:val=&quot;}&quot;/&gt;&lt;m:ctrlPr&gt;&lt;w:rPr&gt;&lt;w:rFonts w:ascii=&quot;Cambria Math&quot; w:h-ansi=&quot;Cambria Math&quot;/&gt;&lt;wx:font wx:val=&quot;Cambria Math&quot;/&gt;&lt;w:i/&gt;&lt;/w:rPr&gt;&lt;/m:ctrlPr&gt;&lt;/m:dPr&gt;&lt;m:e&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f&gt;&lt;m:fPr&gt;&lt;m:ctrlPr&gt;&lt;w:rPr&gt;&lt;w:rFonts w:ascii=&quot;Cambria Math&quot; w:h-ansi=&quot;Cambria Math&quot;/&gt;&lt;wx:font wx:val=&quot;Cambria Math&quot;/&gt;&lt;w:i/&gt;&lt;/w:rPr&gt;&lt;/m:ctrlPr&gt;&lt;/m:fPr&gt;&lt;m:num&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2&lt;/m:t&gt;&lt;/m:r&gt;&lt;/m:sup&gt;&lt;/m:sSubSup&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den&gt;&lt;/m:f&gt;&lt;/m:e&gt;&lt;/m:nary&gt;&lt;/m:e&gt;&lt;/m:d&gt;&lt;m:d&gt;&lt;m:dPr&gt;&lt;m:begChr m:val=&quot;{&quot;/&gt;&lt;m:endChr m:val=&quot;}&quot;/&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e&gt;&lt;/m:nary&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2&lt;/m:t&gt;&lt;/m:r&gt;&lt;/m:sup&gt;&lt;/m:sSubSup&gt;&lt;/m:e&gt;&lt;/m:nary&gt;&lt;/m:e&gt;&lt;/m:d&gt;&lt;/m:e&gt;&lt;/m:d&gt;&lt;m:r&gt;&lt;w:rPr&gt;&lt;w:rFonts w:ascii=&quot;Cambria Math&quot; w:h-ansi=&quot;Cambria Math&quot;/&gt;&lt;wx:font wx:val=&quot;Cambria Math&quot;/&gt;&lt;w:i/&gt;&lt;/w:rPr&gt;&lt;m:t&gt;+2&lt;/m:t&gt;&lt;/m:r&gt;&lt;m:d&gt;&lt;m:dPr&gt;&lt;m:ctrlPr&gt;&lt;w:rPr&gt;&lt;w:rFonts w:ascii=&quot;Cambria Math&quot; w:h-ansi=&quot;Cambria Math&quot;/&gt;&lt;wx:font wx:val=&quot;Cambria Math&quot;/&gt;&lt;w:i/&gt;&lt;/w:rPr&gt;&lt;/m:ctrlPr&gt;&lt;/m:dPr&gt;&lt;m:e&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e&gt;&lt;/m:nary&gt;&lt;/m:e&gt;&lt;/m:d&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3&lt;/m:t&gt;&lt;/m:r&gt;&lt;/m:sup&gt;&lt;/m:sSubSup&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den&gt;&lt;/m:f&gt;&lt;/m:e&gt;&lt;/m:d&gt;&lt;/m:e&gt;&lt;/m:nary&gt;&lt;m:r&gt;&lt;w:rPr&gt;&lt;w:rFonts w:ascii=&quot;Cambria Math&quot; w:h-ansi=&quot;Cambria Math&quot;/&gt;&lt;wx:font wx:val=&quot;Cambria Math&quot;/&gt;&lt;w:i/&gt;&lt;/w:rPr&gt;&lt;m:t&gt; &lt;/m:t&gt;&lt;/m: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e&gt;&lt;/m:nary&gt;&lt;/m:e&gt;&lt;/m:d&gt;&lt;/m:e&gt;&lt;m:sup&gt;&lt;m:r&gt;&lt;w:rPr&gt;&lt;w:rFonts w:ascii=&quot;Cambria Math&quot; w:h-ansi=&quot;Cambria Math&quot;/&gt;&lt;wx:font wx:val=&quot;Cambria Math&quot;/&gt;&lt;w:i/&gt;&lt;/w:rPr&gt;&lt;m:t&gt;2&lt;/m:t&gt;&lt;/m:r&gt;&lt;/m:sup&gt;&lt;/m:sSup&gt;&lt;/m:den&gt;&lt;/m:f&gt;&lt;/m:e&gt;&lt;/m:d&gt;&lt;/m:oMath&gt;&lt;/m:oMathPara&gt;&lt;/w:p&gt;&lt;w:sectPr wsp:rsidR=&quot;00000000&quot; wsp:rsidRPr=&quot;00B2487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0" o:title="" chromakey="white"/>
          </v:shape>
        </w:pict>
      </w:r>
    </w:p>
    <w:p w:rsidR="00CB4D5B" w:rsidRDefault="009A08FE" w:rsidP="00525917">
      <w:pPr>
        <w:spacing w:line="276" w:lineRule="auto"/>
        <w:jc w:val="both"/>
      </w:pPr>
      <w:r>
        <w:pict>
          <v:shape id="_x0000_i1341" type="#_x0000_t75" style="width:227.55pt;height:45.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4C91&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F34C91&quot; wsp:rsidRDefault=&quot;00F34C91&quot; wsp:rsidP=&quot;00F34C91&quot;&gt;&lt;m:oMathPara&gt;&lt;m:oMathParaPr&gt;&lt;m:jc m:val=&quot;left&quot;/&gt;&lt;/m:oMathParaPr&gt;&lt;m:oMath&gt;&lt;m:r&gt;&lt;m:rPr&gt;&lt;m:sty m:val=&quot;p&quot;/&gt;&lt;/m:rPr&gt;&lt;w:rPr&gt;&lt;w:rFonts w:ascii=&quot;Cambria Math&quot; w:h-ansi=&quot;Cambria Math&quot;/&gt;&lt;wx:font wx:val=&quot;Cambria Math&quot;/&gt;&lt;/w:rPr&gt;&lt;m:t&gt;Because&lt;/m:t&gt;&lt;/m:r&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amp;gt;0, &lt;/m:t&gt;&lt;/m:r&gt;&lt;m:d&gt;&lt;m:dPr&gt;&lt;m:begChr m:val=&quot;[&quot;/&gt;&lt;m:endChr m:val=&quot;]&quot;/&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e&gt;&lt;/m:nary&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i/&gt;&lt;/w:rPr&gt;&lt;/m:ctrlPr&gt;&lt;/m:dPr&gt;&lt;m:e&gt;&lt;m:nary&gt;&lt;m:naryPr&gt;&lt;m:chr m:val=&quot;âˆ‘&quot;/&gt;&lt;m:limLoc m:val=&quot;undOvr&quot;/&gt;&lt;m:supHide m:val=&quot;1&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lt;/m:t&gt;&lt;/m:r&gt;&lt;/m:sub&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2&lt;/m:t&gt;&lt;/m:r&gt;&lt;/m:sup&gt;&lt;/m:sSubSup&gt;&lt;/m:e&gt;&lt;/m:nary&gt;&lt;/m:e&gt;&lt;/m:d&gt;&lt;/m:e&gt;&lt;/m:d&gt;&lt;m:r&gt;&lt;w:rPr&gt;&lt;w:rFonts w:ascii=&quot;Cambria Math&quot; w:h-ansi=&quot;Cambria Math&quot;/&gt;&lt;wx:font wx:val=&quot;Cambria Math&quot;/&gt;&lt;w:i/&gt;&lt;/w:rPr&gt;&lt;m:t&gt;&amp;gt;0, &lt;/m:t&gt;&lt;/m:r&gt;&lt;/m:oMath&gt;&lt;/m:oMathPara&gt;&lt;/w:p&gt;&lt;w:sectPr wsp:rsidR=&quot;00000000&quot; wsp:rsidRPr=&quot;00F34C91&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1" o:title="" chromakey="white"/>
          </v:shape>
        </w:pict>
      </w:r>
    </w:p>
    <w:p w:rsidR="00483278" w:rsidRPr="00C66496" w:rsidRDefault="00CB4D5B" w:rsidP="00C66496">
      <w:pPr>
        <w:spacing w:before="120"/>
        <w:jc w:val="both"/>
        <w:rPr>
          <w:rFonts w:ascii="Cambria Math" w:hAnsi="Cambria Math"/>
          <w:iCs/>
        </w:rPr>
      </w:pPr>
      <w:r>
        <w:rPr>
          <w:rFonts w:ascii="Cambria Math" w:hAnsi="Cambria Math"/>
          <w:iCs/>
        </w:rPr>
        <w:t xml:space="preserve">Which immediately implies that the second derivative above is always negative. </w:t>
      </w:r>
      <w:r w:rsidR="00720A0A" w:rsidRPr="004B450C">
        <w:rPr>
          <w:rFonts w:ascii="Cambria Math" w:hAnsi="Cambria Math"/>
          <w:iCs/>
        </w:rPr>
        <w:t>Thus,</w:t>
      </w:r>
      <w:r w:rsidR="00F5415C">
        <w:rPr>
          <w:rFonts w:ascii="Cambria Math" w:hAnsi="Cambria Math"/>
          <w:iCs/>
        </w:rPr>
        <w:t xml:space="preserve"> </w:t>
      </w:r>
      <w:r w:rsidR="00720A0A" w:rsidRPr="004B450C">
        <w:rPr>
          <w:rFonts w:ascii="Cambria Math" w:hAnsi="Cambria Math"/>
          <w:iCs/>
        </w:rPr>
        <w:fldChar w:fldCharType="begin"/>
      </w:r>
      <w:r w:rsidR="00720A0A" w:rsidRPr="004B450C">
        <w:rPr>
          <w:rFonts w:ascii="Cambria Math" w:hAnsi="Cambria Math"/>
          <w:iCs/>
        </w:rPr>
        <w:instrText xml:space="preserve"> QUOTE </w:instrText>
      </w:r>
      <w:r w:rsidR="009A08FE">
        <w:rPr>
          <w:rFonts w:ascii="Cambria Math" w:hAnsi="Cambria Math"/>
          <w:position w:val="-9"/>
        </w:rPr>
        <w:pict>
          <v:shape id="_x0000_i1342" type="#_x0000_t75" style="width:25.3pt;height:15.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2F3D&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812F3D&quot; wsp:rsidP=&quot;00812F3D&quot;&gt;&lt;m:oMathPara&gt;&lt;m:oMath&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i-cs/&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00720A0A" w:rsidRPr="004B450C">
        <w:rPr>
          <w:rFonts w:ascii="Cambria Math" w:hAnsi="Cambria Math"/>
          <w:iCs/>
        </w:rPr>
        <w:instrText xml:space="preserve"> </w:instrText>
      </w:r>
      <w:r w:rsidR="00720A0A" w:rsidRPr="004B450C">
        <w:rPr>
          <w:rFonts w:ascii="Cambria Math" w:hAnsi="Cambria Math"/>
          <w:iCs/>
        </w:rPr>
        <w:fldChar w:fldCharType="separate"/>
      </w:r>
      <w:r w:rsidR="009A08FE">
        <w:rPr>
          <w:rFonts w:ascii="Cambria Math" w:hAnsi="Cambria Math"/>
          <w:position w:val="-9"/>
        </w:rPr>
        <w:pict>
          <v:shape id="_x0000_i1343" type="#_x0000_t75" style="width:26.15pt;height:15.8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2F3D&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812F3D&quot; wsp:rsidP=&quot;00812F3D&quot;&gt;&lt;m:oMathPara&gt;&lt;m:oMath&gt;&lt;m:sSub&gt;&lt;m:sSubPr&gt;&lt;m:ctrlPr&gt;&lt;w:rPr&gt;&lt;w:rFonts w:ascii=&quot;Cambria Math&quot; w:h-ansi=&quot;Cambria Math&quot;/&gt;&lt;wx:font wx:val=&quot;Cambria Math&quot;/&gt;&lt;w:i/&gt;&lt;w:i-cs/&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i-cs/&gt;&lt;/w:rPr&gt;&lt;/m:ctrlPr&gt;&lt;/m:dPr&gt;&lt;m:e&gt;&lt;m:r&gt;&lt;w:rPr&gt;&lt;w:rFonts w:ascii=&quot;Cambria Math&quot; w:h-ansi=&quot;Cambria Math&quot;/&gt;&lt;wx:font wx:val=&quot;Cambria Math&quot;/&gt;&lt;w:i/&gt;&lt;/w:rPr&gt;&lt;m:t&gt;t&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2" o:title="" chromakey="white"/>
          </v:shape>
        </w:pict>
      </w:r>
      <w:r w:rsidR="00720A0A" w:rsidRPr="004B450C">
        <w:rPr>
          <w:rFonts w:ascii="Cambria Math" w:hAnsi="Cambria Math"/>
          <w:iCs/>
        </w:rPr>
        <w:fldChar w:fldCharType="end"/>
      </w:r>
      <w:r w:rsidR="00720A0A" w:rsidRPr="004B450C">
        <w:rPr>
          <w:rFonts w:ascii="Cambria Math" w:hAnsi="Cambria Math"/>
          <w:iCs/>
        </w:rPr>
        <w:t xml:space="preserve"> is unimodal with a unique mode. The mode does not have a closed form expression but can </w:t>
      </w:r>
      <w:r w:rsidR="00720A0A" w:rsidRPr="00C66496">
        <w:rPr>
          <w:rFonts w:ascii="Cambria Math" w:hAnsi="Cambria Math"/>
          <w:iCs/>
        </w:rPr>
        <w:t>be obtained numerically by setting the first derivative to zero. That is,</w:t>
      </w:r>
    </w:p>
    <w:p w:rsidR="00C66496" w:rsidRPr="00C66496" w:rsidRDefault="009A08FE" w:rsidP="00C66496">
      <w:pPr>
        <w:spacing w:before="120" w:after="120"/>
      </w:pPr>
      <w:r>
        <w:pict>
          <v:shape id="_x0000_i1344" type="#_x0000_t75" style="width:162pt;height:4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01E&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4E95&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4EE&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07B4&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3903&quot;/&gt;&lt;wsp:rsid wsp:val=&quot;00156B7F&quot;/&gt;&lt;wsp:rsid wsp:val=&quot;001570E8&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468&quot;/&gt;&lt;wsp:rsid wsp:val=&quot;001D3993&quot;/&gt;&lt;wsp:rsid wsp:val=&quot;001D44A1&quot;/&gt;&lt;wsp:rsid wsp:val=&quot;001D46DA&quot;/&gt;&lt;wsp:rsid wsp:val=&quot;001D5429&quot;/&gt;&lt;wsp:rsid wsp:val=&quot;001D564E&quot;/&gt;&lt;wsp:rsid wsp:val=&quot;001D5729&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48C5&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67716&quot;/&gt;&lt;wsp:rsid wsp:val=&quot;00272066&quot;/&gt;&lt;wsp:rsid wsp:val=&quot;002725D9&quot;/&gt;&lt;wsp:rsid wsp:val=&quot;00273286&quot;/&gt;&lt;wsp:rsid wsp:val=&quot;00274061&quot;/&gt;&lt;wsp:rsid wsp:val=&quot;00276255&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0192&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3AA&quot;/&gt;&lt;wsp:rsid wsp:val=&quot;002B5C2A&quot;/&gt;&lt;wsp:rsid wsp:val=&quot;002B7BFF&quot;/&gt;&lt;wsp:rsid wsp:val=&quot;002C68BE&quot;/&gt;&lt;wsp:rsid wsp:val=&quot;002C6B51&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66E8&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46C8&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0D7C&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6C5B&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587&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39E&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28F&quot;/&gt;&lt;wsp:rsid wsp:val=&quot;003F5BCD&quot;/&gt;&lt;wsp:rsid wsp:val=&quot;003F64D0&quot;/&gt;&lt;wsp:rsid wsp:val=&quot;003F7E10&quot;/&gt;&lt;wsp:rsid wsp:val=&quot;004009CB&quot;/&gt;&lt;wsp:rsid wsp:val=&quot;00400FCA&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3278&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A32&quot;/&gt;&lt;wsp:rsid wsp:val=&quot;004A2BE0&quot;/&gt;&lt;wsp:rsid wsp:val=&quot;004A30F3&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E3D03&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5FCB&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1F1E&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247&quot;/&gt;&lt;wsp:rsid wsp:val=&quot;00560D9B&quot;/&gt;&lt;wsp:rsid wsp:val=&quot;005616C7&quot;/&gt;&lt;wsp:rsid wsp:val=&quot;00562B55&quot;/&gt;&lt;wsp:rsid wsp:val=&quot;00563CAC&quot;/&gt;&lt;wsp:rsid wsp:val=&quot;00563D16&quot;/&gt;&lt;wsp:rsid wsp:val=&quot;00563E2B&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15CC&quot;/&gt;&lt;wsp:rsid wsp:val=&quot;00582B3D&quot;/&gt;&lt;wsp:rsid wsp:val=&quot;00584164&quot;/&gt;&lt;wsp:rsid wsp:val=&quot;005842C1&quot;/&gt;&lt;wsp:rsid wsp:val=&quot;00584314&quot;/&gt;&lt;wsp:rsid wsp:val=&quot;00584877&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C6AE5&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48B3&quot;/&gt;&lt;wsp:rsid wsp:val=&quot;006464B5&quot;/&gt;&lt;wsp:rsid wsp:val=&quot;00647890&quot;/&gt;&lt;wsp:rsid wsp:val=&quot;006478E4&quot;/&gt;&lt;wsp:rsid wsp:val=&quot;006506C7&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7BB&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171D&quot;/&gt;&lt;wsp:rsid wsp:val=&quot;0070274B&quot;/&gt;&lt;wsp:rsid wsp:val=&quot;00703079&quot;/&gt;&lt;wsp:rsid wsp:val=&quot;00704429&quot;/&gt;&lt;wsp:rsid wsp:val=&quot;0070560A&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6259&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22BF&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3984&quot;/&gt;&lt;wsp:rsid wsp:val=&quot;007B454B&quot;/&gt;&lt;wsp:rsid wsp:val=&quot;007B51D9&quot;/&gt;&lt;wsp:rsid wsp:val=&quot;007B6054&quot;/&gt;&lt;wsp:rsid wsp:val=&quot;007B64DC&quot;/&gt;&lt;wsp:rsid wsp:val=&quot;007B7E03&quot;/&gt;&lt;wsp:rsid wsp:val=&quot;007C02A4&quot;/&gt;&lt;wsp:rsid wsp:val=&quot;007C0639&quot;/&gt;&lt;wsp:rsid wsp:val=&quot;007D0955&quot;/&gt;&lt;wsp:rsid wsp:val=&quot;007D1C03&quot;/&gt;&lt;wsp:rsid wsp:val=&quot;007D3614&quot;/&gt;&lt;wsp:rsid wsp:val=&quot;007D47D6&quot;/&gt;&lt;wsp:rsid wsp:val=&quot;007D49A1&quot;/&gt;&lt;wsp:rsid wsp:val=&quot;007D59AF&quot;/&gt;&lt;wsp:rsid wsp:val=&quot;007D7FE6&quot;/&gt;&lt;wsp:rsid wsp:val=&quot;007E266B&quot;/&gt;&lt;wsp:rsid wsp:val=&quot;007E3665&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573E&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42AF&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28A&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58A1&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0F8D&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071C3&quot;/&gt;&lt;wsp:rsid wsp:val=&quot;00A1292A&quot;/&gt;&lt;wsp:rsid wsp:val=&quot;00A144DE&quot;/&gt;&lt;wsp:rsid wsp:val=&quot;00A14DB9&quot;/&gt;&lt;wsp:rsid wsp:val=&quot;00A152BE&quot;/&gt;&lt;wsp:rsid wsp:val=&quot;00A15DCC&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EDE&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6D76&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3FC&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AEA&quot;/&gt;&lt;wsp:rsid wsp:val=&quot;00B53E0F&quot;/&gt;&lt;wsp:rsid wsp:val=&quot;00B54BA2&quot;/&gt;&lt;wsp:rsid wsp:val=&quot;00B552B6&quot;/&gt;&lt;wsp:rsid wsp:val=&quot;00B55E16&quot;/&gt;&lt;wsp:rsid wsp:val=&quot;00B56778&quot;/&gt;&lt;wsp:rsid wsp:val=&quot;00B61503&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46&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303D&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0B15&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0A2&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86E55&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07EA&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0541&quot;/&gt;&lt;wsp:rsid wsp:val=&quot;00CF1F31&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A14&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498&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AD7&quot;/&gt;&lt;wsp:rsid wsp:val=&quot;00D44F97&quot;/&gt;&lt;wsp:rsid wsp:val=&quot;00D4728E&quot;/&gt;&lt;wsp:rsid wsp:val=&quot;00D50165&quot;/&gt;&lt;wsp:rsid wsp:val=&quot;00D50304&quot;/&gt;&lt;wsp:rsid wsp:val=&quot;00D50381&quot;/&gt;&lt;wsp:rsid wsp:val=&quot;00D52FB6&quot;/&gt;&lt;wsp:rsid wsp:val=&quot;00D53D57&quot;/&gt;&lt;wsp:rsid wsp:val=&quot;00D564F9&quot;/&gt;&lt;wsp:rsid wsp:val=&quot;00D5716B&quot;/&gt;&lt;wsp:rsid wsp:val=&quot;00D577F7&quot;/&gt;&lt;wsp:rsid wsp:val=&quot;00D60BA8&quot;/&gt;&lt;wsp:rsid wsp:val=&quot;00D60C82&quot;/&gt;&lt;wsp:rsid wsp:val=&quot;00D60E28&quot;/&gt;&lt;wsp:rsid wsp:val=&quot;00D621F8&quot;/&gt;&lt;wsp:rsid wsp:val=&quot;00D62667&quot;/&gt;&lt;wsp:rsid wsp:val=&quot;00D62EC3&quot;/&gt;&lt;wsp:rsid wsp:val=&quot;00D631A5&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1A62&quot;/&gt;&lt;wsp:rsid wsp:val=&quot;00DB2A4D&quot;/&gt;&lt;wsp:rsid wsp:val=&quot;00DB2BBE&quot;/&gt;&lt;wsp:rsid wsp:val=&quot;00DB2C88&quot;/&gt;&lt;wsp:rsid wsp:val=&quot;00DB4D77&quot;/&gt;&lt;wsp:rsid wsp:val=&quot;00DB5CBD&quot;/&gt;&lt;wsp:rsid wsp:val=&quot;00DB63D2&quot;/&gt;&lt;wsp:rsid wsp:val=&quot;00DB70D4&quot;/&gt;&lt;wsp:rsid wsp:val=&quot;00DC1627&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1C0&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2BF&quot;/&gt;&lt;wsp:rsid wsp:val=&quot;00E114EF&quot;/&gt;&lt;wsp:rsid wsp:val=&quot;00E1291E&quot;/&gt;&lt;wsp:rsid wsp:val=&quot;00E12EC4&quot;/&gt;&lt;wsp:rsid wsp:val=&quot;00E133DB&quot;/&gt;&lt;wsp:rsid wsp:val=&quot;00E13AB6&quot;/&gt;&lt;wsp:rsid wsp:val=&quot;00E15100&quot;/&gt;&lt;wsp:rsid wsp:val=&quot;00E151EB&quot;/&gt;&lt;wsp:rsid wsp:val=&quot;00E1631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29D7&quot;/&gt;&lt;wsp:rsid wsp:val=&quot;00E4558C&quot;/&gt;&lt;wsp:rsid wsp:val=&quot;00E46878&quot;/&gt;&lt;wsp:rsid wsp:val=&quot;00E4689A&quot;/&gt;&lt;wsp:rsid wsp:val=&quot;00E4735A&quot;/&gt;&lt;wsp:rsid wsp:val=&quot;00E473B6&quot;/&gt;&lt;wsp:rsid wsp:val=&quot;00E478C2&quot;/&gt;&lt;wsp:rsid wsp:val=&quot;00E5019F&quot;/&gt;&lt;wsp:rsid wsp:val=&quot;00E53B18&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5B23&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EF758A&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2EC4&quot;/&gt;&lt;wsp:rsid wsp:val=&quot;00F33436&quot;/&gt;&lt;wsp:rsid wsp:val=&quot;00F339BB&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19B3&quot;/&gt;&lt;wsp:rsid wsp:val=&quot;00F62F4D&quot;/&gt;&lt;wsp:rsid wsp:val=&quot;00F64ADE&quot;/&gt;&lt;wsp:rsid wsp:val=&quot;00F66106&quot;/&gt;&lt;wsp:rsid wsp:val=&quot;00F674F6&quot;/&gt;&lt;wsp:rsid wsp:val=&quot;00F67CAC&quot;/&gt;&lt;wsp:rsid wsp:val=&quot;00F70FE0&quot;/&gt;&lt;wsp:rsid wsp:val=&quot;00F71ABF&quot;/&gt;&lt;wsp:rsid wsp:val=&quot;00F7350D&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C6813&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4A30F3&quot; wsp:rsidRDefault=&quot;004A30F3&quot; wsp:rsidP=&quot;004A30F3&quot;&gt;&lt;m:oMathPara&gt;&lt;m:oMathParaPr&gt;&lt;m:jc m:val=&quot;left&quot;/&gt;&lt;/m:oMathParaPr&gt;&lt;m:oMath&gt;&lt;m:d&gt;&lt;m:dPr&gt;&lt;m:begChr m:val=&quot;[&quot;/&gt;&lt;m:endChr m:val=&quot;]&quot;/&gt;&lt;m:ctrlPr&gt;&lt;w:rPr&gt;&lt;w:rFonts w:ascii=&quot;Cambria Math&quot; w:h-ansi=&quot;Cambria Math&quot;/&gt;&lt;wx:font wx:val=&quot;Cambria Math&quot;/&gt;&lt;w:i/&gt;&lt;/w:rPr&gt;&lt;/m:ctrlPr&gt;&lt;/m:dPr&gt;&lt;m:e&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aml:annotation aml:id=&quot;0&quot; w:type=&quot;Word.Bookmark.Start&quot; w:name=&quot;_Hlk97621493&quot;/&gt;&lt;m:r&gt;&lt;w:rPr&gt;&lt;w:rFonts w:ascii=&quot;Cambria Math&quot; w:h-ansi=&quot;Cambria Math&quot;/&gt;&lt;wx:font wx:val=&quot;Cambria Math&quot;/&gt;&lt;w:i/&gt;&lt;/w:rPr&gt;&lt;m:t&gt;(Ï–)&lt;/m:t&gt;&lt;/m:r&gt;&lt;aml:annotation aml:id=&quot;0&quot; w:type=&quot;Word.Bookmark.End&quot;/&gt;&lt;m:r&gt;&lt;w:rPr&gt;&lt;w:rFonts w:ascii=&quot;Cambria Math&quot; w:h-ansi=&quot;Cambria Math&quot;/&gt;&lt;wx:font wx:val=&quot;Cambria Math&quot;/&gt;&lt;w:i/&gt;&lt;/w:rPr&gt;&lt;m:t&gt;+&lt;/m:t&gt;&lt;/m:r&gt;&lt;/m:e&gt;&lt;/m:nary&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sSubSup&gt;&lt;m:sSubSupPr&gt;&lt;m:ctrlPr&gt;&lt;w:rPr&gt;&lt;w:rFonts w:ascii=&quot;Cambria Math&quot; w:h-ansi=&quot;Cambria Math&quot;/&gt;&lt;wx:font wx:val=&quot;Cambria Math&quot;/&gt;&lt;w:i/&gt;&lt;/w:rPr&gt;&lt;/m:ctrlPr&gt;&lt;/m:sSubSup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Ï–)&lt;/m:t&gt;&lt;/m:r&gt;&lt;/m:e&gt;&lt;/m:nary&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Î¾&lt;/m:t&gt;&lt;/m:r&gt;&lt;/m:e&gt;&lt;m:sub&gt;&lt;m:r&gt;&lt;w:rPr&gt;&lt;w:rFonts w:ascii=&quot;Cambria Math&quot; w:h-ansi=&quot;Cambria Math&quot;/&gt;&lt;wx:font wx:val=&quot;Cambria Math&quot;/&gt;&lt;w:i/&gt;&lt;/w:rPr&gt;&lt;m:t&gt;k&lt;/m:t&gt;&lt;/m:r&gt;&lt;/m:sub&gt;&lt;/m:sSub&gt;&lt;/m:e&gt;&lt;/m:nary&gt;&lt;m:r&gt;&lt;w:rPr&gt;&lt;w:rFonts w:ascii=&quot;Cambria Math&quot; w:h-ansi=&quot;Cambria Math&quot;/&gt;&lt;wx:font wx:val=&quot;Cambria Math&quot;/&gt;&lt;w:i/&gt;&lt;/w:rPr&gt;&lt;m:t&gt;(Ï–)&lt;/m:t&gt;&lt;/m:r&gt;&lt;/m:den&gt;&lt;/m:f&gt;&lt;/m:e&gt;&lt;/m:d&gt;&lt;m:r&gt;&lt;w:rPr&gt;&lt;w:rFonts w:ascii=&quot;Cambria Math&quot; w:h-ansi=&quot;Cambria Math&quot;/&gt;&lt;wx:font wx:val=&quot;Cambria Math&quot;/&gt;&lt;w:i/&gt;&lt;/w:rPr&gt;&lt;m:t&gt;=1, &lt;/m:t&gt;&lt;/m:r&gt;&lt;m:r&gt;&lt;m:rPr&gt;&lt;m:sty m:val=&quot;p&quot;/&gt;&lt;/m:rPr&gt;&lt;w:rPr&gt;&lt;w:rFonts w:ascii=&quot;Cambria Math&quot; w:h-ansi=&quot;Cambria Math&quot;/&gt;&lt;wx:font wx:val=&quot;Cambria Math&quot;/&gt;&lt;/w:rPr&gt;&lt;m:t&gt;which is equation (26) in the main text.&lt;/m:t&gt;&lt;/m:r&gt;&lt;/m:oMath&gt;&lt;/m:oMathPara&gt;&lt;/w:p&gt;&lt;w:sectPr wsp:rsidR=&quot;00000000&quot; wsp:rsidRPr=&quot;004A30F3&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3" o:title="" cropright="36303f" chromakey="white"/>
          </v:shape>
        </w:pict>
      </w:r>
      <w:r w:rsidR="00C66496" w:rsidRPr="00C66496">
        <w:t xml:space="preserve"> </w:t>
      </w:r>
    </w:p>
    <w:p w:rsidR="008B3C0B" w:rsidRDefault="00C66496" w:rsidP="00C66496">
      <w:pPr>
        <w:rPr>
          <w:rFonts w:ascii="Cambria Math" w:hAnsi="Cambria Math"/>
        </w:rPr>
      </w:pPr>
      <w:r w:rsidRPr="00C66496">
        <w:rPr>
          <w:rFonts w:ascii="Cambria Math" w:hAnsi="Cambria Math"/>
        </w:rPr>
        <w:t>which is Equation (29) in the main text.</w:t>
      </w:r>
    </w:p>
    <w:p w:rsidR="00C66496" w:rsidRPr="00C66496" w:rsidRDefault="00C66496" w:rsidP="00C66496">
      <w:pPr>
        <w:rPr>
          <w:rFonts w:ascii="Cambria Math" w:hAnsi="Cambria Math"/>
        </w:rPr>
      </w:pPr>
    </w:p>
    <w:p w:rsidR="008B3C0B" w:rsidRPr="008B3C0B" w:rsidRDefault="008B3C0B" w:rsidP="004B450C">
      <w:pPr>
        <w:spacing w:before="120"/>
        <w:rPr>
          <w:b/>
          <w:u w:val="single"/>
        </w:rPr>
      </w:pPr>
      <w:r w:rsidRPr="008B3C0B">
        <w:rPr>
          <w:b/>
          <w:u w:val="single"/>
        </w:rPr>
        <w:t>A.3: Expectation and Variance of Untruncated MinLogistic Distribution</w:t>
      </w:r>
    </w:p>
    <w:p w:rsidR="008B3C0B" w:rsidRPr="008B3C0B" w:rsidRDefault="008B3C0B" w:rsidP="008B3C0B">
      <w:pPr>
        <w:rPr>
          <w:b/>
          <w:u w:val="single"/>
        </w:rPr>
      </w:pPr>
    </w:p>
    <w:p w:rsidR="008B3C0B" w:rsidRPr="008B3C0B" w:rsidRDefault="009A08FE" w:rsidP="004B450C">
      <w:pPr>
        <w:spacing w:after="120"/>
      </w:pPr>
      <w:r>
        <w:pict>
          <v:shape id="_x0000_i1345" type="#_x0000_t75" style="width:223.7pt;height:4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5AA5&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625AA5&quot; wsp:rsidRDefault=&quot;00625AA5&quot; wsp:rsidP=&quot;00625AA5&quot;&gt;&lt;m:oMathPara&gt;&lt;m:oMathParaPr&gt;&lt;m:jc m:val=&quot;left&quot;/&gt;&lt;/m:oMathParaPr&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Ïƒ&lt;/m:t&gt;&lt;/m:r&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e&gt;&lt;/m:nary&gt;&lt;m:r&gt;&lt;w:rPr&gt;&lt;w:rFonts w:ascii=&quot;Cambria Math&quot; w:h-ansi=&quot;Cambria Math&quot;/&gt;&lt;wx:font wx:val=&quot;Cambria Math&quot;/&gt;&lt;w:i/&gt;&lt;/w:rPr&gt;&lt;m:t&gt;)&lt;/m:t&gt;&lt;/m:r&gt;&lt;/m:den&gt;&lt;/m:f&gt;&lt;m:r&gt;&lt;w:rPr&gt;&lt;w:rFonts w:ascii=&quot;Cambria Math&quot; w:h-ansi=&quot;Cambria Math&quot;/&gt;&lt;wx:font wx:val=&quot;Cambria Math&quot;/&gt;&lt;w:i/&gt;&lt;/w:rPr&gt;&lt;m:t&gt; &lt;/m:t&gt;&lt;/m:r&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num&gt;&lt;m:den&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en&gt;&lt;/m:f&gt;&lt;/m:e&gt;&lt;/m:d&gt;&lt;/m:e&gt;&lt;/m:nary&gt;&lt;m:r&gt;&lt;w:rPr&gt;&lt;w:rFonts w:ascii=&quot;Cambria Math&quot; w:h-ansi=&quot;Cambria Math&quot;/&gt;&lt;wx:font wx:val=&quot;Cambria Math&quot;/&gt;&lt;w:i/&gt;&lt;/w:rPr&gt;&lt;m:t&gt; &lt;/m:t&gt;&lt;/m:r&gt;&lt;/m:oMath&gt;&lt;/m:oMathPara&gt;&lt;/w:p&gt;&lt;w:sectPr wsp:rsidR=&quot;00000000&quot; wsp:rsidRPr=&quot;00625AA5&quot;&gt;&lt;w:pgSz w:w=&quot;12240&quot; w:h=&quot;15840&quot;/&gt;&lt;w:pgMar w:top=&quot;1440&quot; w:right=&quot;1440&quot; w:bottom=&quot;1440&quot; w:left=&quot;1440&quot; w:header=&quot;720&quot; w:footer=&quot;720&quot; w:gutter=&quot;0&quot;/&gt;&lt;w:cols w:space=&quot;720&quot;/&gt;&lt;/w:sectPr&gt;&lt;/wx:sect&gt;&lt;/w:body&gt;&lt;/w:wordDocument&gt;">
            <v:imagedata r:id="rId595" o:title="" chromakey="white"/>
          </v:shape>
        </w:pict>
      </w:r>
    </w:p>
    <w:p w:rsidR="008B3C0B" w:rsidRPr="008B3C0B" w:rsidRDefault="008B3C0B" w:rsidP="004B450C">
      <w:pPr>
        <w:pStyle w:val="ListParagraph"/>
        <w:numPr>
          <w:ilvl w:val="0"/>
          <w:numId w:val="8"/>
        </w:numPr>
        <w:spacing w:after="0" w:line="240" w:lineRule="auto"/>
        <w:ind w:left="0" w:firstLine="0"/>
        <w:contextualSpacing w:val="0"/>
        <w:rPr>
          <w:rFonts w:ascii="Times New Roman" w:eastAsia="Times New Roman" w:hAnsi="Times New Roman"/>
          <w:sz w:val="24"/>
          <w:szCs w:val="24"/>
        </w:rPr>
      </w:pPr>
      <w:r w:rsidRPr="008B3C0B">
        <w:rPr>
          <w:rFonts w:ascii="Cambria Math" w:hAnsi="Cambria Math"/>
          <w:sz w:val="24"/>
          <w:szCs w:val="24"/>
        </w:rPr>
        <w:fldChar w:fldCharType="begin"/>
      </w:r>
      <w:r w:rsidRPr="008B3C0B">
        <w:rPr>
          <w:rFonts w:ascii="Cambria Math" w:hAnsi="Cambria Math"/>
          <w:sz w:val="24"/>
          <w:szCs w:val="24"/>
        </w:rPr>
        <w:instrText xml:space="preserve"> QUOTE </w:instrText>
      </w:r>
      <w:r w:rsidR="009A08FE">
        <w:rPr>
          <w:position w:val="-33"/>
        </w:rPr>
        <w:pict>
          <v:shape id="_x0000_i1346" type="#_x0000_t75" style="width:298.3pt;height:37.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5C3E&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1E5C3E&quot; wsp:rsidP=&quot;001E5C3E&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lt;/m:t&gt;&lt;/m:r&gt;&lt;m:ctrlPr&gt;&lt;w:rPr&gt;&lt;w:rFonts w:ascii=&quot;Cambria Math&quot; w:h-ansi=&quot;Cambria Math&quot;/&gt;&lt;wx:font wx:val=&quot;Cambria Math&quot;/&gt;&lt;w:b/&gt;&lt;w:i/&gt;&lt;/w:rPr&gt;&lt;/m:ctrlPr&gt;&lt;/m:e&gt;&lt;/m:d&gt;&lt;m:r&gt;&lt;m:rPr&gt;&lt;m:sty m:val=&quot;bi&quot;/&gt;&lt;/m:rPr&gt;&lt;w:rPr&gt;&lt;w:rFonts w:ascii=&quot;Cambria Math&quot; w:h-ansi=&quot;Cambria Math&quot;/&gt;&lt;wx:font wx:val=&quot;Cambria Math&quot;/&gt;&lt;w:b/&gt;&lt;w:i/&gt;&lt;/w:rPr&gt;&lt;m:t&gt;=&lt;/m:t&gt;&lt;/m:r&gt;&lt;m:nary&gt;&lt;m:naryPr&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b-cs/&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dt=&lt;/m:t&gt;&lt;/m:r&gt;&lt;m:nary&gt;&lt;m:naryPr&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Ïƒ&lt;/m:t&gt;&lt;/m:r&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e&gt;&lt;/m:nary&gt;&lt;m:r&gt;&lt;w:rPr&gt;&lt;w:rFonts w:ascii=&quot;Cambria Math&quot; w:h-ansi=&quot;Cambria Math&quot;/&gt;&lt;wx:font wx:val=&quot;Cambria Math&quot;/&gt;&lt;w:i/&gt;&lt;/w:rPr&gt;&lt;m:t&gt;)&lt;/m:t&gt;&lt;/m:r&gt;&lt;/m:den&gt;&lt;/m:f&gt;&lt;m:r&gt;&lt;w:rPr&gt;&lt;w:rFonts w:ascii=&quot;Cambria Math&quot; w:h-ansi=&quot;Cambria Math&quot;/&gt;&lt;wx:font wx:val=&quot;Cambria Math&quot;/&gt;&lt;w:i/&gt;&lt;/w:rPr&gt;&lt;m:t&gt; &lt;/m:t&gt;&lt;/m:r&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num&gt;&lt;m:den&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en&gt;&lt;/m:f&gt;&lt;/m:e&gt;&lt;/m:d&gt;&lt;m:r&gt;&lt;w:rPr&gt;&lt;w:rFonts w:ascii=&quot;Cambria Math&quot; w:h-ansi=&quot;Cambria Math&quot;/&gt;&lt;wx:font wx:val=&quot;Cambria Math&quot;/&gt;&lt;w:i/&gt;&lt;/w:rPr&gt;&lt;m:t&gt; &lt;/m:t&gt;&lt;/m:r&gt;&lt;/m:e&gt;&lt;/m:nary&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8B3C0B">
        <w:rPr>
          <w:rFonts w:ascii="Cambria Math" w:hAnsi="Cambria Math"/>
          <w:sz w:val="24"/>
          <w:szCs w:val="24"/>
        </w:rPr>
        <w:instrText xml:space="preserve"> </w:instrText>
      </w:r>
      <w:r w:rsidRPr="008B3C0B">
        <w:rPr>
          <w:rFonts w:ascii="Cambria Math" w:hAnsi="Cambria Math"/>
          <w:sz w:val="24"/>
          <w:szCs w:val="24"/>
        </w:rPr>
        <w:fldChar w:fldCharType="separate"/>
      </w:r>
      <w:r w:rsidR="009A08FE">
        <w:rPr>
          <w:position w:val="-33"/>
        </w:rPr>
        <w:pict>
          <v:shape id="_x0000_i1347" type="#_x0000_t75" style="width:298.3pt;height:37.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5C3E&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1E5C3E&quot; wsp:rsidP=&quot;001E5C3E&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lt;/m:t&gt;&lt;/m:r&gt;&lt;m:ctrlPr&gt;&lt;w:rPr&gt;&lt;w:rFonts w:ascii=&quot;Cambria Math&quot; w:h-ansi=&quot;Cambria Math&quot;/&gt;&lt;wx:font wx:val=&quot;Cambria Math&quot;/&gt;&lt;w:b/&gt;&lt;w:i/&gt;&lt;/w:rPr&gt;&lt;/m:ctrlPr&gt;&lt;/m:e&gt;&lt;/m:d&gt;&lt;m:r&gt;&lt;m:rPr&gt;&lt;m:sty m:val=&quot;bi&quot;/&gt;&lt;/m:rPr&gt;&lt;w:rPr&gt;&lt;w:rFonts w:ascii=&quot;Cambria Math&quot; w:h-ansi=&quot;Cambria Math&quot;/&gt;&lt;wx:font wx:val=&quot;Cambria Math&quot;/&gt;&lt;w:b/&gt;&lt;w:i/&gt;&lt;/w:rPr&gt;&lt;m:t&gt;=&lt;/m:t&gt;&lt;/m:r&gt;&lt;m:nary&gt;&lt;m:naryPr&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b-cs/&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dt=&lt;/m:t&gt;&lt;/m:r&gt;&lt;m:nary&gt;&lt;m:naryPr&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Ïƒ&lt;/m:t&gt;&lt;/m:r&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e&gt;&lt;/m:nary&gt;&lt;m:r&gt;&lt;w:rPr&gt;&lt;w:rFonts w:ascii=&quot;Cambria Math&quot; w:h-ansi=&quot;Cambria Math&quot;/&gt;&lt;wx:font wx:val=&quot;Cambria Math&quot;/&gt;&lt;w:i/&gt;&lt;/w:rPr&gt;&lt;m:t&gt;)&lt;/m:t&gt;&lt;/m:r&gt;&lt;/m:den&gt;&lt;/m:f&gt;&lt;m:r&gt;&lt;w:rPr&gt;&lt;w:rFonts w:ascii=&quot;Cambria Math&quot; w:h-ansi=&quot;Cambria Math&quot;/&gt;&lt;wx:font wx:val=&quot;Cambria Math&quot;/&gt;&lt;w:i/&gt;&lt;/w:rPr&gt;&lt;m:t&gt; &lt;/m:t&gt;&lt;/m:r&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num&gt;&lt;m:den&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en&gt;&lt;/m:f&gt;&lt;/m:e&gt;&lt;/m:d&gt;&lt;m:r&gt;&lt;w:rPr&gt;&lt;w:rFonts w:ascii=&quot;Cambria Math&quot; w:h-ansi=&quot;Cambria Math&quot;/&gt;&lt;wx:font wx:val=&quot;Cambria Math&quot;/&gt;&lt;w:i/&gt;&lt;/w:rPr&gt;&lt;m:t&gt; &lt;/m:t&gt;&lt;/m:r&gt;&lt;/m:e&gt;&lt;/m:nary&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4" o:title="" chromakey="white"/>
          </v:shape>
        </w:pict>
      </w:r>
      <w:r w:rsidRPr="008B3C0B">
        <w:rPr>
          <w:rFonts w:ascii="Cambria Math" w:hAnsi="Cambria Math"/>
          <w:sz w:val="24"/>
          <w:szCs w:val="24"/>
        </w:rPr>
        <w:fldChar w:fldCharType="end"/>
      </w:r>
      <w:r w:rsidRPr="008B3C0B">
        <w:rPr>
          <w:rFonts w:ascii="Cambria Math" w:hAnsi="Cambria Math"/>
          <w:sz w:val="24"/>
          <w:szCs w:val="24"/>
        </w:rPr>
        <w:br/>
      </w:r>
      <w:r w:rsidRPr="004B450C">
        <w:rPr>
          <w:rFonts w:ascii="Cambria Math" w:eastAsia="Times New Roman" w:hAnsi="Cambria Math"/>
          <w:sz w:val="24"/>
          <w:szCs w:val="24"/>
        </w:rPr>
        <w:fldChar w:fldCharType="begin"/>
      </w:r>
      <w:r w:rsidRPr="004B450C">
        <w:rPr>
          <w:rFonts w:ascii="Cambria Math" w:eastAsia="Times New Roman" w:hAnsi="Cambria Math"/>
          <w:sz w:val="24"/>
          <w:szCs w:val="24"/>
        </w:rPr>
        <w:instrText xml:space="preserve"> QUOTE </w:instrText>
      </w:r>
      <w:r w:rsidR="009A08FE">
        <w:rPr>
          <w:rFonts w:ascii="Cambria Math" w:hAnsi="Cambria Math"/>
          <w:position w:val="-17"/>
          <w:sz w:val="24"/>
          <w:szCs w:val="24"/>
        </w:rPr>
        <w:pict>
          <v:shape id="_x0000_i1348" type="#_x0000_t75" style="width:225pt;height:25.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4A3&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6274A3&quot; wsp:rsidP=&quot;006274A3&quot;&gt;&lt;m:oMathPara&gt;&lt;m:oMath&gt;&lt;m:r&gt;&lt;w:rPr&gt;&lt;w:rFonts w:ascii=&quot;Cambria Math&quot; w:fareast=&quot;Times New Roman&quot; w:h-ansi=&quot;Cambria Math&quot;/&gt;&lt;wx:font wx:val=&quot;Cambria Math&quot;/&gt;&lt;w:i/&gt;&lt;/w:rPr&gt;&lt;m:t&gt;Substituting &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r&gt;&lt;w:rPr&gt;&lt;w:rFonts w:ascii=&quot;Cambria Math&quot; w:fareast=&quot;Times New Roman&quot; w:h-ansi=&quot;Cambria Math&quot;/&gt;&lt;wx:font wx:val=&quot;Cambria Math&quot;/&gt;&lt;w:i/&gt;&lt;/w:rPr&gt;&lt;m:t&gt;=u, t=Ïƒ&lt;/m:t&gt;&lt;/m:r&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 dt=Ïƒ.&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4B450C">
        <w:rPr>
          <w:rFonts w:ascii="Cambria Math" w:eastAsia="Times New Roman" w:hAnsi="Cambria Math"/>
          <w:sz w:val="24"/>
          <w:szCs w:val="24"/>
        </w:rPr>
        <w:instrText xml:space="preserve"> </w:instrText>
      </w:r>
      <w:r w:rsidRPr="004B450C">
        <w:rPr>
          <w:rFonts w:ascii="Cambria Math" w:eastAsia="Times New Roman" w:hAnsi="Cambria Math"/>
          <w:sz w:val="24"/>
          <w:szCs w:val="24"/>
        </w:rPr>
        <w:fldChar w:fldCharType="separate"/>
      </w:r>
      <w:r w:rsidR="009A08FE">
        <w:rPr>
          <w:rFonts w:ascii="Cambria Math" w:hAnsi="Cambria Math"/>
          <w:position w:val="-17"/>
          <w:sz w:val="24"/>
          <w:szCs w:val="24"/>
        </w:rPr>
        <w:pict>
          <v:shape id="_x0000_i1349" type="#_x0000_t75" style="width:225pt;height:25.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4A3&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6274A3&quot; wsp:rsidP=&quot;006274A3&quot;&gt;&lt;m:oMathPara&gt;&lt;m:oMath&gt;&lt;m:r&gt;&lt;w:rPr&gt;&lt;w:rFonts w:ascii=&quot;Cambria Math&quot; w:fareast=&quot;Times New Roman&quot; w:h-ansi=&quot;Cambria Math&quot;/&gt;&lt;wx:font wx:val=&quot;Cambria Math&quot;/&gt;&lt;w:i/&gt;&lt;/w:rPr&gt;&lt;m:t&gt;Substituting &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r&gt;&lt;w:rPr&gt;&lt;w:rFonts w:ascii=&quot;Cambria Math&quot; w:fareast=&quot;Times New Roman&quot; w:h-ansi=&quot;Cambria Math&quot;/&gt;&lt;wx:font wx:val=&quot;Cambria Math&quot;/&gt;&lt;w:i/&gt;&lt;/w:rPr&gt;&lt;m:t&gt;=u, t=Ïƒ&lt;/m:t&gt;&lt;/m:r&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 dt=Ïƒ.&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5" o:title="" chromakey="white"/>
          </v:shape>
        </w:pict>
      </w:r>
      <w:r w:rsidRPr="004B450C">
        <w:rPr>
          <w:rFonts w:ascii="Cambria Math" w:eastAsia="Times New Roman" w:hAnsi="Cambria Math"/>
          <w:sz w:val="24"/>
          <w:szCs w:val="24"/>
        </w:rPr>
        <w:fldChar w:fldCharType="end"/>
      </w:r>
      <w:r w:rsidRPr="004B450C">
        <w:rPr>
          <w:rFonts w:ascii="Cambria Math" w:eastAsia="Times New Roman" w:hAnsi="Cambria Math"/>
          <w:sz w:val="24"/>
          <w:szCs w:val="24"/>
        </w:rPr>
        <w:t>, and rewriting,</w:t>
      </w:r>
    </w:p>
    <w:p w:rsidR="008B3C0B" w:rsidRPr="008B3C0B" w:rsidRDefault="008B3C0B" w:rsidP="008B3C0B">
      <w:pPr>
        <w:pStyle w:val="ListParagraph"/>
        <w:spacing w:after="0" w:line="240" w:lineRule="auto"/>
        <w:ind w:left="0"/>
        <w:rPr>
          <w:rFonts w:ascii="Times New Roman" w:eastAsia="Times New Roman" w:hAnsi="Times New Roman"/>
          <w:sz w:val="24"/>
          <w:szCs w:val="24"/>
        </w:rPr>
      </w:pP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lastRenderedPageBreak/>
        <w:pict>
          <v:shape id="_x0000_i1350" type="#_x0000_t75" style="width:468pt;height:68.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A71&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A60A71&quot; wsp:rsidRDefault=&quot;00A60A71&quot; wsp:rsidP=&quot;00A60A71&quot;&gt;&lt;m:oMathPara&gt;&lt;m:oMathParaPr&gt;&lt;m:jc m:val=&quot;left&quot;/&gt;&lt;/m:oMathParaPr&gt;&lt;m:oMath&gt;&lt;m:nary&gt;&lt;m:naryPr&gt;&lt;m:limLoc m:val=&quot;subSup&quot;/&gt;&lt;m:ctrlPr&gt;&lt;w:rPr&gt;&lt;w:rFonts w:ascii=&quot;Cambria Math&quot; w:fareast=&quot;Times New Roman&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Ïƒ&lt;/m:t&gt;&lt;/m:r&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Ïƒ&lt;/m:t&gt;&lt;/m:r&gt;&lt;/m:den&gt;&lt;/m:f&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fareast=&quot;Times New Roman&quot; w:h-ansi=&quot;Cambria Math&quot;/&gt;&lt;wx:font wx:val=&quot;Cambria Math&quot;/&gt;&lt;w:i/&gt;&lt;/w:rPr&gt;&lt;m:t&gt;u&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fareast=&quot;Times New Roman&quot; w:h-ansi=&quot;Cambria Math&quot;/&gt;&lt;wx:font wx:val=&quot;Cambria Math&quot;/&gt;&lt;w:i/&gt;&lt;/w:rPr&gt;&lt;m:t&gt;u&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â€¦+&lt;/m:t&gt;&lt;/m:r&gt;&lt;m:f&gt;&lt;m:fPr&gt;&lt;m:ctrlPr&gt;&lt;w:rPr&gt;&lt;w:rFonts w:ascii=&quot;Cambria Math&quot; w:h-ansi=&quot;Cambria Math&quot;/&gt;&lt;wx:font wx:val=&quot;Cambria Math&quot;/&gt;&lt;w:i/&gt;&lt;/w:rPr&gt;&lt;/m:ctrlPr&gt;&lt;/m:fPr&gt;&lt;m:num&gt;&lt;m:r&gt;&lt;w:rPr&gt;&lt;w:rFonts w:ascii=&quot;Cambria Math&quot; w:fareast=&quot;Times New Roman&quot; w:h-ansi=&quot;Cambria Math&quot;/&gt;&lt;wx:font wx:val=&quot;Cambria Math&quot;/&gt;&lt;w:i/&gt;&lt;/w:rPr&gt;&lt;m:t&gt;u&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1&lt;/m:t&gt;&lt;/m:r&gt;&lt;/m:sub&gt;&lt;/m:sSub&gt;&lt;m:r&gt;&lt;w:rPr&gt;&lt;w:rFonts w:ascii=&quot;Cambria Math&quot; w:h-ansi=&quot;Cambria Math&quot;/&gt;&lt;wx:font wx:val=&quot;Cambria Math&quot;/&gt;&lt;w:i/&gt;&lt;/w:rPr&gt;&lt;m:t&gt;u&lt;/m:t&gt;&lt;/m:r&gt;&lt;/m:e&gt;&lt;/m:d&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ctrlPr&gt;&lt;w:rPr&gt;&lt;w:rFonts w:ascii=&quot;Cambria Math&quot; w:h-ansi=&quot;Cambria Math&quot;/&gt;&lt;wx:font wx:val=&quot;Cambria Math&quot;/&gt;&lt;w:i/&gt;&lt;/w:rPr&gt;&lt;/m:ctrlPr&gt;&lt;/m:e&gt;&lt;/m:d&gt;&lt;/m:e&gt;&lt;/m:nary&gt;&lt;m:r&gt;&lt;w:rPr&gt;&lt;w:rFonts w:ascii=&quot;Cambria Math&quot; w:h-ansi=&quot;Cambria Math&quot;/&gt;&lt;wx:font wx:val=&quot;Cambria Math&quot;/&gt;&lt;w:i/&gt;&lt;/w:rPr&gt;&lt;m:t&gt;Ïƒ.&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u&lt;/m:t&gt;&lt;/m:r&gt;&lt;/m:den&gt;&lt;/m:f&gt;&lt;m:r&gt;&lt;w:rPr&gt;&lt;w:rFonts w:ascii=&quot;Cambria Math&quot; w:h-ansi=&quot;Cambria Math&quot;/&gt;&lt;wx:font wx:val=&quot;Cambria Math&quot;/&gt;&lt;w:i/&gt;&lt;/w:rPr&gt;&lt;m:t&gt;du&lt;/m:t&gt;&lt;/m:r&gt;&lt;/m:oMath&gt;&lt;/m:oMathPara&gt;&lt;/w:p&gt;&lt;w:sectPr wsp:rsidR=&quot;00000000&quot; wsp:rsidRPr=&quot;00A60A71&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6" o:title="" chromakey="white"/>
          </v:shape>
        </w:pict>
      </w:r>
    </w:p>
    <w:p w:rsidR="008B3C0B" w:rsidRPr="008B3C0B" w:rsidRDefault="008B3C0B" w:rsidP="008B3C0B">
      <w:pPr>
        <w:pStyle w:val="ListParagraph"/>
        <w:spacing w:after="0" w:line="240" w:lineRule="auto"/>
        <w:ind w:left="0"/>
        <w:rPr>
          <w:rFonts w:ascii="Times New Roman" w:eastAsia="Times New Roman" w:hAnsi="Times New Roman"/>
          <w:sz w:val="24"/>
          <w:szCs w:val="24"/>
        </w:rPr>
      </w:pPr>
      <w:r w:rsidRPr="008B3C0B">
        <w:rPr>
          <w:rFonts w:ascii="Cambria Math" w:hAnsi="Cambria Math"/>
          <w:sz w:val="24"/>
          <w:szCs w:val="24"/>
        </w:rPr>
        <w:br/>
      </w:r>
      <w:r w:rsidR="009A08FE">
        <w:pict>
          <v:shape id="_x0000_i1351" type="#_x0000_t75" style="width:468.85pt;height:47.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5DE8&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A95DE8&quot; wsp:rsidP=&quot;00A95DE8&quot;&gt;&lt;m:oMathPara&gt;&lt;m:oMath&gt;&lt;m:r&gt;&lt;w:rPr&gt;&lt;w:rFonts w:ascii=&quot;Cambria Math&quot; w:fareast=&quot;Times New Roman&quot; w:h-ansi=&quot;Cambria Math&quot;/&gt;&lt;wx:font wx:val=&quot;Cambria Math&quot;/&gt;&lt;w:i/&gt;&lt;/w:rPr&gt;&lt;m:t&gt;=Ïƒ&lt;/m:t&gt;&lt;/m:r&gt;&lt;m:nary&gt;&lt;m:naryPr&gt;&lt;m:limLoc m:val=&quot;subSup&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0&lt;/m:t&gt;&lt;/m:r&gt;&lt;/m:sub&gt;&lt;m:sup&gt;&lt;m:r&gt;&lt;w:rPr&gt;&lt;w:rFonts w:ascii=&quot;Cambria Math&quot; w:fareast=&quot;Times New Roman&quot; w:h-ansi=&quot;Cambria Math&quot;/&gt;&lt;wx:font wx:val=&quot;Cambria Math&quot;/&gt;&lt;w:i/&gt;&lt;/w:rPr&gt;&lt;m:t&gt;âˆž&lt;/m:t&gt;&lt;/m:r&gt;&lt;/m:sup&gt;&lt;m:e&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 . &lt;/m:t&gt;&lt;/m:r&gt;&lt;/m:e&gt;&lt;/m:func&gt;&lt;/m:e&gt;&lt;/m:nary&gt;&lt;m:f&gt;&lt;m:fPr&gt;&lt;m:ctrlPr&gt;&lt;w:rPr&gt;&lt;w:rFonts w:ascii=&quot;Cambria Math&quot; w:h-ansi=&quot;Cambria Math&quot;/&gt;&lt;wx:font wx:val=&quot;Cambria Math&quot;/&gt;&lt;w:i/&gt;&lt;/w:rPr&gt;&lt;/m:ctrlPr&gt;&lt;/m:fPr&gt;&lt;m:num&gt;&lt;m:eqArr&gt;&lt;m:eqArrPr&gt;&lt;m:ctrlPr&gt;&lt;w:rPr&gt;&lt;w:rFonts w:ascii=&quot;Cambria Math&quot; w:h-ansi=&quot;Cambria Math&quot;/&gt;&lt;wx:font wx:val=&quot;Cambria Math&quot;/&gt;&lt;w:i/&gt;&lt;/w:rPr&gt;&lt;/m:ctrlPr&gt;&lt;/m:eqArr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e&gt;&lt;m:e&gt;&lt;m:r&gt;&lt;w:rPr&gt;&lt;w:rFonts w:ascii=&quot;Cambria Math&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1&lt;/m:t&gt;&lt;/m:r&gt;&lt;/m:sub&gt;&lt;/m:sSub&gt;&lt;m:r&gt;&lt;w:rPr&gt;&lt;w:rFonts w:ascii=&quot;Cambria Math&quot; w:h-ansi=&quot;Cambria Math&quot;/&gt;&lt;wx:font wx:val=&quot;Cambria Math&quot;/&gt;&lt;w:i/&gt;&lt;/w:rPr&gt;&lt;m:t&gt;u&lt;/m:t&gt;&lt;/m:r&gt;&lt;/m:e&gt;&lt;/m:d&gt;&lt;/m:e&gt;&lt;/m:eqArr&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7" o:title="" chromakey="white"/>
          </v:shape>
        </w:pict>
      </w:r>
      <w:r w:rsidRPr="008B3C0B">
        <w:rPr>
          <w:rFonts w:ascii="Cambria Math" w:eastAsia="Times New Roman" w:hAnsi="Cambria Math"/>
          <w:sz w:val="24"/>
          <w:szCs w:val="24"/>
        </w:rPr>
        <w:br/>
      </w:r>
      <w:r w:rsidRPr="008B3C0B">
        <w:rPr>
          <w:rFonts w:ascii="Cambria Math" w:eastAsia="Times New Roman" w:hAnsi="Cambria Math"/>
          <w:sz w:val="24"/>
          <w:szCs w:val="24"/>
        </w:rPr>
        <w:br/>
      </w:r>
      <w:r w:rsidR="009A08FE">
        <w:pict>
          <v:shape id="_x0000_i1352" type="#_x0000_t75" style="width:118.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1A64&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41A64&quot; wsp:rsidRDefault=&quot;00841A64&quot; wsp:rsidP=&quot;00841A64&quot;&gt;&lt;m:oMathPara&gt;&lt;m:oMath&gt;&lt;m:r&gt;&lt;w:rPr&gt;&lt;w:rFonts w:ascii=&quot;Cambria Math&quot; w:fareast=&quot;Times New Roman&quot; w:h-ansi=&quot;Cambria Math&quot;/&gt;&lt;wx:font wx:val=&quot;Cambria Math&quot;/&gt;&lt;w:i/&gt;&lt;/w:rPr&gt;&lt;m:t&gt;Integrating by parts: &lt;/m:t&gt;&lt;/m:r&gt;&lt;/m:oMath&gt;&lt;/m:oMathPara&gt;&lt;/w:p&gt;&lt;w:sectPr wsp:rsidR=&quot;00000000&quot; wsp:rsidRPr=&quot;00841A6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8B3C0B">
        <w:rPr>
          <w:rFonts w:ascii="Cambria Math" w:eastAsia="Times New Roman" w:hAnsi="Cambria Math"/>
          <w:sz w:val="24"/>
          <w:szCs w:val="24"/>
        </w:rPr>
        <w:br/>
      </w:r>
      <w:r w:rsidR="009A08FE">
        <w:pict>
          <v:shape id="_x0000_i1353" type="#_x0000_t75" style="width:144.45pt;height:2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45CE3&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945CE3&quot; wsp:rsidRDefault=&quot;00945CE3&quot; wsp:rsidP=&quot;00945CE3&quot;&gt;&lt;m:oMathPara&gt;&lt;m:oMath&gt;&lt;m:r&gt;&lt;w:rPr&gt;&lt;w:rFonts w:ascii=&quot;Cambria Math&quot; w:fareast=&quot;Times New Roman&quot; w:h-ansi=&quot;Cambria Math&quot;/&gt;&lt;wx:font wx:val=&quot;Cambria Math&quot;/&gt;&lt;w:i/&gt;&lt;/w:rPr&gt;&lt;m:t&gt;Let I=&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r&gt;&lt;w:rPr&gt;&lt;w:rFonts w:ascii=&quot;Cambria Math&quot; w:fareast=&quot;Times New Roman&quot; w:h-ansi=&quot;Cambria Math&quot;/&gt;&lt;wx:font wx:val=&quot;Cambria Math&quot;/&gt;&lt;w:i/&gt;&lt;/w:rPr&gt;&lt;m:t&gt;f&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g&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fg-&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f&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g&lt;/m:t&gt;&lt;/m:r&gt;&lt;/m:e&gt;&lt;/m:nary&gt;&lt;/m:e&gt;&lt;/m:nary&gt;&lt;/m:oMath&gt;&lt;/m:oMathPara&gt;&lt;/w:p&gt;&lt;w:sectPr wsp:rsidR=&quot;00000000&quot; wsp:rsidRPr=&quot;00945CE3&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8B3C0B">
        <w:rPr>
          <w:rFonts w:ascii="Cambria Math" w:eastAsia="Times New Roman" w:hAnsi="Cambria Math"/>
          <w:sz w:val="24"/>
          <w:szCs w:val="24"/>
        </w:rPr>
        <w:br/>
      </w:r>
      <w:r w:rsidR="009A08FE">
        <w:pict>
          <v:shape id="_x0000_i1354" type="#_x0000_t75" style="width:81.45pt;height:2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B6B40&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B6B40&quot; wsp:rsidRDefault=&quot;008B6B40&quot; wsp:rsidP=&quot;008B6B40&quot;&gt;&lt;m:oMathPara&gt;&lt;m:oMath&gt;&lt;m:r&gt;&lt;w:rPr&gt;&lt;w:rFonts w:ascii=&quot;Cambria Math&quot; w:fareast=&quot;Times New Roman&quot; w:h-ansi=&quot;Cambria Math&quot;/&gt;&lt;wx:font wx:val=&quot;Cambria Math&quot;/&gt;&lt;w:i/&gt;&lt;/w:rPr&gt;&lt;m:t&gt;f=&lt;/m:t&gt;&lt;/m:r&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r&gt;&lt;w:rPr&gt;&lt;w:rFonts w:ascii=&quot;Cambria Math&quot; w:fareast=&quot;Times New Roman&quot; w:h-ansi=&quot;Cambria Math&quot;/&gt;&lt;wx:font wx:val=&quot;Cambria Math&quot;/&gt;&lt;w:i/&gt;&lt;/w:rPr&gt;&lt;m:t&gt;, &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f&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en&gt;&lt;/m:f&gt;&lt;/m:oMath&gt;&lt;/m:oMathPara&gt;&lt;/w:p&gt;&lt;w:sectPr wsp:rsidR=&quot;00000000&quot; wsp:rsidRPr=&quot;008B6B4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0"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55" type="#_x0000_t75" style="width:430.3pt;height:46.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086F&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CB086F&quot; wsp:rsidRDefault=&quot;00CB086F&quot; wsp:rsidP=&quot;00CB086F&quot;&gt;&lt;m:oMathPara&gt;&lt;m:oMathParaPr&gt;&lt;m:jc m:val=&quot;left&quot;/&gt;&lt;/m:oMathParaPr&gt;&lt;m:oMath&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g&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rPr&gt;&lt;/m:ctrlPr&gt;&lt;/m:fPr&gt;&lt;m:num&gt;&lt;m:eqArr&gt;&lt;m:eqArrPr&gt;&lt;m:ctrlPr&gt;&lt;w:rPr&gt;&lt;w:rFonts w:ascii=&quot;Cambria Math&quot; w:h-ansi=&quot;Cambria Math&quot;/&gt;&lt;wx:font wx:val=&quot;Cambria Math&quot;/&gt;&lt;w:i/&gt;&lt;/w:rPr&gt;&lt;/m:ctrlPr&gt;&lt;/m:eqArr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e&gt;&lt;m:e&gt;&lt;m:r&gt;&lt;w:rPr&gt;&lt;w:rFonts w:ascii=&quot;Cambria Math&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1&lt;/m:t&gt;&lt;/m:r&gt;&lt;/m:sub&gt;&lt;/m:sSub&gt;&lt;m:r&gt;&lt;w:rPr&gt;&lt;w:rFonts w:ascii=&quot;Cambria Math&quot; w:h-ansi=&quot;Cambria Math&quot;/&gt;&lt;wx:font wx:val=&quot;Cambria Math&quot;/&gt;&lt;w:i/&gt;&lt;/w:rPr&gt;&lt;m:t&gt;u&lt;/m:t&gt;&lt;/m:r&gt;&lt;/m:e&gt;&lt;/m:d&gt;&lt;/m:e&gt;&lt;/m:eqArr&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oMath&gt;&lt;/m:oMathPara&gt;&lt;/w:p&gt;&lt;w:sectPr wsp:rsidR=&quot;00000000&quot; wsp:rsidRPr=&quot;00CB086F&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008B3C0B" w:rsidRPr="008B3C0B">
        <w:rPr>
          <w:rFonts w:ascii="Cambria Math" w:eastAsia="Times New Roman" w:hAnsi="Cambria Math"/>
          <w:sz w:val="24"/>
          <w:szCs w:val="24"/>
        </w:rPr>
        <w:br/>
      </w:r>
      <w:r>
        <w:pict>
          <v:shape id="_x0000_i1356" type="#_x0000_t75" style="width:199.3pt;height:3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BB0&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0A5BB0&quot; wsp:rsidRDefault=&quot;000A5BB0&quot; wsp:rsidP=&quot;000A5BB0&quot;&gt;&lt;m:oMathPara&gt;&lt;m:oMath&gt;&lt;m:r&gt;&lt;w:rPr&gt;&lt;w:rFonts w:ascii=&quot;Cambria Math&quot; w:fareast=&quot;Times New Roman&quot; w:h-ansi=&quot;Cambria Math&quot;/&gt;&lt;wx:font wx:val=&quot;Cambria Math&quot;/&gt;&lt;w:i/&gt;&lt;/w:rPr&gt;&lt;m:t&gt;g=-&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oMath&gt;&lt;/m:oMathPara&gt;&lt;/w:p&gt;&lt;w:sectPr wsp:rsidR=&quot;00000000&quot; wsp:rsidRPr=&quot;000A5BB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2"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57" type="#_x0000_t75" style="width:443.55pt;height:3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AB9&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4A2AB9&quot; wsp:rsidRDefault=&quot;004A2AB9&quot; wsp:rsidP=&quot;004A2AB9&quot;&gt;&lt;m:oMathPara&gt;&lt;m:oMathParaPr&gt;&lt;m:jc m:val=&quot;left&quot;/&gt;&lt;/m:oMathParaPr&gt;&lt;m:oMath&gt;&lt;m:r&gt;&lt;w:rPr&gt;&lt;w:rFonts w:ascii=&quot;Cambria Math&quot; w:fareast=&quot;Times New Roman&quot; w:h-ansi=&quot;Cambria Math&quot;/&gt;&lt;wx:font wx:val=&quot;Cambria Math&quot;/&gt;&lt;w:i/&gt;&lt;/w:rPr&gt;&lt;m:t&gt;So, I=-&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r&gt;&lt;w:rPr&gt;&lt;w:rFonts w:ascii=&quot;Cambria Math&quot; w:fareast=&quot;Times New Roman&quot; w:h-ansi=&quot;Cambria Math&quot;/&gt;&lt;wx:font wx:val=&quot;Cambria Math&quot;/&gt;&lt;w:i/&gt;&lt;/w:rPr&gt;&lt;m:t&gt;-&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r&gt;&lt;w:rPr&gt;&lt;w:rFonts w:ascii=&quot;Cambria Math&quot; w:fareast=&quot;Times New Roman&quot; w:h-ansi=&quot;Cambria Math&quot;/&gt;&lt;wx:font wx:val=&quot;Cambria Math&quot;/&gt;&lt;w:i/&gt;&lt;/w:rPr&gt;&lt;m:t&gt;du&lt;/m:t&gt;&lt;/m:r&gt;&lt;/m:e&gt;&lt;/m:nary&gt;&lt;/m:oMath&gt;&lt;/m:oMathPara&gt;&lt;/w:p&gt;&lt;w:sectPr wsp:rsidR=&quot;00000000&quot; wsp:rsidRPr=&quot;004A2AB9&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3"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58" type="#_x0000_t75" style="width:340.7pt;height:3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763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763D4&quot; wsp:rsidRDefault=&quot;003763D4&quot; wsp:rsidP=&quot;003763D4&quot;&gt;&lt;m:oMathPara&gt;&lt;m:oMathParaPr&gt;&lt;m:jc m:val=&quot;left&quot;/&gt;&lt;/m:oMathParaPr&gt;&lt;m:oMath&gt;&lt;m:r&gt;&lt;w:rPr&gt;&lt;w:rFonts w:ascii=&quot;Cambria Math&quot; w:fareast=&quot;Times New Roman&quot; w:h-ansi=&quot;Cambria Math&quot;/&gt;&lt;wx:font wx:val=&quot;Cambria Math&quot;/&gt;&lt;w:i/&gt;&lt;/w:rPr&gt;&lt;m:t&gt;Solving the Integral: J=&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r&gt;&lt;w:rPr&gt;&lt;w:rFonts w:ascii=&quot;Cambria Math&quot; w:fareast=&quot;Times New Roman&quot; w:h-ansi=&quot;Cambria Math&quot;/&gt;&lt;wx:font wx:val=&quot;Cambria Math&quot;/&gt;&lt;w:i/&gt;&lt;/w:rPr&gt;&lt;m:t&gt;du&lt;/m:t&gt;&lt;/m:r&gt;&lt;/m:e&gt;&lt;/m:nary&gt;&lt;/m:oMath&gt;&lt;/m:oMathPara&gt;&lt;/w:p&gt;&lt;w:sectPr wsp:rsidR=&quot;00000000&quot; wsp:rsidRPr=&quot;003763D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4" o:title="" chromakey="white"/>
          </v:shape>
        </w:pict>
      </w:r>
    </w:p>
    <w:p w:rsidR="008B3C0B" w:rsidRPr="008B3C0B" w:rsidRDefault="008B3C0B" w:rsidP="008B3C0B">
      <w:pPr>
        <w:pStyle w:val="ListParagraph"/>
        <w:spacing w:after="0" w:line="240" w:lineRule="auto"/>
        <w:ind w:left="0"/>
        <w:rPr>
          <w:rFonts w:ascii="Times New Roman" w:eastAsia="Times New Roman" w:hAnsi="Times New Roman"/>
          <w:sz w:val="24"/>
          <w:szCs w:val="24"/>
        </w:rPr>
      </w:pP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59" type="#_x0000_t75" style="width:247.3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2CC&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B352CC&quot; wsp:rsidRDefault=&quot;00B352CC&quot; wsp:rsidP=&quot;00B352CC&quot;&gt;&lt;m:oMathPara&gt;&lt;m:oMathParaPr&gt;&lt;m:jc m:val=&quot;left&quot;/&gt;&lt;/m:oMathParaPr&gt;&lt;m:oMath&gt;&lt;m:r&gt;&lt;w:rPr&gt;&lt;w:rFonts w:ascii=&quot;Cambria Math&quot; w:fareast=&quot;Times New Roman&quot; w:h-ansi=&quot;Cambria Math&quot;/&gt;&lt;wx:font wx:val=&quot;Cambria Math&quot;/&gt;&lt;w:i/&gt;&lt;/w:rPr&gt;&lt;m:t&gt;Performing partial fractions decomposition:&lt;/m:t&gt;&lt;/m:r&gt;&lt;/m:oMath&gt;&lt;/m:oMathPara&gt;&lt;/w:p&gt;&lt;w:sectPr wsp:rsidR=&quot;00000000&quot; wsp:rsidRPr=&quot;00B352CC&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5" o:title="" chromakey="white"/>
          </v:shape>
        </w:pict>
      </w:r>
      <w:r w:rsidR="008B3C0B" w:rsidRPr="008B3C0B">
        <w:rPr>
          <w:rFonts w:ascii="Cambria Math" w:eastAsia="Times New Roman" w:hAnsi="Cambria Math"/>
          <w:sz w:val="24"/>
          <w:szCs w:val="24"/>
        </w:rPr>
        <w:br/>
      </w:r>
      <w:r>
        <w:pict>
          <v:shape id="_x0000_i1360" type="#_x0000_t75" style="width:468pt;height:10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4DFF&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CA4DFF&quot; wsp:rsidRDefault=&quot;00CA4DFF&quot; wsp:rsidP=&quot;00CA4DFF&quot;&gt;&lt;m:oMathPara&gt;&lt;m:oMath&gt;&lt;m:r&gt;&lt;w:rPr&gt;&lt;w:rFonts w:ascii=&quot;Cambria Math&quot; w:fareast=&quot;Times New Roman&quot; w:h-ansi=&quot;Cambria Math&quot;/&gt;&lt;wx:font wx:val=&quot;Cambria Math&quot;/&gt;&lt;w:i/&gt;&lt;/w:rPr&gt;&lt;m:t&gt;J=-&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K&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K&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â€¦ -&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1&lt;/m:t&gt;&lt;/m:r&gt;&lt;/m:sub&gt;&lt;/m:sSub&gt;&lt;/m:e&gt;&lt;/m:d&gt;&lt;/m:den&gt;&lt;/m:f&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e&gt;&lt;/m:nary&gt;&lt;m:r&gt;&lt;w:rPr&gt;&lt;w:rFonts w:ascii=&quot;Cambria Math&quot; w:fareast=&quot;Times New Roman&quot; w:h-ansi=&quot;Cambria Math&quot;/&gt;&lt;wx:font wx:val=&quot;Cambria Math&quot;/&gt;&lt;w:i/&gt;&lt;/w:rPr&gt;&lt;m:t&gt;+&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oMath&gt;&lt;/m:oMathPara&gt;&lt;/w:p&gt;&lt;w:sectPr wsp:rsidR=&quot;00000000&quot; wsp:rsidRPr=&quot;00CA4DFF&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6" o:title="" chromakey="white"/>
          </v:shape>
        </w:pict>
      </w:r>
    </w:p>
    <w:p w:rsidR="008B3C0B" w:rsidRPr="008B3C0B" w:rsidRDefault="008B3C0B" w:rsidP="008B3C0B">
      <w:pPr>
        <w:pStyle w:val="ListParagraph"/>
        <w:spacing w:after="0" w:line="240" w:lineRule="auto"/>
        <w:ind w:left="0"/>
        <w:rPr>
          <w:rFonts w:ascii="Times New Roman" w:eastAsia="Times New Roman" w:hAnsi="Times New Roman"/>
          <w:sz w:val="24"/>
          <w:szCs w:val="24"/>
        </w:rPr>
      </w:pP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61" type="#_x0000_t75" style="width:468pt;height:6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300A&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EE300A&quot; wsp:rsidRDefault=&quot;00EE300A&quot; wsp:rsidP=&quot;00EE300A&quot;&gt;&lt;m:oMathPara&gt;&lt;m:oMathParaPr&gt;&lt;m:jc m:val=&quot;left&quot;/&gt;&lt;/m:oMathParaPr&gt;&lt;m:oMath&gt;&lt;m:r&gt;&lt;w:rPr&gt;&lt;w:rFonts w:ascii=&quot;Cambria Math&quot; w:fareast=&quot;Times New Roman&quot; w:h-ansi=&quot;Cambria Math&quot;/&gt;&lt;wx:font wx:val=&quot;Cambria Math&quot;/&gt;&lt;w:i/&gt;&lt;/w:rPr&gt;&lt;m:t&gt;J=-&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e&gt;&lt;/m:func&gt;&lt;m:r&gt;&lt;w:rPr&gt;&lt;w:rFonts w:ascii=&quot;Cambria Math&quot; w:fareast=&quot;Times New Roman&quot; w:h-ansi=&quot;Cambria Math&quot;/&gt;&lt;wx:font wx:val=&quot;Cambria Math&quot;/&gt;&lt;w:i/&gt;&lt;/w:rPr&gt;&lt;m:t&gt;-â€¦-&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1&lt;/m:t&gt;&lt;/m:r&gt;&lt;/m:sub&gt;&lt;/m:sSub&gt;&lt;/m:e&gt;&lt;/m:d&gt;&lt;/m:den&gt;&lt;/m:f&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lt;/m:t&gt;&lt;/m:r&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e&gt;&lt;/m:func&gt;&lt;/m:oMath&gt;&lt;/m:oMathPara&gt;&lt;/w:p&gt;&lt;w:sectPr wsp:rsidR=&quot;00000000&quot; wsp:rsidRPr=&quot;00EE300A&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7" o:title="" chromakey="white"/>
          </v:shape>
        </w:pict>
      </w:r>
    </w:p>
    <w:p w:rsidR="008B3C0B" w:rsidRPr="008B3C0B" w:rsidRDefault="008B3C0B" w:rsidP="008B3C0B">
      <w:pPr>
        <w:pStyle w:val="ListParagraph"/>
        <w:spacing w:after="0" w:line="240" w:lineRule="auto"/>
        <w:ind w:left="0"/>
        <w:rPr>
          <w:rFonts w:ascii="Times New Roman" w:eastAsia="Times New Roman" w:hAnsi="Times New Roman"/>
          <w:sz w:val="24"/>
          <w:szCs w:val="24"/>
        </w:rPr>
      </w:pPr>
    </w:p>
    <w:p w:rsidR="008B3C0B" w:rsidRPr="008B3C0B" w:rsidRDefault="009A08FE" w:rsidP="008B3C0B">
      <w:r>
        <w:lastRenderedPageBreak/>
        <w:pict>
          <v:shape id="_x0000_i1362" type="#_x0000_t75" style="width:468pt;height:15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600B&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BB600B&quot; wsp:rsidRDefault=&quot;00BB600B&quot; wsp:rsidP=&quot;00BB600B&quot;&gt;&lt;aml:annotation aml:id=&quot;0&quot; w:type=&quot;Word.Bookmark.Start&quot; w:name=&quot;_Hlk96448327&quot;/&gt;&lt;m:oMathPara&gt;&lt;m:oMathParaPr&gt;&lt;m:jc m:val=&quot;left&quot;/&gt;&lt;/m:oMathParaPr&gt;&lt;m:oMath&gt;&lt;m:r&gt;&lt;w:rPr&gt;&lt;w:rFonts w:ascii=&quot;Cambria Math&quot; w:fareast=&quot;Times New Roman&quot; w:h-ansi=&quot;Cambria Math&quot;/&gt;&lt;wx:font wx:val=&quot;Cambria Math&quot;/&gt;&lt;w:i/&gt;&lt;/w:rPr&gt;&lt;m:t&gt;The final indefinite integral I, after undoing substitution&lt;/m:t&gt;&lt;/m:r&gt;&lt;aml:annotation aml:id=&quot;1&quot; w:type=&quot;Word.Bookmark.Start&quot; w:name=&quot;_Hlk96448238&quot;/&gt;&lt;m:r&gt;&lt;w:rPr&gt;&lt;w:rFonts w:ascii=&quot;Cambria Math&quot; w:fareast=&quot;Times New Roman&quot; w:h-ansi=&quot;Cambria Math&quot;/&gt;&lt;wx:font wx:val=&quot;Cambria Math&quot;/&gt;&lt;w:i/&gt;&lt;/w:rPr&gt;&lt;m:t&gt;, is=-Ïƒ&lt;/m:t&gt;&lt;/m:r&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e&gt;&lt;/m:func&gt;&lt;m:r&gt;&lt;w:rPr&gt;&lt;w:rFonts w:ascii=&quot;Cambria Math&quot; w:fareast=&quot;Times New Roman&quot; w:h-ansi=&quot;Cambria Math&quot;/&gt;&lt;wx:font wx:val=&quot;Cambria Math&quot;/&gt;&lt;w:i/&gt;&lt;/w:rPr&gt;&lt;m:t&gt;+â€¦+&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1&lt;/m:t&gt;&lt;/m:r&gt;&lt;/m:sub&gt;&lt;/m:sSub&gt;&lt;/m:e&gt;&lt;/m:d&gt;&lt;/m:den&gt;&lt;/m:f&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func&gt;&lt;/m:e&gt;&lt;/m:d&gt;&lt;m:r&gt;&lt;w:rPr&gt;&lt;w:rFonts w:ascii=&quot;Cambria Math&quot; w:fareast=&quot;Times New Roman&quot; w:h-ansi=&quot;Cambria Math&quot;/&gt;&lt;wx:font wx:val=&quot;Cambria Math&quot;/&gt;&lt;w:i/&gt;&lt;/w:rPr&gt;&lt;m:t&gt;+C&lt;/m:t&gt;&lt;/m:r&gt;&lt;/m:oMath&gt;&lt;/m:oMathPara&gt;&lt;aml:annotation aml:id=&quot;0&quot; w:type=&quot;Word.Bookmark.End&quot;/&gt;&lt;aml:annotation aml:id=&quot;1&quot; w:type=&quot;Word.Bookmark.End&quot;/&gt;&lt;/w:p&gt;&lt;w:sectPr wsp:rsidR=&quot;00000000&quot; wsp:rsidRPr=&quot;00BB600B&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8" o:title="" chromakey="white"/>
          </v:shape>
        </w:pict>
      </w:r>
    </w:p>
    <w:p w:rsidR="008B3C0B" w:rsidRPr="008B3C0B" w:rsidRDefault="008B3C0B" w:rsidP="008B3C0B">
      <w:pPr>
        <w:pStyle w:val="ListParagraph"/>
        <w:spacing w:after="0" w:line="240" w:lineRule="auto"/>
        <w:ind w:left="0"/>
        <w:rPr>
          <w:rFonts w:ascii="Times New Roman" w:eastAsia="Times New Roman" w:hAnsi="Times New Roman"/>
          <w:sz w:val="24"/>
          <w:szCs w:val="24"/>
        </w:rPr>
      </w:pPr>
      <w:r w:rsidRPr="008B3C0B">
        <w:rPr>
          <w:rFonts w:ascii="Cambria Math" w:eastAsia="Times New Roman" w:hAnsi="Cambria Math"/>
          <w:sz w:val="24"/>
          <w:szCs w:val="24"/>
        </w:rPr>
        <w:br/>
      </w:r>
      <w:r w:rsidR="009A08FE">
        <w:pict>
          <v:shape id="_x0000_i1363" type="#_x0000_t75" style="width:162.4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298C&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4E298C&quot; wsp:rsidP=&quot;004E298C&quot;&gt;&lt;m:oMathPara&gt;&lt;m:oMath&gt;&lt;m:r&gt;&lt;w:rPr&gt;&lt;w:rFonts w:ascii=&quot;Cambria Math&quot; w:fareast=&quot;Times New Roman&quot; w:h-ansi=&quot;Cambria Math&quot;/&gt;&lt;wx:font wx:val=&quot;Cambria Math&quot;/&gt;&lt;w:i/&gt;&lt;/w:rPr&gt;&lt;m:t&gt;Putting limits of Integratio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9" o:title="" chromakey="white"/>
          </v:shape>
        </w:pict>
      </w:r>
      <w:r w:rsidRPr="008B3C0B">
        <w:rPr>
          <w:rFonts w:ascii="Cambria Math" w:eastAsia="Times New Roman" w:hAnsi="Cambria Math"/>
          <w:sz w:val="24"/>
          <w:szCs w:val="24"/>
        </w:rPr>
        <w:br/>
      </w:r>
      <w:r w:rsidR="009A08FE">
        <w:pict>
          <v:shape id="_x0000_i1364" type="#_x0000_t75" style="width:412.7pt;height:55.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1E0&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2361E0&quot; wsp:rsidRDefault=&quot;002361E0&quot; wsp:rsidP=&quot;002361E0&quot;&gt;&lt;m:oMathPara&gt;&lt;m:oMath&gt;&lt;m:r&gt;&lt;w:rPr&gt;&lt;w:rFonts w:ascii=&quot;Cambria Math&quot; w:fareast=&quot;Times New Roman&quot; w:h-ansi=&quot;Cambria Math&quot;/&gt;&lt;wx:font wx:val=&quot;Cambria Math&quot;/&gt;&lt;w:i/&gt;&lt;/w:rPr&gt;&lt;m:t&gt;As tâ†’-âˆž,   &lt;/m:t&gt;&lt;/m:r&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e&gt;&lt;/m:func&gt;&lt;m:r&gt;&lt;w:rPr&gt;&lt;w:rFonts w:ascii=&quot;Cambria Math&quot; w:fareast=&quot;Times New Roman&quot; w:h-ansi=&quot;Cambria Math&quot;/&gt;&lt;wx:font wx:val=&quot;Cambria Math&quot;/&gt;&lt;w:i/&gt;&lt;/w:rPr&gt;&lt;m:t&gt;â†’ 0; and &lt;/m:t&gt;&lt;/m:r&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en&gt;&lt;/m:f&gt;&lt;m:r&gt;&lt;w:rPr&gt;&lt;w:rFonts w:ascii=&quot;Cambria Math&quot; w:fareast=&quot;Times New Roman&quot; w:h-ansi=&quot;Cambria Math&quot;/&gt;&lt;wx:font wx:val=&quot;Cambria Math&quot;/&gt;&lt;w:i/&gt;&lt;/w:rPr&gt;&lt;m:t&gt;-t&lt;/m:t&gt;&lt;/m:r&gt;&lt;/m:e&gt;&lt;/m:d&gt;&lt;m:r&gt;&lt;w:rPr&gt;&lt;w:rFonts w:ascii=&quot;Cambria Math&quot; w:fareast=&quot;Times New Roman&quot; w:h-ansi=&quot;Cambria Math&quot;/&gt;&lt;wx:font wx:val=&quot;Cambria Math&quot;/&gt;&lt;w:i/&gt;&lt;/w:rPr&gt;&lt;m:t&gt;â†’0 &lt;/m:t&gt;&lt;/m:r&gt;&lt;m:r&gt;&lt;m:rPr&gt;&lt;m:sty m:val=&quot;bi&quot;/&gt;&lt;/m:rPr&gt;&lt;w:rPr&gt;&lt;w:rFonts w:ascii=&quot;Cambria Math&quot; w:fareast=&quot;Times New Roman&quot; w:h-ansi=&quot;Cambria Math&quot;/&gt;&lt;wx:font wx:val=&quot;Cambria Math&quot;/&gt;&lt;w:b/&gt;&lt;w:i/&gt;&lt;/w:rPr&gt;&lt;m:t&gt;[&lt;/m:t&gt;&lt;/m:r&gt;&lt;m:r&gt;&lt;m:rPr&gt;&lt;m:sty m:val=&quot;b&quot;/&gt;&lt;/m:rPr&gt;&lt;w:rPr&gt;&lt;w:rFonts w:ascii=&quot;Cambria Math&quot; w:fareast=&quot;Times New Roman&quot; w:h-ansi=&quot;Cambria Math&quot;/&gt;&lt;wx:font wx:val=&quot;Cambria Math&quot;/&gt;&lt;w:b/&gt;&lt;/w:rPr&gt;&lt;m:t&gt;P1]&lt;/m:t&gt;&lt;/m:r&gt;&lt;/m:oMath&gt;&lt;/m:oMathPara&gt;&lt;/w:p&gt;&lt;w:sectPr wsp:rsidR=&quot;00000000&quot; wsp:rsidRPr=&quot;002361E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0" o:title="" chromakey="white"/>
          </v:shape>
        </w:pict>
      </w:r>
      <w:r w:rsidRPr="008B3C0B">
        <w:rPr>
          <w:rFonts w:ascii="Cambria Math" w:eastAsia="Times New Roman" w:hAnsi="Cambria Math"/>
          <w:sz w:val="24"/>
          <w:szCs w:val="24"/>
        </w:rPr>
        <w:br/>
      </w:r>
      <w:r w:rsidR="009A08FE">
        <w:pict>
          <v:shape id="_x0000_i1365" type="#_x0000_t75" style="width:382.7pt;height:45.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8768F&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A8768F&quot; wsp:rsidRDefault=&quot;00A8768F&quot; wsp:rsidP=&quot;00A8768F&quot;&gt;&lt;m:oMathPara&gt;&lt;m:oMath&gt;&lt;m:r&gt;&lt;w:rPr&gt;&lt;w:rFonts w:ascii=&quot;Cambria Math&quot; w:fareast=&quot;Times New Roman&quot; w:h-ansi=&quot;Cambria Math&quot;/&gt;&lt;wx:font wx:val=&quot;Cambria Math&quot;/&gt;&lt;w:i/&gt;&lt;/w:rPr&gt;&lt;m:t&gt;(as &lt;/m:t&gt;&lt;/m:r&gt;&lt;m:limLow&gt;&lt;m:limLowPr&gt;&lt;m:ctrlPr&gt;&lt;w:rPr&gt;&lt;w:rFonts w:ascii=&quot;Cambria Math&quot; w:fareast=&quot;Times New Roman&quot; w:h-ansi=&quot;Cambria Math&quot;/&gt;&lt;wx:font wx:val=&quot;Cambria Math&quot;/&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r&gt;&lt;w:rPr&gt;&lt;w:rFonts w:ascii=&quot;Cambria Math&quot; w:fareast=&quot;Times New Roman&quot; w:h-ansi=&quot;Cambria Math&quot;/&gt;&lt;wx:font wx:val=&quot;Cambria Math&quot;/&gt;&lt;w:i/&gt;&lt;/w:rPr&gt;&lt;m:t&gt; &lt;/m:t&gt;&lt;/m:r&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r&gt;&lt;w:rPr&gt;&lt;w:rFonts w:ascii=&quot;Cambria Math&quot; w:fareast=&quot;Times New Roman&quot; w:h-ansi=&quot;Cambria Math&quot;/&gt;&lt;wx:font wx:val=&quot;Cambria Math&quot;/&gt;&lt;w:i/&gt;&lt;/w:rPr&gt;&lt;m:t&gt; &lt;/m:t&gt;&lt;/m:r&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den&gt;&lt;/m:f&gt;&lt;m:r&gt;&lt;w:rPr&gt;&lt;w:rFonts w:ascii=&quot;Cambria Math&quot; w:fareast=&quot;Times New Roman&quot; w:h-ansi=&quot;Cambria Math&quot;/&gt;&lt;wx:font wx:val=&quot;Cambria Math&quot;/&gt;&lt;w:i/&gt;&lt;/w:rPr&gt;&lt;m:t&gt;=&lt;/m:t&gt;&lt;/m:r&gt;&lt;m:limLow&gt;&lt;m:limLowPr&gt;&lt;m:ctrlPr&gt;&lt;w:rPr&gt;&lt;w:rFonts w:ascii=&quot;Cambria Math&quot; w:fareast=&quot;Times New Roman&quot; w:h-ansi=&quot;Cambria Math&quot;/&gt;&lt;wx:font wx:val=&quot;Cambria Math&quot;/&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t&lt;/m:t&gt;&lt;/m:r&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den&gt;&lt;/m:f&gt;&lt;m:r&gt;&lt;w:rPr&gt;&lt;w:rFonts w:ascii=&quot;Cambria Math&quot; w:fareast=&quot;Times New Roman&quot; w:h-ansi=&quot;Cambria Math&quot;/&gt;&lt;wx:font wx:val=&quot;Cambria Math&quot;/&gt;&lt;w:i/&gt;&lt;/w:rPr&gt;&lt;m:t&gt;=&lt;/m:t&gt;&lt;/m:r&gt;&lt;m:limLow&gt;&lt;m:limLowPr&gt;&lt;m:ctrlPr&gt;&lt;w:rPr&gt;&lt;w:rFonts w:ascii=&quot;Cambria Math&quot; w:fareast=&quot;Times New Roman&quot; w:h-ansi=&quot;Cambria Math&quot;/&gt;&lt;wx:font wx:val=&quot;Cambria Math&quot;/&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num&gt;&lt;m:den&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den&gt;&lt;/m:f&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Using &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L&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Hospital&lt;/m:t&gt;&lt;/m:r&gt;&lt;/m:e&gt;&lt;/m:d&gt;&lt;m:r&gt;&lt;w:rPr&gt;&lt;w:rFonts w:ascii=&quot;Cambria Math&quot; w:fareast=&quot;Times New Roman&quot; w:h-ansi=&quot;Cambria Math&quot;/&gt;&lt;wx:font wx:val=&quot;Cambria Math&quot;/&gt;&lt;w:i/&gt;&lt;/w:rPr&gt;&lt;m:t&gt;=0&lt;/m:t&gt;&lt;/m:r&gt;&lt;/m:oMath&gt;&lt;/m:oMathPara&gt;&lt;/w:p&gt;&lt;w:sectPr wsp:rsidR=&quot;00000000&quot; wsp:rsidRPr=&quot;00A8768F&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1" o:title="" chromakey="white"/>
          </v:shape>
        </w:pict>
      </w:r>
      <w:r w:rsidRPr="008B3C0B">
        <w:rPr>
          <w:rFonts w:ascii="Cambria Math" w:eastAsia="Times New Roman" w:hAnsi="Cambria Math"/>
          <w:sz w:val="24"/>
          <w:szCs w:val="24"/>
        </w:rPr>
        <w:br/>
      </w:r>
      <w:r w:rsidRPr="008B3C0B">
        <w:rPr>
          <w:rFonts w:ascii="Cambria Math" w:eastAsia="Times New Roman" w:hAnsi="Cambria Math"/>
          <w:sz w:val="24"/>
          <w:szCs w:val="24"/>
        </w:rPr>
        <w:br/>
      </w:r>
      <w:r w:rsidR="009A08FE">
        <w:pict>
          <v:shape id="_x0000_i1366" type="#_x0000_t75" style="width:125.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56AB&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256AB&quot; wsp:rsidRDefault=&quot;003256AB&quot; wsp:rsidP=&quot;003256AB&quot;&gt;&lt;m:oMathPara&gt;&lt;m:oMath&gt;&lt;m:r&gt;&lt;w:rPr&gt;&lt;w:rFonts w:ascii=&quot;Cambria Math&quot; w:fareast=&quot;Times New Roman&quot; w:h-ansi=&quot;Cambria Math&quot;/&gt;&lt;wx:font wx:val=&quot;Cambria Math&quot;/&gt;&lt;w:i/&gt;&lt;/w:rPr&gt;&lt;m:t&gt;Hence, as tâ†’-âˆž, I=0&lt;/m:t&gt;&lt;/m:r&gt;&lt;/m:oMath&gt;&lt;/m:oMathPara&gt;&lt;/w:p&gt;&lt;w:sectPr wsp:rsidR=&quot;00000000&quot; wsp:rsidRPr=&quot;003256AB&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2" o:title="" chromakey="white"/>
          </v:shape>
        </w:pict>
      </w:r>
      <w:r w:rsidRPr="008B3C0B">
        <w:rPr>
          <w:rFonts w:ascii="Cambria Math" w:eastAsia="Times New Roman" w:hAnsi="Cambria Math"/>
          <w:sz w:val="24"/>
          <w:szCs w:val="24"/>
        </w:rPr>
        <w:br/>
      </w:r>
      <w:r w:rsidR="009A08FE">
        <w:pict>
          <v:shape id="_x0000_i1367" type="#_x0000_t75" style="width:52.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C733A&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6C733A&quot; wsp:rsidRDefault=&quot;006C733A&quot; wsp:rsidP=&quot;006C733A&quot;&gt;&lt;m:oMathPara&gt;&lt;m:oMath&gt;&lt;m:r&gt;&lt;w:rPr&gt;&lt;w:rFonts w:ascii=&quot;Cambria Math&quot; w:fareast=&quot;Times New Roman&quot; w:h-ansi=&quot;Cambria Math&quot;/&gt;&lt;wx:font wx:val=&quot;Cambria Math&quot;/&gt;&lt;w:i/&gt;&lt;/w:rPr&gt;&lt;m:t&gt;As tâ†’âˆž, &lt;/m:t&gt;&lt;/m:r&gt;&lt;/m:oMath&gt;&lt;/m:oMathPara&gt;&lt;/w:p&gt;&lt;w:sectPr wsp:rsidR=&quot;00000000&quot; wsp:rsidRPr=&quot;006C733A&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3" o:title="" chromakey="white"/>
          </v:shape>
        </w:pict>
      </w:r>
      <w:r w:rsidRPr="008B3C0B">
        <w:rPr>
          <w:rFonts w:ascii="Cambria Math" w:eastAsia="Times New Roman" w:hAnsi="Cambria Math"/>
          <w:sz w:val="24"/>
          <w:szCs w:val="24"/>
        </w:rPr>
        <w:br/>
      </w:r>
      <w:r w:rsidR="009A08FE">
        <w:pict>
          <v:shape id="_x0000_i1368" type="#_x0000_t75" style="width:174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278E&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E8278E&quot; wsp:rsidRDefault=&quot;00E8278E&quot; wsp:rsidP=&quot;00E8278E&quot;&gt;&lt;m:oMathPara&gt;&lt;m:oMath&gt;&lt;m:r&gt;&lt;w:rPr&gt;&lt;w:rFonts w:ascii=&quot;Cambria Math&quot; w:fareast=&quot;Times New Roman&quot; w:h-ansi=&quot;Cambria Math&quot;/&gt;&lt;wx:font wx:val=&quot;Cambria Math&quot;/&gt;&lt;w:i/&gt;&lt;/w:rPr&gt;&lt;m:t&gt;A property of partial fractions:&lt;/m:t&gt;&lt;/m:r&gt;&lt;/m:oMath&gt;&lt;/m:oMathPara&gt;&lt;/w:p&gt;&lt;w:sectPr wsp:rsidR=&quot;00000000&quot; wsp:rsidRPr=&quot;00E8278E&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4" o:title="" chromakey="white"/>
          </v:shape>
        </w:pict>
      </w:r>
      <w:r w:rsidRPr="008B3C0B">
        <w:rPr>
          <w:rFonts w:ascii="Cambria Math" w:eastAsia="Times New Roman" w:hAnsi="Cambria Math"/>
          <w:sz w:val="24"/>
          <w:szCs w:val="24"/>
        </w:rPr>
        <w:br/>
      </w:r>
      <w:r w:rsidR="009A08FE">
        <w:pict>
          <v:shape id="_x0000_i1369" type="#_x0000_t75" style="width:476.55pt;height:7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0CE&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BF60CE&quot; wsp:rsidRDefault=&quot;00BF60CE&quot; wsp:rsidP=&quot;00BF60CE&quot;&gt;&lt;m:oMathPara&gt;&lt;m:oMath&gt;&lt;m:r&gt;&lt;w:rPr&gt;&lt;w:rFonts w:ascii=&quot;Cambria Math&quot; w:fareast=&quot;Times New Roman&quot; w:h-ansi=&quot;Cambria Math&quot;/&gt;&lt;wx:font wx:val=&quot;Cambria Math&quot;/&gt;&lt;w:i/&gt;&lt;/w:rPr&gt;&lt;m:t&gt;Equating the coefficient of the highest degree of u in &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i=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i&lt;/m:t&gt;&lt;/m:r&gt;&lt;/m:sub&gt;&lt;/m:sSub&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i&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 ; where &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lt;/m:t&gt;&lt;/m:r&gt;&lt;/m:den&gt;&lt;/m:f&gt;&lt;/m:e&gt;&lt;/m:nary&gt;&lt;m:r&gt;&lt;w:rPr&gt;&lt;w:rFonts w:ascii=&quot;Cambria Math&quot; w:fareast=&quot;Times New Roman&quot; w:h-ansi=&quot;Cambria Math&quot;/&gt;&lt;wx:font wx:val=&quot;Cambria Math&quot;/&gt;&lt;w:i/&gt;&lt;/w:rPr&gt;&lt;m:t&gt; &lt;/m:t&gt;&lt;/m:r&gt;&lt;/m:oMath&gt;&lt;/m:oMathPara&gt;&lt;/w:p&gt;&lt;w:sectPr wsp:rsidR=&quot;00000000&quot; wsp:rsidRPr=&quot;00BF60CE&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5" o:title="" chromakey="white"/>
          </v:shape>
        </w:pict>
      </w:r>
    </w:p>
    <w:p w:rsidR="008B3C0B" w:rsidRPr="008B3C0B" w:rsidRDefault="009A08FE" w:rsidP="008B3C0B">
      <w:pPr>
        <w:pStyle w:val="ListParagraph"/>
        <w:tabs>
          <w:tab w:val="left" w:pos="360"/>
        </w:tabs>
        <w:spacing w:after="0" w:line="240" w:lineRule="auto"/>
        <w:ind w:left="0"/>
        <w:rPr>
          <w:rFonts w:ascii="Times New Roman" w:eastAsia="Times New Roman" w:hAnsi="Times New Roman"/>
          <w:sz w:val="24"/>
          <w:szCs w:val="24"/>
        </w:rPr>
      </w:pPr>
      <w:r>
        <w:pict>
          <v:shape id="_x0000_i1370" type="#_x0000_t75" style="width:292.3pt;height:43.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5C8D&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85C8D&quot; wsp:rsidRDefault=&quot;00385C8D&quot; wsp:rsidP=&quot;00385C8D&quot;&gt;&lt;m:oMathPara&gt;&lt;m:oMathParaPr&gt;&lt;m:jc m:val=&quot;left&quot;/&gt;&lt;/m:oMathParaPr&gt;&lt;m:oMath&gt;&lt;m:r&gt;&lt;w:rPr&gt;&lt;w:rFonts w:ascii=&quot;Cambria Math&quot; w:fareast=&quot;Times New Roman&quot; w:h-ansi=&quot;Cambria Math&quot;/&gt;&lt;wx:font wx:val=&quot;Cambria Math&quot;/&gt;&lt;w:i/&gt;&lt;/w:rPr&gt;&lt;m:t&gt;Coefficient of &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u&lt;/m:t&gt;&lt;/m:r&gt;&lt;/m:e&gt;&lt;m:sup&gt;&lt;m:r&gt;&lt;w:rPr&gt;&lt;w:rFonts w:ascii=&quot;Cambria Math&quot; w:fareast=&quot;Times New Roman&quot; w:h-ansi=&quot;Cambria Math&quot;/&gt;&lt;wx:font wx:val=&quot;Cambria Math&quot;/&gt;&lt;w:i/&gt;&lt;/w:rPr&gt;&lt;m:t&gt;K&lt;/m:t&gt;&lt;/m:r&gt;&lt;/m:sup&gt;&lt;/m:sSup&gt;&lt;m:r&gt;&lt;w:rPr&gt;&lt;w:rFonts w:ascii=&quot;Cambria Math&quot; w:fareast=&quot;Times New Roman&quot; w:h-ansi=&quot;Cambria Math&quot;/&gt;&lt;wx:font wx:val=&quot;Cambria Math&quot;/&gt;&lt;w:i/&gt;&lt;/w:rPr&gt;&lt;m:t&gt; will be: &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i=1&lt;/m:t&gt;&lt;/m:r&gt;&lt;/m:sub&gt;&lt;m:sup&gt;&lt;m:r&gt;&lt;w:rPr&gt;&lt;w:rFonts w:ascii=&quot;Cambria Math&quot; w:fareast=&quot;Times New Roman&quot; w:h-ansi=&quot;Cambria Math&quot;/&gt;&lt;wx:font wx:val=&quot;Cambria Math&quot;/&gt;&lt;w:i/&gt;&lt;/w:rPr&gt;&lt;m:t&gt;K&lt;/m:t&gt;&lt;/m:r&gt;&lt;/m:sup&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i&lt;/m:t&gt;&lt;/m:r&gt;&lt;/m:sub&gt;&lt;/m:sSub&gt;&lt;/m:e&gt;&lt;/m:nary&gt;&lt;m:r&gt;&lt;w:rPr&gt;&lt;w:rFonts w:ascii=&quot;Cambria Math&quot; w:fareast=&quot;Times New Roman&quot; w:h-ansi=&quot;Cambria Math&quot;/&gt;&lt;wx:font wx:val=&quot;Cambria Math&quot;/&gt;&lt;w:i/&gt;&lt;/w:rPr&gt;&lt;m:t&gt;+&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i=1&lt;/m:t&gt;&lt;/m:r&gt;&lt;/m:sub&gt;&lt;m:sup&gt;&lt;m:r&gt;&lt;w:rPr&gt;&lt;w:rFonts w:ascii=&quot;Cambria Math&quot; w:fareast=&quot;Times New Roman&quot; w:h-ansi=&quot;Cambria Math&quot;/&gt;&lt;wx:font wx:val=&quot;Cambria Math&quot;/&gt;&lt;w:i/&gt;&lt;/w:rPr&gt;&lt;m:t&gt;K&lt;/m:t&gt;&lt;/m:r&gt;&lt;/m:sup&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i&lt;/m:t&gt;&lt;/m:r&gt;&lt;/m:sub&gt;&lt;/m:sSub&gt;&lt;/m:e&gt;&lt;/m:nary&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j=1,jâ‰ i&lt;/m:t&gt;&lt;/m:r&gt;&lt;/m:sub&gt;&lt;m:sup&gt;&lt;m:r&gt;&lt;w:rPr&gt;&lt;w:rFonts w:ascii=&quot;Cambria Math&quot; w:fareast=&quot;Times New Roman&quot; w:h-ansi=&quot;Cambria Math&quot;/&gt;&lt;wx:font wx:val=&quot;Cambria Math&quot;/&gt;&lt;w:i/&gt;&lt;/w:rPr&gt;&lt;m:t&gt;K&lt;/m:t&gt;&lt;/m:r&gt;&lt;/m:sup&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j&lt;/m:t&gt;&lt;/m:r&gt;&lt;/m:sub&gt;&lt;/m:sSub&gt;&lt;m:r&gt;&lt;w:rPr&gt;&lt;w:rFonts w:ascii=&quot;Cambria Math&quot; w:fareast=&quot;Times New Roman&quot; w:h-ansi=&quot;Cambria Math&quot;/&gt;&lt;wx:font wx:val=&quot;Cambria Math&quot;/&gt;&lt;w:i/&gt;&lt;/w:rPr&gt;&lt;m:t&gt;)=0&lt;/m:t&gt;&lt;/m:r&gt;&lt;/m:e&gt;&lt;/m:nary&gt;&lt;/m:oMath&gt;&lt;/m:oMathPara&gt;&lt;/w:p&gt;&lt;w:sectPr wsp:rsidR=&quot;00000000&quot; wsp:rsidRPr=&quot;00385C8D&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6" o:title="" chromakey="white"/>
          </v:shape>
        </w:pict>
      </w:r>
      <w:r w:rsidR="008B3C0B" w:rsidRPr="008B3C0B">
        <w:rPr>
          <w:rFonts w:ascii="Cambria Math" w:eastAsia="Times New Roman" w:hAnsi="Cambria Math"/>
          <w:sz w:val="24"/>
          <w:szCs w:val="24"/>
        </w:rPr>
        <w:br/>
      </w:r>
      <w:r>
        <w:pict>
          <v:shape id="_x0000_i1371" type="#_x0000_t75" style="width:450.85pt;height:4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2547&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592547&quot; wsp:rsidRDefault=&quot;00592547&quot; wsp:rsidP=&quot;00592547&quot;&gt;&lt;m:oMathPara&gt;&lt;m:oMath&gt;&lt;m:r&gt;&lt;w:rPr&gt;&lt;w:rFonts w:ascii=&quot;Cambria Math&quot; w:fareast=&quot;Times New Roman&quot; w:h-ansi=&quot;Cambria Math&quot;/&gt;&lt;wx:font wx:val=&quot;Cambria Math&quot;/&gt;&lt;w:i/&gt;&lt;/w:rPr&gt;&lt;m:t&gt;Dividing both sides by &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i=1&lt;/m:t&gt;&lt;/m:r&gt;&lt;/m:sub&gt;&lt;m:sup&gt;&lt;m:r&gt;&lt;w:rPr&gt;&lt;w:rFonts w:ascii=&quot;Cambria Math&quot; w:fareast=&quot;Times New Roman&quot; w:h-ansi=&quot;Cambria Math&quot;/&gt;&lt;wx:font wx:val=&quot;Cambria Math&quot;/&gt;&lt;w:i/&gt;&lt;/w:rPr&gt;&lt;m:t&gt;K&lt;/m:t&gt;&lt;/m:r&gt;&lt;/m:sup&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i&lt;/m:t&gt;&lt;/m:r&gt;&lt;/m:sub&gt;&lt;/m:sSub&gt;&lt;/m:e&gt;&lt;/m:nary&gt;&lt;m:r&gt;&lt;w:rPr&gt;&lt;w:rFonts w:ascii=&quot;Cambria Math&quot; w:fareast=&quot;Times New Roman&quot; w:h-ansi=&quot;Cambria Math&quot;/&gt;&lt;wx:font wx:val=&quot;Cambria Math&quot;/&gt;&lt;w:i/&gt;&lt;/w:rPr&gt;&lt;m:t&gt;, we get: &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i=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i&lt;/m:t&gt;&lt;/m:r&gt;&lt;/m:sub&gt;&lt;/m:sSub&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i&lt;/m:t&gt;&lt;/m:r&gt;&lt;/m:sub&gt;&lt;/m:sSub&gt;&lt;/m:den&gt;&lt;/m:f&gt;&lt;m:r&gt;&lt;w:rPr&gt;&lt;w:rFonts w:ascii=&quot;Cambria Math&quot; w:fareast=&quot;Times New Roman&quot; w:h-ansi=&quot;Cambria Math&quot;/&gt;&lt;wx:font wx:val=&quot;Cambria Math&quot;/&gt;&lt;w:i/&gt;&lt;/w:rPr&gt;&lt;m:t&gt;=-1&lt;/m:t&gt;&lt;/m:r&gt;&lt;/m:e&gt;&lt;/m:nary&gt;&lt;m:r&gt;&lt;w:rPr&gt;&lt;w:rFonts w:ascii=&quot;Cambria Math&quot; w:fareast=&quot;Times New Roman&quot; w:h-ansi=&quot;Cambria Math&quot;/&gt;&lt;wx:font wx:val=&quot;Cambria Math&quot;/&gt;&lt;w:i/&gt;&lt;/w:rPr&gt;&lt;m:t&gt;â†’&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lt;/m:t&gt;&lt;/m:r&gt;&lt;/m:den&gt;&lt;/m:f&gt;&lt;m:r&gt;&lt;w:rPr&gt;&lt;w:rFonts w:ascii=&quot;Cambria Math&quot; w:fareast=&quot;Times New Roman&quot; w:h-ansi=&quot;Cambria Math&quot;/&gt;&lt;wx:font wx:val=&quot;Cambria Math&quot;/&gt;&lt;w:i/&gt;&lt;/w:rPr&gt;&lt;m:t&gt;=1 [&lt;/m:t&gt;&lt;/m:r&gt;&lt;m:r&gt;&lt;m:rPr&gt;&lt;m:sty m:val=&quot;b&quot;/&gt;&lt;/m:rPr&gt;&lt;w:rPr&gt;&lt;w:rFonts w:ascii=&quot;Cambria Math&quot; w:fareast=&quot;Times New Roman&quot; w:h-ansi=&quot;Cambria Math&quot;/&gt;&lt;wx:font wx:val=&quot;Cambria Math&quot;/&gt;&lt;w:b/&gt;&lt;/w:rPr&gt;&lt;m:t&gt;P&lt;/m:t&gt;&lt;/m:r&gt;&lt;m:d&gt;&lt;m:dPr&gt;&lt;m:ctrlPr&gt;&lt;w:rPr&gt;&lt;w:rFonts w:ascii=&quot;Cambria Math&quot; w:fareast=&quot;Times New Roman&quot; w:h-ansi=&quot;Cambria Math&quot;/&gt;&lt;wx:font wx:val=&quot;Cambria Math&quot;/&gt;&lt;w:b/&gt;&lt;w:b-cs/&gt;&lt;w:i-cs/&gt;&lt;/w:rPr&gt;&lt;/m:ctrlPr&gt;&lt;/m:dPr&gt;&lt;m:e&gt;&lt;m:r&gt;&lt;m:rPr&gt;&lt;m:sty m:val=&quot;b&quot;/&gt;&lt;/m:rPr&gt;&lt;w:rPr&gt;&lt;w:rFonts w:ascii=&quot;Cambria Math&quot; w:fareast=&quot;Times New Roman&quot; w:h-ansi=&quot;Cambria Math&quot;/&gt;&lt;wx:font wx:val=&quot;Cambria Math&quot;/&gt;&lt;w:b/&gt;&lt;/w:rPr&gt;&lt;m:t&gt;2&lt;/m:t&gt;&lt;/m:r&gt;&lt;/m:e&gt;&lt;/m:d&gt;&lt;m:r&gt;&lt;m:rPr&gt;&lt;m:sty m:val=&quot;bi&quot;/&gt;&lt;/m:rPr&gt;&lt;w:rPr&gt;&lt;w:rFonts w:ascii=&quot;Cambria Math&quot; w:fareast=&quot;Times New Roman&quot; w:h-ansi=&quot;Cambria Math&quot;/&gt;&lt;wx:font wx:val=&quot;Cambria Math&quot;/&gt;&lt;w:b/&gt;&lt;w:i/&gt;&lt;/w:rPr&gt;&lt;m:t&gt;]&lt;/m:t&gt;&lt;/m:r&gt;&lt;/m:e&gt;&lt;/m:nary&gt;&lt;/m:oMath&gt;&lt;/m:oMathPara&gt;&lt;/w:p&gt;&lt;w:sectPr wsp:rsidR=&quot;00000000&quot; wsp:rsidRPr=&quot;00592547&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7" o:title="" chromakey="white"/>
          </v:shape>
        </w:pict>
      </w:r>
      <w:r w:rsidR="008B3C0B" w:rsidRPr="008B3C0B">
        <w:rPr>
          <w:rFonts w:ascii="Cambria Math" w:eastAsia="Times New Roman" w:hAnsi="Cambria Math"/>
          <w:sz w:val="24"/>
          <w:szCs w:val="24"/>
        </w:rPr>
        <w:br/>
      </w:r>
      <w:r>
        <w:pict>
          <v:shape id="_x0000_i1372" type="#_x0000_t75" style="width:387pt;height:45.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E7D2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1E7D28&quot; wsp:rsidRDefault=&quot;001E7D28&quot; wsp:rsidP=&quot;001E7D28&quot;&gt;&lt;m:oMathPara&gt;&lt;m:oMath&gt;&lt;m:r&gt;&lt;w:rPr&gt;&lt;w:rFonts w:ascii=&quot;Cambria Math&quot; w:fareast=&quot;Times New Roman&quot; w:h-ansi=&quot;Cambria Math&quot;/&gt;&lt;wx:font wx:val=&quot;Cambria Math&quot;/&gt;&lt;w:i/&gt;&lt;/w:rPr&gt;&lt;m:t&gt;Or, decomposing &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r&gt;&lt;w:rPr&gt;&lt;w:rFonts w:ascii=&quot;Cambria Math&quot; w:fareast=&quot;Times New Roman&quot; w:h-ansi=&quot;Cambria Math&quot;/&gt;&lt;wx:font wx:val=&quot;Cambria Math&quot;/&gt;&lt;w:i/&gt;&lt;/w:rPr&gt;&lt;m:t&gt;= &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lt;/m:t&gt;&lt;/m:r&gt;&lt;/m:den&gt;&lt;/m:f&gt;&lt;m:r&gt;&lt;w:rPr&gt;&lt;w:rFonts w:ascii=&quot;Cambria Math&quot; w:fareast=&quot;Times New Roman&quot; w:h-ansi=&quot;Cambria Math&quot;/&gt;&lt;wx:font wx:val=&quot;Cambria Math&quot;/&gt;&lt;w:i/&gt;&lt;/w:rPr&gt;&lt;m:t&gt; &lt;/m:t&gt;&lt;/m:r&gt;&lt;/m:e&gt;&lt;/m:nary&gt;&lt;m:r&gt;&lt;w:rPr&gt;&lt;w:rFonts w:ascii=&quot;Cambria Math&quot; w:fareast=&quot;Times New Roman&quot; w:h-ansi=&quot;Cambria Math&quot;/&gt;&lt;wx:font wx:val=&quot;Cambria Math&quot;/&gt;&lt;w:i/&gt;&lt;/w:rPr&gt;&lt;m:t&gt;, and simplifying each term:&lt;/m:t&gt;&lt;/m:r&gt;&lt;/m:oMath&gt;&lt;/m:oMathPara&gt;&lt;/w:p&gt;&lt;w:sectPr wsp:rsidR=&quot;00000000&quot; wsp:rsidRPr=&quot;001E7D28&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8" o:title="" chromakey="white"/>
          </v:shape>
        </w:pict>
      </w:r>
    </w:p>
    <w:p w:rsidR="008B3C0B" w:rsidRPr="008B3C0B" w:rsidRDefault="009A08FE" w:rsidP="008B3C0B">
      <w:pPr>
        <w:pStyle w:val="ListParagraph"/>
        <w:tabs>
          <w:tab w:val="left" w:pos="360"/>
        </w:tabs>
        <w:spacing w:after="0" w:line="240" w:lineRule="auto"/>
        <w:ind w:left="0"/>
        <w:rPr>
          <w:rFonts w:ascii="Times New Roman" w:eastAsia="Times New Roman" w:hAnsi="Times New Roman"/>
          <w:sz w:val="24"/>
          <w:szCs w:val="24"/>
        </w:rPr>
      </w:pPr>
      <w:r>
        <w:lastRenderedPageBreak/>
        <w:pict>
          <v:shape id="_x0000_i1373" type="#_x0000_t75" style="width:423pt;height:49.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35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0A335F&quot; wsp:rsidRDefault=&quot;000A335F&quot; wsp:rsidP=&quot;000A335F&quot;&gt;&lt;m:oMathPara&gt;&lt;m:oMath&gt;&lt;m:func&gt;&lt;m:funcPr&gt;&lt;m:ctrlPr&gt;&lt;w:rPr&gt;&lt;w:rFonts w:ascii=&quot;Cambria Math&quot; w:fareast=&quot;Times New Roman&quot; w:h-ansi=&quot;Cambria Math&quot;/&gt;&lt;wx:font wx:val=&quot;Cambria Math&quot;/&gt;&lt;/w:rPr&gt;&lt;/m:ctrlPr&gt;&lt;/m:funcPr&gt;&lt;m:fName&gt;&lt;m:limLow&gt;&lt;m:limLowPr&gt;&lt;m:ctrlPr&gt;&lt;w:rPr&gt;&lt;w:rFonts w:ascii=&quot;Cambria Math&quot; w:fareast=&quot;Times New Roman&quot; w:h-ansi=&quot;Cambria Math&quot;/&gt;&lt;wx:font wx:val=&quot;Cambria Math&quot;/&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fName&gt;&lt;m:e&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e&gt;&lt;/m:fun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r&gt;&lt;w:rPr&gt;&lt;w:rFonts w:ascii=&quot;Cambria Math&quot; w:fareast=&quot;Times New Roman&quot; w:h-ansi=&quot;Cambria Math&quot;/&gt;&lt;wx:font wx:val=&quot;Cambria Math&quot;/&gt;&lt;w:i/&gt;&lt;/w:rPr&gt;&lt;m:t&gt;=&lt;/m:t&gt;&lt;/m:r&gt;&lt;m:limLow&gt;&lt;m:limLowPr&gt;&lt;m:ctrlPr&gt;&lt;w:rPr&gt;&lt;w:rFonts w:ascii=&quot;Cambria Math&quot; w:fareast=&quot;Times New Roman&quot; w:h-ansi=&quot;Cambria Math&quot;/&gt;&lt;wx:font wx:val=&quot;Cambria Math&quot;/&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d&gt;&lt;m:dPr&gt;&lt;m:ctrlPr&gt;&lt;w:rPr&gt;&lt;w:rFonts w:ascii=&quot;Cambria Math&quot; w:fareast=&quot;Times New Roman&quot; w:h-ansi=&quot;Cambria Math&quot;/&gt;&lt;wx:font wx:val=&quot;Cambria Math&quot;/&gt;&lt;w:i/&gt;&lt;/w:rPr&gt;&lt;/m:ctrlPr&gt;&lt;/m:dPr&gt;&lt;m:e&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e&gt;&lt;/m:func&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d&gt;&lt;/m:sup&gt;&lt;/m:sSup&gt;&lt;/m:e&gt;&lt;/m:d&gt;&lt;/m:e&gt;&lt;/m:func&gt;&lt;/m:e&gt;&lt;/m:func&gt;&lt;m:r&gt;&lt;w:rPr&gt;&lt;w:rFonts w:ascii=&quot;Cambria Math&quot; w:fareast=&quot;Times New Roman&quot; w:h-ansi=&quot;Cambria Math&quot;/&gt;&lt;wx:font wx:val=&quot;Cambria Math&quot;/&gt;&lt;w:i/&gt;&lt;/w:rPr&gt;&lt;m:t&gt;=&lt;/m:t&gt;&lt;/m:r&gt;&lt;m:limLow&gt;&lt;m:limLowPr&gt;&lt;m:ctrlPr&gt;&lt;w:rPr&gt;&lt;w:rFonts w:ascii=&quot;Cambria Math&quot; w:fareast=&quot;Times New Roman&quot; w:h-ansi=&quot;Cambria Math&quot;/&gt;&lt;wx:font wx:val=&quot;Cambria Math&quot;/&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e&gt;&lt;/m:func&gt;&lt;m:r&gt;&lt;w:rPr&gt;&lt;w:rFonts w:ascii=&quot;Cambria Math&quot; w:fareast=&quot;Times New Roman&quot; w:h-ansi=&quot;Cambria Math&quot;/&gt;&lt;wx:font wx:val=&quot;Cambria Math&quot;/&gt;&lt;w:i/&gt;&lt;/w:rPr&gt;&lt;m:t&gt;=&lt;/m:t&gt;&lt;/m:r&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func&gt;&lt;/m:oMath&gt;&lt;/m:oMathPara&gt;&lt;/w:p&gt;&lt;w:sectPr wsp:rsidR=&quot;00000000&quot; wsp:rsidRPr=&quot;000A335F&quot;&gt;&lt;w:pgSz w:w=&quot;12240&quot; w:h=&quot;15840&quot;/&gt;&lt;w:pgMar w:top=&quot;1440&quot; w:right=&quot;1440&quot; w:bottom=&quot;1440&quot; w:left=&quot;1440&quot; w:header=&quot;720&quot; w:footer=&quot;720&quot; w:gutter=&quot;0&quot;/&gt;&lt;w:cols w:space=&quot;720&quot;/&gt;&lt;/w:sectPr&gt;&lt;/wx:sect&gt;&lt;/w:body&gt;&lt;/w:wordDocument&gt;">
            <v:imagedata r:id="rId629" o:title="" chromakey="white"/>
          </v:shape>
        </w:pict>
      </w:r>
      <w:r w:rsidR="008B3C0B" w:rsidRPr="008B3C0B">
        <w:rPr>
          <w:rFonts w:ascii="Cambria Math" w:eastAsia="Times New Roman" w:hAnsi="Cambria Math"/>
          <w:sz w:val="24"/>
          <w:szCs w:val="24"/>
        </w:rPr>
        <w:br/>
      </w:r>
      <w:r>
        <w:pict>
          <v:shape id="_x0000_i1374" type="#_x0000_t75" style="width:202.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23C&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70723C&quot; wsp:rsidRDefault=&quot;0070723C&quot; wsp:rsidP=&quot;0070723C&quot;&gt;&lt;m:oMathPara&gt;&lt;m:oMath&gt;&lt;m:r&gt;&lt;w:rPr&gt;&lt;w:rFonts w:ascii=&quot;Cambria Math&quot; w:fareast=&quot;Times New Roman&quot; w:h-ansi=&quot;Cambria Math&quot;/&gt;&lt;wx:font wx:val=&quot;Cambria Math&quot;/&gt;&lt;w:i/&gt;&lt;/w:rPr&gt;&lt;m:t&gt;Hence, the definite integral becomes:&lt;/m:t&gt;&lt;/m:r&gt;&lt;/m:oMath&gt;&lt;/m:oMathPara&gt;&lt;/w:p&gt;&lt;w:sectPr wsp:rsidR=&quot;00000000&quot; wsp:rsidRPr=&quot;0070723C&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0" o:title="" chromakey="white"/>
          </v:shape>
        </w:pict>
      </w:r>
      <w:r w:rsidR="008B3C0B" w:rsidRPr="008B3C0B">
        <w:rPr>
          <w:rFonts w:ascii="Cambria Math" w:eastAsia="Times New Roman" w:hAnsi="Cambria Math"/>
          <w:sz w:val="24"/>
          <w:szCs w:val="24"/>
        </w:rPr>
        <w:br/>
      </w:r>
      <w:r>
        <w:pict>
          <v:shape id="_x0000_i1375" type="#_x0000_t75" style="width:391.7pt;height:48.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064&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B3064&quot; wsp:rsidRDefault=&quot;008B3064&quot; wsp:rsidP=&quot;008B3064&quot;&gt;&lt;m:oMathPara&gt;&lt;m:oMath&gt;&lt;m:nary&gt;&lt;m:naryPr&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Ïƒ&lt;/m:t&gt;&lt;/m:r&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e&gt;&lt;/m:nary&gt;&lt;m:r&gt;&lt;w:rPr&gt;&lt;w:rFonts w:ascii=&quot;Cambria Math&quot; w:h-ansi=&quot;Cambria Math&quot;/&gt;&lt;wx:font wx:val=&quot;Cambria Math&quot;/&gt;&lt;w:i/&gt;&lt;/w:rPr&gt;&lt;m:t&gt;)&lt;/m:t&gt;&lt;/m:r&gt;&lt;/m:den&gt;&lt;/m:f&gt;&lt;m:r&gt;&lt;w:rPr&gt;&lt;w:rFonts w:ascii=&quot;Cambria Math&quot; w:h-ansi=&quot;Cambria Math&quot;/&gt;&lt;wx:font wx:val=&quot;Cambria Math&quot;/&gt;&lt;w:i/&gt;&lt;/w:rPr&gt;&lt;m:t&gt; &lt;/m:t&gt;&lt;/m:r&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num&gt;&lt;m:den&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en&gt;&lt;/m:f&gt;&lt;/m:e&gt;&lt;/m:d&gt;&lt;m:r&gt;&lt;w:rPr&gt;&lt;w:rFonts w:ascii=&quot;Cambria Math&quot; w:h-ansi=&quot;Cambria Math&quot;/&gt;&lt;wx:font wx:val=&quot;Cambria Math&quot;/&gt;&lt;w:i/&gt;&lt;/w:rPr&gt;&lt;m:t&gt; &lt;/m:t&gt;&lt;/m:r&gt;&lt;/m:e&gt;&lt;/m:nary&gt;&lt;/m:e&gt;&lt;/m:nary&gt;&lt;m:r&gt;&lt;w:rPr&gt;&lt;w:rFonts w:ascii=&quot;Cambria Math&quot; w:fareast=&quot;Times New Roman&quot; w:h-ansi=&quot;Cambria Math&quot;/&gt;&lt;wx:font wx:val=&quot;Cambria Math&quot;/&gt;&lt;w:i/&gt;&lt;/w:rPr&gt;&lt;m:t&gt;=-Î¸&lt;/m:t&gt;&lt;/m:r&gt;&lt;m:nary&gt;&lt;m:naryPr&gt;&lt;m:chr m:val=&quot;âˆ‘&quot;/&gt;&lt;m:limLoc m:val=&quot;undOvr&quot;/&gt;&lt;m:ctrlPr&gt;&lt;w:rPr&gt;&lt;w:rFonts w:ascii=&quot;Cambria Math&quot; w:fareast=&quot;Times New Roman&quot; w:h-ansi=&quot;Cambria Math&quot;/&gt;&lt;wx:font wx:val=&quot;Cambria Math&quot;/&gt;&lt;w:b-cs/&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b-cs/&gt;&lt;w:i/&gt;&lt;/w:rPr&gt;&lt;/m:ctrlPr&gt;&lt;/m:dPr&gt;&lt;m:e&gt;&lt;m:sSubSup&gt;&lt;m:sSubSupPr&gt;&lt;m:ctrlPr&gt;&lt;w:rPr&gt;&lt;w:rFonts w:ascii=&quot;Cambria Math&quot; w:fareast=&quot;Times New Roman&quot; w:h-ansi=&quot;Cambria Math&quot;/&gt;&lt;wx:font wx:val=&quot;Cambria Math&quot;/&gt;&lt;w:b-cs/&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gt;&lt;m:fPr&gt;&lt;m:ctrlPr&gt;&lt;w:rPr&gt;&lt;w:rFonts w:ascii=&quot;Cambria Math&quot; w:fareast=&quot;Times New Roman&quot; w:h-ansi=&quot;Cambria Math&quot;/&gt;&lt;wx:font wx:val=&quot;Cambria Math&quot;/&gt;&lt;w:b-cs/&gt;&lt;w:i/&gt;&lt;/w:rPr&gt;&lt;/m:ctrlPr&gt;&lt;/m:fPr&gt;&lt;m:num&gt;&lt;m:func&gt;&lt;m:funcPr&gt;&lt;m:ctrlPr&gt;&lt;w:rPr&gt;&lt;w:rFonts w:ascii=&quot;Cambria Math&quot; w:fareast=&quot;Times New Roman&quot; w:h-ansi=&quot;Cambria Math&quot;/&gt;&lt;wx:font wx:val=&quot;Cambria Math&quot;/&gt;&lt;w:b-cs/&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func&gt;&lt;/m:num&gt;&lt;m:den&gt;&lt;m:nary&gt;&lt;m:naryPr&gt;&lt;m:chr m:val=&quot;âˆ&quot;/&gt;&lt;m:limLoc m:val=&quot;undOvr&quot;/&gt;&lt;m:ctrlPr&gt;&lt;w:rPr&gt;&lt;w:rFonts w:ascii=&quot;Cambria Math&quot; w:h-ansi=&quot;Cambria Math&quot;/&gt;&lt;wx:font wx:val=&quot;Cambria Math&quot;/&gt;&lt;w:b-cs/&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lt;/m:t&gt;&lt;/m:r&gt;&lt;/m:den&gt;&lt;/m:f&gt;&lt;/m:e&gt;&lt;/m:d&gt;&lt;/m:e&gt;&lt;/m:nary&gt;&lt;/m:oMath&gt;&lt;/m:oMathPara&gt;&lt;/w:p&gt;&lt;w:sectPr wsp:rsidR=&quot;00000000&quot; wsp:rsidRPr=&quot;008B306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1" o:title="" chromakey="white"/>
          </v:shape>
        </w:pict>
      </w:r>
    </w:p>
    <w:p w:rsidR="008B3C0B" w:rsidRPr="004B450C" w:rsidRDefault="008B3C0B" w:rsidP="008B3C0B">
      <w:pPr>
        <w:rPr>
          <w:rFonts w:ascii="Cambria Math" w:hAnsi="Cambria Math"/>
        </w:rPr>
      </w:pPr>
    </w:p>
    <w:p w:rsidR="008B3C0B" w:rsidRPr="004B450C" w:rsidRDefault="008B3C0B" w:rsidP="008B3C0B">
      <w:pPr>
        <w:rPr>
          <w:rFonts w:ascii="Cambria Math" w:hAnsi="Cambria Math"/>
        </w:rPr>
      </w:pPr>
    </w:p>
    <w:p w:rsidR="008B3C0B" w:rsidRPr="004B450C" w:rsidRDefault="008B3C0B" w:rsidP="008B3C0B">
      <w:pPr>
        <w:pStyle w:val="ListParagraph"/>
        <w:numPr>
          <w:ilvl w:val="0"/>
          <w:numId w:val="8"/>
        </w:numPr>
        <w:spacing w:after="0" w:line="240" w:lineRule="auto"/>
        <w:ind w:left="0" w:firstLine="0"/>
        <w:rPr>
          <w:rFonts w:ascii="Cambria Math" w:eastAsia="Times New Roman" w:hAnsi="Cambria Math"/>
          <w:sz w:val="24"/>
          <w:szCs w:val="24"/>
        </w:rPr>
      </w:pPr>
      <w:r w:rsidRPr="004B450C">
        <w:rPr>
          <w:rFonts w:ascii="Cambria Math" w:eastAsia="Times New Roman" w:hAnsi="Cambria Math"/>
          <w:sz w:val="24"/>
          <w:szCs w:val="24"/>
        </w:rPr>
        <w:t xml:space="preserve">For the variance, we need to compute </w: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76" type="#_x0000_t75" style="width:350.55pt;height:48.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14B&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78714B&quot; wsp:rsidRDefault=&quot;0078714B&quot; wsp:rsidP=&quot;0078714B&quot;&gt;&lt;m:oMathPara&gt;&lt;m:oMathParaPr&gt;&lt;m:jc m:val=&quot;left&quot;/&gt;&lt;/m:oMathParaPr&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Î·&lt;/m:t&gt;&lt;/m:r&gt;&lt;/m:e&gt;&lt;m:sup&gt;&lt;m:r&gt;&lt;w:rPr&gt;&lt;w:rFonts w:ascii=&quot;Cambria Math&quot; w:h-ansi=&quot;Cambria Math&quot;/&gt;&lt;wx:font wx:val=&quot;Cambria Math&quot;/&gt;&lt;w:i/&gt;&lt;/w:rPr&gt;&lt;m:t&gt;2&lt;/m:t&gt;&lt;/m:r&gt;&lt;/m:sup&gt;&lt;/m:sSup&gt;&lt;m:ctrlPr&gt;&lt;w:rPr&gt;&lt;w:rFonts w:ascii=&quot;Cambria Math&quot; w:h-ansi=&quot;Cambria Math&quot;/&gt;&lt;wx:font wx:val=&quot;Cambria Math&quot;/&gt;&lt;w:b/&gt;&lt;w:i/&gt;&lt;/w:rPr&gt;&lt;/m:ctrlPr&gt;&lt;/m:e&gt;&lt;/m:d&gt;&lt;m:r&gt;&lt;m:rPr&gt;&lt;m:sty m:val=&quot;bi&quot;/&gt;&lt;/m:rPr&gt;&lt;w:rPr&gt;&lt;w:rFonts w:ascii=&quot;Cambria Math&quot; w:h-ansi=&quot;Cambria Math&quot;/&gt;&lt;wx:font wx:val=&quot;Cambria Math&quot;/&gt;&lt;w:b/&gt;&lt;w:i/&gt;&lt;/w:rPr&gt;&lt;m:t&gt;=&lt;/m:t&gt;&lt;/m:r&gt;&lt;m:nary&gt;&lt;m:naryPr&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2&lt;/m:t&gt;&lt;/m:r&gt;&lt;/m:sup&gt;&lt;/m:sSup&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b-cs/&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dt=&lt;/m:t&gt;&lt;/m:r&gt;&lt;m:nary&gt;&lt;m:naryPr&gt;&lt;m:limLoc m:val=&quot;subSup&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Ïƒ&lt;/m:t&gt;&lt;/m:r&gt;&lt;/m:den&gt;&lt;/m:f&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e&gt;&lt;/m:nary&gt;&lt;m:r&gt;&lt;w:rPr&gt;&lt;w:rFonts w:ascii=&quot;Cambria Math&quot; w:h-ansi=&quot;Cambria Math&quot;/&gt;&lt;wx:font wx:val=&quot;Cambria Math&quot;/&gt;&lt;w:i/&gt;&lt;/w:rPr&gt;&lt;m:t&gt;)&lt;/m:t&gt;&lt;/m:r&gt;&lt;/m:den&gt;&lt;/m:f&gt;&lt;m:r&gt;&lt;w:rPr&gt;&lt;w:rFonts w:ascii=&quot;Cambria Math&quot; w:h-ansi=&quot;Cambria Math&quot;/&gt;&lt;wx:font wx:val=&quot;Cambria Math&quot;/&gt;&lt;w:i/&gt;&lt;/w:rPr&gt;&lt;m:t&gt; &lt;/m:t&gt;&lt;/m:r&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num&gt;&lt;m:den&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t&lt;/m:t&gt;&lt;/m:r&gt;&lt;/m:num&gt;&lt;m:den&gt;&lt;m:r&gt;&lt;w:rPr&gt;&lt;w:rFonts w:ascii=&quot;Cambria Math&quot; w:h-ansi=&quot;Cambria Math&quot;/&gt;&lt;wx:font wx:val=&quot;Cambria Math&quot;/&gt;&lt;w:i/&gt;&lt;/w:rPr&gt;&lt;m:t&gt;Ïƒ&lt;/m:t&gt;&lt;/m:r&gt;&lt;/m:den&gt;&lt;/m:f&gt;&lt;/m:sup&gt;&lt;/m:sSup&gt;&lt;/m:den&gt;&lt;/m:f&gt;&lt;/m:e&gt;&lt;/m:d&gt;&lt;m:r&gt;&lt;w:rPr&gt;&lt;w:rFonts w:ascii=&quot;Cambria Math&quot; w:h-ansi=&quot;Cambria Math&quot;/&gt;&lt;wx:font wx:val=&quot;Cambria Math&quot;/&gt;&lt;w:i/&gt;&lt;/w:rPr&gt;&lt;m:t&gt; &lt;/m:t&gt;&lt;/m:r&gt;&lt;/m:e&gt;&lt;/m:nary&gt;&lt;/m:e&gt;&lt;/m:nary&gt;&lt;/m:e&gt;&lt;/m:nary&gt;&lt;/m:oMath&gt;&lt;/m:oMathPara&gt;&lt;/w:p&gt;&lt;w:sectPr wsp:rsidR=&quot;00000000&quot; wsp:rsidRPr=&quot;0078714B&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2"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77" type="#_x0000_t75" style="width:296.55pt;height:2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42CA&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C42CA&quot; wsp:rsidRDefault=&quot;008C42CA&quot; wsp:rsidP=&quot;008C42CA&quot;&gt;&lt;m:oMathPara&gt;&lt;m:oMathParaPr&gt;&lt;m:jc m:val=&quot;left&quot;/&gt;&lt;/m:oMathParaPr&gt;&lt;m:oMath&gt;&lt;m:r&gt;&lt;m:rPr&gt;&lt;m:sty m:val=&quot;p&quot;/&gt;&lt;/m:rPr&gt;&lt;w:rPr&gt;&lt;w:rFonts w:ascii=&quot;Cambria Math&quot; w:fareast=&quot;Times New Roman&quot; w:h-ansi=&quot;Cambria Math&quot;/&gt;&lt;wx:font wx:val=&quot;Cambria Math&quot;/&gt;&lt;/w:rPr&gt;&lt;m:t&gt;Substituting&lt;/m:t&gt;&lt;/m:r&gt;&lt;m:r&gt;&lt;w:rPr&gt;&lt;w:rFonts w:ascii=&quot;Cambria Math&quot; w:fareast=&quot;Times New Roman&quot; w:h-ansi=&quot;Cambria Math&quot;/&gt;&lt;wx:font wx:val=&quot;Cambria Math&quot;/&gt;&lt;w:i/&gt;&lt;/w:rPr&gt;&lt;m:t&gt; &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r&gt;&lt;w:rPr&gt;&lt;w:rFonts w:ascii=&quot;Cambria Math&quot; w:fareast=&quot;Times New Roman&quot; w:h-ansi=&quot;Cambria Math&quot;/&gt;&lt;wx:font wx:val=&quot;Cambria Math&quot;/&gt;&lt;w:i/&gt;&lt;/w:rPr&gt;&lt;m:t&gt;=u, t=Ïƒ&lt;/m:t&gt;&lt;/m:r&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 dt=Ïƒ.&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 &lt;/m:t&gt;&lt;/m:r&gt;&lt;m:r&gt;&lt;m:rPr&gt;&lt;m:sty m:val=&quot;p&quot;/&gt;&lt;/m:rPr&gt;&lt;w:rPr&gt;&lt;w:rFonts w:ascii=&quot;Cambria Math&quot; w:fareast=&quot;Times New Roman&quot; w:h-ansi=&quot;Cambria Math&quot;/&gt;&lt;wx:font wx:val=&quot;Cambria Math&quot;/&gt;&lt;/w:rPr&gt;&lt;m:t&gt;and rewriting&lt;/m:t&gt;&lt;/m:r&gt;&lt;/m:e&gt;&lt;/m:func&gt;&lt;/m:oMath&gt;&lt;/m:oMathPara&gt;&lt;/w:p&gt;&lt;w:sectPr wsp:rsidR=&quot;00000000&quot; wsp:rsidRPr=&quot;008C42CA&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3"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78" type="#_x0000_t75" style="width:468pt;height:10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2BFD&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E2BFD&quot; wsp:rsidRDefault=&quot;008E2BFD&quot; wsp:rsidP=&quot;008E2BFD&quot;&gt;&lt;m:oMathPara&gt;&lt;m:oMathParaPr&gt;&lt;m:jc m:val=&quot;left&quot;/&gt;&lt;/m:oMathParaPr&gt;&lt;m:oMath&gt;&lt;m:r&gt;&lt;w:rPr&gt;&lt;w:rFonts w:ascii=&quot;Cambria Math&quot; w:fareast=&quot;Times New Roman&quot; w:h-ansi=&quot;Cambria Math&quot;/&gt;&lt;wx:font wx:val=&quot;Cambria Math&quot;/&gt;&lt;w:i/&gt;&lt;/w:rPr&gt;&lt;m:t&gt;I=&lt;/m:t&gt;&lt;/m:r&gt;&lt;m:nary&gt;&lt;m:naryPr&gt;&lt;m:limLoc m:val=&quot;subSup&quot;/&gt;&lt;m:ctrlPr&gt;&lt;w:rPr&gt;&lt;w:rFonts w:ascii=&quot;Cambria Math&quot; w:fareast=&quot;Times New Roman&quot; w:h-ansi=&quot;Cambria Math&quot;/&gt;&lt;wx:font wx:val=&quot;Cambria Math&quot;/&gt;&lt;w:i/&gt;&lt;/w:rPr&gt;&lt;/m:ctrlPr&gt;&lt;/m:naryPr&gt;&lt;m:sub&gt;&lt;m:r&gt;&lt;w:rPr&gt;&lt;w:rFonts w:ascii=&quot;Cambria Math&quot; w:h-ansi=&quot;Cambria Math&quot;/&gt;&lt;wx:font wx:val=&quot;Cambria Math&quot;/&gt;&lt;w:i/&gt;&lt;/w:rPr&gt;&lt;m:t&gt;-âˆž&lt;/m:t&gt;&lt;/m:r&gt;&lt;/m:sub&gt;&lt;m:sup&gt;&lt;m:r&gt;&lt;w:rPr&gt;&lt;w:rFonts w:ascii=&quot;Cambria Math&quot; w:h-ansi=&quot;Cambria Math&quot;/&gt;&lt;wx:font wx:val=&quot;Cambria Math&quot;/&gt;&lt;w:i/&gt;&lt;/w:rPr&gt;&lt;m:t&gt;âˆž&lt;/m:t&gt;&lt;/m:r&gt;&lt;/m:sup&gt;&lt;m:e&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func&gt;&lt;m:funcPr&gt;&lt;m:ctrlPr&gt;&lt;w:rPr&gt;&lt;w:rFonts w:ascii=&quot;Cambria Math&quot; w:fareast=&quot;Times New Roman&quot; w:h-ansi=&quot;Cambria Math&quot;/&gt;&lt;wx:font wx:val=&quot;Cambria Math&quot;/&gt;&lt;w:i/&gt;&lt;/w:rPr&gt;&lt;/m:ctrlPr&gt;&lt;/m:funcPr&gt;&lt;m:fName&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ln&lt;/m:t&gt;&lt;/m:r&gt;&lt;m:ctrlPr&gt;&lt;w:rPr&gt;&lt;w:rFonts w:ascii=&quot;Cambria Math&quot; w:fareast=&quot;Times New Roman&quot; w:h-ansi=&quot;Cambria Math&quot;/&gt;&lt;wx:font wx:val=&quot;Cambria Math&quot;/&gt;&lt;/w:rPr&gt;&lt;/m:ctrlPr&gt;&lt;/m:e&gt;&lt;m:sup&gt;&lt;m:r&gt;&lt;w:rPr&gt;&lt;w:rFonts w:ascii=&quot;Cambria Math&quot; w:fareast=&quot;Times New Roman&quot; w:h-ansi=&quot;Cambria Math&quot;/&gt;&lt;wx:font wx:val=&quot;Cambria Math&quot;/&gt;&lt;w:i/&gt;&lt;/w:rPr&gt;&lt;m:t&gt;2&lt;/m:t&gt;&lt;/m:r&gt;&lt;m:ctrlPr&gt;&lt;w:rPr&gt;&lt;w:rFonts w:ascii=&quot;Cambria Math&quot; w:fareast=&quot;Times New Roman&quot; w:h-ansi=&quot;Cambria Math&quot;/&gt;&lt;wx:font wx:val=&quot;Cambria Math&quot;/&gt;&lt;/w:rPr&gt;&lt;/m:ctrlPr&gt;&lt;/m:sup&gt;&lt;/m:sSup&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Ïƒ&lt;/m:t&gt;&lt;/m:r&gt;&lt;/m:den&gt;&lt;/m:f&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h-ansi=&quot;Cambria Math&quot;/&gt;&lt;wx:font wx:val=&quot;Cambria Math&quot;/&gt;&lt;w:i/&gt;&lt;/w:rPr&gt;&lt;/m:ctrlPr&gt;&lt;/m:fPr&gt;&lt;m:num&gt;&lt;m:r&gt;&lt;w:rPr&gt;&lt;w:rFonts w:ascii=&quot;Cambria Math&quot; w:fareast=&quot;Times New Roman&quot; w:h-ansi=&quot;Cambria Math&quot;/&gt;&lt;wx:font wx:val=&quot;Cambria Math&quot;/&gt;&lt;w:i/&gt;&lt;/w:rPr&gt;&lt;m:t&gt;u&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r&gt;&lt;w:rPr&gt;&lt;w:rFonts w:ascii=&quot;Cambria Math&quot; w:fareast=&quot;Times New Roman&quot; w:h-ansi=&quot;Cambria Math&quot;/&gt;&lt;wx:font wx:val=&quot;Cambria Math&quot;/&gt;&lt;w:i/&gt;&lt;/w:rPr&gt;&lt;m:t&gt;u&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r&gt;&lt;w:rPr&gt;&lt;w:rFonts w:ascii=&quot;Cambria Math&quot; w:h-ansi=&quot;Cambria Math&quot;/&gt;&lt;wx:font wx:val=&quot;Cambria Math&quot;/&gt;&lt;w:i/&gt;&lt;/w:rPr&gt;&lt;m:t&gt;+â€¦+&lt;/m:t&gt;&lt;/m:r&gt;&lt;m:f&gt;&lt;m:fPr&gt;&lt;m:ctrlPr&gt;&lt;w:rPr&gt;&lt;w:rFonts w:ascii=&quot;Cambria Math&quot; w:h-ansi=&quot;Cambria Math&quot;/&gt;&lt;wx:font wx:val=&quot;Cambria Math&quot;/&gt;&lt;w:i/&gt;&lt;/w:rPr&gt;&lt;/m:ctrlPr&gt;&lt;/m:fPr&gt;&lt;m:num&gt;&lt;m:r&gt;&lt;w:rPr&gt;&lt;w:rFonts w:ascii=&quot;Cambria Math&quot; w:fareast=&quot;Times New Roman&quot; w:h-ansi=&quot;Cambria Math&quot;/&gt;&lt;wx:font wx:val=&quot;Cambria Math&quot;/&gt;&lt;w:i/&gt;&lt;/w:rPr&gt;&lt;m:t&gt;u&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1&lt;/m:t&gt;&lt;/m:r&gt;&lt;/m:sub&gt;&lt;/m:sSub&gt;&lt;m:r&gt;&lt;w:rPr&gt;&lt;w:rFonts w:ascii=&quot;Cambria Math&quot; w:h-ansi=&quot;Cambria Math&quot;/&gt;&lt;wx:font wx:val=&quot;Cambria Math&quot;/&gt;&lt;w:i/&gt;&lt;/w:rPr&gt;&lt;m:t&gt;u&lt;/m:t&gt;&lt;/m:r&gt;&lt;/m:e&gt;&lt;/m:d&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ctrlPr&gt;&lt;w:rPr&gt;&lt;w:rFonts w:ascii=&quot;Cambria Math&quot; w:h-ansi=&quot;Cambria Math&quot;/&gt;&lt;wx:font wx:val=&quot;Cambria Math&quot;/&gt;&lt;w:i/&gt;&lt;/w:rPr&gt;&lt;/m:ctrlPr&gt;&lt;/m:e&gt;&lt;/m:d&gt;&lt;/m:e&gt;&lt;/m:nary&gt;&lt;m:r&gt;&lt;w:rPr&gt;&lt;w:rFonts w:ascii=&quot;Cambria Math&quot; w:h-ansi=&quot;Cambria Math&quot;/&gt;&lt;wx:font wx:val=&quot;Cambria Math&quot;/&gt;&lt;w:i/&gt;&lt;/w:rPr&gt;&lt;m:t&gt;Ïƒ.&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u&lt;/m:t&gt;&lt;/m:r&gt;&lt;/m:den&gt;&lt;/m:f&gt;&lt;m:r&gt;&lt;w:rPr&gt;&lt;w:rFonts w:ascii=&quot;Cambria Math&quot; w:h-ansi=&quot;Cambria Math&quot;/&gt;&lt;wx:font wx:val=&quot;Cambria Math&quot;/&gt;&lt;w:i/&gt;&lt;/w:rPr&gt;&lt;m:t&gt;du&lt;/m:t&gt;&lt;/m:r&gt;&lt;/m:oMath&gt;&lt;/m:oMathPara&gt;&lt;/w:p&gt;&lt;w:sectPr wsp:rsidR=&quot;00000000&quot; wsp:rsidRPr=&quot;008E2BFD&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4" o:title="" chromakey="white"/>
          </v:shape>
        </w:pict>
      </w:r>
    </w:p>
    <w:p w:rsidR="008B3C0B" w:rsidRPr="008B3C0B" w:rsidRDefault="008B3C0B" w:rsidP="0070560A">
      <w:pPr>
        <w:pStyle w:val="ListParagraph"/>
        <w:spacing w:after="0" w:line="240" w:lineRule="auto"/>
        <w:ind w:left="0"/>
        <w:rPr>
          <w:rFonts w:ascii="Times New Roman" w:eastAsia="Times New Roman" w:hAnsi="Times New Roman"/>
          <w:sz w:val="24"/>
          <w:szCs w:val="24"/>
        </w:rPr>
      </w:pPr>
      <w:r w:rsidRPr="008B3C0B">
        <w:rPr>
          <w:rFonts w:ascii="Cambria Math" w:hAnsi="Cambria Math"/>
          <w:sz w:val="24"/>
          <w:szCs w:val="24"/>
        </w:rPr>
        <w:br/>
      </w:r>
      <w:r w:rsidR="009A08FE">
        <w:pict>
          <v:shape id="_x0000_i1379" type="#_x0000_t75" style="width:480pt;height:47.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550F&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F6550F&quot; wsp:rsidP=&quot;00F6550F&quot;&gt;&lt;m:oMathPara&gt;&lt;m:oMath&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ary&gt;&lt;m:naryPr&gt;&lt;m:limLoc m:val=&quot;subSup&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0&lt;/m:t&gt;&lt;/m:r&gt;&lt;/m:sub&gt;&lt;m:sup&gt;&lt;m:r&gt;&lt;w:rPr&gt;&lt;w:rFonts w:ascii=&quot;Cambria Math&quot; w:fareast=&quot;Times New Roman&quot; w:h-ansi=&quot;Cambria Math&quot;/&gt;&lt;wx:font wx:val=&quot;Cambria Math&quot;/&gt;&lt;w:i/&gt;&lt;/w:rPr&gt;&lt;m:t&gt;âˆž&lt;/m:t&gt;&lt;/m:r&gt;&lt;/m:sup&gt;&lt;m:e&gt;&lt;m:func&gt;&lt;m:funcPr&gt;&lt;m:ctrlPr&gt;&lt;w:rPr&gt;&lt;w:rFonts w:ascii=&quot;Cambria Math&quot; w:fareast=&quot;Times New Roman&quot; w:h-ansi=&quot;Cambria Math&quot;/&gt;&lt;wx:font wx:val=&quot;Cambria Math&quot;/&gt;&lt;w:i/&gt;&lt;/w:rPr&gt;&lt;/m:ctrlPr&gt;&lt;/m:funcPr&gt;&lt;m:fName&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ln&lt;/m:t&gt;&lt;/m:r&gt;&lt;/m:e&gt;&lt;m:sup&gt;&lt;m:r&gt;&lt;m:rPr&gt;&lt;m:sty m:val=&quot;p&quot;/&gt;&lt;/m:rPr&gt;&lt;w:rPr&gt;&lt;w:rFonts w:ascii=&quot;Cambria Math&quot; w:fareast=&quot;Times New Roman&quot; w:h-ansi=&quot;Cambria Math&quot;/&gt;&lt;wx:font wx:val=&quot;Cambria Math&quot;/&gt;&lt;/w:rPr&gt;&lt;m:t&gt;2&lt;/m:t&gt;&lt;/m:r&gt;&lt;/m:sup&gt;&lt;/m:sSup&gt;&lt;/m:fName&gt;&lt;m:e&gt;&lt;m:r&gt;&lt;w:rPr&gt;&lt;w:rFonts w:ascii=&quot;Cambria Math&quot; w:fareast=&quot;Times New Roman&quot; w:h-ansi=&quot;Cambria Math&quot;/&gt;&lt;wx:font wx:val=&quot;Cambria Math&quot;/&gt;&lt;w:i/&gt;&lt;/w:rPr&gt;&lt;m:t&gt;u . &lt;/m:t&gt;&lt;/m:r&gt;&lt;/m:e&gt;&lt;/m:func&gt;&lt;/m:e&gt;&lt;/m:nary&gt;&lt;m:f&gt;&lt;m:fPr&gt;&lt;m:ctrlPr&gt;&lt;w:rPr&gt;&lt;w:rFonts w:ascii=&quot;Cambria Math&quot; w:h-ansi=&quot;Cambria Math&quot;/&gt;&lt;wx:font wx:val=&quot;Cambria Math&quot;/&gt;&lt;w:i/&gt;&lt;/w:rPr&gt;&lt;/m:ctrlPr&gt;&lt;/m:fPr&gt;&lt;m:num&gt;&lt;m:eqArr&gt;&lt;m:eqArrPr&gt;&lt;m:ctrlPr&gt;&lt;w:rPr&gt;&lt;w:rFonts w:ascii=&quot;Cambria Math&quot; w:h-ansi=&quot;Cambria Math&quot;/&gt;&lt;wx:font wx:val=&quot;Cambria Math&quot;/&gt;&lt;w:i/&gt;&lt;/w:rPr&gt;&lt;/m:ctrlPr&gt;&lt;/m:eqArr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e&gt;&lt;m:e&gt;&lt;m:r&gt;&lt;w:rPr&gt;&lt;w:rFonts w:ascii=&quot;Cambria Math&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1&lt;/m:t&gt;&lt;/m:r&gt;&lt;/m:sub&gt;&lt;/m:sSub&gt;&lt;m:r&gt;&lt;w:rPr&gt;&lt;w:rFonts w:ascii=&quot;Cambria Math&quot; w:h-ansi=&quot;Cambria Math&quot;/&gt;&lt;wx:font wx:val=&quot;Cambria Math&quot;/&gt;&lt;w:i/&gt;&lt;/w:rPr&gt;&lt;m:t&gt;u&lt;/m:t&gt;&lt;/m:r&gt;&lt;/m:e&gt;&lt;/m:d&gt;&lt;/m:e&gt;&lt;/m:eqArr&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5" o:title="" chromakey="white"/>
          </v:shape>
        </w:pict>
      </w:r>
      <w:r w:rsidRPr="008B3C0B">
        <w:rPr>
          <w:rFonts w:ascii="Cambria Math" w:eastAsia="Times New Roman" w:hAnsi="Cambria Math"/>
          <w:sz w:val="24"/>
          <w:szCs w:val="24"/>
        </w:rPr>
        <w:br/>
      </w:r>
      <w:r w:rsidRPr="008B3C0B">
        <w:rPr>
          <w:rFonts w:ascii="Cambria Math" w:eastAsia="Times New Roman" w:hAnsi="Cambria Math"/>
          <w:sz w:val="24"/>
          <w:szCs w:val="24"/>
        </w:rPr>
        <w:br/>
      </w:r>
      <w:r w:rsidR="009A08FE">
        <w:pict>
          <v:shape id="_x0000_i1380" type="#_x0000_t75" style="width:118.7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5F9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25F9B&quot; wsp:rsidRDefault=&quot;00825F9B&quot; wsp:rsidP=&quot;00825F9B&quot;&gt;&lt;m:oMathPara&gt;&lt;m:oMath&gt;&lt;m:r&gt;&lt;w:rPr&gt;&lt;w:rFonts w:ascii=&quot;Cambria Math&quot; w:fareast=&quot;Times New Roman&quot; w:h-ansi=&quot;Cambria Math&quot;/&gt;&lt;wx:font wx:val=&quot;Cambria Math&quot;/&gt;&lt;w:i/&gt;&lt;/w:rPr&gt;&lt;m:t&gt;Integrating by parts: &lt;/m:t&gt;&lt;/m:r&gt;&lt;/m:oMath&gt;&lt;/m:oMathPara&gt;&lt;/w:p&gt;&lt;w:sectPr wsp:rsidR=&quot;00000000&quot; wsp:rsidRPr=&quot;00825F9B&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8" o:title="" chromakey="white"/>
          </v:shape>
        </w:pict>
      </w:r>
      <w:r w:rsidRPr="008B3C0B">
        <w:rPr>
          <w:rFonts w:ascii="Cambria Math" w:eastAsia="Times New Roman" w:hAnsi="Cambria Math"/>
          <w:sz w:val="24"/>
          <w:szCs w:val="24"/>
        </w:rPr>
        <w:br/>
      </w:r>
      <w:r w:rsidR="009A08FE">
        <w:pict>
          <v:shape id="_x0000_i1381" type="#_x0000_t75" style="width:144.45pt;height:2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CE4&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442CE4&quot; wsp:rsidRDefault=&quot;00442CE4&quot; wsp:rsidP=&quot;00442CE4&quot;&gt;&lt;m:oMathPara&gt;&lt;m:oMath&gt;&lt;m:r&gt;&lt;w:rPr&gt;&lt;w:rFonts w:ascii=&quot;Cambria Math&quot; w:fareast=&quot;Times New Roman&quot; w:h-ansi=&quot;Cambria Math&quot;/&gt;&lt;wx:font wx:val=&quot;Cambria Math&quot;/&gt;&lt;w:i/&gt;&lt;/w:rPr&gt;&lt;m:t&gt;Let I=&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r&gt;&lt;w:rPr&gt;&lt;w:rFonts w:ascii=&quot;Cambria Math&quot; w:fareast=&quot;Times New Roman&quot; w:h-ansi=&quot;Cambria Math&quot;/&gt;&lt;wx:font wx:val=&quot;Cambria Math&quot;/&gt;&lt;w:i/&gt;&lt;/w:rPr&gt;&lt;m:t&gt;f&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g&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fg-&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f&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g&lt;/m:t&gt;&lt;/m:r&gt;&lt;/m:e&gt;&lt;/m:nary&gt;&lt;/m:e&gt;&lt;/m:nary&gt;&lt;/m:oMath&gt;&lt;/m:oMathPara&gt;&lt;/w:p&gt;&lt;w:sectPr wsp:rsidR=&quot;00000000&quot; wsp:rsidRPr=&quot;00442CE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09" o:title="" chromakey="white"/>
          </v:shape>
        </w:pict>
      </w:r>
      <w:r w:rsidRPr="008B3C0B">
        <w:rPr>
          <w:rFonts w:ascii="Cambria Math" w:eastAsia="Times New Roman" w:hAnsi="Cambria Math"/>
          <w:sz w:val="24"/>
          <w:szCs w:val="24"/>
        </w:rPr>
        <w:br/>
      </w:r>
      <w:r w:rsidR="009A08FE">
        <w:pict>
          <v:shape id="_x0000_i1382" type="#_x0000_t75" style="width:126.45pt;height:29.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37D6&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FD37D6&quot; wsp:rsidRDefault=&quot;00FD37D6&quot; wsp:rsidP=&quot;00FD37D6&quot;&gt;&lt;m:oMathPara&gt;&lt;m:oMath&gt;&lt;m:r&gt;&lt;w:rPr&gt;&lt;w:rFonts w:ascii=&quot;Cambria Math&quot; w:fareast=&quot;Times New Roman&quot; w:h-ansi=&quot;Cambria Math&quot;/&gt;&lt;wx:font wx:val=&quot;Cambria Math&quot;/&gt;&lt;w:i/&gt;&lt;/w:rPr&gt;&lt;m:t&gt;f=&lt;/m:t&gt;&lt;/m:r&gt;&lt;m:func&gt;&lt;m:funcPr&gt;&lt;m:ctrlPr&gt;&lt;w:rPr&gt;&lt;w:rFonts w:ascii=&quot;Cambria Math&quot; w:fareast=&quot;Times New Roman&quot; w:h-ansi=&quot;Cambria Math&quot;/&gt;&lt;wx:font wx:val=&quot;Cambria Math&quot;/&gt;&lt;w:i/&gt;&lt;/w:rPr&gt;&lt;/m:ctrlPr&gt;&lt;/m:funcPr&gt;&lt;m:fName&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ln&lt;/m:t&gt;&lt;/m:r&gt;&lt;/m:e&gt;&lt;m:sup&gt;&lt;m:r&gt;&lt;m:rPr&gt;&lt;m:sty m:val=&quot;p&quot;/&gt;&lt;/m:rPr&gt;&lt;w:rPr&gt;&lt;w:rFonts w:ascii=&quot;Cambria Math&quot; w:fareast=&quot;Times New Roman&quot; w:h-ansi=&quot;Cambria Math&quot;/&gt;&lt;wx:font wx:val=&quot;Cambria Math&quot;/&gt;&lt;/w:rPr&gt;&lt;m:t&gt;2&lt;/m:t&gt;&lt;/m:r&gt;&lt;/m:sup&gt;&lt;/m:sSup&gt;&lt;/m:fName&gt;&lt;m:e&gt;&lt;m:r&gt;&lt;w:rPr&gt;&lt;w:rFonts w:ascii=&quot;Cambria Math&quot; w:fareast=&quot;Times New Roman&quot; w:h-ansi=&quot;Cambria Math&quot;/&gt;&lt;wx:font wx:val=&quot;Cambria Math&quot;/&gt;&lt;w:i/&gt;&lt;/w:rPr&gt;&lt;m:t&gt;u&lt;/m:t&gt;&lt;/m:r&gt;&lt;/m:e&gt;&lt;/m:func&gt;&lt;m:r&gt;&lt;w:rPr&gt;&lt;w:rFonts w:ascii=&quot;Cambria Math&quot; w:fareast=&quot;Times New Roman&quot; w:h-ansi=&quot;Cambria Math&quot;/&gt;&lt;wx:font wx:val=&quot;Cambria Math&quot;/&gt;&lt;w:i/&gt;&lt;/w:rPr&gt;&lt;m:t&gt;, &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f&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2&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 du&lt;/m:t&gt;&lt;/m:r&gt;&lt;/m:oMath&gt;&lt;/m:oMathPara&gt;&lt;/w:p&gt;&lt;w:sectPr wsp:rsidR=&quot;00000000&quot; wsp:rsidRPr=&quot;00FD37D6&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6"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83" type="#_x0000_t75" style="width:430.3pt;height:46.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5E0&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055E0&quot; wsp:rsidRDefault=&quot;003055E0&quot; wsp:rsidP=&quot;003055E0&quot;&gt;&lt;m:oMathPara&gt;&lt;m:oMathParaPr&gt;&lt;m:jc m:val=&quot;left&quot;/&gt;&lt;/m:oMathParaPr&gt;&lt;m:oMath&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g&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lt;/m:t&gt;&lt;/m:r&gt;&lt;m:f&gt;&lt;m:fPr&gt;&lt;m:ctrlPr&gt;&lt;w:rPr&gt;&lt;w:rFonts w:ascii=&quot;Cambria Math&quot; w:h-ansi=&quot;Cambria Math&quot;/&gt;&lt;wx:font wx:val=&quot;Cambria Math&quot;/&gt;&lt;w:i/&gt;&lt;/w:rPr&gt;&lt;/m:ctrlPr&gt;&lt;/m:fPr&gt;&lt;m:num&gt;&lt;m:eqArr&gt;&lt;m:eqArrPr&gt;&lt;m:ctrlPr&gt;&lt;w:rPr&gt;&lt;w:rFonts w:ascii=&quot;Cambria Math&quot; w:h-ansi=&quot;Cambria Math&quot;/&gt;&lt;wx:font wx:val=&quot;Cambria Math&quot;/&gt;&lt;w:i/&gt;&lt;/w:rPr&gt;&lt;/m:ctrlPr&gt;&lt;/m:eqArr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e&gt;&lt;m:e&gt;&lt;m:r&gt;&lt;w:rPr&gt;&lt;w:rFonts w:ascii=&quot;Cambria Math&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 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u&lt;/m:t&gt;&lt;/m:r&gt;&lt;/m:e&gt;&lt;/m:d&gt;&lt;m:r&gt;&lt;w:rPr&gt;&lt;w:rFonts w:ascii=&quot;Cambria Math&quot; w:h-ansi=&quot;Cambria Math&quot;/&gt;&lt;wx:font wx:val=&quot;Cambria Math&quot;/&gt;&lt;w:i/&gt;&lt;/w:rPr&gt;&lt;m:t&gt;â€¦&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1&lt;/m:t&gt;&lt;/m:r&gt;&lt;/m:sub&gt;&lt;/m:sSub&gt;&lt;m:r&gt;&lt;w:rPr&gt;&lt;w:rFonts w:ascii=&quot;Cambria Math&quot; w:h-ansi=&quot;Cambria Math&quot;/&gt;&lt;wx:font wx:val=&quot;Cambria Math&quot;/&gt;&lt;w:i/&gt;&lt;/w:rPr&gt;&lt;m:t&gt;u&lt;/m:t&gt;&lt;/m:r&gt;&lt;/m:e&gt;&lt;/m:d&gt;&lt;/m:e&gt;&lt;/m:eqArr&gt;&lt;m:ctrlPr&gt;&lt;w:rPr&gt;&lt;w:rFonts w:ascii=&quot;Cambria Math&quot; w:fareast=&quot;Times New Roman&quot; w:h-ansi=&quot;Cambria Math&quot;/&gt;&lt;wx:font wx:val=&quot;Cambria Math&quot;/&gt;&lt;w:i/&gt;&lt;/w:rPr&gt;&lt;/m:ctrlPr&gt;&lt;/m:num&gt;&lt;m:den&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â€¦&lt;/m:t&gt;&lt;/m:r&gt;&lt;m:sSup&gt;&lt;m:sSupPr&gt;&lt;m:ctrlPr&gt;&lt;w:rPr&gt;&lt;w:rFonts w:ascii=&quot;Cambria Math&quot; w:h-ansi=&quot;Cambria Math&quot;/&gt;&lt;wx:font wx:val=&quot;Cambria Math&quot;/&gt;&lt;w:i/&gt;&lt;/w:rPr&gt;&lt;/m:ctrlPr&gt;&lt;/m:sSupPr&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u&lt;/m:t&gt;&lt;/m:r&gt;&lt;/m:e&gt;&lt;/m:d&gt;&lt;/m:e&gt;&lt;m:sup&gt;&lt;m:r&gt;&lt;w:rPr&gt;&lt;w:rFonts w:ascii=&quot;Cambria Math&quot; w:h-ansi=&quot;Cambria Math&quot;/&gt;&lt;wx:font wx:val=&quot;Cambria Math&quot;/&gt;&lt;w:i/&gt;&lt;/w:rPr&gt;&lt;m:t&gt;2&lt;/m:t&gt;&lt;/m:r&gt;&lt;/m:sup&gt;&lt;/m:sSup&gt;&lt;/m:den&gt;&lt;/m:f&gt;&lt;/m:oMath&gt;&lt;/m:oMathPara&gt;&lt;/w:p&gt;&lt;w:sectPr wsp:rsidR=&quot;00000000&quot; wsp:rsidRPr=&quot;003055E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1" o:title="" chromakey="white"/>
          </v:shape>
        </w:pict>
      </w:r>
      <w:r w:rsidR="008B3C0B" w:rsidRPr="008B3C0B">
        <w:rPr>
          <w:rFonts w:ascii="Cambria Math" w:eastAsia="Times New Roman" w:hAnsi="Cambria Math"/>
          <w:sz w:val="24"/>
          <w:szCs w:val="24"/>
        </w:rPr>
        <w:br/>
      </w:r>
      <w:r>
        <w:pict>
          <v:shape id="_x0000_i1384" type="#_x0000_t75" style="width:199.3pt;height:3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3B7&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E703B7&quot; wsp:rsidRDefault=&quot;00E703B7&quot; wsp:rsidP=&quot;00E703B7&quot;&gt;&lt;m:oMathPara&gt;&lt;m:oMath&gt;&lt;m:r&gt;&lt;w:rPr&gt;&lt;w:rFonts w:ascii=&quot;Cambria Math&quot; w:fareast=&quot;Times New Roman&quot; w:h-ansi=&quot;Cambria Math&quot;/&gt;&lt;wx:font wx:val=&quot;Cambria Math&quot;/&gt;&lt;w:i/&gt;&lt;/w:rPr&gt;&lt;m:t&gt;g=-&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oMath&gt;&lt;/m:oMathPara&gt;&lt;/w:p&gt;&lt;w:sectPr wsp:rsidR=&quot;00000000&quot; wsp:rsidRPr=&quot;00E703B7&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2"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85" type="#_x0000_t75" style="width:432.8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176&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151176&quot; wsp:rsidRDefault=&quot;00151176&quot; wsp:rsidP=&quot;00151176&quot;&gt;&lt;m:oMathPara&gt;&lt;m:oMathParaPr&gt;&lt;m:jc m:val=&quot;left&quot;/&gt;&lt;/m:oMathParaPr&gt;&lt;m:oMath&gt;&lt;m:r&gt;&lt;w:rPr&gt;&lt;w:rFonts w:ascii=&quot;Cambria Math&quot; w:fareast=&quot;Times New Roman&quot; w:h-ansi=&quot;Cambria Math&quot;/&gt;&lt;wx:font wx:val=&quot;Cambria Math&quot;/&gt;&lt;w:i/&gt;&lt;/w:rPr&gt;&lt;m:t&gt;I=-&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ln&lt;/m:t&gt;&lt;/m:r&gt;&lt;/m:e&gt;&lt;m:sup&gt;&lt;m:r&gt;&lt;m:rPr&gt;&lt;m:sty m:val=&quot;p&quot;/&gt;&lt;/m:rPr&gt;&lt;w:rPr&gt;&lt;w:rFonts w:ascii=&quot;Cambria Math&quot; w:fareast=&quot;Times New Roman&quot; w:h-ansi=&quot;Cambria Math&quot;/&gt;&lt;wx:font wx:val=&quot;Cambria Math&quot;/&gt;&lt;/w:rPr&gt;&lt;m:t&gt;2&lt;/m:t&gt;&lt;/m:r&gt;&lt;/m:sup&gt;&lt;/m:sSup&gt;&lt;/m:fName&gt;&lt;m:e&gt;&lt;m:r&gt;&lt;w:rPr&gt;&lt;w:rFonts w:ascii=&quot;Cambria Math&quot; w:fareast=&quot;Times New Roman&quot; w:h-ansi=&quot;Cambria Math&quot;/&gt;&lt;wx:font wx:val=&quot;Cambria Math&quot;/&gt;&lt;w:i/&gt;&lt;/w:rPr&gt;&lt;m:t&gt;u&lt;/m:t&gt;&lt;/m:r&gt;&lt;/m:e&gt;&lt;/m:func&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r&gt;&lt;w:rPr&gt;&lt;w:rFonts w:ascii=&quot;Cambria Math&quot; w:fareast=&quot;Times New Roman&quot; w:h-ansi=&quot;Cambria Math&quot;/&gt;&lt;wx:font wx:val=&quot;Cambria Math&quot;/&gt;&lt;w:i/&gt;&lt;/w:rPr&gt;&lt;m:t&gt;-&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r&gt;&lt;w:rPr&gt;&lt;w:rFonts w:ascii=&quot;Cambria Math&quot; w:fareast=&quot;Times New Roman&quot; w:h-ansi=&quot;Cambria Math&quot;/&gt;&lt;wx:font wx:val=&quot;Cambria Math&quot;/&gt;&lt;w:i/&gt;&lt;/w:rPr&gt;&lt;m:t&gt;-2&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u.&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r&gt;&lt;w:rPr&gt;&lt;w:rFonts w:ascii=&quot;Cambria Math&quot; w:fareast=&quot;Times New Roman&quot; w:h-ansi=&quot;Cambria Math&quot;/&gt;&lt;wx:font wx:val=&quot;Cambria Math&quot;/&gt;&lt;w:i/&gt;&lt;/w:rPr&gt;&lt;m:t&gt;du&lt;/m:t&gt;&lt;/m:r&gt;&lt;/m:e&gt;&lt;/m:nary&gt;&lt;/m:oMath&gt;&lt;/m:oMathPara&gt;&lt;/w:p&gt;&lt;w:sectPr wsp:rsidR=&quot;00000000&quot; wsp:rsidRPr=&quot;00151176&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7"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86" type="#_x0000_t75" style="width:348pt;height:3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1F2&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5871F2&quot; wsp:rsidRDefault=&quot;005871F2&quot; wsp:rsidP=&quot;005871F2&quot;&gt;&lt;m:oMathPara&gt;&lt;m:oMathParaPr&gt;&lt;m:jc m:val=&quot;left&quot;/&gt;&lt;/m:oMathParaPr&gt;&lt;m:oMath&gt;&lt;m:r&gt;&lt;w:rPr&gt;&lt;w:rFonts w:ascii=&quot;Cambria Math&quot; w:fareast=&quot;Times New Roman&quot; w:h-ansi=&quot;Cambria Math&quot;/&gt;&lt;wx:font wx:val=&quot;Cambria Math&quot;/&gt;&lt;w:i/&gt;&lt;/w:rPr&gt;&lt;m:t&gt;Consider the Integral: J=&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u.&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den&gt;&lt;/m:f&gt;&lt;m:r&gt;&lt;w:rPr&gt;&lt;w:rFonts w:ascii=&quot;Cambria Math&quot; w:fareast=&quot;Times New Roman&quot; w:h-ansi=&quot;Cambria Math&quot;/&gt;&lt;wx:font wx:val=&quot;Cambria Math&quot;/&gt;&lt;w:i/&gt;&lt;/w:rPr&gt;&lt;m:t&gt;du&lt;/m:t&gt;&lt;/m:r&gt;&lt;/m:e&gt;&lt;/m:nary&gt;&lt;/m:oMath&gt;&lt;/m:oMathPara&gt;&lt;/w:p&gt;&lt;w:sectPr wsp:rsidR=&quot;00000000&quot; wsp:rsidRPr=&quot;005871F2&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8" o:title="" chromakey="white"/>
          </v:shape>
        </w:pict>
      </w:r>
    </w:p>
    <w:p w:rsidR="008B3C0B" w:rsidRPr="008B3C0B" w:rsidRDefault="008B3C0B" w:rsidP="008B3C0B">
      <w:pPr>
        <w:pStyle w:val="ListParagraph"/>
        <w:spacing w:after="0" w:line="240" w:lineRule="auto"/>
        <w:ind w:left="0"/>
        <w:rPr>
          <w:rFonts w:ascii="Times New Roman" w:eastAsia="Times New Roman" w:hAnsi="Times New Roman"/>
          <w:sz w:val="24"/>
          <w:szCs w:val="24"/>
        </w:rPr>
      </w:pP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87" type="#_x0000_t75" style="width:247.3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27EE&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7627EE&quot; wsp:rsidRDefault=&quot;007627EE&quot; wsp:rsidP=&quot;007627EE&quot;&gt;&lt;m:oMathPara&gt;&lt;m:oMathParaPr&gt;&lt;m:jc m:val=&quot;left&quot;/&gt;&lt;/m:oMathParaPr&gt;&lt;m:oMath&gt;&lt;m:r&gt;&lt;w:rPr&gt;&lt;w:rFonts w:ascii=&quot;Cambria Math&quot; w:fareast=&quot;Times New Roman&quot; w:h-ansi=&quot;Cambria Math&quot;/&gt;&lt;wx:font wx:val=&quot;Cambria Math&quot;/&gt;&lt;w:i/&gt;&lt;/w:rPr&gt;&lt;m:t&gt;Performing partial fractions decomposition:&lt;/m:t&gt;&lt;/m:r&gt;&lt;/m:oMath&gt;&lt;/m:oMathPara&gt;&lt;/w:p&gt;&lt;w:sectPr wsp:rsidR=&quot;00000000&quot; wsp:rsidRPr=&quot;007627EE&quot;&gt;&lt;w:pgSz w:w=&quot;12240&quot; w:h=&quot;15840&quot;/&gt;&lt;w:pgMar w:top=&quot;1440&quot; w:right=&quot;1440&quot; w:bottom=&quot;1440&quot; w:left=&quot;1440&quot; w:header=&quot;720&quot; w:footer=&quot;720&quot; w:gutter=&quot;0&quot;/&gt;&lt;w:cols w:space=&quot;720&quot;/&gt;&lt;/w:sectPr&gt;&lt;/wx:sect&gt;&lt;/w:body&gt;&lt;/w:wordDocument&gt;">
            <v:imagedata r:id="rId615" o:title="" chromakey="white"/>
          </v:shape>
        </w:pict>
      </w:r>
      <w:r w:rsidR="008B3C0B" w:rsidRPr="008B3C0B">
        <w:rPr>
          <w:rFonts w:ascii="Cambria Math" w:eastAsia="Times New Roman" w:hAnsi="Cambria Math"/>
          <w:sz w:val="24"/>
          <w:szCs w:val="24"/>
        </w:rPr>
        <w:br/>
      </w:r>
      <w:r>
        <w:pict>
          <v:shape id="_x0000_i1388" type="#_x0000_t75" style="width:468pt;height:10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74&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204174&quot; wsp:rsidRDefault=&quot;00204174&quot; wsp:rsidP=&quot;00204174&quot;&gt;&lt;m:oMathPara&gt;&lt;m:oMath&gt;&lt;m:r&gt;&lt;w:rPr&gt;&lt;w:rFonts w:ascii=&quot;Cambria Math&quot; w:fareast=&quot;Times New Roman&quot; w:h-ansi=&quot;Cambria Math&quot;/&gt;&lt;wx:font wx:val=&quot;Cambria Math&quot;/&gt;&lt;w:i/&gt;&lt;/w:rPr&gt;&lt;m:t&gt;J=-&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K&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K&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â€¦ -&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1&lt;/m:t&gt;&lt;/m:r&gt;&lt;/m:sub&gt;&lt;/m:sSub&gt;&lt;/m:e&gt;&lt;/m:d&gt;&lt;/m:den&gt;&lt;/m:f&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e&gt;&lt;/m:nary&gt;&lt;m:r&gt;&lt;w:rPr&gt;&lt;w:rFonts w:ascii=&quot;Cambria Math&quot; w:fareast=&quot;Times New Roman&quot; w:h-ansi=&quot;Cambria Math&quot;/&gt;&lt;wx:font wx:val=&quot;Cambria Math&quot;/&gt;&lt;w:i/&gt;&lt;/w:rPr&gt;&lt;m:t&gt;+&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oMath&gt;&lt;/m:oMathPara&gt;&lt;/w:p&gt;&lt;w:sectPr wsp:rsidR=&quot;00000000&quot; wsp:rsidRPr=&quot;0020417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39"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89" type="#_x0000_t75" style="width:213.45pt;height:31.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0E92&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700E92&quot; wsp:rsidRDefault=&quot;00700E92&quot; wsp:rsidP=&quot;00700E92&quot;&gt;&lt;m:oMathPara&gt;&lt;m:oMathParaPr&gt;&lt;m:jc m:val=&quot;left&quot;/&gt;&lt;/m:oMathParaPr&gt;&lt;m:oMath&gt;&lt;m:r&gt;&lt;w:rPr&gt;&lt;w:rFonts w:ascii=&quot;Cambria Math&quot; w:fareast=&quot;Times New Roman&quot; w:h-ansi=&quot;Cambria Math&quot;/&gt;&lt;wx:font wx:val=&quot;Cambria Math&quot;/&gt;&lt;w:i/&gt;&lt;/w:rPr&gt;&lt;m:t&gt;Consider the integral&lt;/m:t&gt;&lt;/m:r&gt;&lt;m:func&gt;&lt;m:funcPr&gt;&lt;m:ctrlPr&gt;&lt;w:rPr&gt;&lt;w:rFonts w:ascii=&quot;Cambria Math&quot; w:fareast=&quot;Times New Roman&quot; w:h-ansi=&quot;Cambria Math&quot;/&gt;&lt;wx:font wx:val=&quot;Cambria Math&quot;/&gt;&lt;w:b-cs/&gt;&lt;/w:rPr&gt;&lt;/m:ctrlPr&gt;&lt;/m:funcPr&gt;&lt;m:fName&gt;&lt;m:r&gt;&lt;w:rPr&gt;&lt;w:rFonts w:ascii=&quot;Cambria Math&quot; w:fareast=&quot;Times New Roman&quot; w:h-ansi=&quot;Cambria Math&quot;/&gt;&lt;wx:font wx:val=&quot;Cambria Math&quot;/&gt;&lt;w:i/&gt;&lt;/w:rPr&gt;&lt;m:t&gt;M=&lt;/m:t&gt;&lt;/m:r&gt;&lt;m:nary&gt;&lt;m:naryPr&gt;&lt;m:limLoc m:val=&quot;undOvr&quot;/&gt;&lt;m:subHide m:val=&quot;1&quot;/&gt;&lt;m:supHide m:val=&quot;1&quot;/&gt;&lt;m:ctrlPr&gt;&lt;w:rPr&gt;&lt;w:rFonts w:ascii=&quot;Cambria Math&quot; w:fareast=&quot;Times New Roman&quot; w:h-ansi=&quot;Cambria Math&quot;/&gt;&lt;wx:font wx:val=&quot;Cambria Math&quot;/&gt;&lt;w:b-cs/&gt;&lt;/w:rPr&gt;&lt;/m:ctrlPr&gt;&lt;/m:naryPr&gt;&lt;m:sub/&gt;&lt;m:sup/&gt;&lt;m:e&gt;&lt;m:f&gt;&lt;m:fPr&gt;&lt;m:ctrlPr&gt;&lt;w:rPr&gt;&lt;w:rFonts w:ascii=&quot;Cambria Math&quot; w:fareast=&quot;Times New Roman&quot; w:h-ansi=&quot;Cambria Math&quot;/&gt;&lt;wx:font wx:val=&quot;Cambria Math&quot;/&gt;&lt;w:b-cs/&gt;&lt;w:i/&gt;&lt;/w:rPr&gt;&lt;/m:ctrlPr&gt;&lt;/m:fPr&gt;&lt;m:num&gt;&lt;m:func&gt;&lt;m:funcPr&gt;&lt;m:ctrlPr&gt;&lt;w:rPr&gt;&lt;w:rFonts w:ascii=&quot;Cambria Math&quot; w:fareast=&quot;Times New Roman&quot; w:h-ansi=&quot;Cambria Math&quot;/&gt;&lt;wx:font wx:val=&quot;Cambria Math&quot;/&gt;&lt;w:b-cs/&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den&gt;&lt;/m:f&gt;&lt;/m:e&gt;&lt;/m:nary&gt;&lt;/m:fName&gt;&lt;m:e&gt;&lt;m:r&gt;&lt;w:rPr&gt;&lt;w:rFonts w:ascii=&quot;Cambria Math&quot; w:fareast=&quot;Times New Roman&quot; w:h-ansi=&quot;Cambria Math&quot;/&gt;&lt;wx:font wx:val=&quot;Cambria Math&quot;/&gt;&lt;w:i/&gt;&lt;/w:rPr&gt;&lt;m:t&gt;du&lt;/m:t&gt;&lt;/m:r&gt;&lt;/m:e&gt;&lt;/m:func&gt;&lt;/m:oMath&gt;&lt;/m:oMathPara&gt;&lt;/w:p&gt;&lt;w:sectPr wsp:rsidR=&quot;00000000&quot; wsp:rsidRPr=&quot;00700E92&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0" o:title="" chromakey="white"/>
          </v:shape>
        </w:pict>
      </w:r>
      <w:r w:rsidR="008B3C0B" w:rsidRPr="008B3C0B">
        <w:rPr>
          <w:rFonts w:ascii="Cambria Math" w:eastAsia="Times New Roman" w:hAnsi="Cambria Math"/>
          <w:sz w:val="24"/>
          <w:szCs w:val="24"/>
        </w:rPr>
        <w:br/>
      </w:r>
      <w:r>
        <w:pict>
          <v:shape id="_x0000_i1390" type="#_x0000_t75" style="width:412.3pt;height:3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9B&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D5779B&quot; wsp:rsidRDefault=&quot;00D5779B&quot; wsp:rsidP=&quot;00D5779B&quot;&gt;&lt;m:oMathPara&gt;&lt;m:oMath&gt;&lt;m:r&gt;&lt;w:rPr&gt;&lt;w:rFonts w:ascii=&quot;Cambria Math&quot; w:fareast=&quot;Times New Roman&quot; w:h-ansi=&quot;Cambria Math&quot;/&gt;&lt;wx:font wx:val=&quot;Cambria Math&quot;/&gt;&lt;w:i/&gt;&lt;/w:rPr&gt;&lt;m:t&gt;Integrating by parts;let f=&lt;/m:t&gt;&lt;/m:r&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â†’&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f&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  &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g&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â†’ &lt;/m:t&gt;&lt;/m:r&gt;&lt;/m:e&gt;&lt;/m:func&gt;&lt;m:r&gt;&lt;w:rPr&gt;&lt;w:rFonts w:ascii=&quot;Cambria Math&quot; w:fareast=&quot;Times New Roman&quot; w:h-ansi=&quot;Cambria Math&quot;/&gt;&lt;wx:font wx:val=&quot;Cambria Math&quot;/&gt;&lt;w:i/&gt;&lt;/w:rPr&gt;&lt;m:t&gt; g=&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e&gt;&lt;/m:func&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den&gt;&lt;/m:f&gt;&lt;/m:oMath&gt;&lt;/m:oMathPara&gt;&lt;/w:p&gt;&lt;w:sectPr wsp:rsidR=&quot;00000000&quot; wsp:rsidRPr=&quot;00D5779B&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1" o:title="" chromakey="white"/>
          </v:shape>
        </w:pict>
      </w:r>
    </w:p>
    <w:p w:rsidR="008B3C0B" w:rsidRPr="008B3C0B" w:rsidRDefault="008B3C0B" w:rsidP="008B3C0B">
      <w:pPr>
        <w:pStyle w:val="ListParagraph"/>
        <w:spacing w:after="0" w:line="240" w:lineRule="auto"/>
        <w:ind w:left="0"/>
        <w:rPr>
          <w:rFonts w:ascii="Times New Roman" w:eastAsia="Times New Roman" w:hAnsi="Times New Roman"/>
          <w:sz w:val="24"/>
          <w:szCs w:val="24"/>
        </w:rPr>
      </w:pPr>
      <w:r w:rsidRPr="008B3C0B">
        <w:rPr>
          <w:rFonts w:ascii="Cambria Math" w:eastAsia="Times New Roman" w:hAnsi="Cambria Math"/>
          <w:sz w:val="24"/>
          <w:szCs w:val="24"/>
        </w:rPr>
        <w:br/>
      </w:r>
      <w:r w:rsidR="009A08FE">
        <w:pict>
          <v:shape id="_x0000_i1391" type="#_x0000_t75" style="width:339pt;height:3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54E3&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8D54E3&quot; wsp:rsidP=&quot;008D54E3&quot;&gt;&lt;m:oMathPara&gt;&lt;m:oMath&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r&gt;&lt;w:rPr&gt;&lt;w:rFonts w:ascii=&quot;Cambria Math&quot; w:fareast=&quot;Times New Roman&quot; w:h-ansi=&quot;Cambria Math&quot;/&gt;&lt;wx:font wx:val=&quot;Cambria Math&quot;/&gt;&lt;w:i/&gt;&lt;/w:rPr&gt;&lt;m:t&gt;f&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g&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fg-&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f&lt;/m:t&gt;&lt;/m:r&gt;&lt;/m:e&gt;&lt;m:sup&gt;&lt;m:r&gt;&lt;w:rPr&gt;&lt;w:rFonts w:ascii=&quot;Cambria Math&quot; w:fareast=&quot;Times New Roman&quot; w:h-ansi=&quot;Cambria Math&quot;/&gt;&lt;wx:font wx:val=&quot;Cambria Math&quot;/&gt;&lt;w:i/&gt;&lt;/w:rPr&gt;&lt;m:t&gt;'&lt;/m:t&gt;&lt;/m:r&gt;&lt;/m:sup&gt;&lt;/m:sSup&gt;&lt;m:r&gt;&lt;w:rPr&gt;&lt;w:rFonts w:ascii=&quot;Cambria Math&quot; w:fareast=&quot;Times New Roman&quot; w:h-ansi=&quot;Cambria Math&quot;/&gt;&lt;wx:font wx:val=&quot;Cambria Math&quot;/&gt;&lt;w:i/&gt;&lt;/w:rPr&gt;&lt;m:t&gt;gâ†’M=&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u&lt;/m:t&gt;&lt;/m:r&gt;&lt;/m:e&gt;&lt;/m:d&gt;&lt;/m:e&gt;&lt;/m:func&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e&gt;&lt;/m:func&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den&gt;&lt;/m:f&gt;&lt;m:r&gt;&lt;w:rPr&gt;&lt;w:rFonts w:ascii=&quot;Cambria Math&quot; w:fareast=&quot;Times New Roman&quot; w:h-ansi=&quot;Cambria Math&quot;/&gt;&lt;wx:font wx:val=&quot;Cambria Math&quot;/&gt;&lt;w:i/&gt;&lt;/w:rPr&gt;&lt;m:t&gt;-&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e&gt;&lt;/m:func&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e&gt;&lt;/m:nary&gt;&lt;/m:e&gt;&lt;/m:nary&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2" o:title="" chromakey="white"/>
          </v:shape>
        </w:pict>
      </w:r>
      <w:r w:rsidRPr="008B3C0B">
        <w:rPr>
          <w:rFonts w:ascii="Cambria Math" w:eastAsia="Times New Roman" w:hAnsi="Cambria Math"/>
          <w:sz w:val="24"/>
          <w:szCs w:val="24"/>
        </w:rPr>
        <w:br/>
      </w:r>
      <w:r w:rsidR="009A08FE">
        <w:pict>
          <v:shape id="_x0000_i1392" type="#_x0000_t75" style="width:313.3pt;height:3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569&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CE4569&quot; wsp:rsidRDefault=&quot;00CE4569&quot; wsp:rsidP=&quot;00CE4569&quot;&gt;&lt;m:oMathPara&gt;&lt;m:oMath&gt;&lt;m:r&gt;&lt;w:rPr&gt;&lt;w:rFonts w:ascii=&quot;Cambria Math&quot; w:fareast=&quot;Times New Roman&quot; w:h-ansi=&quot;Cambria Math&quot;/&gt;&lt;wx:font wx:val=&quot;Cambria Math&quot;/&gt;&lt;w:i/&gt;&lt;/w:rPr&gt;&lt;m:t&gt;Now Solving N=&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e&gt;&lt;/m:func&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den&gt;&lt;/m:f&gt;&lt;/m:e&gt;&lt;/m:nary&gt;&lt;m:r&gt;&lt;w:rPr&gt;&lt;w:rFonts w:ascii=&quot;Cambria Math&quot; w:fareast=&quot;Times New Roman&quot; w:h-ansi=&quot;Cambria Math&quot;/&gt;&lt;wx:font wx:val=&quot;Cambria Math&quot;/&gt;&lt;w:i/&gt;&lt;/w:rPr&gt;&lt;m:t&gt;;let z=-&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â†’du=-&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dz&lt;/m:t&gt;&lt;/m:r&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den&gt;&lt;/m:f&gt;&lt;/m:oMath&gt;&lt;/m:oMathPara&gt;&lt;/w:p&gt;&lt;w:sectPr wsp:rsidR=&quot;00000000&quot; wsp:rsidRPr=&quot;00CE4569&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3" o:title="" chromakey="white"/>
          </v:shape>
        </w:pict>
      </w:r>
      <w:r w:rsidRPr="008B3C0B">
        <w:rPr>
          <w:rFonts w:ascii="Cambria Math" w:eastAsia="Times New Roman" w:hAnsi="Cambria Math"/>
          <w:sz w:val="24"/>
          <w:szCs w:val="24"/>
        </w:rPr>
        <w:br/>
      </w:r>
      <w:r w:rsidR="009A08FE">
        <w:pict>
          <v:shape id="_x0000_i1393" type="#_x0000_t75" style="width:373.3pt;height:3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42C&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5B342C&quot; wsp:rsidRDefault=&quot;005B342C&quot; wsp:rsidP=&quot;005B342C&quot;&gt;&lt;m:oMathPara&gt;&lt;m:oMath&gt;&lt;m:r&gt;&lt;w:rPr&gt;&lt;w:rFonts w:ascii=&quot;Cambria Math&quot; w:fareast=&quot;Times New Roman&quot; w:h-ansi=&quot;Cambria Math&quot;/&gt;&lt;wx:font wx:val=&quot;Cambria Math&quot;/&gt;&lt;w:i/&gt;&lt;/w:rPr&gt;&lt;m:t&gt;N=-&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den&gt;&lt;/m:f&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z&lt;/m:t&gt;&lt;/m:r&gt;&lt;/m:e&gt;&lt;/m:d&gt;&lt;/m:e&gt;&lt;/m:func&gt;&lt;/m:num&gt;&lt;m:den&gt;&lt;m:r&gt;&lt;w:rPr&gt;&lt;w:rFonts w:ascii=&quot;Cambria Math&quot; w:fareast=&quot;Times New Roman&quot; w:h-ansi=&quot;Cambria Math&quot;/&gt;&lt;wx:font wx:val=&quot;Cambria Math&quot;/&gt;&lt;w:i/&gt;&lt;/w:rPr&gt;&lt;m:t&gt;z&lt;/m:t&gt;&lt;/m:r&gt;&lt;/m:den&gt;&lt;/m:f&gt;&lt;m:r&gt;&lt;w:rPr&gt;&lt;w:rFonts w:ascii=&quot;Cambria Math&quot; w:fareast=&quot;Times New Roman&quot; w:h-ansi=&quot;Cambria Math&quot;/&gt;&lt;wx:font wx:val=&quot;Cambria Math&quot;/&gt;&lt;w:i/&gt;&lt;/w:rPr&gt;&lt;m:t&gt;dz; &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z&lt;/m:t&gt;&lt;/m:r&gt;&lt;/m:e&gt;&lt;/m:d&gt;&lt;/m:e&gt;&lt;/m:func&gt;&lt;/m:num&gt;&lt;m:den&gt;&lt;m:r&gt;&lt;w:rPr&gt;&lt;w:rFonts w:ascii=&quot;Cambria Math&quot; w:fareast=&quot;Times New Roman&quot; w:h-ansi=&quot;Cambria Math&quot;/&gt;&lt;wx:font wx:val=&quot;Cambria Math&quot;/&gt;&lt;w:i/&gt;&lt;/w:rPr&gt;&lt;m:t&gt;z&lt;/m:t&gt;&lt;/m:r&gt;&lt;/m:den&gt;&lt;/m:f&gt;&lt;m:r&gt;&lt;w:rPr&gt;&lt;w:rFonts w:ascii=&quot;Cambria Math&quot; w:fareast=&quot;Times New Roman&quot; w:h-ansi=&quot;Cambria Math&quot;/&gt;&lt;wx:font wx:val=&quot;Cambria Math&quot;/&gt;&lt;w:i/&gt;&lt;/w:rPr&gt;&lt;m:t&gt;dz=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z&lt;/m:t&gt;&lt;/m:r&gt;&lt;/m:e&gt;&lt;/m:d&gt;&lt;m:r&gt;&lt;w:rPr&gt;&lt;w:rFonts w:ascii=&quot;Cambria Math&quot; w:fareast=&quot;Times New Roman&quot; w:h-ansi=&quot;Cambria Math&quot;/&gt;&lt;wx:font wx:val=&quot;Cambria Math&quot;/&gt;&lt;w:i/&gt;&lt;/w:rPr&gt;&lt;m:t&gt;â†’N=-&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den&gt;&lt;/m:f&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z&lt;/m:t&gt;&lt;/m:r&gt;&lt;/m:e&gt;&lt;/m:d&gt;&lt;/m:e&gt;&lt;/m:nary&gt;&lt;/m:e&gt;&lt;/m:nary&gt;&lt;/m:oMath&gt;&lt;/m:oMathPara&gt;&lt;/w:p&gt;&lt;w:sectPr wsp:rsidR=&quot;00000000&quot; wsp:rsidRPr=&quot;005B342C&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4" o:title="" chromakey="white"/>
          </v:shape>
        </w:pict>
      </w:r>
      <w:r w:rsidRPr="008B3C0B">
        <w:rPr>
          <w:rFonts w:ascii="Cambria Math" w:eastAsia="Times New Roman" w:hAnsi="Cambria Math"/>
          <w:sz w:val="24"/>
          <w:szCs w:val="24"/>
        </w:rPr>
        <w:br/>
      </w:r>
      <w:r w:rsidR="009A08FE">
        <w:pict>
          <v:shape id="_x0000_i1394" type="#_x0000_t75" style="width:6in;height:3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6F0C&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CA6F0C&quot; wsp:rsidRDefault=&quot;00CA6F0C&quot; wsp:rsidP=&quot;00CA6F0C&quot;&gt;&lt;m:oMathPara&gt;&lt;m:oMath&gt;&lt;m:r&gt;&lt;w:rPr&gt;&lt;w:rFonts w:ascii=&quot;Cambria Math&quot; w:fareast=&quot;Times New Roman&quot; w:h-ansi=&quot;Cambria Math&quot;/&gt;&lt;wx:font wx:val=&quot;Cambria Math&quot;/&gt;&lt;w:i/&gt;&lt;/w:rPr&gt;&lt;m:t&gt;Undoing Substituion:N= =-&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num&gt;&lt;m:den&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den&gt;&lt;/m:f&gt;&lt;m:r&gt;&lt;w:rPr&gt;&lt;w:rFonts w:ascii=&quot;Cambria Math&quot; w:fareast=&quot;Times New Roman&quot; w:h-ansi=&quot;Cambria Math&quot;/&gt;&lt;wx:font wx:val=&quot;Cambria Math&quot;/&gt;&lt;w:i/&gt;&lt;/w:rPr&gt;&lt;m:t&gt; and M=&lt;/m:t&gt;&lt;/m:r&gt;&lt;m:f&gt;&lt;m:fPr&gt;&lt;m:ctrlPr&gt;&lt;w:rPr&gt;&lt;w:rFonts w:ascii=&quot;Cambria Math&quot; w:fareast=&quot;Times New Roman&quot; w:h-ansi=&quot;Cambria Math&quot;/&gt;&lt;wx:font wx:val=&quot;Cambria Math&quot;/&gt;&lt;w:b-cs/&gt;&lt;w:i/&gt;&lt;/w:rPr&gt;&lt;/m:ctrlPr&gt;&lt;/m:fPr&gt;&lt;m:num&gt;&lt;m:func&gt;&lt;m:funcPr&gt;&lt;m:ctrlPr&gt;&lt;w:rPr&gt;&lt;w:rFonts w:ascii=&quot;Cambria Math&quot; w:fareast=&quot;Times New Roman&quot; w:h-ansi=&quot;Cambria Math&quot;/&gt;&lt;wx:font wx:val=&quot;Cambria Math&quot;/&gt;&lt;w:b-cs/&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u&lt;/m:t&gt;&lt;/m:r&gt;&lt;/m:e&gt;&lt;/m:d&gt;&lt;/m:e&gt;&lt;/m:func&gt;&lt;m:func&gt;&lt;m:funcPr&gt;&lt;m:ctrlPr&gt;&lt;w:rPr&gt;&lt;w:rFonts w:ascii=&quot;Cambria Math&quot; w:fareast=&quot;Times New Roman&quot; w:h-ansi=&quot;Cambria Math&quot;/&gt;&lt;wx:font wx:val=&quot;Cambria Math&quot;/&gt;&lt;w:b-cs/&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e&gt;&lt;/m:func&gt;&lt;/m:num&gt;&lt;m:den&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b-cs/&gt;&lt;w:i/&gt;&lt;/w:rPr&gt;&lt;/m:ctrlPr&gt;&lt;/m:fPr&gt;&lt;m:num&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num&gt;&lt;m:den&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den&gt;&lt;/m:f&gt;&lt;/m:oMath&gt;&lt;/m:oMathPara&gt;&lt;/w:p&gt;&lt;w:sectPr wsp:rsidR=&quot;00000000&quot; wsp:rsidRPr=&quot;00CA6F0C&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5" o:title="" chromakey="white"/>
          </v:shape>
        </w:pict>
      </w:r>
      <w:r w:rsidRPr="008B3C0B">
        <w:rPr>
          <w:rFonts w:ascii="Cambria Math" w:eastAsia="Times New Roman" w:hAnsi="Cambria Math"/>
          <w:sz w:val="24"/>
          <w:szCs w:val="24"/>
        </w:rPr>
        <w:br/>
      </w:r>
      <w:r w:rsidR="009A08FE">
        <w:pict>
          <v:shape id="_x0000_i1395" type="#_x0000_t75" style="width:433.3pt;height:32.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2191&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22191&quot; wsp:rsidRDefault=&quot;00322191&quot; wsp:rsidP=&quot;00322191&quot;&gt;&lt;m:oMathPara&gt;&lt;m:oMath&gt;&lt;m:r&gt;&lt;w:rPr&gt;&lt;w:rFonts w:ascii=&quot;Cambria Math&quot; w:fareast=&quot;Times New Roman&quot; w:h-ansi=&quot;Cambria Math&quot;/&gt;&lt;wx:font wx:val=&quot;Cambria Math&quot;/&gt;&lt;w:i/&gt;&lt;/w:rPr&gt;&lt;m:t&gt;Now solving &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r&gt;&lt;w:rPr&gt;&lt;w:rFonts w:ascii=&quot;Cambria Math&quot; w:fareast=&quot;Times New Roman&quot; w:h-ansi=&quot;Cambria Math&quot;/&gt;&lt;wx:font wx:val=&quot;Cambria Math&quot;/&gt;&lt;w:i/&gt;&lt;/w:rPr&gt;&lt;m:t&gt; in J;Let&lt;/m:t&gt;&lt;/m:r&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du&lt;/m:t&gt;&lt;/m:r&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tâ†’&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u&lt;/m:t&gt;&lt;/m:r&gt;&lt;/m:den&gt;&lt;/m:f&gt;&lt;m:r&gt;&lt;w:rPr&gt;&lt;w:rFonts w:ascii=&quot;Cambria Math&quot; w:fareast=&quot;Times New Roman&quot; w:h-ansi=&quot;Cambria Math&quot;/&gt;&lt;wx:font wx:val=&quot;Cambria Math&quot;/&gt;&lt;w:i/&gt;&lt;/w:rPr&gt;&lt;m:t&gt;du&lt;/m:t&gt;&lt;/m:r&gt;&lt;/m:e&gt;&lt;/m:nary&gt;&lt;m:r&gt;&lt;w:rPr&gt;&lt;w:rFonts w:ascii=&quot;Cambria Math&quot; w:fareast=&quot;Times New Roman&quot; w:h-ansi=&quot;Cambria Math&quot;/&gt;&lt;wx:font wx:val=&quot;Cambria Math&quot;/&gt;&lt;w:i/&gt;&lt;/w:rPr&gt;&lt;m:t&gt;=&lt;/m:t&gt;&lt;/m:r&gt;&lt;m:nary&gt;&lt;m:naryPr&gt;&lt;m:limLoc m:val=&quot;undOvr&quot;/&gt;&lt;m:subHide m:val=&quot;1&quot;/&gt;&lt;m:supHide m:val=&quot;1&quot;/&gt;&lt;m:ctrlPr&gt;&lt;w:rPr&gt;&lt;w:rFonts w:ascii=&quot;Cambria Math&quot; w:fareast=&quot;Times New Roman&quot; w:h-ansi=&quot;Cambria Math&quot;/&gt;&lt;wx:font wx:val=&quot;Cambria Math&quot;/&gt;&lt;w:i/&gt;&lt;/w:rPr&gt;&lt;/m:ctrlPr&gt;&lt;/m:naryPr&gt;&lt;m:sub/&gt;&lt;m:sup/&gt;&lt;m:e&gt;&lt;m:r&gt;&lt;w:rPr&gt;&lt;w:rFonts w:ascii=&quot;Cambria Math&quot; w:fareast=&quot;Times New Roman&quot; w:h-ansi=&quot;Cambria Math&quot;/&gt;&lt;wx:font wx:val=&quot;Cambria Math&quot;/&gt;&lt;w:i/&gt;&lt;/w:rPr&gt;&lt;m:t&gt;tdt=&lt;/m:t&gt;&lt;/m:r&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t&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2&lt;/m:t&gt;&lt;/m:r&gt;&lt;/m:den&gt;&lt;/m:f&gt;&lt;m:r&gt;&lt;w:rPr&gt;&lt;w:rFonts w:ascii=&quot;Cambria Math&quot; w:fareast=&quot;Times New Roman&quot; w:h-ansi=&quot;Cambria Math&quot;/&gt;&lt;wx:font wx:val=&quot;Cambria Math&quot;/&gt;&lt;w:i/&gt;&lt;/w:rPr&gt;&lt;m:t&gt;=&lt;/m:t&gt;&lt;/m:r&gt;&lt;/m:e&gt;&lt;/m:nary&gt;&lt;m:f&gt;&lt;m:fPr&gt;&lt;m:ctrlPr&gt;&lt;w:rPr&gt;&lt;w:rFonts w:ascii=&quot;Cambria Math&quot; w:fareast=&quot;Times New Roman&quot; w:h-ansi=&quot;Cambria Math&quot;/&gt;&lt;wx:font wx:val=&quot;Cambria Math&quot;/&gt;&lt;w:b-cs/&gt;&lt;w:i/&gt;&lt;/w:rPr&gt;&lt;/m:ctrlPr&gt;&lt;/m:fPr&gt;&lt;m:num&gt;&lt;m:sSup&gt;&lt;m:sSupPr&gt;&lt;m:ctrlPr&gt;&lt;w:rPr&gt;&lt;w:rFonts w:ascii=&quot;Cambria Math&quot; w:fareast=&quot;Times New Roman&quot; w:h-ansi=&quot;Cambria Math&quot;/&gt;&lt;wx:font wx:val=&quot;Cambria Math&quot;/&gt;&lt;w:b-cs/&gt;&lt;w:i/&gt;&lt;/w:rPr&gt;&lt;/m:ctrlPr&gt;&lt;/m:sSupPr&gt;&lt;m:e&gt;&lt;m:r&gt;&lt;w:rPr&gt;&lt;w:rFonts w:ascii=&quot;Cambria Math&quot; w:fareast=&quot;Times New Roman&quot; w:h-ansi=&quot;Cambria Math&quot;/&gt;&lt;wx:font wx:val=&quot;Cambria Math&quot;/&gt;&lt;w:i/&gt;&lt;/w:rPr&gt;&lt;m:t&gt;ln&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u &lt;/m:t&gt;&lt;/m:r&gt;&lt;/m:num&gt;&lt;m:den&gt;&lt;m:r&gt;&lt;w:rPr&gt;&lt;w:rFonts w:ascii=&quot;Cambria Math&quot; w:fareast=&quot;Times New Roman&quot; w:h-ansi=&quot;Cambria Math&quot;/&gt;&lt;wx:font wx:val=&quot;Cambria Math&quot;/&gt;&lt;w:i/&gt;&lt;/w:rPr&gt;&lt;m:t&gt;2&lt;/m:t&gt;&lt;/m:r&gt;&lt;/m:den&gt;&lt;/m:f&gt;&lt;m:r&gt;&lt;w:rPr&gt;&lt;w:rFonts w:ascii=&quot;Cambria Math&quot; w:fareast=&quot;Times New Roman&quot; w:h-ansi=&quot;Cambria Math&quot;/&gt;&lt;wx:font wx:val=&quot;Cambria Math&quot;/&gt;&lt;w:i/&gt;&lt;/w:rPr&gt;&lt;m:t&gt; &lt;/m:t&gt;&lt;/m:r&gt;&lt;/m:e&gt;&lt;/m:func&gt;&lt;m:r&gt;&lt;w:rPr&gt;&lt;w:rFonts w:ascii=&quot;Cambria Math&quot; w:fareast=&quot;Times New Roman&quot; w:h-ansi=&quot;Cambria Math&quot;/&gt;&lt;wx:font wx:val=&quot;Cambria Math&quot;/&gt;&lt;w:i/&gt;&lt;/w:rPr&gt;&lt;m:t&gt; &lt;/m:t&gt;&lt;/m:r&gt;&lt;/m:oMath&gt;&lt;/m:oMathPara&gt;&lt;/w:p&gt;&lt;w:sectPr wsp:rsidR=&quot;00000000&quot; wsp:rsidRPr=&quot;00322191&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6" o:title="" chromakey="white"/>
          </v:shape>
        </w:pict>
      </w:r>
    </w:p>
    <w:p w:rsidR="008B3C0B" w:rsidRPr="008B3C0B" w:rsidRDefault="009A08FE" w:rsidP="008B3C0B">
      <w:pPr>
        <w:pStyle w:val="ListParagraph"/>
        <w:spacing w:after="0" w:line="240" w:lineRule="auto"/>
        <w:ind w:left="0"/>
        <w:rPr>
          <w:rFonts w:ascii="Times New Roman" w:eastAsia="Times New Roman" w:hAnsi="Times New Roman"/>
          <w:sz w:val="24"/>
          <w:szCs w:val="24"/>
        </w:rPr>
      </w:pPr>
      <w:r>
        <w:pict>
          <v:shape id="_x0000_i1396" type="#_x0000_t75" style="width:468pt;height:100.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E6EFA&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8E6EFA&quot; wsp:rsidRDefault=&quot;008E6EFA&quot; wsp:rsidP=&quot;008E6EFA&quot;&gt;&lt;m:oMathPara&gt;&lt;m:oMathParaPr&gt;&lt;m:jc m:val=&quot;left&quot;/&gt;&lt;/m:oMathParaPr&gt;&lt;m:oMath&gt;&lt;m:r&gt;&lt;w:rPr&gt;&lt;w:rFonts w:ascii=&quot;Cambria Math&quot; w:fareast=&quot;Times New Roman&quot; w:h-ansi=&quot;Cambria Math&quot;/&gt;&lt;wx:font wx:val=&quot;Cambria Math&quot;/&gt;&lt;w:i/&gt;&lt;/w:rPr&gt;&lt;m:t&gt;Hence, J=&lt;/m:t&gt;&lt;/m:r&gt;&lt;m:f&gt;&lt;m:fPr&gt;&lt;m:ctrlPr&gt;&lt;w:rPr&gt;&lt;w:rFonts w:ascii=&quot;Cambria Math&quot; w:fareast=&quot;Times New Roman&quot; w:h-ansi=&quot;Cambria Math&quot;/&gt;&lt;wx:font wx:val=&quot;Cambria Math&quot;/&gt;&lt;w:i/&gt;&lt;/w:rPr&gt;&lt;/m:ctrlPr&gt;&lt;/m:fPr&gt;&lt;m:num&gt;&lt;m:func&gt;&lt;m:funcPr&gt;&lt;m:ctrlPr&gt;&lt;w:rPr&gt;&lt;w:rFonts w:ascii=&quot;Cambria Math&quot; w:fareast=&quot;Times New Roman&quot; w:h-ansi=&quot;Cambria Math&quot;/&gt;&lt;wx:font wx:val=&quot;Cambria Math&quot;/&gt;&lt;w:i/&gt;&lt;/w:rPr&gt;&lt;/m:ctrlPr&gt;&lt;/m:funcPr&gt;&lt;m:fName&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ln&lt;/m:t&gt;&lt;/m:r&gt;&lt;/m:e&gt;&lt;m:sup&gt;&lt;m:r&gt;&lt;w:rPr&gt;&lt;w:rFonts w:ascii=&quot;Cambria Math&quot; w:fareast=&quot;Times New Roman&quot; w:h-ansi=&quot;Cambria Math&quot;/&gt;&lt;wx:font wx:val=&quot;Cambria Math&quot;/&gt;&lt;w:i/&gt;&lt;/w:rPr&gt;&lt;m:t&gt;2&lt;/m:t&gt;&lt;/m:r&gt;&lt;m:ctrlPr&gt;&lt;w:rPr&gt;&lt;w:rFonts w:ascii=&quot;Cambria Math&quot; w:fareast=&quot;Times New Roman&quot; w:h-ansi=&quot;Cambria Math&quot;/&gt;&lt;wx:font wx:val=&quot;Cambria Math&quot;/&gt;&lt;/w:rPr&gt;&lt;/m:ctrlPr&gt;&lt;/m:sup&gt;&lt;/m:sSup&gt;&lt;/m:fName&gt;&lt;m:e&gt;&lt;m:r&gt;&lt;w:rPr&gt;&lt;w:rFonts w:ascii=&quot;Cambria Math&quot; w:fareast=&quot;Times New Roman&quot; w:h-ansi=&quot;Cambria Math&quot;/&gt;&lt;wx:font wx:val=&quot;Cambria Math&quot;/&gt;&lt;w:i/&gt;&lt;/w:rPr&gt;&lt;m:t&gt;u&lt;/m:t&gt;&lt;/m:r&gt;&lt;/m:e&gt;&lt;/m:func&gt;&lt;/m:num&gt;&lt;m:den&gt;&lt;m:r&gt;&lt;w:rPr&gt;&lt;w:rFonts w:ascii=&quot;Cambria Math&quot; w:fareast=&quot;Times New Roman&quot; w:h-ansi=&quot;Cambria Math&quot;/&gt;&lt;wx:font wx:val=&quot;Cambria Math&quot;/&gt;&lt;w:i/&gt;&lt;/w:rPr&gt;&lt;m:t&gt;2&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d&gt;&lt;m:dPr&gt;&lt;m:begChr m:val=&quot;{&quot;/&gt;&lt;m:endChr m:val=&quot;}&quot;/&gt;&lt;m:ctrlPr&gt;&lt;w:rPr&gt;&lt;w:rFonts w:ascii=&quot;Cambria Math&quot; w:fareast=&quot;Times New Roman&quot; w:h-ansi=&quot;Cambria Math&quot;/&gt;&lt;wx:font wx:val=&quot;Cambria Math&quot;/&gt;&lt;/w:rPr&gt;&lt;/m:ctrlPr&gt;&lt;/m:dPr&gt;&lt;m:e&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lt;/m:t&gt;&lt;/m:r&gt;&lt;/m:e&gt;&lt;/m:func&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u)&lt;/m:t&gt;&lt;/m:r&gt;&lt;m:ctrlPr&gt;&lt;w:rPr&gt;&lt;w:rFonts w:ascii=&quot;Cambria Math&quot; w:fareast=&quot;Times New Roman&quot; w:h-ansi=&quot;Cambria Math&quot;/&gt;&lt;wx:font wx:val=&quot;Cambria Math&quot;/&gt;&lt;w:i/&gt;&lt;/w:rPr&gt;&lt;/m:ctrlPr&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func&gt;&lt;m:funcPr&gt;&lt;m:ctrlPr&gt;&lt;w:rPr&gt;&lt;w:rFonts w:ascii=&quot;Cambria Math&quot; w:fareast=&quot;Times New Roman&quot; w:h-ansi=&quot;Cambria Math&quot;/&gt;&lt;wx:font wx:val=&quot;Cambria Math&quot;/&gt;&lt;w:i/&gt;&lt;/w:rPr&gt;&lt;/m:ctrlPr&gt;&lt;/m:funcPr&gt;&lt;m:fName&gt;&lt;m:d&gt;&lt;m:dPr&gt;&lt;m:begChr m:val=&quot;{&quot;/&gt;&lt;m:endChr m:val=&quot;}&quot;/&gt;&lt;m:ctrlPr&gt;&lt;w:rPr&gt;&lt;w:rFonts w:ascii=&quot;Cambria Math&quot; w:fareast=&quot;Times New Roman&quot; w:h-ansi=&quot;Cambria Math&quot;/&gt;&lt;wx:font wx:val=&quot;Cambria Math&quot;/&gt;&lt;/w:rPr&gt;&lt;/m:ctrlPr&gt;&lt;/m:dPr&gt;&lt;m:e&gt;&lt;m:r&gt;&lt;w:rPr&gt;&lt;w:rFonts w:ascii=&quot;Cambria Math&quot; w:fareast=&quot;Times New Roman&quot; w:h-ansi=&quot;Cambria Math&quot;/&gt;&lt;wx:font wx:val=&quot;Cambria Math&quot;/&gt;&lt;w:i/&gt;&lt;/w:rPr&gt;&lt;m:t&gt;-&lt;/m:t&gt;&lt;/m:r&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lt;/m:t&gt;&lt;/m:r&gt;&lt;/m:e&gt;&lt;/m:func&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u&lt;/m:t&gt;&lt;/m:r&gt;&lt;/m:e&gt;&lt;/m:d&gt;&lt;m:ctrlPr&gt;&lt;w:rPr&gt;&lt;w:rFonts w:ascii=&quot;Cambria Math&quot; w:fareast=&quot;Times New Roman&quot; w:h-ansi=&quot;Cambria Math&quot;/&gt;&lt;wx:font wx:val=&quot;Cambria Math&quot;/&gt;&lt;w:i/&gt;&lt;/w:rPr&gt;&lt;/m:ctrlPr&gt;&lt;/m:e&gt;&lt;/m:d&gt;&lt;/m:fName&gt;&lt;m:e&gt;&lt;m:r&gt;&lt;w:rPr&gt;&lt;w:rFonts w:ascii=&quot;Cambria Math&quot; w:fareast=&quot;Times New Roman&quot; w:h-ansi=&quot;Cambria Math&quot;/&gt;&lt;wx:font wx:val=&quot;Cambria Math&quot;/&gt;&lt;w:i/&gt;&lt;/w:rPr&gt;&lt;m:t&gt;-â€¦-   &lt;/m:t&gt;&lt;/m:r&gt;&lt;/m:e&gt;&lt;/m:func&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1&lt;/m:t&gt;&lt;/m:r&gt;&lt;/m:sub&gt;&lt;/m:sSub&gt;&lt;/m:e&gt;&lt;/m:d&gt;&lt;/m:den&gt;&lt;/m:f&gt;&lt;m:d&gt;&lt;m:dPr&gt;&lt;m:begChr m:val=&quot;{&quot;/&gt;&lt;m:endChr m:val=&quot;}&quot;/&gt;&lt;m:ctrlPr&gt;&lt;w:rPr&gt;&lt;w:rFonts w:ascii=&quot;Cambria Math&quot; w:fareast=&quot;Times New Roman&quot; w:h-ansi=&quot;Cambria Math&quot;/&gt;&lt;wx:font wx:val=&quot;Cambria Math&quot;/&gt;&lt;/w:rPr&gt;&lt;/m:ctrlPr&gt;&lt;/m:dPr&gt;&lt;m:e&gt;&lt;m:r&gt;&lt;w:rPr&gt;&lt;w:rFonts w:ascii=&quot;Cambria Math&quot; w:fareast=&quot;Times New Roman&quot; w:h-ansi=&quot;Cambria Math&quot;/&gt;&lt;wx:font wx:val=&quot;Cambria Math&quot;/&gt;&lt;w:i/&gt;&lt;/w:rPr&gt;&lt;m:t&gt;-&lt;/m:t&gt;&lt;/m:r&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r&gt;&lt;w:rPr&gt;&lt;w:rFonts w:ascii=&quot;Cambria Math&quot; w:fareast=&quot;Times New Roman&quot; w:h-ansi=&quot;Cambria Math&quot;/&gt;&lt;wx:font wx:val=&quot;Cambria Math&quot;/&gt;&lt;w:i/&gt;&lt;/w:rPr&gt;&lt;m:t&gt;u&lt;/m:t&gt;&lt;/m:r&gt;&lt;/m:e&gt;&lt;/m:func&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r&gt;&lt;w:rPr&gt;&lt;w:rFonts w:ascii=&quot;Cambria Math&quot; w:fareast=&quot;Times New Roman&quot; w:h-ansi=&quot;Cambria Math&quot;/&gt;&lt;wx:font wx:val=&quot;Cambria Math&quot;/&gt;&lt;w:i/&gt;&lt;/w:rPr&gt;&lt;m:t&gt;+&lt;/m:t&gt;&lt;/m:r&gt;&lt;/m:e&gt;&lt;/m:func&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u&lt;/m:t&gt;&lt;/m:r&gt;&lt;/m:e&gt;&lt;/m:d&gt;&lt;m:ctrlPr&gt;&lt;w:rPr&gt;&lt;w:rFonts w:ascii=&quot;Cambria Math&quot; w:fareast=&quot;Times New Roman&quot; w:h-ansi=&quot;Cambria Math&quot;/&gt;&lt;wx:font wx:val=&quot;Cambria Math&quot;/&gt;&lt;w:i/&gt;&lt;/w:rPr&gt;&lt;/m:ctrlPr&gt;&lt;/m:e&gt;&lt;/m:d&gt;&lt;/m:oMath&gt;&lt;/m:oMathPara&gt;&lt;/w:p&gt;&lt;w:sectPr wsp:rsidR=&quot;00000000&quot; wsp:rsidRPr=&quot;008E6EFA&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7" o:title="" chromakey="white"/>
          </v:shape>
        </w:pict>
      </w:r>
    </w:p>
    <w:p w:rsidR="008B3C0B" w:rsidRPr="00833E55" w:rsidRDefault="008B3C0B" w:rsidP="008B3C0B">
      <w:pPr>
        <w:pStyle w:val="ListParagraph"/>
        <w:spacing w:after="0" w:line="240" w:lineRule="auto"/>
        <w:ind w:left="0"/>
        <w:rPr>
          <w:rFonts w:ascii="Times New Roman" w:eastAsia="Times New Roman" w:hAnsi="Times New Roman"/>
          <w:sz w:val="24"/>
          <w:szCs w:val="24"/>
        </w:rPr>
      </w:pPr>
    </w:p>
    <w:p w:rsidR="008B3C0B" w:rsidRPr="00833E55" w:rsidRDefault="009A08FE" w:rsidP="00483278">
      <w:pPr>
        <w:pStyle w:val="ListParagraph"/>
        <w:tabs>
          <w:tab w:val="left" w:pos="0"/>
        </w:tabs>
        <w:spacing w:after="0" w:line="240" w:lineRule="auto"/>
        <w:ind w:left="0"/>
        <w:rPr>
          <w:rFonts w:ascii="Times New Roman" w:eastAsia="Times New Roman" w:hAnsi="Times New Roman"/>
          <w:iCs/>
          <w:sz w:val="24"/>
          <w:szCs w:val="24"/>
        </w:rPr>
      </w:pPr>
      <w:r>
        <w:rPr>
          <w:rFonts w:ascii="Times New Roman" w:hAnsi="Times New Roman"/>
          <w:sz w:val="24"/>
          <w:szCs w:val="24"/>
        </w:rPr>
        <w:lastRenderedPageBreak/>
        <w:pict>
          <v:shape id="_x0000_i1397" type="#_x0000_t75" style="width:447.8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263&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4F3263&quot; wsp:rsidRDefault=&quot;004F3263&quot; wsp:rsidP=&quot;004F3263&quot;&gt;&lt;m:oMathPara&gt;&lt;m:oMath&gt;&lt;m:r&gt;&lt;m:rPr&gt;&lt;m:sty m:val=&quot;p&quot;/&gt;&lt;/m:rPr&gt;&lt;w:rPr&gt;&lt;w:rFonts w:ascii=&quot;Cambria Math&quot; w:fareast=&quot;Times New Roman&quot; w:h-ansi=&quot;Cambria Math&quot;/&gt;&lt;wx:font wx:val=&quot;Cambria Math&quot;/&gt;&lt;/w:rPr&gt;&lt;m:t&gt;Replacing for J, and rewriting the indefinite integral I after undoing substitution, we get:&lt;/m:t&gt;&lt;/m:r&gt;&lt;/m:oMath&gt;&lt;/m:oMathPara&gt;&lt;/w:p&gt;&lt;w:sectPr wsp:rsidR=&quot;00000000&quot; wsp:rsidRPr=&quot;004F3263&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8" o:title="" chromakey="white"/>
          </v:shape>
        </w:pict>
      </w:r>
      <w:r w:rsidR="008B3C0B" w:rsidRPr="00833E55">
        <w:rPr>
          <w:rFonts w:ascii="Times New Roman" w:hAnsi="Times New Roman"/>
          <w:sz w:val="24"/>
          <w:szCs w:val="24"/>
        </w:rPr>
        <w:br/>
      </w:r>
      <w:r>
        <w:rPr>
          <w:rFonts w:ascii="Times New Roman" w:hAnsi="Times New Roman"/>
          <w:sz w:val="24"/>
          <w:szCs w:val="24"/>
        </w:rPr>
        <w:pict>
          <v:shape id="_x0000_i1398" type="#_x0000_t75" style="width:468pt;height:171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712&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BD7712&quot; wsp:rsidP=&quot;00BD7712&quot;&gt;&lt;m:oMathPara&gt;&lt;m:oMath&gt;&lt;m:r&gt;&lt;w:rPr&gt;&lt;w:rFonts w:ascii=&quot;Cambria Math&quot; w:fareast=&quot;Times New Roman&quot; w:h-ansi=&quot;Cambria Math&quot;/&gt;&lt;wx:font wx:val=&quot;Cambria Math&quot;/&gt;&lt;w:i/&gt;&lt;/w:rPr&gt;&lt;m:t&gt;I=-&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d&gt;&lt;m:dPr&gt;&lt;m:begChr m:val=&quot;{&quot;/&gt;&lt;m:endChr m:val=&quot;}&quot;/&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en&gt;&lt;/m:f&gt;&lt;m:r&gt;&lt;w:rPr&gt;&lt;w:rFonts w:ascii=&quot;Cambria Math&quot; w:fareast=&quot;Times New Roman&quot; w:h-ansi=&quot;Cambria Math&quot;/&gt;&lt;wx:font wx:val=&quot;Cambria Math&quot;/&gt;&lt;w:i/&gt;&lt;/w:rPr&gt;&lt;m:t&gt;-2&lt;/m:t&gt;&lt;/m:r&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d&gt;&lt;m:dPr&gt;&lt;m:begChr m:val=&quot;{&quot;/&gt;&lt;m:endChr m:val=&quot;}&quot;/&gt;&lt;m:ctrlPr&gt;&lt;w:rPr&gt;&lt;w:rFonts w:ascii=&quot;Cambria Math&quot; w:fareast=&quot;Times New Roman&quot; w:h-ansi=&quot;Cambria Math&quot;/&gt;&lt;wx:font wx:val=&quot;Cambria Math&quot;/&gt;&lt;/w:rPr&gt;&lt;/m:ctrlPr&gt;&lt;/m:dPr&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 w:h-ansi=&quot;Cambria Math&quot;/&gt;&lt;wx:font wx:val=&quot;Cambria Math&quot;/&gt;&lt;/w:rPr&gt;&lt;m:t&gt;t&lt;/m:t&gt;&lt;/m:r&gt;&lt;/m:num&gt;&lt;m:den&gt;&lt;m:r&gt;&lt;m:rPr&gt;&lt;m:sty m:val=&quot;p&quot;/&gt;&lt;/m:rPr&gt;&lt;w:rPr&gt;&lt;w:rFonts w:ascii=&quot;Cambria Math&quot; w:fareast=&quot;Times New Roman&quot; w:h-ansi=&quot;Cambria Math&quot;/&gt;&lt;wx:font wx:val=&quot;Cambria Math&quot;/&gt;&lt;/w:rPr&gt;&lt;m:t&gt;Î¸&lt;/m:t&gt;&lt;/m:r&gt;&lt;/m:den&gt;&lt;/m:f&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t;/m:t&gt;&lt;/m:r&gt;&lt;/m:e&gt;&lt;/m:func&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ctrlPr&gt;&lt;w:rPr&gt;&lt;w:rFonts w:ascii=&quot;Cambria Math&quot; w:fareast=&quot;Times New Roman&quot; w:h-ansi=&quot;Cambria Math&quot;/&gt;&lt;wx:font wx:val=&quot;Cambria Math&quot;/&gt;&lt;w:i/&gt;&lt;/w:rPr&gt;&lt;/m:ctrlPr&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func&gt;&lt;m:funcPr&gt;&lt;m:ctrlPr&gt;&lt;w:rPr&gt;&lt;w:rFonts w:ascii=&quot;Cambria Math&quot; w:fareast=&quot;Times New Roman&quot; w:h-ansi=&quot;Cambria Math&quot;/&gt;&lt;wx:font wx:val=&quot;Cambria Math&quot;/&gt;&lt;w:i/&gt;&lt;/w:rPr&gt;&lt;/m:ctrlPr&gt;&lt;/m:funcPr&gt;&lt;m:fName&gt;&lt;m:d&gt;&lt;m:dPr&gt;&lt;m:begChr m:val=&quot;{&quot;/&gt;&lt;m:endChr m:val=&quot;}&quot;/&gt;&lt;m:ctrlPr&gt;&lt;w:rPr&gt;&lt;w:rFonts w:ascii=&quot;Cambria Math&quot; w:fareast=&quot;Times New Roman&quot; w:h-ansi=&quot;Cambria Math&quot;/&gt;&lt;wx:font wx:val=&quot;Cambria Math&quot;/&gt;&lt;/w:rPr&gt;&lt;/m:ctrlPr&gt;&lt;/m:dPr&gt;&lt;m:e&gt;&lt;aml:annotation aml:id=&quot;0&quot; w:type=&quot;Word.Bookmark.Start&quot; w:name=&quot;_Hlk96452338&quot;/&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 w:h-ansi=&quot;Cambria Math&quot;/&gt;&lt;wx:font wx:val=&quot;Cambria Math&quot;/&gt;&lt;/w:rPr&gt;&lt;m:t&gt;t&lt;/m:t&gt;&lt;/m:r&gt;&lt;/m:num&gt;&lt;m:den&gt;&lt;m:r&gt;&lt;m:rPr&gt;&lt;m:sty m:val=&quot;p&quot;/&gt;&lt;/m:rPr&gt;&lt;w:rPr&gt;&lt;w:rFonts w:ascii=&quot;Cambria Math&quot; w:fareast=&quot;Times New Roman&quot; w:h-ansi=&quot;Cambria Math&quot;/&gt;&lt;wx:font wx:val=&quot;Cambria Math&quot;/&gt;&lt;/w:rPr&gt;&lt;m:t&gt;Î¸&lt;/m:t&gt;&lt;/m:r&gt;&lt;/m:den&gt;&lt;/m:f&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t;/m:t&gt;&lt;/m:r&gt;&lt;/m:e&gt;&lt;/m:func&gt;&lt;aml:annotation aml:id=&quot;0&quot; w:type=&quot;Word.Bookmark.End&quot;/&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ctrlPr&gt;&lt;w:rPr&gt;&lt;w:rFonts w:ascii=&quot;Cambria Math&quot; w:fareast=&quot;Times New Roman&quot; w:h-ansi=&quot;Cambria Math&quot;/&gt;&lt;wx:font wx:val=&quot;Cambria Math&quot;/&gt;&lt;w:i/&gt;&lt;/w:rPr&gt;&lt;/m:ctrlPr&gt;&lt;/m:e&gt;&lt;/m:d&gt;&lt;/m:fName&gt;&lt;m:e&gt;&lt;m:r&gt;&lt;w:rPr&gt;&lt;w:rFonts w:ascii=&quot;Cambria Math&quot; w:fareast=&quot;Times New Roman&quot; w:h-ansi=&quot;Cambria Math&quot;/&gt;&lt;wx:font wx:val=&quot;Cambria Math&quot;/&gt;&lt;w:i/&gt;&lt;/w:rPr&gt;&lt;m:t&gt;+â€¦+ &lt;/m:t&gt;&lt;/m:r&gt;&lt;/m:e&gt;&lt;/m:func&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1&lt;/m:t&gt;&lt;/m:r&gt;&lt;/m:sub&gt;&lt;/m:sSub&gt;&lt;/m:e&gt;&lt;/m:d&gt;&lt;/m:den&gt;&lt;/m:f&gt;&lt;m:d&gt;&lt;m:dPr&gt;&lt;m:begChr m:val=&quot;{&quot;/&gt;&lt;m:endChr m:val=&quot;}&quot;/&gt;&lt;m:ctrlPr&gt;&lt;w:rPr&gt;&lt;w:rFonts w:ascii=&quot;Cambria Math&quot; w:fareast=&quot;Times New Roman&quot; w:h-ansi=&quot;Cambria Math&quot;/&gt;&lt;wx:font wx:val=&quot;Cambria Math&quot;/&gt;&lt;/w:rPr&gt;&lt;/m:ctrlPr&gt;&lt;/m:dPr&gt;&lt;m:e&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 w:h-ansi=&quot;Cambria Math&quot;/&gt;&lt;wx:font wx:val=&quot;Cambria Math&quot;/&gt;&lt;/w:rPr&gt;&lt;m:t&gt;t&lt;/m:t&gt;&lt;/m:r&gt;&lt;/m:num&gt;&lt;m:den&gt;&lt;m:r&gt;&lt;m:rPr&gt;&lt;m:sty m:val=&quot;p&quot;/&gt;&lt;/m:rPr&gt;&lt;w:rPr&gt;&lt;w:rFonts w:ascii=&quot;Cambria Math&quot; w:fareast=&quot;Times New Roman&quot; w:h-ansi=&quot;Cambria Math&quot;/&gt;&lt;wx:font wx:val=&quot;Cambria Math&quot;/&gt;&lt;/w:rPr&gt;&lt;m:t&gt;Î¸&lt;/m:t&gt;&lt;/m:r&gt;&lt;/m:den&gt;&lt;/m:f&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t;/m:t&gt;&lt;/m:r&gt;&lt;/m:e&gt;&lt;/m:func&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ctrlPr&gt;&lt;w:rPr&gt;&lt;w:rFonts w:ascii=&quot;Cambria Math&quot; w:fareast=&quot;Times New Roman&quot; w:h-ansi=&quot;Cambria Math&quot;/&gt;&lt;wx:font wx:val=&quot;Cambria Math&quot;/&gt;&lt;w:i/&gt;&lt;/w:rPr&gt;&lt;/m:ctrlPr&gt;&lt;/m:e&gt;&lt;/m:d&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49" o:title="" chromakey="white"/>
          </v:shape>
        </w:pict>
      </w:r>
    </w:p>
    <w:p w:rsidR="008B3C0B" w:rsidRPr="00833E55" w:rsidRDefault="009A08FE" w:rsidP="008B3C0B">
      <w:pPr>
        <w:pStyle w:val="ListParagraph"/>
        <w:tabs>
          <w:tab w:val="left" w:pos="360"/>
          <w:tab w:val="left" w:pos="450"/>
        </w:tabs>
        <w:spacing w:after="0" w:line="240" w:lineRule="auto"/>
        <w:ind w:left="0"/>
        <w:rPr>
          <w:rFonts w:ascii="Times New Roman" w:eastAsia="Times New Roman" w:hAnsi="Times New Roman"/>
          <w:sz w:val="24"/>
          <w:szCs w:val="24"/>
        </w:rPr>
      </w:pPr>
      <w:r>
        <w:rPr>
          <w:rFonts w:ascii="Times New Roman" w:hAnsi="Times New Roman"/>
          <w:sz w:val="24"/>
          <w:szCs w:val="24"/>
        </w:rPr>
        <w:pict>
          <v:shape id="_x0000_i1399" type="#_x0000_t75" style="width:202.7pt;height:2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D7E95&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5D7E95&quot; wsp:rsidRDefault=&quot;005D7E95&quot; wsp:rsidP=&quot;005D7E95&quot;&gt;&lt;m:oMathPara&gt;&lt;m:oMathParaPr&gt;&lt;m:jc m:val=&quot;left&quot;/&gt;&lt;/m:oMathParaPr&gt;&lt;m:oMath&gt;&lt;m:r&gt;&lt;w:rPr&gt;&lt;w:rFonts w:ascii=&quot;Cambria Math&quot; w:fareast=&quot;Times New Roman&quot; w:h-ansi=&quot;Cambria Math&quot;/&gt;&lt;wx:font wx:val=&quot;Cambria Math&quot;/&gt;&lt;w:i/&gt;&lt;/w:rPr&gt;&lt;m:t&gt;  As tâ†’-âˆž,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0&lt;/m:t&gt;&lt;/m:r&gt;&lt;/m:e&gt;&lt;/m:d&gt;&lt;m:r&gt;&lt;w:rPr&gt;&lt;w:rFonts w:ascii=&quot;Cambria Math&quot; w:fareast=&quot;Times New Roman&quot; w:h-ansi=&quot;Cambria Math&quot;/&gt;&lt;wx:font wx:val=&quot;Cambria Math&quot;/&gt;&lt;w:i/&gt;&lt;/w:rPr&gt;&lt;m:t&gt;=0,&lt;/m:t&gt;&lt;/m:r&gt;&lt;/m:oMath&gt;&lt;/m:oMathPara&gt;&lt;/w:p&gt;&lt;w:sectPr wsp:rsidR=&quot;00000000&quot; wsp:rsidRPr=&quot;005D7E95&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0" o:title="" chromakey="white"/>
          </v:shape>
        </w:pict>
      </w:r>
      <w:r w:rsidR="008B3C0B" w:rsidRPr="00833E55">
        <w:rPr>
          <w:rFonts w:ascii="Times New Roman" w:eastAsia="Times New Roman" w:hAnsi="Times New Roman"/>
          <w:sz w:val="24"/>
          <w:szCs w:val="24"/>
        </w:rPr>
        <w:br/>
      </w:r>
      <w:r w:rsidR="008B3C0B" w:rsidRPr="00833E55">
        <w:rPr>
          <w:rFonts w:ascii="Times New Roman" w:eastAsia="Times New Roman" w:hAnsi="Times New Roman"/>
          <w:sz w:val="24"/>
          <w:szCs w:val="24"/>
        </w:rPr>
        <w:fldChar w:fldCharType="begin"/>
      </w:r>
      <w:r w:rsidR="008B3C0B" w:rsidRPr="00833E55">
        <w:rPr>
          <w:rFonts w:ascii="Times New Roman" w:eastAsia="Times New Roman" w:hAnsi="Times New Roman"/>
          <w:sz w:val="24"/>
          <w:szCs w:val="24"/>
        </w:rPr>
        <w:instrText xml:space="preserve"> QUOTE </w:instrText>
      </w:r>
      <w:r>
        <w:rPr>
          <w:rFonts w:ascii="Times New Roman" w:hAnsi="Times New Roman"/>
          <w:position w:val="-44"/>
          <w:sz w:val="24"/>
          <w:szCs w:val="24"/>
        </w:rPr>
        <w:pict>
          <v:shape id="_x0000_i1400" type="#_x0000_t75" style="width:322.7pt;height:4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2365&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DF2365&quot; wsp:rsidP=&quot;00DF2365&quot;&gt;&lt;m:oMathPara&gt;&lt;m:oMath&gt;&lt;m:r&gt;&lt;w:rPr&gt;&lt;w:rFonts w:ascii=&quot;Cambria Math&quot; w:fareast=&quot;Times New Roman&quot; w:h-ansi=&quot;Cambria Math&quot;/&gt;&lt;wx:font wx:val=&quot;Cambria Math&quot;/&gt;&lt;w:i/&gt;&lt;/w:rPr&gt;&lt;m:t&gt;and -&lt;/m:t&gt;&lt;/m:r&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en&gt;&lt;/m:f&gt;&lt;m:r&gt;&lt;w:rPr&gt;&lt;w:rFonts w:ascii=&quot;Cambria Math&quot; w:fareast=&quot;Times New Roman&quot; w:h-ansi=&quot;Cambria Math&quot;/&gt;&lt;wx:font wx:val=&quot;Cambria Math&quot;/&gt;&lt;w:i/&gt;&lt;/w:rPr&gt;&lt;m:t&gt;=0 (&lt;/m:t&gt;&lt;/m:r&gt;&lt;m:r&gt;&lt;m:rPr&gt;&lt;m:sty m:val=&quot;p&quot;/&gt;&lt;/m:rPr&gt;&lt;w:rPr&gt;&lt;w:rFonts w:ascii=&quot;Cambria Math&quot; w:fareast=&quot;Times New Roman&quot; w:h-ansi=&quot;Cambria Math&quot;/&gt;&lt;wx:font wx:val=&quot;Cambria Math&quot;/&gt;&lt;/w:rPr&gt;&lt;m:t&gt;By Property&lt;/m:t&gt;&lt;/m:r&gt;&lt;m:r&gt;&lt;w:rPr&gt;&lt;w:rFonts w:ascii=&quot;Cambria Math&quot; w:fareast=&quot;Times New Roman&quot; w:h-ansi=&quot;Cambria Math&quot;/&gt;&lt;wx:font wx:val=&quot;Cambria Math&quot;/&gt;&lt;w:i/&gt;&lt;/w:rPr&gt;&lt;m:t&gt; &lt;/m:t&gt;&lt;/m:r&gt;&lt;m:r&gt;&lt;m:rPr&gt;&lt;m:sty m:val=&quot;b&quot;/&gt;&lt;/m:rPr&gt;&lt;w:rPr&gt;&lt;w:rFonts w:ascii=&quot;Cambria Math&quot; w:fareast=&quot;Times New Roman&quot; w:h-ansi=&quot;Cambria Math&quot;/&gt;&lt;wx:font wx:val=&quot;Cambria Math&quot;/&gt;&lt;w:b/&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1" o:title="" chromakey="white"/>
          </v:shape>
        </w:pict>
      </w:r>
      <w:r w:rsidR="008B3C0B" w:rsidRPr="00833E55">
        <w:rPr>
          <w:rFonts w:ascii="Times New Roman" w:eastAsia="Times New Roman" w:hAnsi="Times New Roman"/>
          <w:sz w:val="24"/>
          <w:szCs w:val="24"/>
        </w:rPr>
        <w:instrText xml:space="preserve"> </w:instrText>
      </w:r>
      <w:r w:rsidR="008B3C0B" w:rsidRPr="00833E55">
        <w:rPr>
          <w:rFonts w:ascii="Times New Roman" w:eastAsia="Times New Roman" w:hAnsi="Times New Roman"/>
          <w:sz w:val="24"/>
          <w:szCs w:val="24"/>
        </w:rPr>
        <w:fldChar w:fldCharType="separate"/>
      </w:r>
      <w:r>
        <w:rPr>
          <w:rFonts w:ascii="Times New Roman" w:hAnsi="Times New Roman"/>
          <w:position w:val="-44"/>
          <w:sz w:val="24"/>
          <w:szCs w:val="24"/>
        </w:rPr>
        <w:pict>
          <v:shape id="_x0000_i1401" type="#_x0000_t75" style="width:322.7pt;height:4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2365&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DF2365&quot; wsp:rsidP=&quot;00DF2365&quot;&gt;&lt;m:oMathPara&gt;&lt;m:oMath&gt;&lt;m:r&gt;&lt;w:rPr&gt;&lt;w:rFonts w:ascii=&quot;Cambria Math&quot; w:fareast=&quot;Times New Roman&quot; w:h-ansi=&quot;Cambria Math&quot;/&gt;&lt;wx:font wx:val=&quot;Cambria Math&quot;/&gt;&lt;w:i/&gt;&lt;/w:rPr&gt;&lt;m:t&gt;and -&lt;/m:t&gt;&lt;/m:r&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en&gt;&lt;/m:f&gt;&lt;m:r&gt;&lt;w:rPr&gt;&lt;w:rFonts w:ascii=&quot;Cambria Math&quot; w:fareast=&quot;Times New Roman&quot; w:h-ansi=&quot;Cambria Math&quot;/&gt;&lt;wx:font wx:val=&quot;Cambria Math&quot;/&gt;&lt;w:i/&gt;&lt;/w:rPr&gt;&lt;m:t&gt;=0 (&lt;/m:t&gt;&lt;/m:r&gt;&lt;m:r&gt;&lt;m:rPr&gt;&lt;m:sty m:val=&quot;p&quot;/&gt;&lt;/m:rPr&gt;&lt;w:rPr&gt;&lt;w:rFonts w:ascii=&quot;Cambria Math&quot; w:fareast=&quot;Times New Roman&quot; w:h-ansi=&quot;Cambria Math&quot;/&gt;&lt;wx:font wx:val=&quot;Cambria Math&quot;/&gt;&lt;/w:rPr&gt;&lt;m:t&gt;By Property&lt;/m:t&gt;&lt;/m:r&gt;&lt;m:r&gt;&lt;w:rPr&gt;&lt;w:rFonts w:ascii=&quot;Cambria Math&quot; w:fareast=&quot;Times New Roman&quot; w:h-ansi=&quot;Cambria Math&quot;/&gt;&lt;wx:font wx:val=&quot;Cambria Math&quot;/&gt;&lt;w:i/&gt;&lt;/w:rPr&gt;&lt;m:t&gt; &lt;/m:t&gt;&lt;/m:r&gt;&lt;m:r&gt;&lt;m:rPr&gt;&lt;m:sty m:val=&quot;b&quot;/&gt;&lt;/m:rPr&gt;&lt;w:rPr&gt;&lt;w:rFonts w:ascii=&quot;Cambria Math&quot; w:fareast=&quot;Times New Roman&quot; w:h-ansi=&quot;Cambria Math&quot;/&gt;&lt;wx:font wx:val=&quot;Cambria Math&quot;/&gt;&lt;w:b/&gt;&lt;/w:rPr&gt;&lt;m:t&gt;P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1" o:title="" chromakey="white"/>
          </v:shape>
        </w:pict>
      </w:r>
      <w:r w:rsidR="008B3C0B" w:rsidRPr="00833E55">
        <w:rPr>
          <w:rFonts w:ascii="Times New Roman" w:eastAsia="Times New Roman" w:hAnsi="Times New Roman"/>
          <w:sz w:val="24"/>
          <w:szCs w:val="24"/>
        </w:rPr>
        <w:fldChar w:fldCharType="end"/>
      </w:r>
      <w:r w:rsidR="008B3C0B" w:rsidRPr="00833E55">
        <w:rPr>
          <w:rFonts w:ascii="Times New Roman" w:eastAsia="Times New Roman" w:hAnsi="Times New Roman"/>
          <w:sz w:val="24"/>
          <w:szCs w:val="24"/>
        </w:rPr>
        <w:t xml:space="preserve"> </w:t>
      </w:r>
      <w:r w:rsidR="008B3C0B" w:rsidRPr="00833E55">
        <w:rPr>
          <w:rFonts w:ascii="Times New Roman" w:eastAsia="Times New Roman" w:hAnsi="Times New Roman"/>
          <w:sz w:val="24"/>
          <w:szCs w:val="24"/>
        </w:rPr>
        <w:br/>
      </w:r>
      <w:r>
        <w:rPr>
          <w:rFonts w:ascii="Times New Roman" w:hAnsi="Times New Roman"/>
          <w:sz w:val="24"/>
          <w:szCs w:val="24"/>
        </w:rPr>
        <w:pict>
          <v:shape id="_x0000_i1402" type="#_x0000_t75" style="width:420pt;height:41.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E79ED&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EE79ED&quot; wsp:rsidRDefault=&quot;00EE79ED&quot; wsp:rsidP=&quot;00EE79ED&quot;&gt;&lt;m:oMathPara&gt;&lt;m:oMath&gt;&lt;m:func&gt;&lt;m:funcPr&gt;&lt;m:ctrlPr&gt;&lt;w:rPr&gt;&lt;w:rFonts w:ascii=&quot;Cambria Math&quot; w:fareast=&quot;Times New Roman&quot; w:h-ansi=&quot;Cambria Math&quot;/&gt;&lt;wx:font wx:val=&quot;Cambria Math&quot;/&gt;&lt;w:i/&gt;&lt;/w:rPr&gt;&lt;/m:ctrlPr&gt;&lt;/m:funcPr&gt;&lt;m:fName&gt;&lt;m:r&gt;&lt;w:rPr&gt;&lt;w:rFonts w:ascii=&quot;Cambria Math&quot; w:fareast=&quot;Times New Roman&quot; w:h-ansi=&quot;Cambria Math&quot;/&gt;&lt;wx:font wx:val=&quot;Cambria Math&quot;/&gt;&lt;w:i/&gt;&lt;/w:rPr&gt;&lt;m:t&gt;and &lt;/m:t&gt;&lt;/m:r&gt;&lt;m:limLow&gt;&lt;m:limLowPr&gt;&lt;m:ctrlPr&gt;&lt;w:rPr&gt;&lt;w:rFonts w:ascii=&quot;Cambria Math&quot; w:fareast=&quot;Times New Roman&quot; w:h-ansi=&quot;Cambria Math&quot;/&gt;&lt;wx:font wx:val=&quot;Cambria Math&quot;/&gt;&lt;w:i/&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fName&gt;&lt;m:e&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 w:h-ansi=&quot;Cambria Math&quot;/&gt;&lt;wx:font wx:val=&quot;Cambria Math&quot;/&gt;&lt;/w:rPr&gt;&lt;m:t&gt;t&lt;/m:t&gt;&lt;/m:r&gt;&lt;/m:num&gt;&lt;m:den&gt;&lt;m:r&gt;&lt;m:rPr&gt;&lt;m:sty m:val=&quot;p&quot;/&gt;&lt;/m:rPr&gt;&lt;w:rPr&gt;&lt;w:rFonts w:ascii=&quot;Cambria Math&quot; w:fareast=&quot;Times New Roman&quot; w:h-ansi=&quot;Cambria Math&quot;/&gt;&lt;wx:font wx:val=&quot;Cambria Math&quot;/&gt;&lt;/w:rPr&gt;&lt;m:t&gt;Î¸&lt;/m:t&gt;&lt;/m:r&gt;&lt;/m:den&gt;&lt;/m:f&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t;/m:t&gt;&lt;/m:r&gt;&lt;m:limLow&gt;&lt;m:limLowPr&gt;&lt;m:ctrlPr&gt;&lt;w:rPr&gt;&lt;w:rFonts w:ascii=&quot;Cambria Math&quot; w:fareast=&quot;Times New Roman&quot; w:h-ansi=&quot;Cambria Math&quot;/&gt;&lt;wx:font wx:val=&quot;Cambria Math&quot;/&gt;&lt;w:i/&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rPr&gt;&lt;/m:ctrlPr&gt;&lt;/m:fPr&gt;&lt;m:num&gt;&lt;m:r&gt;&lt;m:rPr&gt;&lt;m:sty m:val=&quot;p&quot;/&gt;&lt;/m:rPr&gt;&lt;w:rPr&gt;&lt;w:rFonts w:ascii=&quot;Cambria Math&quot; w:fareast=&quot;Times New Roman&quot; w:h-ansi=&quot;Cambria Math&quot;/&gt;&lt;wx:font wx:val=&quot;Cambria Math&quot;/&gt;&lt;/w:rPr&gt;&lt;m:t&gt;t&lt;/m:t&gt;&lt;/m:r&gt;&lt;/m:num&gt;&lt;m:den&gt;&lt;m:r&gt;&lt;m:rPr&gt;&lt;m:sty m:val=&quot;p&quot;/&gt;&lt;/m:rPr&gt;&lt;w:rPr&gt;&lt;w:rFonts w:ascii=&quot;Cambria Math&quot; w:fareast=&quot;Times New Roman&quot; w:h-ansi=&quot;Cambria Math&quot;/&gt;&lt;wx:font wx:val=&quot;Cambria Math&quot;/&gt;&lt;/w:rPr&gt;&lt;m:t&gt;Î¸&lt;/m:t&gt;&lt;/m:r&gt;&lt;/m:den&gt;&lt;/m:f&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e&gt;&lt;/m:func&gt;&lt;/m:sup&gt;&lt;/m:sSup&gt;&lt;/m:e&gt;&lt;/m:d&gt;&lt;/m:e&gt;&lt;/m:func&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0 â‡’I=0&lt;/m:t&gt;&lt;/m:r&gt;&lt;/m:e&gt;&lt;/m:func&gt;&lt;/m:e&gt;&lt;/m:func&gt;&lt;/m:oMath&gt;&lt;/m:oMathPara&gt;&lt;/w:p&gt;&lt;w:sectPr wsp:rsidR=&quot;00000000&quot; wsp:rsidRPr=&quot;00EE79ED&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2" o:title="" chromakey="white"/>
          </v:shape>
        </w:pict>
      </w:r>
    </w:p>
    <w:p w:rsidR="008B3C0B" w:rsidRPr="008B3C0B" w:rsidRDefault="009A08FE" w:rsidP="008B3C0B">
      <w:pPr>
        <w:pStyle w:val="ListParagraph"/>
        <w:tabs>
          <w:tab w:val="left" w:pos="360"/>
          <w:tab w:val="left" w:pos="450"/>
        </w:tabs>
        <w:spacing w:after="0" w:line="240" w:lineRule="auto"/>
        <w:ind w:left="0"/>
        <w:rPr>
          <w:rFonts w:ascii="Cambria Math" w:eastAsia="Times New Roman" w:hAnsi="Cambria Math"/>
          <w:sz w:val="24"/>
          <w:szCs w:val="24"/>
        </w:rPr>
      </w:pPr>
      <w:r>
        <w:pict>
          <v:shape id="_x0000_i1403" type="#_x0000_t75" style="width:287.55pt;height:55.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07A7&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DB07A7&quot; wsp:rsidRDefault=&quot;00DB07A7&quot; wsp:rsidP=&quot;00DB07A7&quot;&gt;&lt;m:oMathPara&gt;&lt;m:oMath&gt;&lt;m:r&gt;&lt;w:rPr&gt;&lt;w:rFonts w:ascii=&quot;Cambria Math&quot; w:fareast=&quot;Times New Roman&quot; w:h-ansi=&quot;Cambria Math&quot;/&gt;&lt;wx:font wx:val=&quot;Cambria Math&quot;/&gt;&lt;w:i/&gt;&lt;/w:rPr&gt;&lt;m:t&gt;At t=âˆž: &lt;/m:t&gt;&lt;/m:r&gt;&lt;m:limLow&gt;&lt;m:limLowPr&gt;&lt;m:ctrlPr&gt;&lt;w:rPr&gt;&lt;w:rFonts w:ascii=&quot;Cambria Math&quot; w:fareast=&quot;Times New Roman&quot; w:h-ansi=&quot;Cambria Math&quot;/&gt;&lt;wx:font wx:val=&quot;Cambria Math&quot;/&gt;&lt;w:i/&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en&gt;&lt;/m:f&gt;&lt;m:r&gt;&lt;m:rPr&gt;&lt;m:sty m:val=&quot;p&quot;/&gt;&lt;/m:rPr&gt;&lt;w:rPr&gt;&lt;w:rFonts w:ascii=&quot;Cambria Math&quot; w:fareast=&quot;Times New Roman&quot; w:h-ansi=&quot;Cambria Math&quot;/&gt;&lt;wx:font wx:val=&quot;Cambria Math&quot;/&gt;&lt;/w:rPr&gt;&lt;m:t&gt;=0&lt;/m:t&gt;&lt;/m:r&gt;&lt;m:r&gt;&lt;w:rPr&gt;&lt;w:rFonts w:ascii=&quot;Cambria Math&quot; w:fareast=&quot;Times New Roman&quot; w:h-ansi=&quot;Cambria Math&quot;/&gt;&lt;wx:font wx:val=&quot;Cambria Math&quot;/&gt;&lt;w:i/&gt;&lt;/w:rPr&gt;&lt;m:t&gt; &lt;/m:t&gt;&lt;/m:r&gt;&lt;/m:oMath&gt;&lt;/m:oMathPara&gt;&lt;/w:p&gt;&lt;w:sectPr wsp:rsidR=&quot;00000000&quot; wsp:rsidRPr=&quot;00DB07A7&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3" o:title="" chromakey="white"/>
          </v:shape>
        </w:pict>
      </w:r>
      <w:r w:rsidR="008B3C0B" w:rsidRPr="008B3C0B">
        <w:rPr>
          <w:rFonts w:ascii="Cambria Math" w:eastAsia="Times New Roman" w:hAnsi="Cambria Math"/>
          <w:sz w:val="24"/>
          <w:szCs w:val="24"/>
        </w:rPr>
        <w:br/>
      </w:r>
      <w:r>
        <w:pict>
          <v:shape id="_x0000_i1404" type="#_x0000_t75" style="width:277.3pt;height:30.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0605&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DB0605&quot; wsp:rsidRDefault=&quot;00DB0605&quot; wsp:rsidP=&quot;00DB0605&quot;&gt;&lt;m:oMathPara&gt;&lt;m:oMath&gt;&lt;m:r&gt;&lt;m:rPr&gt;&lt;m:sty m:val=&quot;p&quot;/&gt;&lt;/m:rPr&gt;&lt;w:rPr&gt;&lt;w:rFonts w:ascii=&quot;Cambria Math&quot; w:h-ansi=&quot;Cambria Math&quot;/&gt;&lt;wx:font wx:val=&quot;Cambria Math&quot;/&gt;&lt;/w:rPr&gt;&lt;m:t&gt;Also, We know&lt;/m:t&gt;&lt;/m:r&gt;&lt;m:r&gt;&lt;w:rPr&gt;&lt;w:rFonts w:ascii=&quot;Cambria Math&quot; w:fareast=&quot;Times New Roman&quot; w:h-ansi=&quot;Cambria Math&quot;/&gt;&lt;wx:font wx:val=&quot;Cambria Math&quot;/&gt;&lt;w:i/&gt;&lt;/w:rPr&gt;&lt;m:t&gt;:  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z&lt;/m:t&gt;&lt;/m:r&gt;&lt;/m:e&gt;&lt;/m:d&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z&lt;/m:t&gt;&lt;/m:r&gt;&lt;/m:e&gt;&lt;m:sup&gt;&lt;m:r&gt;&lt;w:rPr&gt;&lt;w:rFonts w:ascii=&quot;Cambria Math&quot; w:fareast=&quot;Times New Roman&quot; w:h-ansi=&quot;Cambria Math&quot;/&gt;&lt;wx:font wx:val=&quot;Cambria Math&quot;/&gt;&lt;w:i/&gt;&lt;/w:rPr&gt;&lt;m:t&gt;-1&lt;/m:t&gt;&lt;/m:r&gt;&lt;/m:sup&gt;&lt;/m:sSup&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func&gt;&lt;m:funcPr&gt;&lt;m:ctrlPr&gt;&lt;w:rPr&gt;&lt;w:rFonts w:ascii=&quot;Cambria Math&quot; w:fareast=&quot;Times New Roman&quot; w:h-ansi=&quot;Cambria Math&quot;/&gt;&lt;wx:font wx:val=&quot;Cambria Math&quot;/&gt;&lt;w:i/&gt;&lt;/w:rPr&gt;&lt;/m:ctrlPr&gt;&lt;/m:funcPr&gt;&lt;m:fName&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ln&lt;/m:t&gt;&lt;/m:r&gt;&lt;m:ctrlPr&gt;&lt;w:rPr&gt;&lt;w:rFonts w:ascii=&quot;Cambria Math&quot; w:fareast=&quot;Times New Roman&quot; w:h-ansi=&quot;Cambria Math&quot;/&gt;&lt;wx:font wx:val=&quot;Cambria Math&quot;/&gt;&lt;/w:rPr&gt;&lt;/m:ctrlPr&gt;&lt;/m:e&gt;&lt;m:sup&gt;&lt;m:r&gt;&lt;w:rPr&gt;&lt;w:rFonts w:ascii=&quot;Cambria Math&quot; w:fareast=&quot;Times New Roman&quot; w:h-ansi=&quot;Cambria Math&quot;/&gt;&lt;wx:font wx:val=&quot;Cambria Math&quot;/&gt;&lt;w:i/&gt;&lt;/w:rPr&gt;&lt;m:t&gt;2&lt;/m:t&gt;&lt;/m:r&gt;&lt;m:ctrlPr&gt;&lt;w:rPr&gt;&lt;w:rFonts w:ascii=&quot;Cambria Math&quot; w:fareast=&quot;Times New Roman&quot; w:h-ansi=&quot;Cambria Math&quot;/&gt;&lt;wx:font wx:val=&quot;Cambria Math&quot;/&gt;&lt;/w:rPr&gt;&lt;/m:ctrlPr&gt;&lt;/m:sup&gt;&lt;/m:sSup&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z&lt;/m:t&gt;&lt;/m:r&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 &lt;/m:t&gt;&lt;/m:r&gt;&lt;/m:e&gt;&lt;/m:func&gt;&lt;/m:oMath&gt;&lt;/m:oMathPara&gt;&lt;/w:p&gt;&lt;w:sectPr wsp:rsidR=&quot;00000000&quot; wsp:rsidRPr=&quot;00DB0605&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4" o:title="" chromakey="white"/>
          </v:shape>
        </w:pict>
      </w:r>
      <w:r w:rsidR="008B3C0B" w:rsidRPr="008B3C0B">
        <w:rPr>
          <w:rFonts w:ascii="Cambria Math" w:eastAsia="Times New Roman" w:hAnsi="Cambria Math"/>
          <w:sz w:val="24"/>
          <w:szCs w:val="24"/>
        </w:rPr>
        <w:br/>
      </w:r>
      <w:r>
        <w:pict>
          <v:shape id="_x0000_i1405" type="#_x0000_t75" style="width:447pt;height:50.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A17&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0A1A17&quot; wsp:rsidRDefault=&quot;000A1A17&quot; wsp:rsidP=&quot;000A1A17&quot;&gt;&lt;m:oMathPara&gt;&lt;m:oMath&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den&gt;&lt;/m:f&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func&gt;&lt;m:funcPr&gt;&lt;m:ctrlPr&gt;&lt;w:rPr&gt;&lt;w:rFonts w:ascii=&quot;Cambria Math&quot; w:fareast=&quot;Times New Roman&quot; w:h-ansi=&quot;Cambria Math&quot;/&gt;&lt;wx:font wx:val=&quot;Cambria Math&quot;/&gt;&lt;w:i/&gt;&lt;/w:rPr&gt;&lt;/m:ctrlPr&gt;&lt;/m:funcPr&gt;&lt;m:fName&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ln&lt;/m:t&gt;&lt;/m:r&gt;&lt;m:ctrlPr&gt;&lt;w:rPr&gt;&lt;w:rFonts w:ascii=&quot;Cambria Math&quot; w:fareast=&quot;Times New Roman&quot; w:h-ansi=&quot;Cambria Math&quot;/&gt;&lt;wx:font wx:val=&quot;Cambria Math&quot;/&gt;&lt;/w:rPr&gt;&lt;/m:ctrlPr&gt;&lt;/m:e&gt;&lt;m:sup&gt;&lt;m:r&gt;&lt;w:rPr&gt;&lt;w:rFonts w:ascii=&quot;Cambria Math&quot; w:fareast=&quot;Times New Roman&quot; w:h-ansi=&quot;Cambria Math&quot;/&gt;&lt;wx:font wx:val=&quot;Cambria Math&quot;/&gt;&lt;w:i/&gt;&lt;/w:rPr&gt;&lt;m:t&gt;2&lt;/m:t&gt;&lt;/m:r&gt;&lt;m:ctrlPr&gt;&lt;w:rPr&gt;&lt;w:rFonts w:ascii=&quot;Cambria Math&quot; w:fareast=&quot;Times New Roman&quot; w:h-ansi=&quot;Cambria Math&quot;/&gt;&lt;wx:font wx:val=&quot;Cambria Math&quot;/&gt;&lt;/w:rPr&gt;&lt;/m:ctrlPr&gt;&lt;/m:sup&gt;&lt;/m:sSup&gt;&lt;/m:fName&gt;&lt;m:e&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t;/m:t&gt;&lt;/m:r&gt;&lt;/m:e&gt;&lt;/m:func&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6&lt;/m:t&gt;&lt;/m:r&gt;&lt;/m:den&gt;&lt;/m:f&gt;&lt;/m:e&gt;&lt;/m:d&gt;&lt;/m:e&gt;&lt;m:sub&gt;&lt;m:r&gt;&lt;w:rPr&gt;&lt;w:rFonts w:ascii=&quot;Cambria Math&quot; w:fareast=&quot;Times New Roman&quot; w:h-ansi=&quot;Cambria Math&quot;/&gt;&lt;wx:font wx:val=&quot;Cambria Math&quot;/&gt;&lt;w:i/&gt;&lt;/w:rPr&gt;&lt;m:t&gt;tâ†’âˆž&lt;/m:t&gt;&lt;/m:r&gt;&lt;/m:sub&gt;&lt;/m:sSub&gt;&lt;m:r&gt;&lt;w:rPr&gt;&lt;w:rFonts w:ascii=&quot;Cambria Math&quot; w:fareast=&quot;Times New Roman&quot; w:h-ansi=&quot;Cambria Math&quot;/&gt;&lt;wx:font wx:val=&quot;Cambria Math&quot;/&gt;&lt;w:i/&gt;&lt;/w:rPr&gt;&lt;m:t&gt;=0-&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func&gt;&lt;m:funcPr&gt;&lt;m:ctrlPr&gt;&lt;w:rPr&gt;&lt;w:rFonts w:ascii=&quot;Cambria Math&quot; w:fareast=&quot;Times New Roman&quot; w:h-ansi=&quot;Cambria Math&quot;/&gt;&lt;wx:font wx:val=&quot;Cambria Math&quot;/&gt;&lt;w:i/&gt;&lt;/w:rPr&gt;&lt;/m:ctrlPr&gt;&lt;/m:funcPr&gt;&lt;m:fName&gt;&lt;m:sSup&gt;&lt;m:sSupPr&gt;&lt;m:ctrlPr&gt;&lt;w:rPr&gt;&lt;w:rFonts w:ascii=&quot;Cambria Math&quot; w:fareast=&quot;Times New Roman&quot; w:h-ansi=&quot;Cambria Math&quot;/&gt;&lt;wx:font wx:val=&quot;Cambria Math&quot;/&gt;&lt;w:i/&gt;&lt;/w:rPr&gt;&lt;/m:ctrlPr&gt;&lt;/m:sSupPr&gt;&lt;m:e&gt;&lt;m:r&gt;&lt;m:rPr&gt;&lt;m:sty m:val=&quot;p&quot;/&gt;&lt;/m:rPr&gt;&lt;w:rPr&gt;&lt;w:rFonts w:ascii=&quot;Cambria Math&quot; w:fareast=&quot;Times New Roman&quot; w:h-ansi=&quot;Cambria Math&quot;/&gt;&lt;wx:font wx:val=&quot;Cambria Math&quot;/&gt;&lt;/w:rPr&gt;&lt;m:t&gt;ln&lt;/m:t&gt;&lt;/m:r&gt;&lt;m:ctrlPr&gt;&lt;w:rPr&gt;&lt;w:rFonts w:ascii=&quot;Cambria Math&quot; w:fareast=&quot;Times New Roman&quot; w:h-ansi=&quot;Cambria Math&quot;/&gt;&lt;wx:font wx:val=&quot;Cambria Math&quot;/&gt;&lt;/w:rPr&gt;&lt;/m:ctrlPr&gt;&lt;/m:e&gt;&lt;m:sup&gt;&lt;m:r&gt;&lt;w:rPr&gt;&lt;w:rFonts w:ascii=&quot;Cambria Math&quot; w:fareast=&quot;Times New Roman&quot; w:h-ansi=&quot;Cambria Math&quot;/&gt;&lt;wx:font wx:val=&quot;Cambria Math&quot;/&gt;&lt;w:i/&gt;&lt;/w:rPr&gt;&lt;m:t&gt;2&lt;/m:t&gt;&lt;/m:r&gt;&lt;m:ctrlPr&gt;&lt;w:rPr&gt;&lt;w:rFonts w:ascii=&quot;Cambria Math&quot; w:fareast=&quot;Times New Roman&quot; w:h-ansi=&quot;Cambria Math&quot;/&gt;&lt;wx:font wx:val=&quot;Cambria Math&quot;/&gt;&lt;/w:rPr&gt;&lt;/m:ctrlPr&gt;&lt;/m:sup&gt;&lt;/m:sSup&gt;&lt;/m:fName&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e&gt;&lt;/m:func&gt;&lt;m:f&gt;&lt;m:fPr&gt;&lt;m:ctrlPr&gt;&lt;w:rPr&gt;&lt;w:rFonts w:ascii=&quot;Cambria Math&quot; w:fareast=&quot;Times New Roman&quot; w:h-ansi=&quot;Cambria Math&quot;/&gt;&lt;wx:font wx:val=&quot;Cambria Math&quot;/&gt;&lt;w:i/&gt;&lt;/w:rPr&gt;&lt;/m:ctrlPr&gt;&lt;/m:fPr&gt;&lt;m:num&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6&lt;/m:t&gt;&lt;/m:r&gt;&lt;/m:den&gt;&lt;/m:f&gt;&lt;/m:oMath&gt;&lt;/m:oMathPara&gt;&lt;/w:p&gt;&lt;w:sectPr wsp:rsidR=&quot;00000000&quot; wsp:rsidRPr=&quot;000A1A17&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5" o:title="" chromakey="white"/>
          </v:shape>
        </w:pict>
      </w:r>
      <w:r w:rsidR="008B3C0B" w:rsidRPr="008B3C0B">
        <w:rPr>
          <w:rFonts w:ascii="Cambria Math" w:eastAsia="Times New Roman" w:hAnsi="Cambria Math"/>
          <w:sz w:val="24"/>
          <w:szCs w:val="24"/>
        </w:rPr>
        <w:br/>
      </w:r>
      <w:r>
        <w:pict>
          <v:shape id="_x0000_i1406" type="#_x0000_t75" style="width:221.55pt;height:31.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5DB&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1345DB&quot; wsp:rsidRDefault=&quot;001345DB&quot; wsp:rsidP=&quot;001345DB&quot;&gt;&lt;m:oMathPara&gt;&lt;m:oMath&gt;&lt;m:limLow&gt;&lt;m:limLowPr&gt;&lt;m:ctrlPr&gt;&lt;w:rPr&gt;&lt;w:rFonts w:ascii=&quot;Cambria Math&quot; w:fareast=&quot;Times New Roman&quot; w:h-ansi=&quot;Cambria Math&quot;/&gt;&lt;wx:font wx:val=&quot;Cambria Math&quot;/&gt;&lt;w:i/&gt;&lt;/w:rPr&gt;&lt;/m:ctrlPr&gt;&lt;/m:limLowPr&gt;&lt;m:e&gt;&lt;m:r&gt;&lt;m:rPr&gt;&lt;m:sty m:val=&quot;p&quot;/&gt;&lt;/m:rPr&gt;&lt;w:rPr&gt;&lt;w:rFonts w:ascii=&quot;Cambria Math&quot; w:h-ansi=&quot;Cambria Math&quot;/&gt;&lt;wx:font wx:val=&quot;Cambria Math&quot;/&gt;&lt;/w:rPr&gt;&lt;m:t&gt;lim&lt;/m:t&gt;&lt;/m:r&gt;&lt;/m:e&gt;&lt;m:lim&gt;&lt;m:r&gt;&lt;w:rPr&gt;&lt;w:rFonts w:ascii=&quot;Cambria Math&quot; w:fareast=&quot;Times New Roman&quot; w:h-ansi=&quot;Cambria Math&quot;/&gt;&lt;wx:font wx:val=&quot;Cambria Math&quot;/&gt;&lt;w:i/&gt;&lt;/w:rPr&gt;&lt;m:t&gt;tâ†’âˆž&lt;/m:t&gt;&lt;/m:r&gt;&lt;/m:lim&gt;&lt;/m:limLow&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m:rPr&gt;&lt;m:sty m:val=&quot;p&quot;/&gt;&lt;/m:rPr&gt;&lt;w:rPr&gt;&lt;w:rFonts w:ascii=&quot;Cambria Math&quot; w:fareast=&quot;Times New Roman&quot; w:h-ansi=&quot;Cambria Math&quot;/&gt;&lt;wx:font wx:val=&quot;Cambria Math&quot;/&gt;&lt;/w:rPr&gt;&lt;m:t&gt;=&lt;/m:t&gt;&lt;/m:r&gt;&lt;m:f&gt;&lt;m:fPr&gt;&lt;m:ctrlPr&gt;&lt;w:rPr&gt;&lt;w:rFonts w:ascii=&quot;Cambria Math&quot; w:fareast=&quot;Times New Roman&quot; w:h-ansi=&quot;Cambria Math&quot;/&gt;&lt;wx:font wx:val=&quot;Cambria Math&quot;/&gt;&lt;w:i/&gt;&lt;w:i-cs/&gt;&lt;/w:rPr&gt;&lt;/m:ctrlPr&gt;&lt;/m:fPr&gt;&lt;m:num&gt;&lt;m:r&gt;&lt;m:rPr&gt;&lt;m:sty m:val=&quot;p&quot;/&gt;&lt;/m:rPr&gt;&lt;w:rPr&gt;&lt;w:rFonts w:ascii=&quot;Cambria Math&quot; w:fareast=&quot;Times New Roman&quot; w:h-ansi=&quot;Cambria Math&quot;/&gt;&lt;wx:font wx:val=&quot;Cambria Math&quot;/&gt;&lt;/w:rPr&gt;&lt;m:t&gt;-3&lt;/m:t&gt;&lt;/m:r&gt;&lt;m:func&gt;&lt;m:funcPr&gt;&lt;m:ctrlPr&gt;&lt;w:rPr&gt;&lt;w:rFonts w:ascii=&quot;Cambria Math&quot; w:fareast=&quot;Times New Roman&quot; w:h-ansi=&quot;Cambria Math&quot;/&gt;&lt;wx:font wx:val=&quot;Cambria Math&quot;/&gt;&lt;/w:rPr&gt;&lt;/m:ctrlPr&gt;&lt;/m:funcPr&gt;&lt;m:fName&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ln&lt;/m:t&gt;&lt;/m:r&gt;&lt;/m:e&gt;&lt;m:sup&gt;&lt;m:r&gt;&lt;m:rPr&gt;&lt;m:sty m:val=&quot;p&quot;/&gt;&lt;/m:rPr&gt;&lt;w:rPr&gt;&lt;w:rFonts w:ascii=&quot;Cambria Math&quot; w:fareast=&quot;Times New Roman&quot; w:h-ansi=&quot;Cambria Math&quot;/&gt;&lt;wx:font wx:val=&quot;Cambria Math&quot;/&gt;&lt;/w:rPr&gt;&lt;m:t&gt;2&lt;/m:t&gt;&lt;/m:r&gt;&lt;/m:sup&gt;&lt;/m:sSup&gt;&lt;/m:fName&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lt;/m:t&gt;&lt;/m:r&gt;&lt;/m:e&gt;&lt;m:sup&gt;&lt;m:r&gt;&lt;w:rPr&gt;&lt;w:rFonts w:ascii=&quot;Cambria Math&quot; w:fareast=&quot;Times New Roman&quot; w:h-ansi=&quot;Cambria Math&quot;/&gt;&lt;wx:font wx:val=&quot;Cambria Math&quot;/&gt;&lt;w:i/&gt;&lt;/w:rPr&gt;&lt;m:t&gt;2&lt;/m:t&gt;&lt;/m:r&gt;&lt;/m:sup&gt;&lt;/m:sSup&gt;&lt;m:ctrlPr&gt;&lt;w:rPr&gt;&lt;w:rFonts w:ascii=&quot;Cambria Math&quot; w:fareast=&quot;Times New Roman&quot; w:h-ansi=&quot;Cambria Math&quot;/&gt;&lt;wx:font wx:val=&quot;Cambria Math&quot;/&gt;&lt;w:i/&gt;&lt;/w:rPr&gt;&lt;/m:ctrlPr&gt;&lt;/m:e&gt;&lt;/m:func&gt;&lt;m:ctrlPr&gt;&lt;w:rPr&gt;&lt;w:rFonts w:ascii=&quot;Cambria Math&quot; w:fareast=&quot;Times New Roman&quot; w:h-ansi=&quot;Cambria Math&quot;/&gt;&lt;wx:font wx:val=&quot;Cambria Math&quot;/&gt;&lt;/w:rPr&gt;&lt;/m:ctrlPr&gt;&lt;/m:num&gt;&lt;m:den&gt;&lt;m:r&gt;&lt;w:rPr&gt;&lt;w:rFonts w:ascii=&quot;Cambria Math&quot; w:fareast=&quot;Times New Roman&quot; w:h-ansi=&quot;Cambria Math&quot;/&gt;&lt;wx:font wx:val=&quot;Cambria Math&quot;/&gt;&lt;w:i/&gt;&lt;/w:rPr&gt;&lt;m:t&gt;6&lt;/m:t&gt;&lt;/m:r&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oMath&gt;&lt;/m:oMathPara&gt;&lt;/w:p&gt;&lt;w:sectPr wsp:rsidR=&quot;00000000&quot; wsp:rsidRPr=&quot;001345DB&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6" o:title="" chromakey="white"/>
          </v:shape>
        </w:pict>
      </w:r>
      <w:r w:rsidR="008B3C0B" w:rsidRPr="008B3C0B">
        <w:rPr>
          <w:rFonts w:ascii="Cambria Math" w:eastAsia="Times New Roman" w:hAnsi="Cambria Math"/>
          <w:sz w:val="24"/>
          <w:szCs w:val="24"/>
        </w:rPr>
        <w:br/>
      </w:r>
      <w:r>
        <w:pict>
          <v:shape id="_x0000_i1407" type="#_x0000_t75" style="width:397.7pt;height:49.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4330&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E14330&quot; wsp:rsidRDefault=&quot;00E14330&quot; wsp:rsidP=&quot;00E14330&quot;&gt;&lt;m:oMathPara&gt;&lt;m:oMath&gt;&lt;m:r&gt;&lt;m:rPr&gt;&lt;m:sty m:val=&quot;p&quot;/&gt;&lt;/m:rPr&gt;&lt;w:rPr&gt;&lt;w:rFonts w:ascii=&quot;Cambria Math&quot; w:h-ansi=&quot;Cambria Math&quot;/&gt;&lt;wx:font wx:val=&quot;Cambria Math&quot;/&gt;&lt;/w:rPr&gt;&lt;m:t&gt;By Property &lt;/m:t&gt;&lt;/m:r&gt;&lt;m:r&gt;&lt;m:rPr&gt;&lt;m:sty m:val=&quot;b&quot;/&gt;&lt;/m:rPr&gt;&lt;w:rPr&gt;&lt;w:rFonts w:ascii=&quot;Cambria Math&quot; w:fareast=&quot;Times New Roman&quot; w:h-ansi=&quot;Cambria Math&quot;/&gt;&lt;wx:font wx:val=&quot;Cambria Math&quot;/&gt;&lt;w:b/&gt;&lt;/w:rPr&gt;&lt;m:t&gt;P&lt;/m:t&gt;&lt;/m:r&gt;&lt;m:d&gt;&lt;m:dPr&gt;&lt;m:ctrlPr&gt;&lt;w:rPr&gt;&lt;w:rFonts w:ascii=&quot;Cambria Math&quot; w:fareast=&quot;Times New Roman&quot; w:h-ansi=&quot;Cambria Math&quot;/&gt;&lt;wx:font wx:val=&quot;Cambria Math&quot;/&gt;&lt;w:b/&gt;&lt;w:b-cs/&gt;&lt;w:i-cs/&gt;&lt;/w:rPr&gt;&lt;/m:ctrlPr&gt;&lt;/m:dPr&gt;&lt;m:e&gt;&lt;m:r&gt;&lt;m:rPr&gt;&lt;m:sty m:val=&quot;b&quot;/&gt;&lt;/m:rPr&gt;&lt;w:rPr&gt;&lt;w:rFonts w:ascii=&quot;Cambria Math&quot; w:fareast=&quot;Times New Roman&quot; w:h-ansi=&quot;Cambria Math&quot;/&gt;&lt;wx:font wx:val=&quot;Cambria Math&quot;/&gt;&lt;w:b/&gt;&lt;/w:rPr&gt;&lt;m:t&gt;2&lt;/m:t&gt;&lt;/m:r&gt;&lt;/m:e&gt;&lt;/m:d&gt;&lt;m:r&gt;&lt;m:rPr&gt;&lt;m:sty m:val=&quot;p&quot;/&gt;&lt;/m:rPr&gt;&lt;w:rPr&gt;&lt;w:rFonts w:ascii=&quot;Cambria Math&quot; w:fareast=&quot;Times New Roman&quot; w:h-ansi=&quot;Cambria Math&quot;/&gt;&lt;wx:font wx:val=&quot;Cambria Math&quot;/&gt;&lt;/w:rPr&gt;&lt;m:t&gt; &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lt;/m:t&gt;&lt;/m:r&gt;&lt;/m:den&gt;&lt;/m:f&gt;&lt;m:r&gt;&lt;w:rPr&gt;&lt;w:rFonts w:ascii=&quot;Cambria Math&quot; w:fareast=&quot;Times New Roman&quot; w:h-ansi=&quot;Cambria Math&quot;/&gt;&lt;wx:font wx:val=&quot;Cambria Math&quot;/&gt;&lt;w:i/&gt;&lt;/w:rPr&gt;&lt;m:t&gt;=1&lt;/m:t&gt;&lt;/m:r&gt;&lt;/m:e&gt;&lt;/m:nary&gt;&lt;m:r&gt;&lt;m:rPr&gt;&lt;m:sty m:val=&quot;p&quot;/&gt;&lt;/m:rPr&gt;&lt;w:rPr&gt;&lt;w:rFonts w:ascii=&quot;Cambria Math&quot; w:fareast=&quot;Times New Roman&quot; w:h-ansi=&quot;Cambria Math&quot;/&gt;&lt;wx:font wx:val=&quot;Cambria Math&quot;/&gt;&lt;/w:rPr&gt;&lt;m:t&gt;â‡’&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sSup&gt;&lt;m:sSupPr&gt;&lt;m:ctrlPr&gt;&lt;w:rPr&gt;&lt;w:rFonts w:ascii=&quot;Cambria Math&quot; w:fareast=&quot;Times New Roman&quot; w:h-ansi=&quot;Cambria Math&quot;/&gt;&lt;wx:font wx:val=&quot;Cambria Math&quot;/&gt;&lt;w:i/&gt;&lt;/w:rPr&gt;&lt;/m:ctrlPr&gt;&lt;/m:sSup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lt;/m:t&gt;&lt;/m:r&gt;&lt;/m:den&gt;&lt;/m:f&gt;&lt;m:r&gt;&lt;w:rPr&gt;&lt;w:rFonts w:ascii=&quot;Cambria Math&quot; w:fareast=&quot;Times New Roman&quot; w:h-ansi=&quot;Cambria Math&quot;/&gt;&lt;wx:font wx:val=&quot;Cambria Math&quot;/&gt;&lt;w:i/&gt;&lt;/w:rPr&gt;&lt;m:t&gt;=&lt;/m:t&gt;&lt;/m:r&gt;&lt;/m:e&gt;&lt;/m:nary&gt;&lt;m:sSup&gt;&lt;m:sSupPr&gt;&lt;m:ctrlPr&gt;&lt;w:rPr&gt;&lt;w:rFonts w:ascii=&quot;Cambria Math&quot; w:fareast=&quot;Times New Roman&quot; w:h-ansi=&quot;Cambria Math&quot;/&gt;&lt;wx:font wx:val=&quot;Cambria Math&quot;/&gt;&lt;w:i/&gt;&lt;/w:rPr&gt;&lt;/m:ctrlPr&gt;&lt;/m:sSup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oMath&gt;&lt;/m:oMathPara&gt;&lt;/w:p&gt;&lt;w:sectPr wsp:rsidR=&quot;00000000&quot; wsp:rsidRPr=&quot;00E1433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7" o:title="" chromakey="white"/>
          </v:shape>
        </w:pict>
      </w:r>
    </w:p>
    <w:p w:rsidR="008B3C0B" w:rsidRPr="008B3C0B" w:rsidRDefault="008B3C0B" w:rsidP="008B3C0B">
      <w:pPr>
        <w:pStyle w:val="ListParagraph"/>
        <w:tabs>
          <w:tab w:val="left" w:pos="360"/>
          <w:tab w:val="left" w:pos="450"/>
        </w:tabs>
        <w:spacing w:after="0" w:line="240" w:lineRule="auto"/>
        <w:ind w:left="0"/>
        <w:rPr>
          <w:rFonts w:ascii="Cambria Math" w:eastAsia="Times New Roman" w:hAnsi="Cambria Math"/>
          <w:sz w:val="24"/>
          <w:szCs w:val="24"/>
        </w:rPr>
      </w:pPr>
    </w:p>
    <w:p w:rsidR="008B3C0B" w:rsidRPr="008B3C0B" w:rsidRDefault="009A08FE" w:rsidP="008B3C0B">
      <w:pPr>
        <w:pStyle w:val="ListParagraph"/>
        <w:tabs>
          <w:tab w:val="left" w:pos="360"/>
          <w:tab w:val="left" w:pos="450"/>
        </w:tabs>
        <w:spacing w:after="0" w:line="240" w:lineRule="auto"/>
        <w:ind w:left="0"/>
        <w:rPr>
          <w:rFonts w:ascii="Cambria Math" w:eastAsia="Times New Roman" w:hAnsi="Cambria Math"/>
          <w:sz w:val="24"/>
          <w:szCs w:val="24"/>
        </w:rPr>
      </w:pPr>
      <w:r>
        <w:pict>
          <v:shape id="_x0000_i1408" type="#_x0000_t75" style="width:364.3pt;height:4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2730&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922730&quot; wsp:rsidRDefault=&quot;00922730&quot; wsp:rsidP=&quot;00922730&quot;&gt;&lt;m:oMathPara&gt;&lt;m:oMathParaPr&gt;&lt;m:jc m:val=&quot;left&quot;/&gt;&lt;/m:oMathParaPr&gt;&lt;m:oMath&gt;&lt;m:r&gt;&lt;m:rPr&gt;&lt;m:sty m:val=&quot;p&quot;/&gt;&lt;/m:rPr&gt;&lt;w:rPr&gt;&lt;w:rFonts w:ascii=&quot;Cambria Math&quot; w:fareast=&quot;Times New Roman&quot; w:h-ansi=&quot;Cambria Math&quot;/&gt;&lt;wx:font wx:val=&quot;Cambria Math&quot;/&gt;&lt;/w:rPr&gt;&lt;m:t&gt;Expanding&lt;/m:t&gt;&lt;/m:r&gt;&lt;m:r&gt;&lt;w:rPr&gt;&lt;w:rFonts w:ascii=&quot;Cambria Math&quot; w:fareast=&quot;Times New Roman&quot; w:h-ansi=&quot;Cambria Math&quot;/&gt;&lt;wx:font wx:val=&quot;Cambria Math&quot;/&gt;&lt;w:i/&gt;&lt;/w:rPr&gt;&lt;m:t&gt;, I=-&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2&lt;/m:t&gt;&lt;/m:r&gt;&lt;m:d&gt;&lt;m:dPr&gt;&lt;m:begChr m:val=&quot;[&quot;/&gt;&lt;m:endChr m:val=&quot;]&quot;/&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r&gt;&lt;w:rPr&gt;&lt;w:rFonts w:ascii=&quot;Cambria Math&quot; w:fareast=&quot;Times New Roman&quot; w:h-ansi=&quot;Cambria Math&quot;/&gt;&lt;wx:font wx:val=&quot;Cambria Math&quot;/&gt;&lt;w:i/&gt;&lt;/w:rPr&gt;&lt;m:t&gt;2&lt;/m:t&gt;&lt;/m:r&gt;&lt;/m:den&gt;&lt;/m:f&gt;&lt;m:d&gt;&lt;m:dPr&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d&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d&gt;&lt;m:dPr&gt;&lt;m:ctrlPr&gt;&lt;w:rPr&gt;&lt;w:rFonts w:ascii=&quot;Cambria Math&quot; w:fareast=&quot;Times New Roman&quot; w:h-ansi=&quot;Cambria Math&quot;/&gt;&lt;wx:font wx:val=&quot;Cambria Math&quot;/&gt;&lt;w:i/&gt;&lt;/w:rPr&gt;&lt;/m:ctrlPr&gt;&lt;/m:dPr&gt;&lt;m:e&gt;&lt;m:r&gt;&lt;m:rPr&gt;&lt;m:sty m:val=&quot;p&quot;/&gt;&lt;/m:rPr&gt;&lt;w:rPr&gt;&lt;w:rFonts w:ascii=&quot;Cambria Math&quot; w:fareast=&quot;Times New Roman&quot; w:h-ansi=&quot;Cambria Math&quot;/&gt;&lt;wx:font wx:val=&quot;Cambria Math&quot;/&gt;&lt;/w:rPr&gt;&lt;m:t&gt;-3&lt;/m:t&gt;&lt;/m:r&gt;&lt;m:func&gt;&lt;m:funcPr&gt;&lt;m:ctrlPr&gt;&lt;w:rPr&gt;&lt;w:rFonts w:ascii=&quot;Cambria Math&quot; w:fareast=&quot;Times New Roman&quot; w:h-ansi=&quot;Cambria Math&quot;/&gt;&lt;wx:font wx:val=&quot;Cambria Math&quot;/&gt;&lt;/w:rPr&gt;&lt;/m:ctrlPr&gt;&lt;/m:funcPr&gt;&lt;m:fName&gt;&lt;m:sSup&gt;&lt;m:sSupPr&gt;&lt;m:ctrlPr&gt;&lt;w:rPr&gt;&lt;w:rFonts w:ascii=&quot;Cambria Math&quot; w:fareast=&quot;Times New Roman&quot; w:h-ansi=&quot;Cambria Math&quot;/&gt;&lt;wx:font wx:val=&quot;Cambria Math&quot;/&gt;&lt;/w:rPr&gt;&lt;/m:ctrlPr&gt;&lt;/m:sSupPr&gt;&lt;m:e&gt;&lt;m:r&gt;&lt;m:rPr&gt;&lt;m:sty m:val=&quot;p&quot;/&gt;&lt;/m:rPr&gt;&lt;w:rPr&gt;&lt;w:rFonts w:ascii=&quot;Cambria Math&quot; w:fareast=&quot;Times New Roman&quot; w:h-ansi=&quot;Cambria Math&quot;/&gt;&lt;wx:font wx:val=&quot;Cambria Math&quot;/&gt;&lt;/w:rPr&gt;&lt;m:t&gt;ln&lt;/m:t&gt;&lt;/m:r&gt;&lt;/m:e&gt;&lt;m:sup&gt;&lt;m:r&gt;&lt;m:rPr&gt;&lt;m:sty m:val=&quot;p&quot;/&gt;&lt;/m:rPr&gt;&lt;w:rPr&gt;&lt;w:rFonts w:ascii=&quot;Cambria Math&quot; w:fareast=&quot;Times New Roman&quot; w:h-ansi=&quot;Cambria Math&quot;/&gt;&lt;wx:font wx:val=&quot;Cambria Math&quot;/&gt;&lt;/w:rPr&gt;&lt;m:t&gt;2&lt;/m:t&gt;&lt;/m:r&gt;&lt;/m:sup&gt;&lt;/m:sSup&gt;&lt;/m:fName&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lt;/m:t&gt;&lt;/m:r&gt;&lt;/m:e&gt;&lt;m:sup&gt;&lt;m:r&gt;&lt;w:rPr&gt;&lt;w:rFonts w:ascii=&quot;Cambria Math&quot; w:fareast=&quot;Times New Roman&quot; w:h-ansi=&quot;Cambria Math&quot;/&gt;&lt;wx:font wx:val=&quot;Cambria Math&quot;/&gt;&lt;w:i/&gt;&lt;/w:rPr&gt;&lt;m:t&gt;2&lt;/m:t&gt;&lt;/m:r&gt;&lt;/m:sup&gt;&lt;/m:sSup&gt;&lt;m:ctrlPr&gt;&lt;w:rPr&gt;&lt;w:rFonts w:ascii=&quot;Cambria Math&quot; w:fareast=&quot;Times New Roman&quot; w:h-ansi=&quot;Cambria Math&quot;/&gt;&lt;wx:font wx:val=&quot;Cambria Math&quot;/&gt;&lt;w:i/&gt;&lt;/w:rPr&gt;&lt;/m:ctrlPr&gt;&lt;/m:e&gt;&lt;/m:func&gt;&lt;m:ctrlPr&gt;&lt;w:rPr&gt;&lt;w:rFonts w:ascii=&quot;Cambria Math&quot; w:fareast=&quot;Times New Roman&quot; w:h-ansi=&quot;Cambria Math&quot;/&gt;&lt;wx:font wx:val=&quot;Cambria Math&quot;/&gt;&lt;w:i/&gt;&lt;w:i-cs/&gt;&lt;/w:rPr&gt;&lt;/m:ctrlPr&gt;&lt;/m:e&gt;&lt;/m:d&gt;&lt;/m:num&gt;&lt;m:den&gt;&lt;m:r&gt;&lt;w:rPr&gt;&lt;w:rFonts w:ascii=&quot;Cambria Math&quot; w:fareast=&quot;Times New Roman&quot; w:h-ansi=&quot;Cambria Math&quot;/&gt;&lt;wx:font wx:val=&quot;Cambria Math&quot;/&gt;&lt;w:i/&gt;&lt;/w:rPr&gt;&lt;m:t&gt;6&lt;/m:t&gt;&lt;/m:r&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lt;/m:t&gt;&lt;/m:r&gt;&lt;/m:den&gt;&lt;/m:f&gt;&lt;/m:e&gt;&lt;/m:nary&gt;&lt;m:r&gt;&lt;w:rPr&gt;&lt;w:rFonts w:ascii=&quot;Cambria Math&quot; w:fareast=&quot;Times New Roman&quot; w:h-ansi=&quot;Cambria Math&quot;/&gt;&lt;wx:font wx:val=&quot;Cambria Math&quot;/&gt;&lt;w:i/&gt;&lt;/w:rPr&gt;&lt;m:t&gt; &lt;/m:t&gt;&lt;/m:r&gt;&lt;m:ctrlPr&gt;&lt;w:rPr&gt;&lt;w:rFonts w:ascii=&quot;Cambria Math&quot; w:fareast=&quot;Times New Roman&quot; w:h-ansi=&quot;Cambria Math&quot;/&gt;&lt;wx:font wx:val=&quot;Cambria Math&quot;/&gt;&lt;w:i/&gt;&lt;w:i-cs/&gt;&lt;/w:rPr&gt;&lt;/m:ctrlPr&gt;&lt;/m:e&gt;&lt;/m:d&gt;&lt;/m:oMath&gt;&lt;/m:oMathPara&gt;&lt;/w:p&gt;&lt;w:sectPr wsp:rsidR=&quot;00000000&quot; wsp:rsidRPr=&quot;0092273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8" o:title="" chromakey="white"/>
          </v:shape>
        </w:pict>
      </w:r>
    </w:p>
    <w:p w:rsidR="008B3C0B" w:rsidRPr="008B3C0B" w:rsidRDefault="009A08FE" w:rsidP="008B3C0B">
      <w:pPr>
        <w:pStyle w:val="ListParagraph"/>
        <w:tabs>
          <w:tab w:val="left" w:pos="360"/>
          <w:tab w:val="left" w:pos="450"/>
        </w:tabs>
        <w:spacing w:after="0" w:line="240" w:lineRule="auto"/>
        <w:ind w:left="0"/>
        <w:rPr>
          <w:rFonts w:ascii="Cambria Math" w:eastAsia="Times New Roman" w:hAnsi="Cambria Math"/>
          <w:sz w:val="24"/>
          <w:szCs w:val="24"/>
        </w:rPr>
      </w:pPr>
      <w:r>
        <w:pict>
          <v:shape id="_x0000_i1409" type="#_x0000_t75" style="width:291.85pt;height:4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2109&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982109&quot; wsp:rsidRDefault=&quot;00982109&quot; wsp:rsidP=&quot;00982109&quot;&gt;&lt;m:oMathPara&gt;&lt;m:oMathParaPr&gt;&lt;m:jc m:val=&quot;left&quot;/&gt;&lt;/m:oMathParaPr&gt;&lt;m:oMath&gt;&lt;m:r&gt;&lt;m:rPr&gt;&lt;m:sty m:val=&quot;p&quot;/&gt;&lt;/m:rPr&gt;&lt;w:rPr&gt;&lt;w:rFonts w:ascii=&quot;Cambria Math&quot; w:fareast=&quot;Times New Roman&quot; w:h-ansi=&quot;Cambria Math&quot;/&gt;&lt;wx:font wx:val=&quot;Cambria Math&quot;/&gt;&lt;/w:rPr&gt;&lt;m:t&gt;Simplifying &lt;/m:t&gt;&lt;/m:r&gt;&lt;m:r&gt;&lt;w:rPr&gt;&lt;w:rFonts w:ascii=&quot;Cambria Math&quot; w:fareast=&quot;Times New Roman&quot; w:h-ansi=&quot;Cambria Math&quot;/&gt;&lt;wx:font wx:val=&quot;Cambria Math&quot;/&gt;&lt;w:i/&gt;&lt;/w:rPr&gt;&lt;m:t&gt;: I=&lt;/m:t&gt;&lt;/m:r&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b-cs/&gt;&lt;w:i/&gt;&lt;/w:rPr&gt;&lt;/m:ctrlPr&gt;&lt;/m:dPr&gt;&lt;m:e&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Î·&lt;/m:t&gt;&lt;/m:r&gt;&lt;/m:e&gt;&lt;m:sup&gt;&lt;m:r&gt;&lt;w:rPr&gt;&lt;w:rFonts w:ascii=&quot;Cambria Math&quot; w:h-ansi=&quot;Cambria Math&quot;/&gt;&lt;wx:font wx:val=&quot;Cambria Math&quot;/&gt;&lt;w:i/&gt;&lt;/w:rPr&gt;&lt;m:t&gt;2&lt;/m:t&gt;&lt;/m:r&gt;&lt;/m:sup&gt;&lt;/m:sSup&gt;&lt;/m:e&gt;&lt;/m:d&gt;&lt;m:r&gt;&lt;w:rPr&gt;&lt;w:rFonts w:ascii=&quot;Cambria Math&quot; w:h-ansi=&quot;Cambria Math&quot;/&gt;&lt;wx:font wx:val=&quot;Cambria Math&quot;/&gt;&lt;w:i/&gt;&lt;/w:rPr&gt;&lt;m:t&gt;=&lt;/m:t&gt;&lt;/m:r&gt;&lt;m:sSup&gt;&lt;m:sSupPr&gt;&lt;m:ctrlPr&gt;&lt;w:rPr&gt;&lt;w:rFonts w:ascii=&quot;Cambria Math&quot; w:fareast=&quot;Times New Roman&quot; w:h-ansi=&quot;Cambria Math&quot;/&gt;&lt;wx:font wx:val=&quot;Cambria Math&quot;/&gt;&lt;w:b-cs/&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ary&gt;&lt;m:naryPr&gt;&lt;m:chr m:val=&quot;âˆ‘&quot;/&gt;&lt;m:limLoc m:val=&quot;undOvr&quot;/&gt;&lt;m:ctrlPr&gt;&lt;w:rPr&gt;&lt;w:rFonts w:ascii=&quot;Cambria Math&quot; w:h-ansi=&quot;Cambria Math&quot;/&gt;&lt;wx:font wx:val=&quot;Cambria Math&quot;/&gt;&lt;w:b-cs/&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b-cs/&gt;&lt;w:i/&gt;&lt;/w:rPr&gt;&lt;/m:ctrlPr&gt;&lt;/m:dPr&gt;&lt;m:e&gt;&lt;m:f&gt;&lt;m:fPr&gt;&lt;m:ctrlPr&gt;&lt;w:rPr&gt;&lt;w:rFonts w:ascii=&quot;Cambria Math&quot; w:fareast=&quot;Times New Roman&quot; w:h-ansi=&quot;Cambria Math&quot;/&gt;&lt;wx:font wx:val=&quot;Cambria Math&quot;/&gt;&lt;w:b-cs/&gt;&lt;w:i/&gt;&lt;/w:rPr&gt;&lt;/m:ctrlPr&gt;&lt;/m:fPr&gt;&lt;m:num&gt;&lt;m:sSubSup&gt;&lt;m:sSubSupPr&gt;&lt;m:ctrlPr&gt;&lt;w:rPr&gt;&lt;w:rFonts w:ascii=&quot;Cambria Math&quot; w:fareast=&quot;Times New Roman&quot; w:h-ansi=&quot;Cambria Math&quot;/&gt;&lt;wx:font wx:val=&quot;Cambria Math&quot;/&gt;&lt;w:b-cs/&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3&lt;/m:t&gt;&lt;/m:r&gt;&lt;m:func&gt;&lt;m:funcPr&gt;&lt;m:ctrlPr&gt;&lt;w:rPr&gt;&lt;w:rFonts w:ascii=&quot;Cambria Math&quot; w:fareast=&quot;Times New Roman&quot; w:h-ansi=&quot;Cambria Math&quot;/&gt;&lt;wx:font wx:val=&quot;Cambria Math&quot;/&gt;&lt;w:b-cs/&gt;&lt;w:i/&gt;&lt;/w:rPr&gt;&lt;/m:ctrlPr&gt;&lt;/m:funcPr&gt;&lt;m:fName&gt;&lt;m:sSup&gt;&lt;m:sSupPr&gt;&lt;m:ctrlPr&gt;&lt;w:rPr&gt;&lt;w:rFonts w:ascii=&quot;Cambria Math&quot; w:fareast=&quot;Times New Roman&quot; w:h-ansi=&quot;Cambria Math&quot;/&gt;&lt;wx:font wx:val=&quot;Cambria Math&quot;/&gt;&lt;w:b-cs/&gt;&lt;w:i/&gt;&lt;/w:rPr&gt;&lt;/m:ctrlPr&gt;&lt;/m:sSupPr&gt;&lt;m:e&gt;&lt;m:r&gt;&lt;m:rPr&gt;&lt;m:sty m:val=&quot;p&quot;/&gt;&lt;/m:rPr&gt;&lt;w:rPr&gt;&lt;w:rFonts w:ascii=&quot;Cambria Math&quot; w:fareast=&quot;Times New Roman&quot; w:h-ansi=&quot;Cambria Math&quot;/&gt;&lt;wx:font wx:val=&quot;Cambria Math&quot;/&gt;&lt;/w:rPr&gt;&lt;m:t&gt;ln&lt;/m:t&gt;&lt;/m:r&gt;&lt;m:ctrlPr&gt;&lt;w:rPr&gt;&lt;w:rFonts w:ascii=&quot;Cambria Math&quot; w:fareast=&quot;Times New Roman&quot; w:h-ansi=&quot;Cambria Math&quot;/&gt;&lt;wx:font wx:val=&quot;Cambria Math&quot;/&gt;&lt;w:b-cs/&gt;&lt;/w:rPr&gt;&lt;/m:ctrlPr&gt;&lt;/m:e&gt;&lt;m:sup&gt;&lt;m:r&gt;&lt;w:rPr&gt;&lt;w:rFonts w:ascii=&quot;Cambria Math&quot; w:fareast=&quot;Times New Roman&quot; w:h-ansi=&quot;Cambria Math&quot;/&gt;&lt;wx:font wx:val=&quot;Cambria Math&quot;/&gt;&lt;w:i/&gt;&lt;/w:rPr&gt;&lt;m:t&gt;2&lt;/m:t&gt;&lt;/m:r&gt;&lt;m:ctrlPr&gt;&lt;w:rPr&gt;&lt;w:rFonts w:ascii=&quot;Cambria Math&quot; w:fareast=&quot;Times New Roman&quot; w:h-ansi=&quot;Cambria Math&quot;/&gt;&lt;wx:font wx:val=&quot;Cambria Math&quot;/&gt;&lt;w:b-cs/&gt;&lt;/w:rPr&gt;&lt;/m:ctrlPr&gt;&lt;/m:sup&gt;&lt;/m:sSup&gt;&lt;/m:fName&gt;&lt;m:e&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func&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b-cs/&gt;&lt;w:i/&gt;&lt;/w:rPr&gt;&lt;/m:ctrlPr&gt;&lt;/m:sSupPr&gt;&lt;m:e&gt;&lt;m:r&gt;&lt;w:rPr&gt;&lt;w:rFonts w:ascii=&quot;Cambria Math&quot; w:fareast=&quot;Times New Roman&quot; w:h-ansi=&quot;Cambria Math&quot;/&gt;&lt;wx:font wx:val=&quot;Cambria Math&quot;/&gt;&lt;w:i/&gt;&lt;/w:rPr&gt;&lt;m:t&gt;Ï€&lt;/m:t&gt;&lt;/m:r&gt;&lt;/m:e&gt;&lt;m:sup&gt;&lt;m:r&gt;&lt;w:rPr&gt;&lt;w:rFonts w:ascii=&quot;Cambria Math&quot; w:fareast=&quot;Times New Roman&quot; w:h-ansi=&quot;Cambria Math&quot;/&gt;&lt;wx:font wx:val=&quot;Cambria Math&quot;/&gt;&lt;w:i/&gt;&lt;/w:rPr&gt;&lt;m:t&gt;2&lt;/m:t&gt;&lt;/m:r&gt;&lt;/m:sup&gt;&lt;/m:sSup&gt;&lt;/m:e&gt;&lt;/m:d&gt;&lt;/m:num&gt;&lt;m:den&gt;&lt;m:r&gt;&lt;w:rPr&gt;&lt;w:rFonts w:ascii=&quot;Cambria Math&quot; w:fareast=&quot;Times New Roman&quot; w:h-ansi=&quot;Cambria Math&quot;/&gt;&lt;wx:font wx:val=&quot;Cambria Math&quot;/&gt;&lt;w:i/&gt;&lt;/w:rPr&gt;&lt;m:t&gt;3&lt;/m:t&gt;&lt;/m:r&gt;&lt;m:nary&gt;&lt;m:naryPr&gt;&lt;m:chr m:val=&quot;âˆ&quot;/&gt;&lt;m:limLoc m:val=&quot;undOvr&quot;/&gt;&lt;m:ctrlPr&gt;&lt;w:rPr&gt;&lt;w:rFonts w:ascii=&quot;Cambria Math&quot; w:h-ansi=&quot;Cambria Math&quot;/&gt;&lt;wx:font wx:val=&quot;Cambria Math&quot;/&gt;&lt;w:b-cs/&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nary&gt;&lt;m:r&gt;&lt;w:rPr&gt;&lt;w:rFonts w:ascii=&quot;Cambria Math&quot; w:h-ansi=&quot;Cambria Math&quot;/&gt;&lt;wx:font wx:val=&quot;Cambria Math&quot;/&gt;&lt;w:i/&gt;&lt;/w:rPr&gt;&lt;m:t&gt;)&lt;/m:t&gt;&lt;/m:r&gt;&lt;/m:den&gt;&lt;/m:f&gt;&lt;/m:e&gt;&lt;/m:d&gt;&lt;m:r&gt;&lt;w:rPr&gt;&lt;w:rFonts w:ascii=&quot;Cambria Math&quot; w:h-ansi=&quot;Cambria Math&quot;/&gt;&lt;wx:font wx:val=&quot;Cambria Math&quot;/&gt;&lt;w:i/&gt;&lt;/w:rPr&gt;&lt;m:t&gt; &lt;/m:t&gt;&lt;/m:r&gt;&lt;/m:e&gt;&lt;/m:nary&gt;&lt;m:r&gt;&lt;m:rPr&gt;&lt;m:sty m:val=&quot;p&quot;/&gt;&lt;/m:rPr&gt;&lt;w:rPr&gt;&lt;w:rFonts w:ascii=&quot;Cambria Math&quot; w:fareast=&quot;Times New Roman&quot;/&gt;&lt;wx:font wx:val=&quot;Cambria Math&quot;/&gt;&lt;/w:rPr&gt;&lt;m:t&gt;,&lt;/m:t&gt;&lt;/m:r&gt;&lt;/m:oMath&gt;&lt;/m:oMathPara&gt;&lt;/w:p&gt;&lt;w:sectPr wsp:rsidR=&quot;00000000&quot; wsp:rsidRPr=&quot;00982109&quot;&gt;&lt;w:pgSz w:w=&quot;12240&quot; w:h=&quot;15840&quot;/&gt;&lt;w:pgMar w:top=&quot;1440&quot; w:right=&quot;1440&quot; w:bottom=&quot;1440&quot; w:left=&quot;1440&quot; w:header=&quot;720&quot; w:footer=&quot;720&quot; w:gutter=&quot;0&quot;/&gt;&lt;w:cols w:space=&quot;720&quot;/&gt;&lt;/w:sectPr&gt;&lt;/wx:sect&gt;&lt;/w:body&gt;&lt;/w:wordDocument&gt;">
            <v:imagedata r:id="rId659" o:title="" chromakey="white"/>
          </v:shape>
        </w:pict>
      </w:r>
      <w:r w:rsidR="008B3C0B" w:rsidRPr="008B3C0B">
        <w:rPr>
          <w:rFonts w:ascii="Times New Roman" w:eastAsia="Times New Roman" w:hAnsi="Times New Roman"/>
          <w:sz w:val="24"/>
          <w:szCs w:val="24"/>
        </w:rPr>
        <w:br/>
      </w:r>
    </w:p>
    <w:p w:rsidR="008B3C0B" w:rsidRPr="008B3C0B" w:rsidRDefault="008B3C0B" w:rsidP="008B3C0B">
      <w:r w:rsidRPr="00833E55">
        <w:rPr>
          <w:rFonts w:ascii="Cambria Math" w:hAnsi="Cambria Math"/>
        </w:rPr>
        <w:lastRenderedPageBreak/>
        <w:t xml:space="preserve">and </w:t>
      </w:r>
      <w:r w:rsidRPr="00EF758A">
        <w:fldChar w:fldCharType="begin"/>
      </w:r>
      <w:r w:rsidRPr="00EF758A">
        <w:instrText xml:space="preserve"> QUOTE </w:instrText>
      </w:r>
      <w:r w:rsidR="009A08FE">
        <w:rPr>
          <w:position w:val="-28"/>
        </w:rPr>
        <w:pict>
          <v:shape id="_x0000_i1410" type="#_x0000_t75" style="width:278.55pt;height:37.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2AA&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F702AA&quot; wsp:rsidP=&quot;00F702AA&quot;&gt;&lt;m:oMathPara&gt;&lt;m:oMath&gt;&lt;m:r&gt;&lt;w:rPr&gt;&lt;w:rFonts w:ascii=&quot;Cambria Math&quot; w:h-ansi=&quot;Cambria Math&quot;/&gt;&lt;wx:font wx:val=&quot;Cambria Math&quot;/&gt;&lt;w:i/&gt;&lt;w:sz w:val=&quot;28&quot;/&gt;&lt;w:sz-cs w:val=&quot;28&quot;/&gt;&lt;/w:rPr&gt;&lt;m:t&gt;Var&lt;/m:t&gt;&lt;/m:r&gt;&lt;m:d&gt;&lt;m:dPr&gt;&lt;m:ctrlPr&gt;&lt;w:rPr&gt;&lt;w:rFonts w:ascii=&quot;Cambria Math&quot; w:h-ansi=&quot;Cambria Math&quot;/&gt;&lt;wx:font wx:val=&quot;Cambria Math&quot;/&gt;&lt;w:b-cs/&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Î·&lt;/m:t&gt;&lt;/m:r&gt;&lt;/m:e&gt;&lt;/m:d&gt;&lt;m:r&gt;&lt;w:rPr&gt;&lt;w:rFonts w:ascii=&quot;Cambria Math&quot; w:h-ansi=&quot;Cambria Math&quot;/&gt;&lt;wx:font wx:val=&quot;Cambria Math&quot;/&gt;&lt;w:i/&gt;&lt;w:sz w:val=&quot;28&quot;/&gt;&lt;w:sz-cs w:val=&quot;28&quot;/&gt;&lt;/w:rPr&gt;&lt;m:t&gt;=&lt;/m:t&gt;&lt;/m:r&gt;&lt;m:sSup&gt;&lt;m:sSupPr&gt;&lt;m:ctrlPr&gt;&lt;w:rPr&gt;&lt;w:rFonts w:ascii=&quot;Cambria Math&quot; w:fareast=&quot;Times New Roman&quot; w:h-ansi=&quot;Cambria Math&quot;/&gt;&lt;wx:font wx:val=&quot;Cambria Math&quot;/&gt;&lt;w:b-cs/&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Ïƒ&lt;/m:t&gt;&lt;/m:r&gt;&lt;/m:e&gt;&lt;m:sup&gt;&lt;m:r&gt;&lt;w:rPr&gt;&lt;w:rFonts w:ascii=&quot;Cambria Math&quot; w:fareast=&quot;Times New Roman&quot; w:h-ansi=&quot;Cambria Math&quot;/&gt;&lt;wx:font wx:val=&quot;Cambria Math&quot;/&gt;&lt;w:i/&gt;&lt;w:sz w:val=&quot;28&quot;/&gt;&lt;w:sz-cs w:val=&quot;28&quot;/&gt;&lt;/w:rPr&gt;&lt;m:t&gt;2&lt;/m:t&gt;&lt;/m:r&gt;&lt;/m:sup&gt;&lt;/m:sSup&gt;&lt;m:nary&gt;&lt;m:naryPr&gt;&lt;m:chr m:val=&quot;âˆ‘&quot;/&gt;&lt;m:limLoc m:val=&quot;undOvr&quot;/&gt;&lt;m:ctrlPr&gt;&lt;w:rPr&gt;&lt;w:rFonts w:ascii=&quot;Cambria Math&quot; w:h-ansi=&quot;Cambria Math&quot;/&gt;&lt;wx:font wx:val=&quot;Cambria Math&quot;/&gt;&lt;w:b-cs/&gt;&lt;w:i/&gt;&lt;w:sz w:val=&quot;28&quot;/&gt;&lt;w:sz-cs w:val=&quot;28&quot;/&gt;&lt;/w:rPr&gt;&lt;/m:ctrlPr&gt;&lt;/m:naryPr&gt;&lt;m:sub&gt;&lt;m:r&gt;&lt;w:rPr&gt;&lt;w:rFonts w:ascii=&quot;Cambria Math&quot; w:h-ansi=&quot;Cambria Math&quot;/&gt;&lt;wx:font wx:val=&quot;Cambria Math&quot;/&gt;&lt;w:i/&gt;&lt;w:sz w:val=&quot;28&quot;/&gt;&lt;w:sz-cs w:val=&quot;28&quot;/&gt;&lt;/w:rPr&gt;&lt;m:t&gt;k=1&lt;/m:t&gt;&lt;/m:r&gt;&lt;/m:sub&gt;&lt;m:sup&gt;&lt;m:r&gt;&lt;w:rPr&gt;&lt;w:rFonts w:ascii=&quot;Cambria Math&quot; w:h-ansi=&quot;Cambria Math&quot;/&gt;&lt;wx:font wx:val=&quot;Cambria Math&quot;/&gt;&lt;w:i/&gt;&lt;w:sz w:val=&quot;28&quot;/&gt;&lt;w:sz-cs w:val=&quot;28&quot;/&gt;&lt;/w:rPr&gt;&lt;m:t&gt;K&lt;/m:t&gt;&lt;/m:r&gt;&lt;/m:sup&gt;&lt;m:e&gt;&lt;m:d&gt;&lt;m:dPr&gt;&lt;m:ctrlPr&gt;&lt;w:rPr&gt;&lt;w:rFonts w:ascii=&quot;Cambria Math&quot; w:h-ansi=&quot;Cambria Math&quot;/&gt;&lt;wx:font wx:val=&quot;Cambria Math&quot;/&gt;&lt;w:b-cs/&gt;&lt;w:i/&gt;&lt;w:sz w:val=&quot;28&quot;/&gt;&lt;w:sz-cs w:val=&quot;28&quot;/&gt;&lt;/w:rPr&gt;&lt;/m:ctrlPr&gt;&lt;/m:dPr&gt;&lt;m:e&gt;&lt;m:f&gt;&lt;m:fPr&gt;&lt;m:ctrlPr&gt;&lt;w:rPr&gt;&lt;w:rFonts w:ascii=&quot;Cambria Math&quot; w:fareast=&quot;Times New Roman&quot; w:h-ansi=&quot;Cambria Math&quot;/&gt;&lt;wx:font wx:val=&quot;Cambria Math&quot;/&gt;&lt;w:b-cs/&gt;&lt;w:i/&gt;&lt;w:sz w:val=&quot;28&quot;/&gt;&lt;w:sz-cs w:val=&quot;28&quot;/&gt;&lt;/w:rPr&gt;&lt;/m:ctrlPr&gt;&lt;/m:fPr&gt;&lt;m:num&gt;&lt;m:sSubSup&gt;&lt;m:sSubSupPr&gt;&lt;m:ctrlPr&gt;&lt;w:rPr&gt;&lt;w:rFonts w:ascii=&quot;Cambria Math&quot; w:fareast=&quot;Times New Roman&quot; w:h-ansi=&quot;Cambria Math&quot;/&gt;&lt;wx:font wx:val=&quot;Cambria Math&quot;/&gt;&lt;w:b-cs/&gt;&lt;w:i/&gt;&lt;w:sz w:val=&quot;28&quot;/&gt;&lt;w:sz-cs w:val=&quot;28&quot;/&gt;&lt;/w:rPr&gt;&lt;/m:ctrlPr&gt;&lt;/m:sSubSupPr&gt;&lt;m:e&gt;&lt;m:r&gt;&lt;w:rPr&gt;&lt;w:rFonts w:ascii=&quot;Cambria Math&quot; w:fareast=&quot;Times New Roman&quot; w:h-ansi=&quot;Cambria Math&quot;/&gt;&lt;wx:font wx:val=&quot;Cambria Math&quot;/&gt;&lt;w:i/&gt;&lt;w:sz w:val=&quot;28&quot;/&gt;&lt;w:sz-cs w:val=&quot;28&quot;/&gt;&lt;/w:rPr&gt;&lt;m:t&gt;a&lt;/m:t&gt;&lt;/m:r&gt;&lt;/m:e&gt;&lt;m:sub&gt;&lt;m:r&gt;&lt;w:rPr&gt;&lt;w:rFonts w:ascii=&quot;Cambria Math&quot; w:fareast=&quot;Times New Roman&quot; w:h-ansi=&quot;Cambria Math&quot;/&gt;&lt;wx:font wx:val=&quot;Cambria Math&quot;/&gt;&lt;w:i/&gt;&lt;w:sz w:val=&quot;28&quot;/&gt;&lt;w:sz-cs w:val=&quot;28&quot;/&gt;&lt;/w:rPr&gt;&lt;m:t&gt;k&lt;/m:t&gt;&lt;/m:r&gt;&lt;/m:sub&gt;&lt;m:sup&gt;&lt;m:r&gt;&lt;w:rPr&gt;&lt;w:rFonts w:ascii=&quot;Cambria Math&quot; w:fareast=&quot;Times New Roman&quot; w:h-ansi=&quot;Cambria Math&quot;/&gt;&lt;wx:font wx:val=&quot;Cambria Math&quot;/&gt;&lt;w:i/&gt;&lt;w:sz w:val=&quot;28&quot;/&gt;&lt;w:sz-cs w:val=&quot;28&quot;/&gt;&lt;/w:rPr&gt;&lt;m:t&gt;K-1&lt;/m:t&gt;&lt;/m:r&gt;&lt;/m:sup&gt;&lt;/m:sSubSup&gt;&lt;m:d&gt;&lt;m:dPr&gt;&lt;m:ctrlPr&gt;&lt;w:rPr&gt;&lt;w:rFonts w:ascii=&quot;Cambria Math&quot; w:fareast=&quot;Times New Roman&quot; w:h-ansi=&quot;Cambria Math&quot;/&gt;&lt;wx:font wx:val=&quot;Cambria Math&quot;/&gt;&lt;w:b-cs/&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3&lt;/m:t&gt;&lt;/m:r&gt;&lt;m:func&gt;&lt;m:funcPr&gt;&lt;m:ctrlPr&gt;&lt;w:rPr&gt;&lt;w:rFonts w:ascii=&quot;Cambria Math&quot; w:fareast=&quot;Times New Roman&quot; w:h-ansi=&quot;Cambria Math&quot;/&gt;&lt;wx:font wx:val=&quot;Cambria Math&quot;/&gt;&lt;w:b-cs/&gt;&lt;w:i/&gt;&lt;w:sz w:val=&quot;28&quot;/&gt;&lt;w:sz-cs w:val=&quot;28&quot;/&gt;&lt;/w:rPr&gt;&lt;/m:ctrlPr&gt;&lt;/m:funcPr&gt;&lt;m:fName&gt;&lt;m:sSup&gt;&lt;m:sSupPr&gt;&lt;m:ctrlPr&gt;&lt;w:rPr&gt;&lt;w:rFonts w:ascii=&quot;Cambria Math&quot; w:fareast=&quot;Times New Roman&quot; w:h-ansi=&quot;Cambria Math&quot;/&gt;&lt;wx:font wx:val=&quot;Cambria Math&quot;/&gt;&lt;w:b-cs/&gt;&lt;w:i/&gt;&lt;w:sz w:val=&quot;28&quot;/&gt;&lt;w:sz-cs w:val=&quot;28&quot;/&gt;&lt;/w:rPr&gt;&lt;/m:ctrlPr&gt;&lt;/m:sSupPr&gt;&lt;m:e&gt;&lt;m:r&gt;&lt;m:rPr&gt;&lt;m:sty m:val=&quot;p&quot;/&gt;&lt;/m:rPr&gt;&lt;w:rPr&gt;&lt;w:rFonts w:ascii=&quot;Cambria Math&quot; w:fareast=&quot;Times New Roman&quot; w:h-ansi=&quot;Cambria Math&quot;/&gt;&lt;wx:font wx:val=&quot;Cambria Math&quot;/&gt;&lt;w:sz w:val=&quot;28&quot;/&gt;&lt;w:sz-cs w:val=&quot;28&quot;/&gt;&lt;/w:rPr&gt;&lt;m:t&gt;ln&lt;/m:t&gt;&lt;/m:r&gt;&lt;m:ctrlPr&gt;&lt;w:rPr&gt;&lt;w:rFonts w:ascii=&quot;Cambria Math&quot; w:fareast=&quot;Times New Roman&quot; w:h-ansi=&quot;Cambria Math&quot;/&gt;&lt;wx:font wx:val=&quot;Cambria Math&quot;/&gt;&lt;w:b-cs/&gt;&lt;w:sz w:val=&quot;28&quot;/&gt;&lt;w:sz-cs w:val=&quot;28&quot;/&gt;&lt;/w:rPr&gt;&lt;/m:ctrlPr&gt;&lt;/m:e&gt;&lt;m:sup&gt;&lt;m:r&gt;&lt;w:rPr&gt;&lt;w:rFonts w:ascii=&quot;Cambria Math&quot; w:fareast=&quot;Times New Roman&quot; w:h-ansi=&quot;Cambria Math&quot;/&gt;&lt;wx:font wx:val=&quot;Cambria Math&quot;/&gt;&lt;w:i/&gt;&lt;w:sz w:val=&quot;28&quot;/&gt;&lt;w:sz-cs w:val=&quot;28&quot;/&gt;&lt;/w:rPr&gt;&lt;m:t&gt;2&lt;/m:t&gt;&lt;/m:r&gt;&lt;m:ctrlPr&gt;&lt;w:rPr&gt;&lt;w:rFonts w:ascii=&quot;Cambria Math&quot; w:fareast=&quot;Times New Roman&quot; w:h-ansi=&quot;Cambria Math&quot;/&gt;&lt;wx:font wx:val=&quot;Cambria Math&quot;/&gt;&lt;w:b-cs/&gt;&lt;w:sz w:val=&quot;28&quot;/&gt;&lt;w:sz-cs w:val=&quot;28&quot;/&gt;&lt;/w:rPr&gt;&lt;/m:ctrlPr&gt;&lt;/m:sup&gt;&lt;/m:sSup&gt;&lt;/m:fName&gt;&lt;m:e&gt;&lt;m:sSub&gt;&lt;m:sSubPr&gt;&lt;m:ctrlPr&gt;&lt;w:rPr&gt;&lt;w:rFonts w:ascii=&quot;Cambria Math&quot; w:fareast=&quot;Times New Roman&quot; w:h-ansi=&quot;Cambria Math&quot;/&gt;&lt;wx:font wx:val=&quot;Cambria Math&quot;/&gt;&lt;w:b-cs/&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a&lt;/m:t&gt;&lt;/m:r&gt;&lt;/m:e&gt;&lt;m:sub&gt;&lt;m:r&gt;&lt;w:rPr&gt;&lt;w:rFonts w:ascii=&quot;Cambria Math&quot; w:fareast=&quot;Times New Roman&quot; w:h-ansi=&quot;Cambria Math&quot;/&gt;&lt;wx:font wx:val=&quot;Cambria Math&quot;/&gt;&lt;w:i/&gt;&lt;w:sz w:val=&quot;28&quot;/&gt;&lt;w:sz-cs w:val=&quot;28&quot;/&gt;&lt;/w:rPr&gt;&lt;m:t&gt;k&lt;/m:t&gt;&lt;/m:r&gt;&lt;/m:sub&gt;&lt;/m:sSub&gt;&lt;/m:e&gt;&lt;/m:func&gt;&lt;m:r&gt;&lt;w:rPr&gt;&lt;w:rFonts w:ascii=&quot;Cambria Math&quot; w:fareast=&quot;Times New Roman&quot; w:h-ansi=&quot;Cambria Math&quot;/&gt;&lt;wx:font wx:val=&quot;Cambria Math&quot;/&gt;&lt;w:i/&gt;&lt;w:sz w:val=&quot;28&quot;/&gt;&lt;w:sz-cs w:val=&quot;28&quot;/&gt;&lt;/w:rPr&gt;&lt;m:t&gt;+&lt;/m:t&gt;&lt;/m:r&gt;&lt;m:sSup&gt;&lt;m:sSupPr&gt;&lt;m:ctrlPr&gt;&lt;w:rPr&gt;&lt;w:rFonts w:ascii=&quot;Cambria Math&quot; w:fareast=&quot;Times New Roman&quot; w:h-ansi=&quot;Cambria Math&quot;/&gt;&lt;wx:font wx:val=&quot;Cambria Math&quot;/&gt;&lt;w:b-cs/&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Ï€&lt;/m:t&gt;&lt;/m:r&gt;&lt;/m:e&gt;&lt;m:sup&gt;&lt;m:r&gt;&lt;w:rPr&gt;&lt;w:rFonts w:ascii=&quot;Cambria Math&quot; w:fareast=&quot;Times New Roman&quot; w:h-ansi=&quot;Cambria Math&quot;/&gt;&lt;wx:font wx:val=&quot;Cambria Math&quot;/&gt;&lt;w:i/&gt;&lt;w:sz w:val=&quot;28&quot;/&gt;&lt;w:sz-cs w:val=&quot;28&quot;/&gt;&lt;/w:rPr&gt;&lt;m:t&gt;2&lt;/m:t&gt;&lt;/m:r&gt;&lt;/m:sup&gt;&lt;/m:sSup&gt;&lt;/m:e&gt;&lt;/m:d&gt;&lt;/m:num&gt;&lt;m:den&gt;&lt;m:r&gt;&lt;w:rPr&gt;&lt;w:rFonts w:ascii=&quot;Cambria Math&quot; w:fareast=&quot;Times New Roman&quot; w:h-ansi=&quot;Cambria Math&quot;/&gt;&lt;wx:font wx:val=&quot;Cambria Math&quot;/&gt;&lt;w:i/&gt;&lt;w:sz w:val=&quot;28&quot;/&gt;&lt;w:sz-cs w:val=&quot;28&quot;/&gt;&lt;/w:rPr&gt;&lt;m:t&gt;3&lt;/m:t&gt;&lt;/m:r&gt;&lt;m:nary&gt;&lt;m:naryPr&gt;&lt;m:chr m:val=&quot;âˆ&quot;/&gt;&lt;m:limLoc m:val=&quot;undOvr&quot;/&gt;&lt;m:ctrlPr&gt;&lt;w:rPr&gt;&lt;w:rFonts w:ascii=&quot;Cambria Math&quot; w:h-ansi=&quot;Cambria Math&quot;/&gt;&lt;wx:font wx:val=&quot;Cambria Math&quot;/&gt;&lt;w:b-cs/&gt;&lt;w:i/&gt;&lt;w:sz w:val=&quot;28&quot;/&gt;&lt;w:sz-cs w:val=&quot;28&quot;/&gt;&lt;/w:rPr&gt;&lt;/m:ctrlPr&gt;&lt;/m:naryPr&gt;&lt;m:sub&gt;&lt;m:r&gt;&lt;w:rPr&gt;&lt;w:rFonts w:ascii=&quot;Cambria Math&quot; w:h-ansi=&quot;Cambria Math&quot;/&gt;&lt;wx:font wx:val=&quot;Cambria Math&quot;/&gt;&lt;w:i/&gt;&lt;w:sz w:val=&quot;28&quot;/&gt;&lt;w:sz-cs w:val=&quot;28&quot;/&gt;&lt;/w:rPr&gt;&lt;m:t&gt;j=1,jâ‰ k&lt;/m:t&gt;&lt;/m:r&gt;&lt;/m:sub&gt;&lt;m:sup&gt;&lt;m:r&gt;&lt;w:rPr&gt;&lt;w:rFonts w:ascii=&quot;Cambria Math&quot; w:h-ansi=&quot;Cambria Math&quot;/&gt;&lt;wx:font wx:val=&quot;Cambria Math&quot;/&gt;&lt;w:i/&gt;&lt;w:sz w:val=&quot;28&quot;/&gt;&lt;w:sz-cs w:val=&quot;28&quot;/&gt;&lt;/w:rPr&gt;&lt;m:t&gt;j=K&lt;/m:t&gt;&lt;/m:r&gt;&lt;/m:sup&gt;&lt;m:e&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k&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j&lt;/m:t&gt;&lt;/m:r&gt;&lt;/m:sub&gt;&lt;/m:sSub&gt;&lt;/m:e&gt;&lt;/m:nary&gt;&lt;m:r&gt;&lt;w:rPr&gt;&lt;w:rFonts w:ascii=&quot;Cambria Math&quot; w:h-ansi=&quot;Cambria Math&quot;/&gt;&lt;wx:font wx:val=&quot;Cambria Math&quot;/&gt;&lt;w:i/&gt;&lt;w:sz w:val=&quot;28&quot;/&gt;&lt;w:sz-cs w:val=&quot;28&quot;/&gt;&lt;/w:rPr&gt;&lt;m:t&gt;)&lt;/m:t&gt;&lt;/m:r&gt;&lt;/m:den&gt;&lt;/m:f&gt;&lt;/m:e&gt;&lt;/m:d&gt;&lt;m:r&gt;&lt;w:rPr&gt;&lt;w:rFonts w:ascii=&quot;Cambria Math&quot; w:h-ansi=&quot;Cambria Math&quot;/&gt;&lt;wx:font wx:val=&quot;Cambria Math&quot;/&gt;&lt;w:i/&gt;&lt;w:sz w:val=&quot;28&quot;/&gt;&lt;w:sz-cs w:val=&quot;28&quot;/&gt;&lt;/w:rPr&gt;&lt;m:t&gt; &lt;/m:t&gt;&lt;/m:r&gt;&lt;/m:e&gt;&lt;/m:nary&gt;&lt;m:r&gt;&lt;w:rPr&gt;&lt;w:rFonts w:ascii=&quot;Cambria Math&quot; w:h-ansi=&quot;Cambria Math&quot;/&gt;&lt;wx:font wx:val=&quot;Cambria Math&quot;/&gt;&lt;w:i/&gt;&lt;w:sz w:val=&quot;28&quot;/&gt;&lt;w:sz-cs w:val=&quot;28&quot;/&gt;&lt;/w:rPr&gt;&lt;m:t&gt;-&lt;/m:t&gt;&lt;/m:r&gt;&lt;m:sSup&gt;&lt;m:sSupPr&gt;&lt;m:ctrlPr&gt;&lt;w:rPr&gt;&lt;w:rFonts w:ascii=&quot;Cambria Math&quot; w:fareast=&quot;Times New Roman&quot; w:h-ansi=&quot;Cambria Math&quot;/&gt;&lt;wx:font wx:val=&quot;Cambria Math&quot;/&gt;&lt;w:i/&gt;&lt;w:sz w:val=&quot;28&quot;/&gt;&lt;w:sz-cs w:val=&quot;28&quot;/&gt;&lt;/w:rPr&gt;&lt;/m:ctrlPr&gt;&lt;/m:sSupPr&gt;&lt;m:e&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E(Î·)&lt;/m:t&gt;&lt;/m:r&gt;&lt;/m:e&gt;&lt;/m:d&gt;&lt;/m:e&gt;&lt;m:sup&gt;&lt;m:r&gt;&lt;w:rPr&gt;&lt;w:rFonts w:ascii=&quot;Cambria Math&quot; w:fareast=&quot;Times New Roman&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EF758A">
        <w:instrText xml:space="preserve"> </w:instrText>
      </w:r>
      <w:r w:rsidRPr="00EF758A">
        <w:fldChar w:fldCharType="separate"/>
      </w:r>
      <w:r w:rsidR="009A08FE">
        <w:rPr>
          <w:position w:val="-28"/>
        </w:rPr>
        <w:pict>
          <v:shape id="_x0000_i1411" type="#_x0000_t75" style="width:281.55pt;height:38.1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2AA&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F702AA&quot; wsp:rsidP=&quot;00F702AA&quot;&gt;&lt;m:oMathPara&gt;&lt;m:oMath&gt;&lt;m:r&gt;&lt;w:rPr&gt;&lt;w:rFonts w:ascii=&quot;Cambria Math&quot; w:h-ansi=&quot;Cambria Math&quot;/&gt;&lt;wx:font wx:val=&quot;Cambria Math&quot;/&gt;&lt;w:i/&gt;&lt;w:sz w:val=&quot;28&quot;/&gt;&lt;w:sz-cs w:val=&quot;28&quot;/&gt;&lt;/w:rPr&gt;&lt;m:t&gt;Var&lt;/m:t&gt;&lt;/m:r&gt;&lt;m:d&gt;&lt;m:dPr&gt;&lt;m:ctrlPr&gt;&lt;w:rPr&gt;&lt;w:rFonts w:ascii=&quot;Cambria Math&quot; w:h-ansi=&quot;Cambria Math&quot;/&gt;&lt;wx:font wx:val=&quot;Cambria Math&quot;/&gt;&lt;w:b-cs/&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Î·&lt;/m:t&gt;&lt;/m:r&gt;&lt;/m:e&gt;&lt;/m:d&gt;&lt;m:r&gt;&lt;w:rPr&gt;&lt;w:rFonts w:ascii=&quot;Cambria Math&quot; w:h-ansi=&quot;Cambria Math&quot;/&gt;&lt;wx:font wx:val=&quot;Cambria Math&quot;/&gt;&lt;w:i/&gt;&lt;w:sz w:val=&quot;28&quot;/&gt;&lt;w:sz-cs w:val=&quot;28&quot;/&gt;&lt;/w:rPr&gt;&lt;m:t&gt;=&lt;/m:t&gt;&lt;/m:r&gt;&lt;m:sSup&gt;&lt;m:sSupPr&gt;&lt;m:ctrlPr&gt;&lt;w:rPr&gt;&lt;w:rFonts w:ascii=&quot;Cambria Math&quot; w:fareast=&quot;Times New Roman&quot; w:h-ansi=&quot;Cambria Math&quot;/&gt;&lt;wx:font wx:val=&quot;Cambria Math&quot;/&gt;&lt;w:b-cs/&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Ïƒ&lt;/m:t&gt;&lt;/m:r&gt;&lt;/m:e&gt;&lt;m:sup&gt;&lt;m:r&gt;&lt;w:rPr&gt;&lt;w:rFonts w:ascii=&quot;Cambria Math&quot; w:fareast=&quot;Times New Roman&quot; w:h-ansi=&quot;Cambria Math&quot;/&gt;&lt;wx:font wx:val=&quot;Cambria Math&quot;/&gt;&lt;w:i/&gt;&lt;w:sz w:val=&quot;28&quot;/&gt;&lt;w:sz-cs w:val=&quot;28&quot;/&gt;&lt;/w:rPr&gt;&lt;m:t&gt;2&lt;/m:t&gt;&lt;/m:r&gt;&lt;/m:sup&gt;&lt;/m:sSup&gt;&lt;m:nary&gt;&lt;m:naryPr&gt;&lt;m:chr m:val=&quot;âˆ‘&quot;/&gt;&lt;m:limLoc m:val=&quot;undOvr&quot;/&gt;&lt;m:ctrlPr&gt;&lt;w:rPr&gt;&lt;w:rFonts w:ascii=&quot;Cambria Math&quot; w:h-ansi=&quot;Cambria Math&quot;/&gt;&lt;wx:font wx:val=&quot;Cambria Math&quot;/&gt;&lt;w:b-cs/&gt;&lt;w:i/&gt;&lt;w:sz w:val=&quot;28&quot;/&gt;&lt;w:sz-cs w:val=&quot;28&quot;/&gt;&lt;/w:rPr&gt;&lt;/m:ctrlPr&gt;&lt;/m:naryPr&gt;&lt;m:sub&gt;&lt;m:r&gt;&lt;w:rPr&gt;&lt;w:rFonts w:ascii=&quot;Cambria Math&quot; w:h-ansi=&quot;Cambria Math&quot;/&gt;&lt;wx:font wx:val=&quot;Cambria Math&quot;/&gt;&lt;w:i/&gt;&lt;w:sz w:val=&quot;28&quot;/&gt;&lt;w:sz-cs w:val=&quot;28&quot;/&gt;&lt;/w:rPr&gt;&lt;m:t&gt;k=1&lt;/m:t&gt;&lt;/m:r&gt;&lt;/m:sub&gt;&lt;m:sup&gt;&lt;m:r&gt;&lt;w:rPr&gt;&lt;w:rFonts w:ascii=&quot;Cambria Math&quot; w:h-ansi=&quot;Cambria Math&quot;/&gt;&lt;wx:font wx:val=&quot;Cambria Math&quot;/&gt;&lt;w:i/&gt;&lt;w:sz w:val=&quot;28&quot;/&gt;&lt;w:sz-cs w:val=&quot;28&quot;/&gt;&lt;/w:rPr&gt;&lt;m:t&gt;K&lt;/m:t&gt;&lt;/m:r&gt;&lt;/m:sup&gt;&lt;m:e&gt;&lt;m:d&gt;&lt;m:dPr&gt;&lt;m:ctrlPr&gt;&lt;w:rPr&gt;&lt;w:rFonts w:ascii=&quot;Cambria Math&quot; w:h-ansi=&quot;Cambria Math&quot;/&gt;&lt;wx:font wx:val=&quot;Cambria Math&quot;/&gt;&lt;w:b-cs/&gt;&lt;w:i/&gt;&lt;w:sz w:val=&quot;28&quot;/&gt;&lt;w:sz-cs w:val=&quot;28&quot;/&gt;&lt;/w:rPr&gt;&lt;/m:ctrlPr&gt;&lt;/m:dPr&gt;&lt;m:e&gt;&lt;m:f&gt;&lt;m:fPr&gt;&lt;m:ctrlPr&gt;&lt;w:rPr&gt;&lt;w:rFonts w:ascii=&quot;Cambria Math&quot; w:fareast=&quot;Times New Roman&quot; w:h-ansi=&quot;Cambria Math&quot;/&gt;&lt;wx:font wx:val=&quot;Cambria Math&quot;/&gt;&lt;w:b-cs/&gt;&lt;w:i/&gt;&lt;w:sz w:val=&quot;28&quot;/&gt;&lt;w:sz-cs w:val=&quot;28&quot;/&gt;&lt;/w:rPr&gt;&lt;/m:ctrlPr&gt;&lt;/m:fPr&gt;&lt;m:num&gt;&lt;m:sSubSup&gt;&lt;m:sSubSupPr&gt;&lt;m:ctrlPr&gt;&lt;w:rPr&gt;&lt;w:rFonts w:ascii=&quot;Cambria Math&quot; w:fareast=&quot;Times New Roman&quot; w:h-ansi=&quot;Cambria Math&quot;/&gt;&lt;wx:font wx:val=&quot;Cambria Math&quot;/&gt;&lt;w:b-cs/&gt;&lt;w:i/&gt;&lt;w:sz w:val=&quot;28&quot;/&gt;&lt;w:sz-cs w:val=&quot;28&quot;/&gt;&lt;/w:rPr&gt;&lt;/m:ctrlPr&gt;&lt;/m:sSubSupPr&gt;&lt;m:e&gt;&lt;m:r&gt;&lt;w:rPr&gt;&lt;w:rFonts w:ascii=&quot;Cambria Math&quot; w:fareast=&quot;Times New Roman&quot; w:h-ansi=&quot;Cambria Math&quot;/&gt;&lt;wx:font wx:val=&quot;Cambria Math&quot;/&gt;&lt;w:i/&gt;&lt;w:sz w:val=&quot;28&quot;/&gt;&lt;w:sz-cs w:val=&quot;28&quot;/&gt;&lt;/w:rPr&gt;&lt;m:t&gt;a&lt;/m:t&gt;&lt;/m:r&gt;&lt;/m:e&gt;&lt;m:sub&gt;&lt;m:r&gt;&lt;w:rPr&gt;&lt;w:rFonts w:ascii=&quot;Cambria Math&quot; w:fareast=&quot;Times New Roman&quot; w:h-ansi=&quot;Cambria Math&quot;/&gt;&lt;wx:font wx:val=&quot;Cambria Math&quot;/&gt;&lt;w:i/&gt;&lt;w:sz w:val=&quot;28&quot;/&gt;&lt;w:sz-cs w:val=&quot;28&quot;/&gt;&lt;/w:rPr&gt;&lt;m:t&gt;k&lt;/m:t&gt;&lt;/m:r&gt;&lt;/m:sub&gt;&lt;m:sup&gt;&lt;m:r&gt;&lt;w:rPr&gt;&lt;w:rFonts w:ascii=&quot;Cambria Math&quot; w:fareast=&quot;Times New Roman&quot; w:h-ansi=&quot;Cambria Math&quot;/&gt;&lt;wx:font wx:val=&quot;Cambria Math&quot;/&gt;&lt;w:i/&gt;&lt;w:sz w:val=&quot;28&quot;/&gt;&lt;w:sz-cs w:val=&quot;28&quot;/&gt;&lt;/w:rPr&gt;&lt;m:t&gt;K-1&lt;/m:t&gt;&lt;/m:r&gt;&lt;/m:sup&gt;&lt;/m:sSubSup&gt;&lt;m:d&gt;&lt;m:dPr&gt;&lt;m:ctrlPr&gt;&lt;w:rPr&gt;&lt;w:rFonts w:ascii=&quot;Cambria Math&quot; w:fareast=&quot;Times New Roman&quot; w:h-ansi=&quot;Cambria Math&quot;/&gt;&lt;wx:font wx:val=&quot;Cambria Math&quot;/&gt;&lt;w:b-cs/&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3&lt;/m:t&gt;&lt;/m:r&gt;&lt;m:func&gt;&lt;m:funcPr&gt;&lt;m:ctrlPr&gt;&lt;w:rPr&gt;&lt;w:rFonts w:ascii=&quot;Cambria Math&quot; w:fareast=&quot;Times New Roman&quot; w:h-ansi=&quot;Cambria Math&quot;/&gt;&lt;wx:font wx:val=&quot;Cambria Math&quot;/&gt;&lt;w:b-cs/&gt;&lt;w:i/&gt;&lt;w:sz w:val=&quot;28&quot;/&gt;&lt;w:sz-cs w:val=&quot;28&quot;/&gt;&lt;/w:rPr&gt;&lt;/m:ctrlPr&gt;&lt;/m:funcPr&gt;&lt;m:fName&gt;&lt;m:sSup&gt;&lt;m:sSupPr&gt;&lt;m:ctrlPr&gt;&lt;w:rPr&gt;&lt;w:rFonts w:ascii=&quot;Cambria Math&quot; w:fareast=&quot;Times New Roman&quot; w:h-ansi=&quot;Cambria Math&quot;/&gt;&lt;wx:font wx:val=&quot;Cambria Math&quot;/&gt;&lt;w:b-cs/&gt;&lt;w:i/&gt;&lt;w:sz w:val=&quot;28&quot;/&gt;&lt;w:sz-cs w:val=&quot;28&quot;/&gt;&lt;/w:rPr&gt;&lt;/m:ctrlPr&gt;&lt;/m:sSupPr&gt;&lt;m:e&gt;&lt;m:r&gt;&lt;m:rPr&gt;&lt;m:sty m:val=&quot;p&quot;/&gt;&lt;/m:rPr&gt;&lt;w:rPr&gt;&lt;w:rFonts w:ascii=&quot;Cambria Math&quot; w:fareast=&quot;Times New Roman&quot; w:h-ansi=&quot;Cambria Math&quot;/&gt;&lt;wx:font wx:val=&quot;Cambria Math&quot;/&gt;&lt;w:sz w:val=&quot;28&quot;/&gt;&lt;w:sz-cs w:val=&quot;28&quot;/&gt;&lt;/w:rPr&gt;&lt;m:t&gt;ln&lt;/m:t&gt;&lt;/m:r&gt;&lt;m:ctrlPr&gt;&lt;w:rPr&gt;&lt;w:rFonts w:ascii=&quot;Cambria Math&quot; w:fareast=&quot;Times New Roman&quot; w:h-ansi=&quot;Cambria Math&quot;/&gt;&lt;wx:font wx:val=&quot;Cambria Math&quot;/&gt;&lt;w:b-cs/&gt;&lt;w:sz w:val=&quot;28&quot;/&gt;&lt;w:sz-cs w:val=&quot;28&quot;/&gt;&lt;/w:rPr&gt;&lt;/m:ctrlPr&gt;&lt;/m:e&gt;&lt;m:sup&gt;&lt;m:r&gt;&lt;w:rPr&gt;&lt;w:rFonts w:ascii=&quot;Cambria Math&quot; w:fareast=&quot;Times New Roman&quot; w:h-ansi=&quot;Cambria Math&quot;/&gt;&lt;wx:font wx:val=&quot;Cambria Math&quot;/&gt;&lt;w:i/&gt;&lt;w:sz w:val=&quot;28&quot;/&gt;&lt;w:sz-cs w:val=&quot;28&quot;/&gt;&lt;/w:rPr&gt;&lt;m:t&gt;2&lt;/m:t&gt;&lt;/m:r&gt;&lt;m:ctrlPr&gt;&lt;w:rPr&gt;&lt;w:rFonts w:ascii=&quot;Cambria Math&quot; w:fareast=&quot;Times New Roman&quot; w:h-ansi=&quot;Cambria Math&quot;/&gt;&lt;wx:font wx:val=&quot;Cambria Math&quot;/&gt;&lt;w:b-cs/&gt;&lt;w:sz w:val=&quot;28&quot;/&gt;&lt;w:sz-cs w:val=&quot;28&quot;/&gt;&lt;/w:rPr&gt;&lt;/m:ctrlPr&gt;&lt;/m:sup&gt;&lt;/m:sSup&gt;&lt;/m:fName&gt;&lt;m:e&gt;&lt;m:sSub&gt;&lt;m:sSubPr&gt;&lt;m:ctrlPr&gt;&lt;w:rPr&gt;&lt;w:rFonts w:ascii=&quot;Cambria Math&quot; w:fareast=&quot;Times New Roman&quot; w:h-ansi=&quot;Cambria Math&quot;/&gt;&lt;wx:font wx:val=&quot;Cambria Math&quot;/&gt;&lt;w:b-cs/&gt;&lt;w:i/&gt;&lt;w:sz w:val=&quot;28&quot;/&gt;&lt;w:sz-cs w:val=&quot;28&quot;/&gt;&lt;/w:rPr&gt;&lt;/m:ctrlPr&gt;&lt;/m:sSubPr&gt;&lt;m:e&gt;&lt;m:r&gt;&lt;w:rPr&gt;&lt;w:rFonts w:ascii=&quot;Cambria Math&quot; w:fareast=&quot;Times New Roman&quot; w:h-ansi=&quot;Cambria Math&quot;/&gt;&lt;wx:font wx:val=&quot;Cambria Math&quot;/&gt;&lt;w:i/&gt;&lt;w:sz w:val=&quot;28&quot;/&gt;&lt;w:sz-cs w:val=&quot;28&quot;/&gt;&lt;/w:rPr&gt;&lt;m:t&gt;a&lt;/m:t&gt;&lt;/m:r&gt;&lt;/m:e&gt;&lt;m:sub&gt;&lt;m:r&gt;&lt;w:rPr&gt;&lt;w:rFonts w:ascii=&quot;Cambria Math&quot; w:fareast=&quot;Times New Roman&quot; w:h-ansi=&quot;Cambria Math&quot;/&gt;&lt;wx:font wx:val=&quot;Cambria Math&quot;/&gt;&lt;w:i/&gt;&lt;w:sz w:val=&quot;28&quot;/&gt;&lt;w:sz-cs w:val=&quot;28&quot;/&gt;&lt;/w:rPr&gt;&lt;m:t&gt;k&lt;/m:t&gt;&lt;/m:r&gt;&lt;/m:sub&gt;&lt;/m:sSub&gt;&lt;/m:e&gt;&lt;/m:func&gt;&lt;m:r&gt;&lt;w:rPr&gt;&lt;w:rFonts w:ascii=&quot;Cambria Math&quot; w:fareast=&quot;Times New Roman&quot; w:h-ansi=&quot;Cambria Math&quot;/&gt;&lt;wx:font wx:val=&quot;Cambria Math&quot;/&gt;&lt;w:i/&gt;&lt;w:sz w:val=&quot;28&quot;/&gt;&lt;w:sz-cs w:val=&quot;28&quot;/&gt;&lt;/w:rPr&gt;&lt;m:t&gt;+&lt;/m:t&gt;&lt;/m:r&gt;&lt;m:sSup&gt;&lt;m:sSupPr&gt;&lt;m:ctrlPr&gt;&lt;w:rPr&gt;&lt;w:rFonts w:ascii=&quot;Cambria Math&quot; w:fareast=&quot;Times New Roman&quot; w:h-ansi=&quot;Cambria Math&quot;/&gt;&lt;wx:font wx:val=&quot;Cambria Math&quot;/&gt;&lt;w:b-cs/&gt;&lt;w:i/&gt;&lt;w:sz w:val=&quot;28&quot;/&gt;&lt;w:sz-cs w:val=&quot;28&quot;/&gt;&lt;/w:rPr&gt;&lt;/m:ctrlPr&gt;&lt;/m:sSupPr&gt;&lt;m:e&gt;&lt;m:r&gt;&lt;w:rPr&gt;&lt;w:rFonts w:ascii=&quot;Cambria Math&quot; w:fareast=&quot;Times New Roman&quot; w:h-ansi=&quot;Cambria Math&quot;/&gt;&lt;wx:font wx:val=&quot;Cambria Math&quot;/&gt;&lt;w:i/&gt;&lt;w:sz w:val=&quot;28&quot;/&gt;&lt;w:sz-cs w:val=&quot;28&quot;/&gt;&lt;/w:rPr&gt;&lt;m:t&gt;Ï€&lt;/m:t&gt;&lt;/m:r&gt;&lt;/m:e&gt;&lt;m:sup&gt;&lt;m:r&gt;&lt;w:rPr&gt;&lt;w:rFonts w:ascii=&quot;Cambria Math&quot; w:fareast=&quot;Times New Roman&quot; w:h-ansi=&quot;Cambria Math&quot;/&gt;&lt;wx:font wx:val=&quot;Cambria Math&quot;/&gt;&lt;w:i/&gt;&lt;w:sz w:val=&quot;28&quot;/&gt;&lt;w:sz-cs w:val=&quot;28&quot;/&gt;&lt;/w:rPr&gt;&lt;m:t&gt;2&lt;/m:t&gt;&lt;/m:r&gt;&lt;/m:sup&gt;&lt;/m:sSup&gt;&lt;/m:e&gt;&lt;/m:d&gt;&lt;/m:num&gt;&lt;m:den&gt;&lt;m:r&gt;&lt;w:rPr&gt;&lt;w:rFonts w:ascii=&quot;Cambria Math&quot; w:fareast=&quot;Times New Roman&quot; w:h-ansi=&quot;Cambria Math&quot;/&gt;&lt;wx:font wx:val=&quot;Cambria Math&quot;/&gt;&lt;w:i/&gt;&lt;w:sz w:val=&quot;28&quot;/&gt;&lt;w:sz-cs w:val=&quot;28&quot;/&gt;&lt;/w:rPr&gt;&lt;m:t&gt;3&lt;/m:t&gt;&lt;/m:r&gt;&lt;m:nary&gt;&lt;m:naryPr&gt;&lt;m:chr m:val=&quot;âˆ&quot;/&gt;&lt;m:limLoc m:val=&quot;undOvr&quot;/&gt;&lt;m:ctrlPr&gt;&lt;w:rPr&gt;&lt;w:rFonts w:ascii=&quot;Cambria Math&quot; w:h-ansi=&quot;Cambria Math&quot;/&gt;&lt;wx:font wx:val=&quot;Cambria Math&quot;/&gt;&lt;w:b-cs/&gt;&lt;w:i/&gt;&lt;w:sz w:val=&quot;28&quot;/&gt;&lt;w:sz-cs w:val=&quot;28&quot;/&gt;&lt;/w:rPr&gt;&lt;/m:ctrlPr&gt;&lt;/m:naryPr&gt;&lt;m:sub&gt;&lt;m:r&gt;&lt;w:rPr&gt;&lt;w:rFonts w:ascii=&quot;Cambria Math&quot; w:h-ansi=&quot;Cambria Math&quot;/&gt;&lt;wx:font wx:val=&quot;Cambria Math&quot;/&gt;&lt;w:i/&gt;&lt;w:sz w:val=&quot;28&quot;/&gt;&lt;w:sz-cs w:val=&quot;28&quot;/&gt;&lt;/w:rPr&gt;&lt;m:t&gt;j=1,jâ‰ k&lt;/m:t&gt;&lt;/m:r&gt;&lt;/m:sub&gt;&lt;m:sup&gt;&lt;m:r&gt;&lt;w:rPr&gt;&lt;w:rFonts w:ascii=&quot;Cambria Math&quot; w:h-ansi=&quot;Cambria Math&quot;/&gt;&lt;wx:font wx:val=&quot;Cambria Math&quot;/&gt;&lt;w:i/&gt;&lt;w:sz w:val=&quot;28&quot;/&gt;&lt;w:sz-cs w:val=&quot;28&quot;/&gt;&lt;/w:rPr&gt;&lt;m:t&gt;j=K&lt;/m:t&gt;&lt;/m:r&gt;&lt;/m:sup&gt;&lt;m:e&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k&lt;/m:t&gt;&lt;/m:r&gt;&lt;/m:sub&gt;&lt;/m:sSub&gt;&lt;m:r&gt;&lt;w:rPr&gt;&lt;w:rFonts w:ascii=&quot;Cambria Math&quot; w:h-ansi=&quot;Cambria Math&quot;/&gt;&lt;wx:font wx:val=&quot;Cambria Math&quot;/&gt;&lt;w:i/&gt;&lt;w:sz w:val=&quot;28&quot;/&gt;&lt;w:sz-cs w:val=&quot;28&quot;/&gt;&lt;/w:rPr&gt;&lt;m:t&gt;-&lt;/m:t&gt;&lt;/m:r&gt;&lt;m:sSub&gt;&lt;m:sSubPr&gt;&lt;m:ctrlPr&gt;&lt;w:rPr&gt;&lt;w:rFonts w:ascii=&quot;Cambria Math&quot; w:h-ansi=&quot;Cambria Math&quot;/&gt;&lt;wx:font wx:val=&quot;Cambria Math&quot;/&gt;&lt;w:b-cs/&gt;&lt;w:i/&gt;&lt;w:sz w:val=&quot;28&quot;/&gt;&lt;w:sz-cs w:val=&quot;28&quot;/&gt;&lt;/w:rPr&gt;&lt;/m:ctrlPr&gt;&lt;/m:sSubPr&gt;&lt;m:e&gt;&lt;m:r&gt;&lt;w:rPr&gt;&lt;w:rFonts w:ascii=&quot;Cambria Math&quot; w:h-ansi=&quot;Cambria Math&quot;/&gt;&lt;wx:font wx:val=&quot;Cambria Math&quot;/&gt;&lt;w:i/&gt;&lt;w:sz w:val=&quot;28&quot;/&gt;&lt;w:sz-cs w:val=&quot;28&quot;/&gt;&lt;/w:rPr&gt;&lt;m:t&gt;a&lt;/m:t&gt;&lt;/m:r&gt;&lt;/m:e&gt;&lt;m:sub&gt;&lt;m:r&gt;&lt;w:rPr&gt;&lt;w:rFonts w:ascii=&quot;Cambria Math&quot; w:h-ansi=&quot;Cambria Math&quot;/&gt;&lt;wx:font wx:val=&quot;Cambria Math&quot;/&gt;&lt;w:i/&gt;&lt;w:sz w:val=&quot;28&quot;/&gt;&lt;w:sz-cs w:val=&quot;28&quot;/&gt;&lt;/w:rPr&gt;&lt;m:t&gt;j&lt;/m:t&gt;&lt;/m:r&gt;&lt;/m:sub&gt;&lt;/m:sSub&gt;&lt;/m:e&gt;&lt;/m:nary&gt;&lt;m:r&gt;&lt;w:rPr&gt;&lt;w:rFonts w:ascii=&quot;Cambria Math&quot; w:h-ansi=&quot;Cambria Math&quot;/&gt;&lt;wx:font wx:val=&quot;Cambria Math&quot;/&gt;&lt;w:i/&gt;&lt;w:sz w:val=&quot;28&quot;/&gt;&lt;w:sz-cs w:val=&quot;28&quot;/&gt;&lt;/w:rPr&gt;&lt;m:t&gt;)&lt;/m:t&gt;&lt;/m:r&gt;&lt;/m:den&gt;&lt;/m:f&gt;&lt;/m:e&gt;&lt;/m:d&gt;&lt;m:r&gt;&lt;w:rPr&gt;&lt;w:rFonts w:ascii=&quot;Cambria Math&quot; w:h-ansi=&quot;Cambria Math&quot;/&gt;&lt;wx:font wx:val=&quot;Cambria Math&quot;/&gt;&lt;w:i/&gt;&lt;w:sz w:val=&quot;28&quot;/&gt;&lt;w:sz-cs w:val=&quot;28&quot;/&gt;&lt;/w:rPr&gt;&lt;m:t&gt; &lt;/m:t&gt;&lt;/m:r&gt;&lt;/m:e&gt;&lt;/m:nary&gt;&lt;m:r&gt;&lt;w:rPr&gt;&lt;w:rFonts w:ascii=&quot;Cambria Math&quot; w:h-ansi=&quot;Cambria Math&quot;/&gt;&lt;wx:font wx:val=&quot;Cambria Math&quot;/&gt;&lt;w:i/&gt;&lt;w:sz w:val=&quot;28&quot;/&gt;&lt;w:sz-cs w:val=&quot;28&quot;/&gt;&lt;/w:rPr&gt;&lt;m:t&gt;-&lt;/m:t&gt;&lt;/m:r&gt;&lt;m:sSup&gt;&lt;m:sSupPr&gt;&lt;m:ctrlPr&gt;&lt;w:rPr&gt;&lt;w:rFonts w:ascii=&quot;Cambria Math&quot; w:fareast=&quot;Times New Roman&quot; w:h-ansi=&quot;Cambria Math&quot;/&gt;&lt;wx:font wx:val=&quot;Cambria Math&quot;/&gt;&lt;w:i/&gt;&lt;w:sz w:val=&quot;28&quot;/&gt;&lt;w:sz-cs w:val=&quot;28&quot;/&gt;&lt;/w:rPr&gt;&lt;/m:ctrlPr&gt;&lt;/m:sSupPr&gt;&lt;m:e&gt;&lt;m:d&gt;&lt;m:dPr&gt;&lt;m:begChr m:val=&quot;[&quot;/&gt;&lt;m:endChr m:val=&quot;]&quot;/&gt;&lt;m:ctrlPr&gt;&lt;w:rPr&gt;&lt;w:rFonts w:ascii=&quot;Cambria Math&quot; w:fareast=&quot;Times New Roman&quot; w:h-ansi=&quot;Cambria Math&quot;/&gt;&lt;wx:font wx:val=&quot;Cambria Math&quot;/&gt;&lt;w:i/&gt;&lt;w:sz w:val=&quot;28&quot;/&gt;&lt;w:sz-cs w:val=&quot;28&quot;/&gt;&lt;/w:rPr&gt;&lt;/m:ctrlPr&gt;&lt;/m:dPr&gt;&lt;m:e&gt;&lt;m:r&gt;&lt;w:rPr&gt;&lt;w:rFonts w:ascii=&quot;Cambria Math&quot; w:fareast=&quot;Times New Roman&quot; w:h-ansi=&quot;Cambria Math&quot;/&gt;&lt;wx:font wx:val=&quot;Cambria Math&quot;/&gt;&lt;w:i/&gt;&lt;w:sz w:val=&quot;28&quot;/&gt;&lt;w:sz-cs w:val=&quot;28&quot;/&gt;&lt;/w:rPr&gt;&lt;m:t&gt;E(Î·)&lt;/m:t&gt;&lt;/m:r&gt;&lt;/m:e&gt;&lt;/m:d&gt;&lt;/m:e&gt;&lt;m:sup&gt;&lt;m:r&gt;&lt;w:rPr&gt;&lt;w:rFonts w:ascii=&quot;Cambria Math&quot; w:fareast=&quot;Times New Roman&quot; w:h-ansi=&quot;Cambria Math&quot;/&gt;&lt;wx:font wx:val=&quot;Cambria Math&quot;/&gt;&lt;w:i/&gt;&lt;w:sz w:val=&quot;28&quot;/&gt;&lt;w:sz-cs w:val=&quot;28&quot;/&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0" o:title="" chromakey="white"/>
          </v:shape>
        </w:pict>
      </w:r>
      <w:r w:rsidRPr="00EF758A">
        <w:fldChar w:fldCharType="end"/>
      </w:r>
      <w:r w:rsidRPr="008B3C0B">
        <w:t xml:space="preserve"> </w:t>
      </w:r>
    </w:p>
    <w:p w:rsidR="008B3C0B" w:rsidRPr="008B3C0B" w:rsidRDefault="008B3C0B" w:rsidP="008B3C0B"/>
    <w:p w:rsidR="008B3C0B" w:rsidRPr="00833E55" w:rsidRDefault="008B3C0B" w:rsidP="00833E55">
      <w:pPr>
        <w:rPr>
          <w:rFonts w:ascii="Cambria Math" w:hAnsi="Cambria Math"/>
        </w:rPr>
      </w:pPr>
    </w:p>
    <w:p w:rsidR="008B3C0B" w:rsidRPr="00833E55" w:rsidRDefault="008B3C0B" w:rsidP="00833E55">
      <w:pPr>
        <w:rPr>
          <w:rFonts w:ascii="Cambria Math" w:hAnsi="Cambria Math"/>
          <w:b/>
          <w:u w:val="single"/>
        </w:rPr>
      </w:pPr>
      <w:r w:rsidRPr="00833E55">
        <w:rPr>
          <w:rFonts w:ascii="Cambria Math" w:hAnsi="Cambria Math"/>
          <w:b/>
          <w:u w:val="single"/>
        </w:rPr>
        <w:t>A.</w:t>
      </w:r>
      <w:r w:rsidR="00D1647F" w:rsidRPr="00833E55">
        <w:rPr>
          <w:rFonts w:ascii="Cambria Math" w:hAnsi="Cambria Math"/>
          <w:b/>
          <w:u w:val="single"/>
        </w:rPr>
        <w:t>4</w:t>
      </w:r>
      <w:r w:rsidRPr="00833E55">
        <w:rPr>
          <w:rFonts w:ascii="Cambria Math" w:hAnsi="Cambria Math"/>
          <w:b/>
          <w:u w:val="single"/>
        </w:rPr>
        <w:t>: Expectation and Variance of Truncated MinLogistic Distribution</w:t>
      </w:r>
    </w:p>
    <w:p w:rsidR="008B3C0B" w:rsidRPr="00833E55" w:rsidRDefault="008B3C0B" w:rsidP="00833E55">
      <w:pPr>
        <w:pStyle w:val="ListParagraph"/>
        <w:numPr>
          <w:ilvl w:val="0"/>
          <w:numId w:val="9"/>
        </w:numPr>
        <w:tabs>
          <w:tab w:val="left" w:pos="360"/>
        </w:tabs>
        <w:spacing w:after="0" w:line="240" w:lineRule="auto"/>
        <w:ind w:left="0" w:firstLine="0"/>
        <w:contextualSpacing w:val="0"/>
        <w:rPr>
          <w:rFonts w:ascii="Cambria Math" w:eastAsia="Times New Roman" w:hAnsi="Cambria Math"/>
          <w:sz w:val="24"/>
          <w:szCs w:val="24"/>
        </w:rPr>
      </w:pPr>
      <w:r w:rsidRPr="00833E55">
        <w:rPr>
          <w:rFonts w:ascii="Cambria Math" w:eastAsia="Times New Roman" w:hAnsi="Cambria Math"/>
          <w:sz w:val="24"/>
          <w:szCs w:val="24"/>
        </w:rPr>
        <w:fldChar w:fldCharType="begin"/>
      </w:r>
      <w:r w:rsidRPr="00833E55">
        <w:rPr>
          <w:rFonts w:ascii="Cambria Math" w:eastAsia="Times New Roman" w:hAnsi="Cambria Math"/>
          <w:sz w:val="24"/>
          <w:szCs w:val="24"/>
        </w:rPr>
        <w:instrText xml:space="preserve"> QUOTE </w:instrText>
      </w:r>
      <w:r w:rsidR="009A08FE">
        <w:rPr>
          <w:rFonts w:ascii="Cambria Math" w:hAnsi="Cambria Math"/>
          <w:position w:val="-15"/>
          <w:sz w:val="24"/>
          <w:szCs w:val="24"/>
        </w:rPr>
        <w:pict>
          <v:shape id="_x0000_i1412" type="#_x0000_t75" style="width:269.55pt;height:20.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9D9&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0119D9&quot; wsp:rsidP=&quot;000119D9&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lt;/m:t&gt;&lt;/m:r&gt;&lt;m:ctrlPr&gt;&lt;w:rPr&gt;&lt;w:rFonts w:ascii=&quot;Cambria Math&quot; w:h-ansi=&quot;Cambria Math&quot;/&gt;&lt;wx:font wx:val=&quot;Cambria Math&quot;/&gt;&lt;w:b/&gt;&lt;w:i/&gt;&lt;/w:rPr&gt;&lt;/m:ctrlPr&gt;&lt;/m:e&gt;&lt;/m:d&gt;&lt;m:r&gt;&lt;m:rPr&gt;&lt;m:sty m:val=&quot;bi&quot;/&gt;&lt;/m:rPr&gt;&lt;w:rPr&gt;&lt;w:rFonts w:ascii=&quot;Cambria Math&quot; w:h-ansi=&quot;Cambria Math&quot;/&gt;&lt;wx:font wx:val=&quot;Cambria Math&quot;/&gt;&lt;w:b/&gt;&lt;w:i/&gt;&lt;/w:rPr&gt;&lt;m:t&gt;|(&lt;/m:t&gt;&lt;/m:r&gt;&lt;m:r&gt;&lt;w:rPr&gt;&lt;w:rFonts w:ascii=&quot;Cambria Math&quot; w:h-ansi=&quot;Cambria Math&quot;/&gt;&lt;wx:font wx:val=&quot;Cambria Math&quot;/&gt;&lt;w:i/&gt;&lt;/w:rPr&gt;&lt;m:t&gt;Î·&amp;lt;c)&lt;/m:t&gt;&lt;/m:r&gt;&lt;m:r&gt;&lt;m:rPr&gt;&lt;m:sty m:val=&quot;bi&quot;/&gt;&lt;/m:rPr&gt;&lt;w:rPr&gt;&lt;w:rFonts w:ascii=&quot;Cambria Math&quot; w:h-ansi=&quot;Cambria Math&quot;/&gt;&lt;wx:font wx:val=&quot;Cambria Math&quot;/&gt;&lt;w:b/&gt;&lt;w:i/&gt;&lt;/w:rPr&gt;&lt;m:t&gt;=&lt;/m:t&gt;&lt;/m:r&gt;&lt;m:nary&gt;&lt;m:naryPr&gt;&lt;m:limLoc m:val=&quot;undOvr&quot;/&gt;&lt;m:ctrlPr&gt;&lt;w:rPr&gt;&lt;w:rFonts w:ascii=&quot;Cambria Math&quot; w:fareast=&quot;Times New Roman&quot; w:h-ansi=&quot;Cambria Math&quot;/&gt;&lt;wx:font wx:val=&quot;Cambria Math&quot;/&gt;&lt;w:b/&gt;&lt;w:b-cs/&gt;&lt;w:i/&gt;&lt;/w:rPr&gt;&lt;/m:ctrlPr&gt;&lt;/m:naryPr&gt;&lt;m:sub&gt;&lt;m:r&gt;&lt;m:rPr&gt;&lt;m:sty m:val=&quot;bi&quot;/&gt;&lt;/m:rPr&gt;&lt;w:rPr&gt;&lt;w:rFonts w:ascii=&quot;Cambria Math&quot; w:fareast=&quot;Times New Roman&quot; w:h-ansi=&quot;Cambria Math&quot;/&gt;&lt;wx:font wx:val=&quot;Cambria Math&quot;/&gt;&lt;w:b/&gt;&lt;w:i/&gt;&lt;/w:rPr&gt;&lt;m:t&gt;-âˆž&lt;/m:t&gt;&lt;/m:r&gt;&lt;/m:sub&gt;&lt;m:sup&gt;&lt;m:r&gt;&lt;m:rPr&gt;&lt;m:sty m:val=&quot;bi&quot;/&gt;&lt;/m:rPr&gt;&lt;w:rPr&gt;&lt;w:rFonts w:ascii=&quot;Cambria Math&quot; w:fareast=&quot;Times New Roman&quot; w:h-ansi=&quot;Cambria Math&quot;/&gt;&lt;wx:font wx:val=&quot;Cambria Math&quot;/&gt;&lt;w:b/&gt;&lt;w:i/&gt;&lt;/w:rPr&gt;&lt;m:t&gt;c&lt;/m:t&gt;&lt;/m:r&gt;&lt;/m:sup&gt;&lt;m:e&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b-cs/&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dt&lt;/m:t&gt;&lt;/m:r&gt;&lt;m:r&gt;&lt;m:rPr&gt;&lt;m:sty m:val=&quot;bi&quot;/&gt;&lt;/m:rPr&gt;&lt;w:rPr&gt;&lt;w:rFonts w:ascii=&quot;Cambria Math&quot; w:h-ansi=&quot;Cambria Math&quot;/&gt;&lt;wx:font wx:val=&quot;Cambria Math&quot;/&gt;&lt;w:b/&gt;&lt;w:i/&gt;&lt;/w:rPr&gt;&lt;m:t&gt;=&lt;/m:t&gt;&lt;/m:r&gt;&lt;/m:e&gt;&lt;/m:nary&gt;&lt;m:r&gt;&lt;w:rPr&gt;&lt;w:rFonts w:ascii=&quot;Cambria Math&quot; w:fareast=&quot;Times New Roman&quot; w:h-ansi=&quot;Cambria Math&quot;/&gt;&lt;wx:font wx:val=&quot;Cambria Math&quot;/&gt;&lt;w:i/&gt;&lt;/w:rPr&gt;&lt;m:t&gt;I&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t=c&lt;/m:t&gt;&lt;/m:r&gt;&lt;/m:e&gt;&lt;/m:d&gt;&lt;m:r&gt;&lt;w:rPr&gt;&lt;w:rFonts w:ascii=&quot;Cambria Math&quot; w:fareast=&quot;Times New Roman&quot; w:h-ansi=&quot;Cambria Math&quot;/&gt;&lt;wx:font wx:val=&quot;Cambria Math&quot;/&gt;&lt;w:i/&gt;&lt;/w:rPr&gt;&lt;m:t&gt;-I&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t=-âˆž&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Pr="00833E55">
        <w:rPr>
          <w:rFonts w:ascii="Cambria Math" w:eastAsia="Times New Roman" w:hAnsi="Cambria Math"/>
          <w:sz w:val="24"/>
          <w:szCs w:val="24"/>
        </w:rPr>
        <w:instrText xml:space="preserve"> </w:instrText>
      </w:r>
      <w:r w:rsidRPr="00833E55">
        <w:rPr>
          <w:rFonts w:ascii="Cambria Math" w:eastAsia="Times New Roman" w:hAnsi="Cambria Math"/>
          <w:sz w:val="24"/>
          <w:szCs w:val="24"/>
        </w:rPr>
        <w:fldChar w:fldCharType="separate"/>
      </w:r>
      <w:r w:rsidR="009A08FE">
        <w:rPr>
          <w:rFonts w:ascii="Cambria Math" w:hAnsi="Cambria Math"/>
          <w:position w:val="-15"/>
          <w:sz w:val="24"/>
          <w:szCs w:val="24"/>
        </w:rPr>
        <w:pict>
          <v:shape id="_x0000_i1413" type="#_x0000_t75" style="width:269.55pt;height:20.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9D9&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0119D9&quot; wsp:rsidP=&quot;000119D9&quot;&gt;&lt;m:oMathPara&gt;&lt;m:oMath&gt;&lt;m:r&gt;&lt;w:rPr&gt;&lt;w:rFonts w:ascii=&quot;Cambria Math&quot; w:h-ansi=&quot;Cambria Math&quot;/&gt;&lt;wx:font wx:val=&quot;Cambria Math&quot;/&gt;&lt;w:i/&gt;&lt;/w:rPr&gt;&lt;m:t&gt;E&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Î·&lt;/m:t&gt;&lt;/m:r&gt;&lt;m:ctrlPr&gt;&lt;w:rPr&gt;&lt;w:rFonts w:ascii=&quot;Cambria Math&quot; w:h-ansi=&quot;Cambria Math&quot;/&gt;&lt;wx:font wx:val=&quot;Cambria Math&quot;/&gt;&lt;w:b/&gt;&lt;w:i/&gt;&lt;/w:rPr&gt;&lt;/m:ctrlPr&gt;&lt;/m:e&gt;&lt;/m:d&gt;&lt;m:r&gt;&lt;m:rPr&gt;&lt;m:sty m:val=&quot;bi&quot;/&gt;&lt;/m:rPr&gt;&lt;w:rPr&gt;&lt;w:rFonts w:ascii=&quot;Cambria Math&quot; w:h-ansi=&quot;Cambria Math&quot;/&gt;&lt;wx:font wx:val=&quot;Cambria Math&quot;/&gt;&lt;w:b/&gt;&lt;w:i/&gt;&lt;/w:rPr&gt;&lt;m:t&gt;|(&lt;/m:t&gt;&lt;/m:r&gt;&lt;m:r&gt;&lt;w:rPr&gt;&lt;w:rFonts w:ascii=&quot;Cambria Math&quot; w:h-ansi=&quot;Cambria Math&quot;/&gt;&lt;wx:font wx:val=&quot;Cambria Math&quot;/&gt;&lt;w:i/&gt;&lt;/w:rPr&gt;&lt;m:t&gt;Î·&amp;lt;c)&lt;/m:t&gt;&lt;/m:r&gt;&lt;m:r&gt;&lt;m:rPr&gt;&lt;m:sty m:val=&quot;bi&quot;/&gt;&lt;/m:rPr&gt;&lt;w:rPr&gt;&lt;w:rFonts w:ascii=&quot;Cambria Math&quot; w:h-ansi=&quot;Cambria Math&quot;/&gt;&lt;wx:font wx:val=&quot;Cambria Math&quot;/&gt;&lt;w:b/&gt;&lt;w:i/&gt;&lt;/w:rPr&gt;&lt;m:t&gt;=&lt;/m:t&gt;&lt;/m:r&gt;&lt;m:nary&gt;&lt;m:naryPr&gt;&lt;m:limLoc m:val=&quot;undOvr&quot;/&gt;&lt;m:ctrlPr&gt;&lt;w:rPr&gt;&lt;w:rFonts w:ascii=&quot;Cambria Math&quot; w:fareast=&quot;Times New Roman&quot; w:h-ansi=&quot;Cambria Math&quot;/&gt;&lt;wx:font wx:val=&quot;Cambria Math&quot;/&gt;&lt;w:b/&gt;&lt;w:b-cs/&gt;&lt;w:i/&gt;&lt;/w:rPr&gt;&lt;/m:ctrlPr&gt;&lt;/m:naryPr&gt;&lt;m:sub&gt;&lt;m:r&gt;&lt;m:rPr&gt;&lt;m:sty m:val=&quot;bi&quot;/&gt;&lt;/m:rPr&gt;&lt;w:rPr&gt;&lt;w:rFonts w:ascii=&quot;Cambria Math&quot; w:fareast=&quot;Times New Roman&quot; w:h-ansi=&quot;Cambria Math&quot;/&gt;&lt;wx:font wx:val=&quot;Cambria Math&quot;/&gt;&lt;w:b/&gt;&lt;w:i/&gt;&lt;/w:rPr&gt;&lt;m:t&gt;-âˆž&lt;/m:t&gt;&lt;/m:r&gt;&lt;/m:sub&gt;&lt;m:sup&gt;&lt;m:r&gt;&lt;m:rPr&gt;&lt;m:sty m:val=&quot;bi&quot;/&gt;&lt;/m:rPr&gt;&lt;w:rPr&gt;&lt;w:rFonts w:ascii=&quot;Cambria Math&quot; w:fareast=&quot;Times New Roman&quot; w:h-ansi=&quot;Cambria Math&quot;/&gt;&lt;wx:font wx:val=&quot;Cambria Math&quot;/&gt;&lt;w:b/&gt;&lt;w:i/&gt;&lt;/w:rPr&gt;&lt;m:t&gt;c&lt;/m:t&gt;&lt;/m:r&gt;&lt;/m:sup&gt;&lt;m:e&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b-cs/&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dt&lt;/m:t&gt;&lt;/m:r&gt;&lt;m:r&gt;&lt;m:rPr&gt;&lt;m:sty m:val=&quot;bi&quot;/&gt;&lt;/m:rPr&gt;&lt;w:rPr&gt;&lt;w:rFonts w:ascii=&quot;Cambria Math&quot; w:h-ansi=&quot;Cambria Math&quot;/&gt;&lt;wx:font wx:val=&quot;Cambria Math&quot;/&gt;&lt;w:b/&gt;&lt;w:i/&gt;&lt;/w:rPr&gt;&lt;m:t&gt;=&lt;/m:t&gt;&lt;/m:r&gt;&lt;/m:e&gt;&lt;/m:nary&gt;&lt;m:r&gt;&lt;w:rPr&gt;&lt;w:rFonts w:ascii=&quot;Cambria Math&quot; w:fareast=&quot;Times New Roman&quot; w:h-ansi=&quot;Cambria Math&quot;/&gt;&lt;wx:font wx:val=&quot;Cambria Math&quot;/&gt;&lt;w:i/&gt;&lt;/w:rPr&gt;&lt;m:t&gt;I&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t=c&lt;/m:t&gt;&lt;/m:r&gt;&lt;/m:e&gt;&lt;/m:d&gt;&lt;m:r&gt;&lt;w:rPr&gt;&lt;w:rFonts w:ascii=&quot;Cambria Math&quot; w:fareast=&quot;Times New Roman&quot; w:h-ansi=&quot;Cambria Math&quot;/&gt;&lt;wx:font wx:val=&quot;Cambria Math&quot;/&gt;&lt;w:i/&gt;&lt;/w:rPr&gt;&lt;m:t&gt;-I&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t=-âˆž&lt;/m:t&gt;&lt;/m:r&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1" o:title="" chromakey="white"/>
          </v:shape>
        </w:pict>
      </w:r>
      <w:r w:rsidRPr="00833E55">
        <w:rPr>
          <w:rFonts w:ascii="Cambria Math" w:eastAsia="Times New Roman" w:hAnsi="Cambria Math"/>
          <w:sz w:val="24"/>
          <w:szCs w:val="24"/>
        </w:rPr>
        <w:fldChar w:fldCharType="end"/>
      </w:r>
      <w:r w:rsidRPr="00833E55">
        <w:rPr>
          <w:rFonts w:ascii="Cambria Math" w:eastAsia="Times New Roman" w:hAnsi="Cambria Math"/>
          <w:sz w:val="24"/>
          <w:szCs w:val="24"/>
        </w:rPr>
        <w:t xml:space="preserve"> (</w:t>
      </w:r>
      <w:r w:rsidR="00506FA0" w:rsidRPr="00833E55">
        <w:rPr>
          <w:rFonts w:ascii="Cambria Math" w:eastAsia="Times New Roman" w:hAnsi="Cambria Math"/>
          <w:sz w:val="24"/>
          <w:szCs w:val="24"/>
        </w:rPr>
        <w:t>w</w:t>
      </w:r>
      <w:r w:rsidRPr="00833E55">
        <w:rPr>
          <w:rFonts w:ascii="Cambria Math" w:eastAsia="Times New Roman" w:hAnsi="Cambria Math"/>
          <w:sz w:val="24"/>
          <w:szCs w:val="24"/>
        </w:rPr>
        <w:t>here I = Indefinite Integral)</w:t>
      </w:r>
    </w:p>
    <w:p w:rsidR="008B3C0B" w:rsidRPr="00833E55" w:rsidRDefault="009A08FE" w:rsidP="00833E55">
      <w:pPr>
        <w:pStyle w:val="ListParagraph"/>
        <w:tabs>
          <w:tab w:val="left" w:pos="360"/>
        </w:tabs>
        <w:spacing w:after="0" w:line="240" w:lineRule="auto"/>
        <w:ind w:left="0"/>
        <w:contextualSpacing w:val="0"/>
        <w:rPr>
          <w:rFonts w:ascii="Cambria Math" w:eastAsia="Times New Roman" w:hAnsi="Cambria Math"/>
          <w:sz w:val="24"/>
          <w:szCs w:val="24"/>
        </w:rPr>
      </w:pPr>
      <w:r>
        <w:rPr>
          <w:rFonts w:ascii="Cambria Math" w:hAnsi="Cambria Math"/>
          <w:sz w:val="24"/>
          <w:szCs w:val="24"/>
        </w:rPr>
        <w:pict>
          <v:shape id="_x0000_i1414" type="#_x0000_t75" style="width:468pt;height:178.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DEC&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4C5DEC&quot; wsp:rsidRDefault=&quot;004C5DEC&quot; wsp:rsidP=&quot;004C5DEC&quot;&gt;&lt;m:oMathPara&gt;&lt;m:oMathParaPr&gt;&lt;m:jc m:val=&quot;left&quot;/&gt;&lt;/m:oMathParaPr&gt;&lt;m:oMath&gt;&lt;m:r&gt;&lt;w:rPr&gt;&lt;w:rFonts w:ascii=&quot;Cambria Math&quot; w:fareast=&quot;Times New Roman&quot; w:h-ansi=&quot;Cambria Math&quot;/&gt;&lt;wx:font wx:val=&quot;Cambria Math&quot;/&gt;&lt;w:i/&gt;&lt;/w:rPr&gt;&lt;m:t&gt; I=-Ïƒ&lt;/m:t&gt;&lt;/m:r&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num&gt;&lt;m:den&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â€¦&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den&gt;&lt;/m:f&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func&gt;&lt;m:funcPr&gt;&lt;m:ctrlPr&gt;&lt;w:rPr&gt;&lt;w:rFonts w:ascii=&quot;Cambria Math&quot; w:fareast=&quot;Times New Roman&quot; w:h-ansi=&quot;Cambria Math&quot;/&gt;&lt;wx:font wx:val=&quot;Cambria Math&quot;/&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e&gt;&lt;/m:func&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3&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e&gt;&lt;/m:d&gt;&lt;/m:den&gt;&lt;/m:f&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â€¦+   &lt;/m:t&gt;&lt;/m:r&gt;&lt;/m:e&gt;&lt;/m:func&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num&gt;&lt;m:den&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1&lt;/m:t&gt;&lt;/m:r&gt;&lt;/m:sub&gt;&lt;/m:sSub&gt;&lt;/m:e&gt;&lt;/m:d&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2&lt;/m:t&gt;&lt;/m:r&gt;&lt;/m:sub&gt;&lt;/m:sSub&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i/&gt;&lt;/w:rPr&gt;&lt;/m:ctrlPr&gt;&lt;/m:dPr&gt;&lt;m:e&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1&lt;/m:t&gt;&lt;/m:r&gt;&lt;/m:sub&gt;&lt;/m:sSub&gt;&lt;/m:e&gt;&lt;/m:d&gt;&lt;/m:den&gt;&lt;/m:f&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sup&gt;&lt;/m:sSup&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t&lt;/m:t&gt;&lt;/m:r&gt;&lt;/m:num&gt;&lt;m:den&gt;&lt;m:r&gt;&lt;w:rPr&gt;&lt;w:rFonts w:ascii=&quot;Cambria Math&quot; w:fareast=&quot;Times New Roman&quot; w:h-ansi=&quot;Cambria Math&quot;/&gt;&lt;wx:font wx:val=&quot;Cambria Math&quot;/&gt;&lt;w:i/&gt;&lt;/w:rPr&gt;&lt;m:t&gt;Ïƒ&lt;/m:t&gt;&lt;/m:r&gt;&lt;/m:den&gt;&lt;/m:f&gt;&lt;/m:e&gt;&lt;/m:func&gt;&lt;/m:e&gt;&lt;/m:d&gt;&lt;m:r&gt;&lt;w:rPr&gt;&lt;w:rFonts w:ascii=&quot;Cambria Math&quot; w:fareast=&quot;Times New Roman&quot; w:h-ansi=&quot;Cambria Math&quot;/&gt;&lt;wx:font wx:val=&quot;Cambria Math&quot;/&gt;&lt;w:i/&gt;&lt;/w:rPr&gt;&lt;m:t&gt;+C&lt;/m:t&gt;&lt;/m:r&gt;&lt;/m:oMath&gt;&lt;/m:oMathPara&gt;&lt;/w:p&gt;&lt;w:sectPr wsp:rsidR=&quot;00000000&quot; wsp:rsidRPr=&quot;004C5DEC&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2" o:title="" chromakey="white"/>
          </v:shape>
        </w:pict>
      </w:r>
      <w:r>
        <w:rPr>
          <w:rFonts w:ascii="Cambria Math" w:hAnsi="Cambria Math"/>
          <w:sz w:val="24"/>
          <w:szCs w:val="24"/>
        </w:rPr>
        <w:pict>
          <v:shape id="_x0000_i1415" type="#_x0000_t75" style="width:180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0F35&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180F35&quot; wsp:rsidRDefault=&quot;00180F35&quot; wsp:rsidP=&quot;00180F35&quot;&gt;&lt;m:oMathPara&gt;&lt;m:oMath&gt;&lt;m:r&gt;&lt;w:rPr&gt;&lt;w:rFonts w:ascii=&quot;Cambria Math&quot; w:fareast=&quot;Times New Roman&quot; w:h-ansi=&quot;Cambria Math&quot;/&gt;&lt;wx:font wx:val=&quot;Cambria Math&quot;/&gt;&lt;w:i/&gt;&lt;/w:rPr&gt;&lt;m:t&gt;I (tâ†’-âˆž)=0 &lt;/m:t&gt;&lt;/m:r&gt;&lt;m:d&gt;&lt;m:dPr&gt;&lt;m:ctrlPr&gt;&lt;w:rPr&gt;&lt;w:rFonts w:ascii=&quot;Cambria Math&quot; w:fareast=&quot;Times New Roman&quot; w:h-ansi=&quot;Cambria Math&quot;/&gt;&lt;wx:font wx:val=&quot;Cambria Math&quot;/&gt;&lt;w:i-cs/&gt;&lt;/w:rPr&gt;&lt;/m:ctrlPr&gt;&lt;/m:dPr&gt;&lt;m:e&gt;&lt;m:r&gt;&lt;m:rPr&gt;&lt;m:sty m:val=&quot;p&quot;/&gt;&lt;/m:rPr&gt;&lt;w:rPr&gt;&lt;w:rFonts w:ascii=&quot;Cambria Math&quot; w:fareast=&quot;Times New Roman&quot; w:h-ansi=&quot;Cambria Math&quot;/&gt;&lt;wx:font wx:val=&quot;Cambria Math&quot;/&gt;&lt;/w:rPr&gt;&lt;m:t&gt;found out earlier&lt;/m:t&gt;&lt;/m:r&gt;&lt;/m:e&gt;&lt;/m:d&gt;&lt;/m:oMath&gt;&lt;/m:oMathPara&gt;&lt;/w:p&gt;&lt;w:sectPr wsp:rsidR=&quot;00000000&quot; wsp:rsidRPr=&quot;00180F35&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008B3C0B" w:rsidRPr="00833E55">
        <w:rPr>
          <w:rFonts w:ascii="Cambria Math" w:eastAsia="Times New Roman" w:hAnsi="Cambria Math"/>
          <w:sz w:val="24"/>
          <w:szCs w:val="24"/>
        </w:rPr>
        <w:br/>
      </w:r>
      <w:r>
        <w:rPr>
          <w:rFonts w:ascii="Cambria Math" w:hAnsi="Cambria Math"/>
          <w:sz w:val="24"/>
          <w:szCs w:val="24"/>
        </w:rPr>
        <w:pict>
          <v:shape id="_x0000_i1416" type="#_x0000_t75" style="width:362.55pt;height:50.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537E&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6537E&quot; wsp:rsidRDefault=&quot;0036537E&quot; wsp:rsidP=&quot;0036537E&quot;&gt;&lt;m:oMathPara&gt;&lt;m:oMath&gt;&lt;m:r&gt;&lt;w:rPr&gt;&lt;w:rFonts w:ascii=&quot;Cambria Math&quot; w:fareast=&quot;Times New Roman&quot; w:h-ansi=&quot;Cambria Math&quot;/&gt;&lt;wx:font wx:val=&quot;Cambria Math&quot;/&gt;&lt;w:i/&gt;&lt;/w:rPr&gt;&lt;m:t&gt;At t=c: I=-Ïƒ&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e&gt;&lt;/m:func&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d&gt;&lt;/m:e&gt;&lt;/m:nary&gt;&lt;m:r&gt;&lt;w:rPr&gt;&lt;w:rFonts w:ascii=&quot;Cambria Math&quot; w:fareast=&quot;Times New Roman&quot; w:h-ansi=&quot;Cambria Math&quot;/&gt;&lt;wx:font wx:val=&quot;Cambria Math&quot;/&gt;&lt;w:i/&gt;&lt;/w:rPr&gt;&lt;m:t&gt;+c&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c&lt;/m:t&gt;&lt;/m:r&gt;&lt;/m:num&gt;&lt;m:den&gt;&lt;m:r&gt;&lt;w:rPr&gt;&lt;w:rFonts w:ascii=&quot;Cambria Math&quot; w:h-ansi=&quot;Cambria Math&quot;/&gt;&lt;wx:font wx:val=&quot;Cambria Math&quot;/&gt;&lt;w:i/&gt;&lt;/w:rPr&gt;&lt;m:t&gt;Ïƒ&lt;/m:t&gt;&lt;/m:r&gt;&lt;/m:den&gt;&lt;/m:f&gt;&lt;/m:sup&gt;&lt;/m:sSup&gt;&lt;/m:e&gt;&lt;/m:d&gt;&lt;/m:e&gt;&lt;/m:nary&gt;&lt;/m:den&gt;&lt;/m:f&gt;&lt;m:ctrlPr&gt;&lt;w:rPr&gt;&lt;w:rFonts w:ascii=&quot;Cambria Math&quot; w:h-ansi=&quot;Cambria Math&quot;/&gt;&lt;wx:font wx:val=&quot;Cambria Math&quot;/&gt;&lt;w:i/&gt;&lt;/w:rPr&gt;&lt;/m:ctrlPr&gt;&lt;/m:e&gt;&lt;/m:d&gt;&lt;/m:oMath&gt;&lt;/m:oMathPara&gt;&lt;/w:p&gt;&lt;w:sectPr wsp:rsidR=&quot;00000000&quot; wsp:rsidRPr=&quot;0036537E&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4" o:title="" chromakey="white"/>
          </v:shape>
        </w:pict>
      </w:r>
    </w:p>
    <w:p w:rsidR="008B3C0B" w:rsidRPr="00833E55" w:rsidRDefault="009A08FE" w:rsidP="00833E55">
      <w:pPr>
        <w:pStyle w:val="ListParagraph"/>
        <w:tabs>
          <w:tab w:val="left" w:pos="360"/>
        </w:tabs>
        <w:spacing w:after="0" w:line="240" w:lineRule="auto"/>
        <w:ind w:left="0"/>
        <w:contextualSpacing w:val="0"/>
        <w:rPr>
          <w:rFonts w:ascii="Cambria Math" w:eastAsia="Times New Roman" w:hAnsi="Cambria Math"/>
          <w:sz w:val="24"/>
          <w:szCs w:val="24"/>
        </w:rPr>
      </w:pPr>
      <w:r>
        <w:rPr>
          <w:rFonts w:ascii="Cambria Math" w:hAnsi="Cambria Math"/>
          <w:sz w:val="24"/>
          <w:szCs w:val="24"/>
        </w:rPr>
        <w:pict>
          <v:shape id="_x0000_i1417" type="#_x0000_t75" style="width:385.3pt;height:50.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0CF0&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490CF0&quot; wsp:rsidRDefault=&quot;00490CF0&quot; wsp:rsidP=&quot;00490CF0&quot;&gt;&lt;m:oMathPara&gt;&lt;m:oMathParaPr&gt;&lt;m:jc m:val=&quot;left&quot;/&gt;&lt;/m:oMathParaPr&gt;&lt;m:oMath&gt;&lt;m:r&gt;&lt;w:rPr&gt;&lt;w:rFonts w:ascii=&quot;Cambria Math&quot; w:fareast=&quot;Times New Roman&quot; w:h-ansi=&quot;Cambria Math&quot;/&gt;&lt;wx:font wx:val=&quot;Cambria Math&quot;/&gt;&lt;w:i/&gt;&lt;/w:rPr&gt;&lt;m:t&gt;So, &lt;/m:t&gt;&lt;/m:r&gt;&lt;m:nary&gt;&lt;m:naryPr&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âˆž&lt;/m:t&gt;&lt;/m:r&gt;&lt;/m:sub&gt;&lt;m:sup&gt;&lt;m:r&gt;&lt;w:rPr&gt;&lt;w:rFonts w:ascii=&quot;Cambria Math&quot; w:fareast=&quot;Times New Roman&quot; w:h-ansi=&quot;Cambria Math&quot;/&gt;&lt;wx:font wx:val=&quot;Cambria Math&quot;/&gt;&lt;w:i/&gt;&lt;/w:rPr&gt;&lt;m:t&gt;c&lt;/m:t&gt;&lt;/m:r&gt;&lt;/m:sup&gt;&lt;m:e&gt;&lt;m:r&gt;&lt;w:rPr&gt;&lt;w:rFonts w:ascii=&quot;Cambria Math&quot; w:h-ansi=&quot;Cambria Math&quot;/&gt;&lt;wx:font wx:val=&quot;Cambria Math&quot;/&gt;&lt;w:i/&gt;&lt;/w:rPr&gt;&lt;m:t&gt;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dt=-&lt;/m:t&gt;&lt;/m:r&gt;&lt;m:r&gt;&lt;w:rPr&gt;&lt;w:rFonts w:ascii=&quot;Cambria Math&quot; w:fareast=&quot;Times New Roman&quot; w:h-ansi=&quot;Cambria Math&quot;/&gt;&lt;wx:font wx:val=&quot;Cambria Math&quot;/&gt;&lt;w:i/&gt;&lt;/w:rPr&gt;&lt;m:t&gt;Ïƒ&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e&gt;&lt;/m:func&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d&gt;&lt;/m:e&gt;&lt;/m:nary&gt;&lt;m:r&gt;&lt;w:rPr&gt;&lt;w:rFonts w:ascii=&quot;Cambria Math&quot; w:fareast=&quot;Times New Roman&quot; w:h-ansi=&quot;Cambria Math&quot;/&gt;&lt;wx:font wx:val=&quot;Cambria Math&quot;/&gt;&lt;w:i/&gt;&lt;/w:rPr&gt;&lt;m:t&gt;+c&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c&lt;/m:t&gt;&lt;/m:r&gt;&lt;/m:num&gt;&lt;m:den&gt;&lt;m:r&gt;&lt;w:rPr&gt;&lt;w:rFonts w:ascii=&quot;Cambria Math&quot; w:h-ansi=&quot;Cambria Math&quot;/&gt;&lt;wx:font wx:val=&quot;Cambria Math&quot;/&gt;&lt;w:i/&gt;&lt;/w:rPr&gt;&lt;m:t&gt;Ïƒ&lt;/m:t&gt;&lt;/m:r&gt;&lt;/m:den&gt;&lt;/m:f&gt;&lt;/m:sup&gt;&lt;/m:sSup&gt;&lt;/m:e&gt;&lt;/m:d&gt;&lt;/m:e&gt;&lt;/m:nary&gt;&lt;/m:den&gt;&lt;/m:f&gt;&lt;m:ctrlPr&gt;&lt;w:rPr&gt;&lt;w:rFonts w:ascii=&quot;Cambria Math&quot; w:h-ansi=&quot;Cambria Math&quot;/&gt;&lt;wx:font wx:val=&quot;Cambria Math&quot;/&gt;&lt;w:i/&gt;&lt;/w:rPr&gt;&lt;/m:ctrlPr&gt;&lt;/m:e&gt;&lt;/m:d&gt;&lt;/m:e&gt;&lt;/m:nary&gt;&lt;/m:oMath&gt;&lt;/m:oMathPara&gt;&lt;/w:p&gt;&lt;w:sectPr wsp:rsidR=&quot;00000000&quot; wsp:rsidRPr=&quot;00490CF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5" o:title="" chromakey="white"/>
          </v:shape>
        </w:pict>
      </w:r>
    </w:p>
    <w:p w:rsidR="008B3C0B" w:rsidRPr="00833E55" w:rsidRDefault="009A08FE" w:rsidP="00833E55">
      <w:pPr>
        <w:pStyle w:val="ListParagraph"/>
        <w:tabs>
          <w:tab w:val="left" w:pos="360"/>
        </w:tabs>
        <w:spacing w:after="0" w:line="240" w:lineRule="auto"/>
        <w:ind w:left="0"/>
        <w:contextualSpacing w:val="0"/>
        <w:rPr>
          <w:rFonts w:ascii="Cambria Math" w:eastAsia="Times New Roman" w:hAnsi="Cambria Math"/>
          <w:b/>
          <w:bCs/>
          <w:sz w:val="24"/>
          <w:szCs w:val="24"/>
        </w:rPr>
      </w:pPr>
      <w:r>
        <w:rPr>
          <w:rFonts w:ascii="Cambria Math" w:hAnsi="Cambria Math"/>
          <w:sz w:val="24"/>
          <w:szCs w:val="24"/>
        </w:rPr>
        <w:pict>
          <v:shape id="_x0000_i1418" type="#_x0000_t75" style="width:217.3pt;height:49.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775A1&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6775A1&quot; wsp:rsidRDefault=&quot;006775A1&quot; wsp:rsidP=&quot;006775A1&quot;&gt;&lt;m:oMathPara&gt;&lt;m:oMathParaPr&gt;&lt;m:jc m:val=&quot;left&quot;/&gt;&lt;/m:oMathParaPr&gt;&lt;m:oMath&gt;&lt;m:r&gt;&lt;w:rPr&gt;&lt;w:rFonts w:ascii=&quot;Cambria Math&quot; w:fareast=&quot;Times New Roman&quot; w:h-ansi=&quot;Cambria Math&quot;/&gt;&lt;wx:font wx:val=&quot;Cambria Math&quot;/&gt;&lt;w:i/&gt;&lt;/w:rPr&gt;&lt;m:t&gt;=c&lt;/m:t&gt;&lt;/m:r&gt;&lt;m:nary&gt;&lt;m:naryPr&gt;&lt;m:limLoc m:val=&quot;subSup&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âˆž&lt;/m:t&gt;&lt;/m:r&gt;&lt;/m:sub&gt;&lt;m:sup&gt;&lt;m:r&gt;&lt;w:rPr&gt;&lt;w:rFonts w:ascii=&quot;Cambria Math&quot; w:fareast=&quot;Times New Roman&quot; w:h-ansi=&quot;Cambria Math&quot;/&gt;&lt;wx:font wx:val=&quot;Cambria Math&quot;/&gt;&lt;w:i/&gt;&lt;/w:rPr&gt;&lt;m:t&gt;c&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lt;/m:t&gt;&lt;/m:r&gt;&lt;/m:e&gt;&lt;/m:nary&gt;&lt;m:r&gt;&lt;w:rPr&gt;&lt;w:rFonts w:ascii=&quot;Cambria Math&quot; w:fareast=&quot;Times New Roman&quot; w:h-ansi=&quot;Cambria Math&quot;/&gt;&lt;wx:font wx:val=&quot;Cambria Math&quot;/&gt;&lt;w:i/&gt;&lt;/w:rPr&gt;&lt;m:t&gt;Ïƒ&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e&gt;&lt;/m:func&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d&gt;&lt;/m:e&gt;&lt;/m:nary&gt;&lt;/m:oMath&gt;&lt;/m:oMathPara&gt;&lt;/w:p&gt;&lt;w:sectPr wsp:rsidR=&quot;00000000&quot; wsp:rsidRPr=&quot;006775A1&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6" o:title="" chromakey="white"/>
          </v:shape>
        </w:pict>
      </w:r>
      <w:r w:rsidR="008B3C0B" w:rsidRPr="00833E55">
        <w:rPr>
          <w:rFonts w:ascii="Cambria Math" w:eastAsia="Times New Roman" w:hAnsi="Cambria Math"/>
          <w:sz w:val="24"/>
          <w:szCs w:val="24"/>
        </w:rPr>
        <w:br/>
      </w:r>
      <w:r>
        <w:rPr>
          <w:rFonts w:ascii="Cambria Math" w:hAnsi="Cambria Math"/>
          <w:sz w:val="24"/>
          <w:szCs w:val="24"/>
        </w:rPr>
        <w:pict>
          <v:shape id="_x0000_i1419" type="#_x0000_t75" style="width:384.8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5B64&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E65B64&quot; wsp:rsidRDefault=&quot;00E65B64&quot; wsp:rsidP=&quot;00E65B64&quot;&gt;&lt;m:oMathPara&gt;&lt;m:oMath&gt;&lt;m:r&gt;&lt;w:rPr&gt;&lt;w:rFonts w:ascii=&quot;Cambria Math&quot; w:fareast=&quot;Times New Roman&quot; w:h-ansi=&quot;Cambria Math&quot;/&gt;&lt;wx:font wx:val=&quot;Cambria Math&quot;/&gt;&lt;w:i/&gt;&lt;/w:rPr&gt;&lt;m:t&gt;Normalizing the truncated expectation with &lt;/m:t&gt;&lt;/m:r&gt;&lt;m:nary&gt;&lt;m:naryPr&gt;&lt;m:limLoc m:val=&quot;subSup&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âˆž&lt;/m:t&gt;&lt;/m:r&gt;&lt;/m:sub&gt;&lt;m:sup&gt;&lt;m:r&gt;&lt;w:rPr&gt;&lt;w:rFonts w:ascii=&quot;Cambria Math&quot; w:fareast=&quot;Times New Roman&quot; w:h-ansi=&quot;Cambria Math&quot;/&gt;&lt;wx:font wx:val=&quot;Cambria Math&quot;/&gt;&lt;w:i/&gt;&lt;/w:rPr&gt;&lt;m:t&gt;c&lt;/m:t&gt;&lt;/m:r&gt;&lt;/m:sup&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c&lt;/m:t&gt;&lt;/m:r&gt;&lt;/m:e&gt;&lt;/m:d&gt;&lt;m:r&gt;&lt;w:rPr&gt;&lt;w:rFonts w:ascii=&quot;Cambria Math&quot; w:h-ansi=&quot;Cambria Math&quot;/&gt;&lt;wx:font wx:val=&quot;Cambria Math&quot;/&gt;&lt;w:i/&gt;&lt;/w:rPr&gt;&lt;m:t&gt;), We get:&lt;/m:t&gt;&lt;/m:r&gt;&lt;/m:e&gt;&lt;/m:nary&gt;&lt;/m:oMath&gt;&lt;/m:oMathPara&gt;&lt;/w:p&gt;&lt;w:sectPr wsp:rsidR=&quot;00000000&quot; wsp:rsidRPr=&quot;00E65B6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7" o:title="" chromakey="white"/>
          </v:shape>
        </w:pict>
      </w:r>
      <w:r>
        <w:rPr>
          <w:rFonts w:ascii="Cambria Math" w:hAnsi="Cambria Math"/>
          <w:sz w:val="24"/>
          <w:szCs w:val="24"/>
        </w:rPr>
        <w:pict>
          <v:shape id="_x0000_i1420" type="#_x0000_t75" style="width:270pt;height:49.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9F5&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4239F5&quot; wsp:rsidRDefault=&quot;004239F5&quot; wsp:rsidP=&quot;004239F5&quot;&gt;&lt;m:oMathPara&gt;&lt;m:oMath&gt;&lt;m:r&gt;&lt;w:rPr&gt;&lt;w:rFonts w:ascii=&quot;Cambria Math&quot; w:fareast=&quot;Times New Roman&quot; w:h-ansi=&quot;Cambria Math&quot;/&gt;&lt;wx:font wx:val=&quot;Cambria Math&quot;/&gt;&lt;w:i/&gt;&lt;/w:rPr&gt;&lt;m:t&gt;E&lt;/m:t&gt;&lt;/m:r&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Î·&lt;/m:t&gt;&lt;/m:r&gt;&lt;/m:e&gt;&lt;/m:d&gt;&lt;m:r&gt;&lt;w:rPr&gt;&lt;w:rFonts w:ascii=&quot;Cambria Math&quot; w:fareast=&quot;Times New Roman&quot; w:h-ansi=&quot;Cambria Math&quot;/&gt;&lt;wx:font wx:val=&quot;Cambria Math&quot;/&gt;&lt;w:i/&gt;&lt;/w:rPr&gt;&lt;m:t&gt;|&lt;/m:t&gt;&lt;/m:r&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Î·&amp;lt;c&lt;/m:t&gt;&lt;/m:r&gt;&lt;/m:e&gt;&lt;/m:d&gt;&lt;m:r&gt;&lt;w:rPr&gt;&lt;w:rFonts w:ascii=&quot;Cambria Math&quot; w:fareast=&quot;Times New Roman&quot; w:h-ansi=&quot;Cambria Math&quot;/&gt;&lt;wx:font wx:val=&quot;Cambria Math&quot;/&gt;&lt;w:i/&gt;&lt;/w:rPr&gt;&lt;m:t&gt;=c-&lt;/m:t&gt;&lt;/m:r&gt;&lt;m:f&gt;&lt;m:fPr&gt;&lt;m:ctrlPr&gt;&lt;w:rPr&gt;&lt;w:rFonts w:ascii=&quot;Cambria Math&quot; w:fareast=&quot;Times New Roman&quot; w:h-ansi=&quot;Cambria Math&quot;/&gt;&lt;wx:font wx:val=&quot;Cambria Math&quot;/&gt;&lt;w:b-cs/&gt;&lt;w:i/&gt;&lt;/w:rPr&gt;&lt;/m:ctrlPr&gt;&lt;/m:fPr&gt;&lt;m:num&gt;&lt;m:r&gt;&lt;w:rPr&gt;&lt;w:rFonts w:ascii=&quot;Cambria Math&quot; w:fareast=&quot;Times New Roman&quot; w:h-ansi=&quot;Cambria Math&quot;/&gt;&lt;wx:font wx:val=&quot;Cambria Math&quot;/&gt;&lt;w:i/&gt;&lt;/w:rPr&gt;&lt;m:t&gt;1&lt;/m:t&gt;&lt;/m:r&gt;&lt;/m:num&gt;&lt;m:den&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b-cs/&gt;&lt;w:i/&gt;&lt;/w:rPr&gt;&lt;/m:ctrlPr&gt;&lt;/m:dPr&gt;&lt;m:e&gt;&lt;m:r&gt;&lt;w:rPr&gt;&lt;w:rFonts w:ascii=&quot;Cambria Math&quot; w:h-ansi=&quot;Cambria Math&quot;/&gt;&lt;wx:font wx:val=&quot;Cambria Math&quot;/&gt;&lt;w:i/&gt;&lt;/w:rPr&gt;&lt;m:t&gt;c&lt;/m:t&gt;&lt;/m:r&gt;&lt;/m:e&gt;&lt;/m:d&gt;&lt;/m:den&gt;&lt;/m:f&gt;&lt;m:r&gt;&lt;w:rPr&gt;&lt;w:rFonts w:ascii=&quot;Cambria Math&quot; w:fareast=&quot;Times New Roman&quot; w:h-ansi=&quot;Cambria Math&quot;/&gt;&lt;wx:font wx:val=&quot;Cambria Math&quot;/&gt;&lt;w:i/&gt;&lt;/w:rPr&gt;&lt;m:t&gt;Ïƒ&lt;/m:t&gt;&lt;/m:r&gt;&lt;m:nary&gt;&lt;m:naryPr&gt;&lt;m:chr m:val=&quot;âˆ‘&quot;/&gt;&lt;m:limLoc m:val=&quot;undOvr&quot;/&gt;&lt;m:ctrlPr&gt;&lt;w:rPr&gt;&lt;w:rFonts w:ascii=&quot;Cambria Math&quot; w:fareast=&quot;Times New Roman&quot; w:h-ansi=&quot;Cambria Math&quot;/&gt;&lt;wx:font wx:val=&quot;Cambria Math&quot;/&gt;&lt;w:b-cs/&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b-cs/&gt;&lt;w:i/&gt;&lt;/w:rPr&gt;&lt;/m:ctrlPr&gt;&lt;/m:dPr&gt;&lt;m:e&gt;&lt;m:f&gt;&lt;m:fPr&gt;&lt;m:ctrlPr&gt;&lt;w:rPr&gt;&lt;w:rFonts w:ascii=&quot;Cambria Math&quot; w:fareast=&quot;Times New Roman&quot; w:h-ansi=&quot;Cambria Math&quot;/&gt;&lt;wx:font wx:val=&quot;Cambria Math&quot;/&gt;&lt;w:b-cs/&gt;&lt;w:i/&gt;&lt;/w:rPr&gt;&lt;/m:ctrlPr&gt;&lt;/m:fPr&gt;&lt;m:num&gt;&lt;m:sSubSup&gt;&lt;m:sSubSupPr&gt;&lt;m:ctrlPr&gt;&lt;w:rPr&gt;&lt;w:rFonts w:ascii=&quot;Cambria Math&quot; w:fareast=&quot;Times New Roman&quot; w:h-ansi=&quot;Cambria Math&quot;/&gt;&lt;wx:font wx:val=&quot;Cambria Math&quot;/&gt;&lt;w:b-cs/&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unc&gt;&lt;m:funcPr&gt;&lt;m:ctrlPr&gt;&lt;w:rPr&gt;&lt;w:rFonts w:ascii=&quot;Cambria Math&quot; w:fareast=&quot;Times New Roman&quot; w:h-ansi=&quot;Cambria Math&quot;/&gt;&lt;wx:font wx:val=&quot;Cambria Math&quot;/&gt;&lt;w:b-cs/&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b-cs/&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b-cs/&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e&gt;&lt;/m:func&gt;&lt;/m:num&gt;&lt;m:den&gt;&lt;m:nary&gt;&lt;m:naryPr&gt;&lt;m:chr m:val=&quot;âˆ&quot;/&gt;&lt;m:limLoc m:val=&quot;undOvr&quot;/&gt;&lt;m:ctrlPr&gt;&lt;w:rPr&gt;&lt;w:rFonts w:ascii=&quot;Cambria Math&quot; w:h-ansi=&quot;Cambria Math&quot;/&gt;&lt;wx:font wx:val=&quot;Cambria Math&quot;/&gt;&lt;w:b-cs/&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b-cs/&gt;&lt;w:i/&gt;&lt;/w:rPr&gt;&lt;/m:ctrlPr&gt;&lt;/m:dPr&gt;&lt;m:e&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d&gt;&lt;/m:e&gt;&lt;/m:nary&gt;&lt;/m:oMath&gt;&lt;/m:oMathPara&gt;&lt;/w:p&gt;&lt;w:sectPr wsp:rsidR=&quot;00000000&quot; wsp:rsidRPr=&quot;004239F5&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8" o:title="" chromakey="white"/>
          </v:shape>
        </w:pict>
      </w:r>
    </w:p>
    <w:p w:rsidR="008B3C0B" w:rsidRPr="00833E55" w:rsidRDefault="008B3C0B" w:rsidP="00833E55">
      <w:pPr>
        <w:pStyle w:val="ListParagraph"/>
        <w:tabs>
          <w:tab w:val="left" w:pos="360"/>
        </w:tabs>
        <w:spacing w:after="0" w:line="240" w:lineRule="auto"/>
        <w:ind w:left="0"/>
        <w:contextualSpacing w:val="0"/>
        <w:rPr>
          <w:rFonts w:ascii="Cambria Math" w:eastAsia="Times New Roman" w:hAnsi="Cambria Math"/>
          <w:sz w:val="24"/>
          <w:szCs w:val="24"/>
        </w:rPr>
      </w:pPr>
    </w:p>
    <w:p w:rsidR="008B3C0B" w:rsidRPr="00833E55" w:rsidRDefault="008B3C0B" w:rsidP="00833E55">
      <w:pPr>
        <w:pStyle w:val="ListParagraph"/>
        <w:numPr>
          <w:ilvl w:val="0"/>
          <w:numId w:val="9"/>
        </w:numPr>
        <w:tabs>
          <w:tab w:val="left" w:pos="360"/>
        </w:tabs>
        <w:spacing w:after="0" w:line="240" w:lineRule="auto"/>
        <w:ind w:left="0" w:firstLine="0"/>
        <w:contextualSpacing w:val="0"/>
        <w:rPr>
          <w:rFonts w:ascii="Cambria Math" w:eastAsia="Times New Roman" w:hAnsi="Cambria Math"/>
          <w:sz w:val="24"/>
          <w:szCs w:val="24"/>
        </w:rPr>
      </w:pPr>
      <w:r w:rsidRPr="00833E55">
        <w:rPr>
          <w:rFonts w:ascii="Cambria Math" w:eastAsia="Times New Roman" w:hAnsi="Cambria Math"/>
          <w:sz w:val="24"/>
          <w:szCs w:val="24"/>
        </w:rPr>
        <w:t>Variance of Truncated MinLogistic Distribution</w:t>
      </w:r>
    </w:p>
    <w:p w:rsidR="008B3C0B" w:rsidRPr="00833E55" w:rsidRDefault="009A08FE" w:rsidP="00833E55">
      <w:pPr>
        <w:pStyle w:val="ListParagraph"/>
        <w:tabs>
          <w:tab w:val="left" w:pos="360"/>
        </w:tabs>
        <w:spacing w:after="0" w:line="240" w:lineRule="auto"/>
        <w:ind w:left="0"/>
        <w:contextualSpacing w:val="0"/>
        <w:rPr>
          <w:rFonts w:ascii="Cambria Math" w:eastAsia="Times New Roman" w:hAnsi="Cambria Math"/>
          <w:sz w:val="24"/>
          <w:szCs w:val="24"/>
        </w:rPr>
      </w:pPr>
      <w:r>
        <w:rPr>
          <w:rFonts w:ascii="Cambria Math" w:hAnsi="Cambria Math"/>
          <w:sz w:val="24"/>
          <w:szCs w:val="24"/>
        </w:rPr>
        <w:pict>
          <v:shape id="_x0000_i1421" type="#_x0000_t75" style="width:417.85pt;height:44.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0B64&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E60B64&quot; wsp:rsidRDefault=&quot;00E60B64&quot; wsp:rsidP=&quot;00E60B64&quot;&gt;&lt;m:oMathPara&gt;&lt;m:oMathParaPr&gt;&lt;m:jc m:val=&quot;left&quot;/&gt;&lt;/m:oMathParaPr&gt;&lt;m:oMath&gt;&lt;m:r&gt;&lt;w:rPr&gt;&lt;w:rFonts w:ascii=&quot;Cambria Math&quot; w:fareast=&quot;Times New Roman&quot; w:h-ansi=&quot;Cambria Math&quot;/&gt;&lt;wx:font wx:val=&quot;Cambria Math&quot;/&gt;&lt;w:i/&gt;&lt;/w:rPr&gt;&lt;m:t&gt;Consider&lt;/m:t&gt;&lt;/m:r&gt;&lt;m:nary&gt;&lt;m:naryPr&gt;&lt;m:limLoc m:val=&quot;undOvr&quot;/&gt;&lt;m:ctrlPr&gt;&lt;w:rPr&gt;&lt;w:rFonts w:ascii=&quot;Cambria Math&quot; w:fareast=&quot;Times New Roman&quot; w:h-ansi=&quot;Cambria Math&quot;/&gt;&lt;wx:font wx:val=&quot;Cambria Math&quot;/&gt;&lt;w:b-cs/&gt;&lt;w:i/&gt;&lt;/w:rPr&gt;&lt;/m:ctrlPr&gt;&lt;/m:naryPr&gt;&lt;m:sub&gt;&lt;m:r&gt;&lt;w:rPr&gt;&lt;w:rFonts w:ascii=&quot;Cambria Math&quot; w:fareast=&quot;Times New Roman&quot; w:h-ansi=&quot;Cambria Math&quot;/&gt;&lt;wx:font wx:val=&quot;Cambria Math&quot;/&gt;&lt;w:i/&gt;&lt;/w:rPr&gt;&lt;m:t&gt;-âˆž&lt;/m:t&gt;&lt;/m:r&gt;&lt;/m:sub&gt;&lt;m:sup&gt;&lt;m:r&gt;&lt;w:rPr&gt;&lt;w:rFonts w:ascii=&quot;Cambria Math&quot; w:fareast=&quot;Times New Roman&quot; w:h-ansi=&quot;Cambria Math&quot;/&gt;&lt;wx:font wx:val=&quot;Cambria Math&quot;/&gt;&lt;w:i/&gt;&lt;/w:rPr&gt;&lt;m:t&gt;c&lt;/m:t&gt;&lt;/m:r&gt;&lt;/m:sup&gt;&lt;m:e&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2&lt;/m:t&gt;&lt;/m:r&gt;&lt;/m:sup&gt;&lt;/m:sSup&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b-cs/&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dt=&lt;/m:t&gt;&lt;/m:r&gt;&lt;/m:e&gt;&lt;/m:nary&gt;&lt;m:r&gt;&lt;w:rPr&gt;&lt;w:rFonts w:ascii=&quot;Cambria Math&quot; w:fareast=&quot;Times New Roman&quot; w:h-ansi=&quot;Cambria Math&quot;/&gt;&lt;wx:font wx:val=&quot;Cambria Math&quot;/&gt;&lt;w:i/&gt;&lt;/w:rPr&gt;&lt;m:t&gt;I&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t=c&lt;/m:t&gt;&lt;/m:r&gt;&lt;/m:e&gt;&lt;/m:d&gt;&lt;m:r&gt;&lt;w:rPr&gt;&lt;w:rFonts w:ascii=&quot;Cambria Math&quot; w:fareast=&quot;Times New Roman&quot; w:h-ansi=&quot;Cambria Math&quot;/&gt;&lt;wx:font wx:val=&quot;Cambria Math&quot;/&gt;&lt;w:i/&gt;&lt;/w:rPr&gt;&lt;m:t&gt;-I&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tâ†’-âˆž&lt;/m:t&gt;&lt;/m:r&gt;&lt;/m:e&gt;&lt;/m:d&gt;&lt;m:r&gt;&lt;w:rPr&gt;&lt;w:rFonts w:ascii=&quot;Cambria Math&quot; w:fareast=&quot;Times New Roman&quot; w:h-ansi=&quot;Cambria Math&quot;/&gt;&lt;wx:font wx:val=&quot;Cambria Math&quot;/&gt;&lt;w:i/&gt;&lt;/w:rPr&gt;&lt;m:t&gt; &lt;/m:t&gt;&lt;/m:r&gt;&lt;m:d&gt;&lt;m:dPr&gt;&lt;m:ctrlPr&gt;&lt;w:rPr&gt;&lt;w:rFonts w:ascii=&quot;Cambria Math&quot; w:fareast=&quot;Times New Roman&quot; w:h-ansi=&quot;Cambria Math&quot;/&gt;&lt;wx:font wx:val=&quot;Cambria Math&quot;/&gt;&lt;w:i-cs/&gt;&lt;/w:rPr&gt;&lt;/m:ctrlPr&gt;&lt;/m:dPr&gt;&lt;m:e&gt;&lt;m:r&gt;&lt;m:rPr&gt;&lt;m:sty m:val=&quot;p&quot;/&gt;&lt;/m:rPr&gt;&lt;w:rPr&gt;&lt;w:rFonts w:ascii=&quot;Cambria Math&quot; w:fareast=&quot;Times New Roman&quot; w:h-ansi=&quot;Cambria Math&quot;/&gt;&lt;wx:font wx:val=&quot;Cambria Math&quot;/&gt;&lt;/w:rPr&gt;&lt;m:t&gt;where I is the indefinite Integral&lt;/m:t&gt;&lt;/m:r&gt;&lt;/m:e&gt;&lt;/m:d&gt;&lt;/m:oMath&gt;&lt;/m:oMathPara&gt;&lt;/w:p&gt;&lt;w:sectPr wsp:rsidR=&quot;00000000&quot; wsp:rsidRPr=&quot;00E60B64&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9" o:title="" chromakey="white"/>
          </v:shape>
        </w:pict>
      </w:r>
      <w:r w:rsidR="008B3C0B" w:rsidRPr="00833E55">
        <w:rPr>
          <w:rFonts w:ascii="Cambria Math" w:eastAsia="Times New Roman" w:hAnsi="Cambria Math"/>
          <w:sz w:val="24"/>
          <w:szCs w:val="24"/>
        </w:rPr>
        <w:br/>
      </w:r>
      <w:r>
        <w:rPr>
          <w:rFonts w:ascii="Cambria Math" w:hAnsi="Cambria Math"/>
          <w:sz w:val="24"/>
          <w:szCs w:val="24"/>
        </w:rPr>
        <w:pict>
          <v:shape id="_x0000_i1422" type="#_x0000_t75" style="width:180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3F5&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D23F5&quot; wsp:rsidRDefault=&quot;003D23F5&quot; wsp:rsidP=&quot;003D23F5&quot;&gt;&lt;m:oMathPara&gt;&lt;m:oMath&gt;&lt;m:r&gt;&lt;w:rPr&gt;&lt;w:rFonts w:ascii=&quot;Cambria Math&quot; w:fareast=&quot;Times New Roman&quot; w:h-ansi=&quot;Cambria Math&quot;/&gt;&lt;wx:font wx:val=&quot;Cambria Math&quot;/&gt;&lt;w:i/&gt;&lt;/w:rPr&gt;&lt;m:t&gt;I &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tâ†’-âˆž&lt;/m:t&gt;&lt;/m:r&gt;&lt;/m:e&gt;&lt;/m:d&gt;&lt;m:r&gt;&lt;w:rPr&gt;&lt;w:rFonts w:ascii=&quot;Cambria Math&quot; w:fareast=&quot;Times New Roman&quot; w:h-ansi=&quot;Cambria Math&quot;/&gt;&lt;wx:font wx:val=&quot;Cambria Math&quot;/&gt;&lt;w:i/&gt;&lt;/w:rPr&gt;&lt;m:t&gt;=0 &lt;/m:t&gt;&lt;/m:r&gt;&lt;m:d&gt;&lt;m:dPr&gt;&lt;m:ctrlPr&gt;&lt;w:rPr&gt;&lt;w:rFonts w:ascii=&quot;Cambria Math&quot; w:fareast=&quot;Times New Roman&quot; w:h-ansi=&quot;Cambria Math&quot;/&gt;&lt;wx:font wx:val=&quot;Cambria Math&quot;/&gt;&lt;w:i-cs/&gt;&lt;/w:rPr&gt;&lt;/m:ctrlPr&gt;&lt;/m:dPr&gt;&lt;m:e&gt;&lt;m:r&gt;&lt;m:rPr&gt;&lt;m:sty m:val=&quot;p&quot;/&gt;&lt;/m:rPr&gt;&lt;w:rPr&gt;&lt;w:rFonts w:ascii=&quot;Cambria Math&quot; w:fareast=&quot;Times New Roman&quot; w:h-ansi=&quot;Cambria Math&quot;/&gt;&lt;wx:font wx:val=&quot;Cambria Math&quot;/&gt;&lt;/w:rPr&gt;&lt;m:t&gt;found out earlier&lt;/m:t&gt;&lt;/m:r&gt;&lt;/m:e&gt;&lt;/m:d&gt;&lt;/m:oMath&gt;&lt;/m:oMathPara&gt;&lt;/w:p&gt;&lt;w:sectPr wsp:rsidR=&quot;00000000&quot; wsp:rsidRPr=&quot;003D23F5&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0" o:title="" chromakey="white"/>
          </v:shape>
        </w:pict>
      </w:r>
      <w:r w:rsidR="008B3C0B" w:rsidRPr="00833E55">
        <w:rPr>
          <w:rFonts w:ascii="Cambria Math" w:eastAsia="Times New Roman" w:hAnsi="Cambria Math"/>
          <w:sz w:val="24"/>
          <w:szCs w:val="24"/>
        </w:rPr>
        <w:br/>
      </w:r>
      <w:r>
        <w:rPr>
          <w:rFonts w:ascii="Cambria Math" w:hAnsi="Cambria Math"/>
          <w:sz w:val="24"/>
          <w:szCs w:val="24"/>
        </w:rPr>
        <w:lastRenderedPageBreak/>
        <w:pict>
          <v:shape id="_x0000_i1423" type="#_x0000_t75" style="width:468pt;height:96.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0F2&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C20F2&quot; wsp:rsidRDefault=&quot;003C20F2&quot; wsp:rsidP=&quot;003C20F2&quot;&gt;&lt;m:oMathPara&gt;&lt;m:oMath&gt;&lt;m:r&gt;&lt;w:rPr&gt;&lt;w:rFonts w:ascii=&quot;Cambria Math&quot; w:fareast=&quot;Times New Roman&quot; w:h-ansi=&quot;Cambria Math&quot;/&gt;&lt;wx:font wx:val=&quot;Cambria Math&quot;/&gt;&lt;w:i/&gt;&lt;/w:rPr&gt;&lt;m:t&gt;At t=c:I=-2&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 -2Ïƒc&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n&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c&lt;/m:t&gt;&lt;/m:r&gt;&lt;/m:e&gt;&lt;m:sup&gt;&lt;m:r&gt;&lt;w:rPr&gt;&lt;w:rFonts w:ascii=&quot;Cambria Math&quot; w:fareast=&quot;Times New Roman&quot; w:h-ansi=&quot;Cambria Math&quot;/&gt;&lt;wx:font wx:val=&quot;Cambria Math&quot;/&gt;&lt;w:i/&gt;&lt;/w:rPr&gt;&lt;m:t&gt;2&lt;/m:t&gt;&lt;/m:r&gt;&lt;/m:sup&gt;&lt;/m:sSup&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k=1&lt;/m:t&gt;&lt;/m:r&gt;&lt;/m:sub&gt;&lt;m:sup&gt;&lt;m:r&gt;&lt;w:rPr&gt;&lt;w:rFonts w:ascii=&quot;Cambria Math&quot; w:h-ansi=&quot;Cambria Math&quot;/&gt;&lt;wx:font wx:val=&quot;Cambria Math&quot;/&gt;&lt;w:i/&gt;&lt;/w:rPr&gt;&lt;m:t&gt;K&lt;/m:t&gt;&lt;/m:r&gt;&lt;/m:sup&gt;&lt;m:e&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e&lt;/m:t&gt;&lt;/m:r&gt;&lt;/m:e&gt;&lt;m:sup&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c&lt;/m:t&gt;&lt;/m:r&gt;&lt;/m:num&gt;&lt;m:den&gt;&lt;m:r&gt;&lt;w:rPr&gt;&lt;w:rFonts w:ascii=&quot;Cambria Math&quot; w:h-ansi=&quot;Cambria Math&quot;/&gt;&lt;wx:font wx:val=&quot;Cambria Math&quot;/&gt;&lt;w:i/&gt;&lt;/w:rPr&gt;&lt;m:t&gt;Ïƒ&lt;/m:t&gt;&lt;/m:r&gt;&lt;/m:den&gt;&lt;/m:f&gt;&lt;/m:sup&gt;&lt;/m:sSup&gt;&lt;/m:e&gt;&lt;/m:d&gt;&lt;/m:e&gt;&lt;/m:nary&gt;&lt;/m:den&gt;&lt;/m:f&gt;&lt;m:ctrlPr&gt;&lt;w:rPr&gt;&lt;w:rFonts w:ascii=&quot;Cambria Math&quot; w:h-ansi=&quot;Cambria Math&quot;/&gt;&lt;wx:font wx:val=&quot;Cambria Math&quot;/&gt;&lt;w:i/&gt;&lt;/w:rPr&gt;&lt;/m:ctrlPr&gt;&lt;/m:e&gt;&lt;/m:d&gt;&lt;/m:oMath&gt;&lt;/m:oMathPara&gt;&lt;/w:p&gt;&lt;w:sectPr wsp:rsidR=&quot;00000000&quot; wsp:rsidRPr=&quot;003C20F2&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1" o:title="" chromakey="white"/>
          </v:shape>
        </w:pict>
      </w:r>
      <w:r>
        <w:rPr>
          <w:rFonts w:ascii="Cambria Math" w:hAnsi="Cambria Math"/>
          <w:sz w:val="24"/>
          <w:szCs w:val="24"/>
        </w:rPr>
        <w:pict>
          <v:shape id="_x0000_i1424" type="#_x0000_t75" style="width:358.3pt;height:46.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16F7&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4A16F7&quot; wsp:rsidRDefault=&quot;004A16F7&quot; wsp:rsidP=&quot;004A16F7&quot;&gt;&lt;m:oMathPara&gt;&lt;m:oMath&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2Ïƒc&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n&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c&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oMath&gt;&lt;/m:oMathPara&gt;&lt;/w:p&gt;&lt;w:sectPr wsp:rsidR=&quot;00000000&quot; wsp:rsidRPr=&quot;004A16F7&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2" o:title="" chromakey="white"/>
          </v:shape>
        </w:pict>
      </w:r>
      <w:r w:rsidR="008B3C0B" w:rsidRPr="00833E55">
        <w:rPr>
          <w:rFonts w:ascii="Cambria Math" w:eastAsia="Times New Roman" w:hAnsi="Cambria Math"/>
          <w:sz w:val="24"/>
          <w:szCs w:val="24"/>
        </w:rPr>
        <w:br/>
      </w:r>
      <w:r w:rsidR="008B3C0B" w:rsidRPr="00833E55">
        <w:rPr>
          <w:rFonts w:ascii="Cambria Math" w:eastAsia="Times New Roman" w:hAnsi="Cambria Math"/>
          <w:sz w:val="24"/>
          <w:szCs w:val="24"/>
        </w:rPr>
        <w:br/>
      </w:r>
      <w:r>
        <w:rPr>
          <w:rFonts w:ascii="Cambria Math" w:hAnsi="Cambria Math"/>
          <w:sz w:val="24"/>
          <w:szCs w:val="24"/>
        </w:rPr>
        <w:pict>
          <v:shape id="_x0000_i1425" type="#_x0000_t75" style="width:116.55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178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AF1787&quot; wsp:rsidRDefault=&quot;00AF1787&quot; wsp:rsidP=&quot;00AF1787&quot;&gt;&lt;m:oMathPara&gt;&lt;m:oMath&gt;&lt;m:r&gt;&lt;w:rPr&gt;&lt;w:rFonts w:ascii=&quot;Cambria Math&quot; w:fareast=&quot;Times New Roman&quot; w:h-ansi=&quot;Cambria Math&quot;/&gt;&lt;wx:font wx:val=&quot;Cambria Math&quot;/&gt;&lt;w:i/&gt;&lt;/w:rPr&gt;&lt;m:t&gt;After Normalisation:&lt;/m:t&gt;&lt;/m:r&gt;&lt;/m:oMath&gt;&lt;/m:oMathPara&gt;&lt;/w:p&gt;&lt;w:sectPr wsp:rsidR=&quot;00000000&quot; wsp:rsidRPr=&quot;00AF1787&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3" o:title="" chromakey="white"/>
          </v:shape>
        </w:pict>
      </w:r>
      <w:r w:rsidR="008B3C0B" w:rsidRPr="00833E55">
        <w:rPr>
          <w:rFonts w:ascii="Cambria Math" w:eastAsia="Times New Roman" w:hAnsi="Cambria Math"/>
          <w:sz w:val="24"/>
          <w:szCs w:val="24"/>
        </w:rPr>
        <w:br/>
      </w:r>
      <w:r>
        <w:rPr>
          <w:rFonts w:ascii="Cambria Math" w:hAnsi="Cambria Math"/>
          <w:sz w:val="24"/>
          <w:szCs w:val="24"/>
        </w:rPr>
        <w:pict>
          <v:shape id="_x0000_i1426" type="#_x0000_t75" style="width:420pt;height:47.5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2B6&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D652B6&quot; wsp:rsidRDefault=&quot;00D652B6&quot; wsp:rsidP=&quot;00D652B6&quot;&gt;&lt;m:oMathPara&gt;&lt;m:oMath&gt;&lt;m:nary&gt;&lt;m:naryPr&gt;&lt;m:limLoc m:val=&quot;undOvr&quot;/&gt;&lt;m:ctrlPr&gt;&lt;w:rPr&gt;&lt;w:rFonts w:ascii=&quot;Cambria Math&quot; w:fareast=&quot;Times New Roman&quot; w:h-ansi=&quot;Cambria Math&quot;/&gt;&lt;wx:font wx:val=&quot;Cambria Math&quot;/&gt;&lt;w:b-cs/&gt;&lt;w:i/&gt;&lt;/w:rPr&gt;&lt;/m:ctrlPr&gt;&lt;/m:naryPr&gt;&lt;m:sub&gt;&lt;m:r&gt;&lt;w:rPr&gt;&lt;w:rFonts w:ascii=&quot;Cambria Math&quot; w:fareast=&quot;Times New Roman&quot; w:h-ansi=&quot;Cambria Math&quot;/&gt;&lt;wx:font wx:val=&quot;Cambria Math&quot;/&gt;&lt;w:i/&gt;&lt;/w:rPr&gt;&lt;m:t&gt;-âˆž&lt;/m:t&gt;&lt;/m:r&gt;&lt;/m:sub&gt;&lt;m:sup&gt;&lt;m:r&gt;&lt;w:rPr&gt;&lt;w:rFonts w:ascii=&quot;Cambria Math&quot; w:fareast=&quot;Times New Roman&quot; w:h-ansi=&quot;Cambria Math&quot;/&gt;&lt;wx:font wx:val=&quot;Cambria Math&quot;/&gt;&lt;w:i/&gt;&lt;/w:rPr&gt;&lt;m:t&gt;c&lt;/m:t&gt;&lt;/m:r&gt;&lt;/m:sup&gt;&lt;m:e&gt;&lt;m:sSup&gt;&lt;m:sSupPr&gt;&lt;m:ctrlPr&gt;&lt;w:rPr&gt;&lt;w:rFonts w:ascii=&quot;Cambria Math&quot; w:h-ansi=&quot;Cambria Math&quot;/&gt;&lt;wx:font wx:val=&quot;Cambria Math&quot;/&gt;&lt;w:b-cs/&gt;&lt;w:i/&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2&lt;/m:t&gt;&lt;/m:r&gt;&lt;/m:sup&gt;&lt;/m:sSup&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b-cs/&gt;&lt;w:i/&gt;&lt;/w:rPr&gt;&lt;/m:ctrlPr&gt;&lt;/m:dPr&gt;&lt;m:e&gt;&lt;m:r&gt;&lt;w:rPr&gt;&lt;w:rFonts w:ascii=&quot;Cambria Math&quot; w:h-ansi=&quot;Cambria Math&quot;/&gt;&lt;wx:font wx:val=&quot;Cambria Math&quot;/&gt;&lt;w:i/&gt;&lt;/w:rPr&gt;&lt;m:t&gt;t&lt;/m:t&gt;&lt;/m:r&gt;&lt;/m:e&gt;&lt;/m:d&gt;&lt;m:r&gt;&lt;w:rPr&gt;&lt;w:rFonts w:ascii=&quot;Cambria Math&quot; w:h-ansi=&quot;Cambria Math&quot;/&gt;&lt;wx:font wx:val=&quot;Cambria Math&quot;/&gt;&lt;w:i/&gt;&lt;/w:rPr&gt;&lt;m:t&gt;dt=&lt;/m:t&gt;&lt;/m:r&gt;&lt;/m:e&gt;&lt;/m:nary&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Ïƒc&lt;/m:t&gt;&lt;/m:r&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n&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c&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 &lt;/m:t&gt;&lt;/m:r&gt;&lt;/m:oMath&gt;&lt;/m:oMathPara&gt;&lt;/w:p&gt;&lt;w:sectPr wsp:rsidR=&quot;00000000&quot; wsp:rsidRPr=&quot;00D652B6&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4" o:title="" chromakey="white"/>
          </v:shape>
        </w:pict>
      </w:r>
    </w:p>
    <w:p w:rsidR="008B3C0B" w:rsidRPr="00833E55" w:rsidRDefault="009A08FE" w:rsidP="00F30414">
      <w:pPr>
        <w:pStyle w:val="ListParagraph"/>
        <w:tabs>
          <w:tab w:val="left" w:pos="360"/>
        </w:tabs>
        <w:spacing w:before="240" w:after="240" w:line="240" w:lineRule="auto"/>
        <w:ind w:left="0"/>
        <w:contextualSpacing w:val="0"/>
        <w:rPr>
          <w:rFonts w:ascii="Cambria Math" w:eastAsia="Times New Roman" w:hAnsi="Cambria Math"/>
          <w:sz w:val="24"/>
          <w:szCs w:val="24"/>
        </w:rPr>
      </w:pPr>
      <w:r>
        <w:rPr>
          <w:rFonts w:ascii="Cambria Math" w:hAnsi="Cambria Math"/>
          <w:sz w:val="24"/>
          <w:szCs w:val="24"/>
        </w:rPr>
        <w:pict>
          <v:shape id="_x0000_i1427" type="#_x0000_t75" style="width:231pt;height:16.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CD2&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5A2CD2&quot; wsp:rsidRDefault=&quot;005A2CD2&quot; wsp:rsidP=&quot;005A2CD2&quot;&gt;&lt;m:oMathPara&gt;&lt;m:oMathParaPr&gt;&lt;m:jc m:val=&quot;left&quot;/&gt;&lt;/m:oMathParaPr&gt;&lt;m:oMath&gt;&lt;m:r&gt;&lt;w:rPr&gt;&lt;w:rFonts w:ascii=&quot;Cambria Math&quot; w:fareast=&quot;Times New Roman&quot; w:h-ansi=&quot;Cambria Math&quot;/&gt;&lt;wx:font wx:val=&quot;Cambria Math&quot;/&gt;&lt;w:i/&gt;&lt;/w:rPr&gt;&lt;m:t&gt;Var&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Î·&lt;/m:t&gt;&lt;/m:r&gt;&lt;/m:e&gt;&lt;m:e&gt;&lt;m:r&gt;&lt;w:rPr&gt;&lt;w:rFonts w:ascii=&quot;Cambria Math&quot; w:fareast=&quot;Times New Roman&quot; w:h-ansi=&quot;Cambria Math&quot;/&gt;&lt;wx:font wx:val=&quot;Cambria Math&quot;/&gt;&lt;w:i/&gt;&lt;/w:rPr&gt;&lt;m:t&gt;Î·&amp;lt;c&lt;/m:t&gt;&lt;/m:r&gt;&lt;/m:e&gt;&lt;/m:d&gt;&lt;m:r&gt;&lt;w:rPr&gt;&lt;w:rFonts w:ascii=&quot;Cambria Math&quot; w:fareast=&quot;Times New Roman&quot; w:h-ansi=&quot;Cambria Math&quot;/&gt;&lt;wx:font wx:val=&quot;Cambria Math&quot;/&gt;&lt;w:i/&gt;&lt;/w:rPr&gt;&lt;m:t&gt;=E&lt;/m:t&gt;&lt;/m:r&gt;&lt;m:d&gt;&lt;m:dPr&gt;&lt;m:ctrlPr&gt;&lt;w:rPr&gt;&lt;w:rFonts w:ascii=&quot;Cambria Math&quot; w:fareast=&quot;Times New Roman&quot; w:h-ansi=&quot;Cambria Math&quot;/&gt;&lt;wx:font wx:val=&quot;Cambria Math&quot;/&gt;&lt;w:i/&gt;&lt;/w:rPr&gt;&lt;/m:ctrlPr&gt;&lt;/m:dPr&gt;&lt;m:e&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Î·&lt;/m:t&gt;&lt;/m:r&gt;&lt;/m:e&gt;&lt;m:sup&gt;&lt;m:r&gt;&lt;w:rPr&gt;&lt;w:rFonts w:ascii=&quot;Cambria Math&quot; w:fareast=&quot;Times New Roman&quot; w:h-ansi=&quot;Cambria Math&quot;/&gt;&lt;wx:font wx:val=&quot;Cambria Math&quot;/&gt;&lt;w:i/&gt;&lt;/w:rPr&gt;&lt;m:t&gt;2&lt;/m:t&gt;&lt;/m:r&gt;&lt;/m:sup&gt;&lt;/m:sSup&gt;&lt;/m:e&gt;&lt;m:e&gt;&lt;m:r&gt;&lt;w:rPr&gt;&lt;w:rFonts w:ascii=&quot;Cambria Math&quot; w:fareast=&quot;Times New Roman&quot; w:h-ansi=&quot;Cambria Math&quot;/&gt;&lt;wx:font wx:val=&quot;Cambria Math&quot;/&gt;&lt;w:i/&gt;&lt;/w:rPr&gt;&lt;m:t&gt;Î·&amp;lt;c&lt;/m:t&gt;&lt;/m:r&gt;&lt;/m:e&gt;&lt;/m:d&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d&gt;&lt;m:dPr&gt;&lt;m:begChr m:val=&quot;[&quot;/&gt;&lt;m:endChr m:val=&quot;]&quot;/&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E&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Î·&lt;/m:t&gt;&lt;/m:r&gt;&lt;/m:e&gt;&lt;m:e&gt;&lt;m:r&gt;&lt;w:rPr&gt;&lt;w:rFonts w:ascii=&quot;Cambria Math&quot; w:fareast=&quot;Times New Roman&quot; w:h-ansi=&quot;Cambria Math&quot;/&gt;&lt;wx:font wx:val=&quot;Cambria Math&quot;/&gt;&lt;w:i/&gt;&lt;/w:rPr&gt;&lt;m:t&gt;Î·&amp;lt;c&lt;/m:t&gt;&lt;/m:r&gt;&lt;/m:e&gt;&lt;/m:d&gt;&lt;/m:e&gt;&lt;/m:d&gt;&lt;/m:e&gt;&lt;m:sup&gt;&lt;m:r&gt;&lt;w:rPr&gt;&lt;w:rFonts w:ascii=&quot;Cambria Math&quot; w:fareast=&quot;Times New Roman&quot; w:h-ansi=&quot;Cambria Math&quot;/&gt;&lt;wx:font wx:val=&quot;Cambria Math&quot;/&gt;&lt;w:i/&gt;&lt;/w:rPr&gt;&lt;m:t&gt;2&lt;/m:t&gt;&lt;/m:r&gt;&lt;/m:sup&gt;&lt;/m:sSup&gt;&lt;/m:oMath&gt;&lt;/m:oMathPara&gt;&lt;/w:p&gt;&lt;w:sectPr wsp:rsidR=&quot;00000000&quot; wsp:rsidRPr=&quot;005A2CD2&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5" o:title="" chromakey="white"/>
          </v:shape>
        </w:pict>
      </w:r>
      <w:r w:rsidR="008B3C0B" w:rsidRPr="00833E55">
        <w:rPr>
          <w:rFonts w:ascii="Cambria Math" w:eastAsia="Times New Roman" w:hAnsi="Cambria Math"/>
          <w:sz w:val="24"/>
          <w:szCs w:val="24"/>
        </w:rPr>
        <w:br/>
      </w:r>
      <w:r>
        <w:rPr>
          <w:rFonts w:ascii="Cambria Math" w:hAnsi="Cambria Math"/>
          <w:sz w:val="24"/>
          <w:szCs w:val="24"/>
        </w:rPr>
        <w:pict>
          <v:shape id="_x0000_i1428" type="#_x0000_t75" style="width:468pt;height: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97F30&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397F30&quot; wsp:rsidRDefault=&quot;00397F30&quot; wsp:rsidP=&quot;00397F30&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Ïƒc&lt;/m:t&gt;&lt;/m:r&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n&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c&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d&gt;&lt;m:dPr&gt;&lt;m:begChr m:val=&quot;[&quot;/&gt;&lt;m:endChr m:val=&quot;]&quot;/&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c&lt;/m:t&gt;&lt;/m:r&gt;&lt;/m:e&gt;&lt;/m:d&gt;&lt;/m:den&gt;&lt;/m:f&gt;&lt;m:r&gt;&lt;w:rPr&gt;&lt;w:rFonts w:ascii=&quot;Cambria Math&quot; w:fareast=&quot;Times New Roman&quot; w:h-ansi=&quot;Cambria Math&quot;/&gt;&lt;wx:font wx:val=&quot;Cambria Math&quot;/&gt;&lt;w:i/&gt;&lt;/w:rPr&gt;&lt;m:t&gt;Ïƒ&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e&gt;&lt;/m:func&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d&gt;&lt;/m:e&gt;&lt;/m:nary&gt;&lt;/m:e&gt;&lt;/m:d&gt;&lt;/m:e&gt;&lt;m:sup&gt;&lt;m:r&gt;&lt;w:rPr&gt;&lt;w:rFonts w:ascii=&quot;Cambria Math&quot; w:fareast=&quot;Times New Roman&quot; w:h-ansi=&quot;Cambria Math&quot;/&gt;&lt;wx:font wx:val=&quot;Cambria Math&quot;/&gt;&lt;w:i/&gt;&lt;/w:rPr&gt;&lt;m:t&gt;2&lt;/m:t&gt;&lt;/m:r&gt;&lt;/m:sup&gt;&lt;/m:sSup&gt;&lt;/m:oMath&gt;&lt;/m:oMathPara&gt;&lt;/w:p&gt;&lt;w:sectPr wsp:rsidR=&quot;00000000&quot; wsp:rsidRPr=&quot;00397F3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6" o:title="" chromakey="white"/>
          </v:shape>
        </w:pict>
      </w:r>
    </w:p>
    <w:p w:rsidR="008B3C0B" w:rsidRPr="00833E55" w:rsidRDefault="009A08FE" w:rsidP="008F7F9F">
      <w:pPr>
        <w:pStyle w:val="ListParagraph"/>
        <w:tabs>
          <w:tab w:val="left" w:pos="360"/>
        </w:tabs>
        <w:spacing w:before="120" w:after="0" w:line="240" w:lineRule="auto"/>
        <w:ind w:left="0"/>
        <w:contextualSpacing w:val="0"/>
        <w:rPr>
          <w:rFonts w:ascii="Cambria Math" w:eastAsia="Times New Roman" w:hAnsi="Cambria Math"/>
          <w:sz w:val="24"/>
          <w:szCs w:val="24"/>
        </w:rPr>
      </w:pPr>
      <w:r>
        <w:rPr>
          <w:rFonts w:ascii="Cambria Math" w:hAnsi="Cambria Math"/>
          <w:sz w:val="24"/>
          <w:szCs w:val="24"/>
        </w:rPr>
        <w:pict>
          <v:shape id="_x0000_i1429" type="#_x0000_t75" style="width:468pt;height:99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167&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E04167&quot; wsp:rsidP=&quot;00E04167&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Ïƒc&lt;/m:t&gt;&lt;/m:r&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n&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c&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c&lt;/m:t&gt;&lt;/m:r&gt;&lt;/m:e&gt;&lt;m:sup&gt;&lt;m:r&gt;&lt;w:rPr&gt;&lt;w:rFonts w:ascii=&quot;Cambria Math&quot; w:fareast=&quot;Times New Roman&quot; w:h-ansi=&quot;Cambria Math&quot;/&gt;&lt;wx:font wx:val=&quot;Cambria Math&quot;/&gt;&lt;w:i/&gt;&lt;/w:rPr&gt;&lt;m:t&gt;2&lt;/m:t&gt;&lt;/m:r&gt;&lt;/m:sup&gt;&lt;/m:sSup&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Ïƒc&lt;/m:t&gt;&lt;/m:r&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n&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c&lt;/m:t&gt;&lt;/m:r&gt;&lt;/m:e&gt;&lt;/m:d&gt;&lt;/m:den&gt;&lt;/m:f&gt;&lt;m:r&gt;&lt;w:rPr&gt;&lt;w:rFonts w:ascii=&quot;Cambria Math&quot; w:fareast=&quot;Times New Roman&quot; w:h-ansi=&quot;Cambria Math&quot;/&gt;&lt;wx:font wx:val=&quot;Cambria Math&quot;/&gt;&lt;w:i/&gt;&lt;/w:rPr&gt;&lt;m:t&gt;Ïƒ&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e&gt;&lt;/m:func&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d&gt;&lt;/m:e&gt;&lt;/m:nary&gt;&lt;/m:e&gt;&lt;/m:d&gt;&lt;/m:e&gt;&lt;m:sup&gt;&lt;m:r&gt;&lt;w:rPr&gt;&lt;w:rFonts w:ascii=&quot;Cambria Math&quot; w:fareast=&quot;Times New Roman&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7" o:title="" chromakey="white"/>
          </v:shape>
        </w:pict>
      </w:r>
      <w:r w:rsidR="008B3C0B" w:rsidRPr="00833E55">
        <w:rPr>
          <w:rFonts w:ascii="Cambria Math" w:eastAsia="Times New Roman" w:hAnsi="Cambria Math"/>
          <w:sz w:val="24"/>
          <w:szCs w:val="24"/>
        </w:rPr>
        <w:br/>
      </w:r>
      <w:r>
        <w:rPr>
          <w:rFonts w:ascii="Cambria Math" w:hAnsi="Cambria Math"/>
          <w:sz w:val="24"/>
          <w:szCs w:val="24"/>
        </w:rPr>
        <w:pict>
          <v:shape id="_x0000_i1430" type="#_x0000_t75" style="width:361.7pt;height:52.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2B63&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FE2B63&quot; wsp:rsidRDefault=&quot;00FE2B63&quot; wsp:rsidP=&quot;00FE2B63&quot;&gt;&lt;m:oMathPara&gt;&lt;m:oMath&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c&lt;/m:t&gt;&lt;/m:r&gt;&lt;/m:e&gt;&lt;/m:d&gt;&lt;/m:den&gt;&lt;/m:f&gt;&lt;m:r&gt;&lt;w:rPr&gt;&lt;w:rFonts w:ascii=&quot;Cambria Math&quot; w:fareast=&quot;Times New Roman&quot; w:h-ansi=&quot;Cambria Math&quot;/&gt;&lt;wx:font wx:val=&quot;Cambria Math&quot;/&gt;&lt;w:i/&gt;&lt;/w:rPr&gt;&lt;m:t&gt;Ïƒ&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e&gt;&lt;/m:func&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d&gt;&lt;/m:e&gt;&lt;/m:nary&gt;&lt;/m:e&gt;&lt;/m:d&gt;&lt;/m:e&gt;&lt;m:sup&gt;&lt;m:r&gt;&lt;w:rPr&gt;&lt;w:rFonts w:ascii=&quot;Cambria Math&quot; w:fareast=&quot;Times New Roman&quot; w:h-ansi=&quot;Cambria Math&quot;/&gt;&lt;wx:font wx:val=&quot;Cambria Math&quot;/&gt;&lt;w:i/&gt;&lt;/w:rPr&gt;&lt;m:t&gt;2&lt;/m:t&gt;&lt;/m:r&gt;&lt;/m:sup&gt;&lt;/m:sSup&gt;&lt;/m:oMath&gt;&lt;/m:oMathPara&gt;&lt;/w:p&gt;&lt;w:sectPr wsp:rsidR=&quot;00000000&quot; wsp:rsidRPr=&quot;00FE2B63&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8" o:title="" chromakey="white"/>
          </v:shape>
        </w:pict>
      </w:r>
    </w:p>
    <w:p w:rsidR="008B3C0B" w:rsidRPr="00833E55" w:rsidRDefault="009A08FE" w:rsidP="008F7F9F">
      <w:pPr>
        <w:pStyle w:val="ListParagraph"/>
        <w:tabs>
          <w:tab w:val="left" w:pos="360"/>
        </w:tabs>
        <w:spacing w:before="120" w:after="0" w:line="240" w:lineRule="auto"/>
        <w:ind w:left="0"/>
        <w:contextualSpacing w:val="0"/>
        <w:rPr>
          <w:rFonts w:ascii="Cambria Math" w:eastAsia="Times New Roman" w:hAnsi="Cambria Math"/>
          <w:sz w:val="24"/>
          <w:szCs w:val="24"/>
        </w:rPr>
      </w:pPr>
      <w:r>
        <w:rPr>
          <w:rFonts w:ascii="Cambria Math" w:hAnsi="Cambria Math"/>
          <w:sz w:val="24"/>
          <w:szCs w:val="24"/>
        </w:rPr>
        <w:pict>
          <v:shape id="_x0000_i1431" type="#_x0000_t75" style="width:433.7pt;height:52.3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85B4F&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Default=&quot;00185B4F&quot; wsp:rsidP=&quot;00185B4F&quot;&gt;&lt;m:oMathPara&gt;&lt;m:oMath&gt;&lt;m:r&gt;&lt;w:rPr&gt;&lt;w:rFonts w:ascii=&quot;Cambria Math&quot; w:fareast=&quot;Times New Roman&quot; w:h-ansi=&quot;Cambria Math&quot;/&gt;&lt;wx:font wx:val=&quot;Cambria Math&quot;/&gt;&lt;w:i/&gt;&lt;/w:rPr&gt;&lt;m:t&gt;Var&lt;/m:t&gt;&lt;/m:r&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Î·&lt;/m:t&gt;&lt;/m:r&gt;&lt;/m:e&gt;&lt;m:e&gt;&lt;m:r&gt;&lt;w:rPr&gt;&lt;w:rFonts w:ascii=&quot;Cambria Math&quot; w:fareast=&quot;Times New Roman&quot; w:h-ansi=&quot;Cambria Math&quot;/&gt;&lt;wx:font wx:val=&quot;Cambria Math&quot;/&gt;&lt;w:i/&gt;&lt;/w:rPr&gt;&lt;m:t&gt;Î·&amp;lt;c&lt;/m:t&gt;&lt;/m:r&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i/&gt;&lt;/w:rPr&gt;&lt;/m:ctrlPr&gt;&lt;/m:sSupPr&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1&lt;/m:t&gt;&lt;/m:r&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F&lt;/m:t&gt;&lt;/m:r&gt;&lt;/m:e&gt;&lt;m:sub&gt;&lt;m:r&gt;&lt;w:rPr&gt;&lt;w:rFonts w:ascii=&quot;Cambria Math&quot; w:h-ansi=&quot;Cambria Math&quot;/&gt;&lt;wx:font wx:val=&quot;Cambria Math&quot;/&gt;&lt;w:i/&gt;&lt;/w:rPr&gt;&lt;m:t&gt;Î·&lt;/m:t&gt;&lt;/m:r&gt;&lt;/m:sub&gt;&lt;/m:sSub&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c&lt;/m:t&gt;&lt;/m:r&gt;&lt;/m:e&gt;&lt;/m:d&gt;&lt;/m:den&gt;&lt;/m:f&gt;&lt;m:r&gt;&lt;w:rPr&gt;&lt;w:rFonts w:ascii=&quot;Cambria Math&quot; w:fareast=&quot;Times New Roman&quot; w:h-ansi=&quot;Cambria Math&quot;/&gt;&lt;wx:font wx:val=&quot;Cambria Math&quot;/&gt;&lt;w:i/&gt;&lt;/w:rPr&gt;&lt;m:t&gt;Ïƒ&lt;/m:t&gt;&lt;/m:r&gt;&lt;m:nary&gt;&lt;m:naryPr&gt;&lt;m:chr m:val=&quot;âˆ‘&quot;/&gt;&lt;m:limLoc m:val=&quot;undOvr&quot;/&gt;&lt;m:ctrlPr&gt;&lt;w:rPr&gt;&lt;w:rFonts w:ascii=&quot;Cambria Math&quot; w:fareast=&quot;Times New Roman&quot; w:h-ansi=&quot;Cambria Math&quot;/&gt;&lt;wx:font wx:val=&quot;Cambria Math&quot;/&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d&gt;&lt;m:dPr&gt;&lt;m:begChr m:val=&quot;{&quot;/&gt;&lt;m:endChr m:val=&quot;}&quot;/&gt;&lt;m:ctrlPr&gt;&lt;w:rPr&gt;&lt;w:rFonts w:ascii=&quot;Cambria Math&quot; w:fareast=&quot;Times New Roman&quot; w:h-ansi=&quot;Cambria Math&quot;/&gt;&lt;wx:font wx:val=&quot;Cambria Math&quot;/&gt;&lt;w:i/&gt;&lt;/w:rPr&gt;&lt;/m:ctrlPr&gt;&lt;/m:dPr&gt;&lt;m:e&gt;&lt;m:f&gt;&lt;m:fPr&gt;&lt;m:ctrlPr&gt;&lt;w:rPr&gt;&lt;w:rFonts w:ascii=&quot;Cambria Math&quot; w:fareast=&quot;Times New Roman&quot; w:h-ansi=&quot;Cambria Math&quot;/&gt;&lt;wx:font wx:val=&quot;Cambria Math&quot;/&gt;&lt;w:i/&gt;&lt;/w:rPr&gt;&lt;/m:ctrlPr&gt;&lt;/m:fPr&gt;&lt;m:num&gt;&lt;m:sSubSup&gt;&lt;m:sSubSupPr&gt;&lt;m:ctrlPr&gt;&lt;w:rPr&gt;&lt;w:rFonts w:ascii=&quot;Cambria Math&quot; w:fareast=&quot;Times New Roman&quot; w:h-ansi=&quot;Cambria Math&quot;/&gt;&lt;wx:font wx:val=&quot;Cambria Math&quot;/&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func&gt;&lt;m:funcPr&gt;&lt;m:ctrlPr&gt;&lt;w:rPr&gt;&lt;w:rFonts w:ascii=&quot;Cambria Math&quot; w:fareast=&quot;Times New Roman&quot; w:h-ansi=&quot;Cambria Math&quot;/&gt;&lt;wx:font wx:val=&quot;Cambria Math&quot;/&gt;&lt;w:i/&gt;&lt;/w:rPr&gt;&lt;/m:ctrlPr&gt;&lt;/m:funcPr&gt;&lt;m:fName&gt;&lt;m:r&gt;&lt;m:rPr&gt;&lt;m:sty m:val=&quot;p&quot;/&gt;&lt;/m:rPr&gt;&lt;w:rPr&gt;&lt;w:rFonts w:ascii=&quot;Cambria Math&quot; w:fareast=&quot;Times New Roman&quot; w:h-ansi=&quot;Cambria Math&quot;/&gt;&lt;wx:font wx:val=&quot;Cambria Math&quot;/&gt;&lt;/w:rPr&gt;&lt;m:t&gt;ln&lt;/m:t&gt;&lt;/m:r&gt;&lt;/m:fName&gt;&lt;m:e&gt;&lt;m:d&gt;&lt;m:dPr&gt;&lt;m:ctrlPr&gt;&lt;w:rPr&gt;&lt;w:rFonts w:ascii=&quot;Cambria Math&quot; w:fareast=&quot;Times New Roman&quot; w:h-ansi=&quot;Cambria Math&quot;/&gt;&lt;wx:font wx:val=&quot;Cambria Math&quot;/&gt;&lt;w:i/&gt;&lt;/w:rPr&gt;&lt;/m:ctrlPr&gt;&lt;/m:dPr&gt;&lt;m:e&gt;&lt;m:r&gt;&lt;w:rPr&gt;&lt;w:rFonts w:ascii=&quot;Cambria Math&quot; w:fareast=&quot;Times New Roman&quot; w:h-ansi=&quot;Cambria Math&quot;/&gt;&lt;wx:font wx:val=&quot;Cambria Math&quot;/&gt;&lt;w:i/&gt;&lt;/w:rPr&gt;&lt;m:t&gt;1+&lt;/m:t&gt;&lt;/m:r&gt;&lt;m:sSub&gt;&lt;m:sSubPr&gt;&lt;m:ctrlPr&gt;&lt;w:rPr&gt;&lt;w:rFonts w:ascii=&quot;Cambria Math&quot; w:fareast=&quot;Times New Roman&quot; w:h-ansi=&quot;Cambria Math&quot;/&gt;&lt;wx:font wx:val=&quot;Cambria Math&quot;/&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Ïƒ&lt;/m:t&gt;&lt;/m:r&gt;&lt;/m:den&gt;&lt;/m:f&gt;&lt;/m:sup&gt;&lt;/m:sSup&gt;&lt;/m:e&gt;&lt;/m:d&gt;&lt;/m:e&gt;&lt;/m:func&gt;&lt;/m:num&gt;&lt;m:den&gt;&lt;m:nary&gt;&lt;m:naryPr&gt;&lt;m:chr m:val=&quot;âˆ&quot;/&gt;&lt;m:limLoc m:val=&quot;undOvr&quot;/&gt;&lt;m:ctrlPr&gt;&lt;w:rPr&gt;&lt;w:rFonts w:ascii=&quot;Cambria Math&quot; w:h-ansi=&quot;Cambria Math&quot;/&gt;&lt;wx:font wx:val=&quot;Cambria Math&quot;/&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i/&gt;&lt;/w:rPr&gt;&lt;/m:ctrlPr&gt;&lt;/m:dPr&gt;&lt;m:e&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d&gt;&lt;/m:e&gt;&lt;/m:nary&gt;&lt;/m:e&gt;&lt;/m:d&gt;&lt;/m:e&gt;&lt;m:sup&gt;&lt;m:r&gt;&lt;w:rPr&gt;&lt;w:rFonts w:ascii=&quot;Cambria Math&quot; w:fareast=&quot;Times New Roman&quot; w:h-ansi=&quot;Cambria Math&quot;/&gt;&lt;wx:font wx:val=&quot;Cambria Math&quot;/&gt;&lt;w:i/&gt;&lt;/w:rPr&gt;&lt;m:t&gt;2&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79" o:title="" chromakey="white"/>
          </v:shape>
        </w:pict>
      </w:r>
    </w:p>
    <w:p w:rsidR="00456DB7" w:rsidRPr="008F7F9F" w:rsidRDefault="009A08FE" w:rsidP="00F30414">
      <w:pPr>
        <w:pStyle w:val="ListParagraph"/>
        <w:tabs>
          <w:tab w:val="left" w:pos="360"/>
        </w:tabs>
        <w:spacing w:before="60" w:after="0" w:line="240" w:lineRule="auto"/>
        <w:ind w:left="0"/>
        <w:contextualSpacing w:val="0"/>
        <w:rPr>
          <w:rFonts w:ascii="Cambria Math" w:eastAsia="Times New Roman" w:hAnsi="Cambria Math"/>
          <w:sz w:val="24"/>
          <w:szCs w:val="24"/>
        </w:rPr>
      </w:pPr>
      <w:r>
        <w:rPr>
          <w:rFonts w:ascii="Cambria Math" w:hAnsi="Cambria Math"/>
          <w:sz w:val="24"/>
          <w:szCs w:val="24"/>
        </w:rPr>
        <w:pict>
          <v:shape id="_x0000_i1432" type="#_x0000_t75" style="width:349.3pt;height:46.7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stylePaneFormatFilter w:val=&quot;3F01&quot;/&gt;&lt;w:defaultTabStop w:val=&quot;720&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524A32&quot;/&gt;&lt;wsp:rsid wsp:val=&quot;00001788&quot;/&gt;&lt;wsp:rsid wsp:val=&quot;0000281B&quot;/&gt;&lt;wsp:rsid wsp:val=&quot;00003060&quot;/&gt;&lt;wsp:rsid wsp:val=&quot;00006FF3&quot;/&gt;&lt;wsp:rsid wsp:val=&quot;00010516&quot;/&gt;&lt;wsp:rsid wsp:val=&quot;00010C60&quot;/&gt;&lt;wsp:rsid wsp:val=&quot;000110F5&quot;/&gt;&lt;wsp:rsid wsp:val=&quot;00011756&quot;/&gt;&lt;wsp:rsid wsp:val=&quot;00011AF0&quot;/&gt;&lt;wsp:rsid wsp:val=&quot;00011E8F&quot;/&gt;&lt;wsp:rsid wsp:val=&quot;00012574&quot;/&gt;&lt;wsp:rsid wsp:val=&quot;00012C47&quot;/&gt;&lt;wsp:rsid wsp:val=&quot;00013156&quot;/&gt;&lt;wsp:rsid wsp:val=&quot;00014738&quot;/&gt;&lt;wsp:rsid wsp:val=&quot;00015624&quot;/&gt;&lt;wsp:rsid wsp:val=&quot;00017BA3&quot;/&gt;&lt;wsp:rsid wsp:val=&quot;000201D9&quot;/&gt;&lt;wsp:rsid wsp:val=&quot;00033567&quot;/&gt;&lt;wsp:rsid wsp:val=&quot;000342A6&quot;/&gt;&lt;wsp:rsid wsp:val=&quot;00040A2D&quot;/&gt;&lt;wsp:rsid wsp:val=&quot;00040DFF&quot;/&gt;&lt;wsp:rsid wsp:val=&quot;00041F0D&quot;/&gt;&lt;wsp:rsid wsp:val=&quot;000433A0&quot;/&gt;&lt;wsp:rsid wsp:val=&quot;00044355&quot;/&gt;&lt;wsp:rsid wsp:val=&quot;00044603&quot;/&gt;&lt;wsp:rsid wsp:val=&quot;00044816&quot;/&gt;&lt;wsp:rsid wsp:val=&quot;00044E20&quot;/&gt;&lt;wsp:rsid wsp:val=&quot;00047381&quot;/&gt;&lt;wsp:rsid wsp:val=&quot;00050A00&quot;/&gt;&lt;wsp:rsid wsp:val=&quot;00051610&quot;/&gt;&lt;wsp:rsid wsp:val=&quot;00052219&quot;/&gt;&lt;wsp:rsid wsp:val=&quot;00054426&quot;/&gt;&lt;wsp:rsid wsp:val=&quot;0005449D&quot;/&gt;&lt;wsp:rsid wsp:val=&quot;00054D13&quot;/&gt;&lt;wsp:rsid wsp:val=&quot;000554BC&quot;/&gt;&lt;wsp:rsid wsp:val=&quot;00056DC9&quot;/&gt;&lt;wsp:rsid wsp:val=&quot;0005784C&quot;/&gt;&lt;wsp:rsid wsp:val=&quot;00061EF8&quot;/&gt;&lt;wsp:rsid wsp:val=&quot;00062022&quot;/&gt;&lt;wsp:rsid wsp:val=&quot;0006440A&quot;/&gt;&lt;wsp:rsid wsp:val=&quot;00066024&quot;/&gt;&lt;wsp:rsid wsp:val=&quot;000674A2&quot;/&gt;&lt;wsp:rsid wsp:val=&quot;000678FF&quot;/&gt;&lt;wsp:rsid wsp:val=&quot;00070F59&quot;/&gt;&lt;wsp:rsid wsp:val=&quot;000752B2&quot;/&gt;&lt;wsp:rsid wsp:val=&quot;000766AC&quot;/&gt;&lt;wsp:rsid wsp:val=&quot;0007675F&quot;/&gt;&lt;wsp:rsid wsp:val=&quot;000770ED&quot;/&gt;&lt;wsp:rsid wsp:val=&quot;00077446&quot;/&gt;&lt;wsp:rsid wsp:val=&quot;0008176A&quot;/&gt;&lt;wsp:rsid wsp:val=&quot;000823AD&quot;/&gt;&lt;wsp:rsid wsp:val=&quot;000832BD&quot;/&gt;&lt;wsp:rsid wsp:val=&quot;00085317&quot;/&gt;&lt;wsp:rsid wsp:val=&quot;00085BED&quot;/&gt;&lt;wsp:rsid wsp:val=&quot;00085F4D&quot;/&gt;&lt;wsp:rsid wsp:val=&quot;00086B99&quot;/&gt;&lt;wsp:rsid wsp:val=&quot;00087393&quot;/&gt;&lt;wsp:rsid wsp:val=&quot;00090C4D&quot;/&gt;&lt;wsp:rsid wsp:val=&quot;00090F6E&quot;/&gt;&lt;wsp:rsid wsp:val=&quot;00091E9C&quot;/&gt;&lt;wsp:rsid wsp:val=&quot;0009326A&quot;/&gt;&lt;wsp:rsid wsp:val=&quot;00095FF6&quot;/&gt;&lt;wsp:rsid wsp:val=&quot;0009608B&quot;/&gt;&lt;wsp:rsid wsp:val=&quot;0009609E&quot;/&gt;&lt;wsp:rsid wsp:val=&quot;0009672B&quot;/&gt;&lt;wsp:rsid wsp:val=&quot;00096BD4&quot;/&gt;&lt;wsp:rsid wsp:val=&quot;00097103&quot;/&gt;&lt;wsp:rsid wsp:val=&quot;00097CA3&quot;/&gt;&lt;wsp:rsid wsp:val=&quot;000A1FB6&quot;/&gt;&lt;wsp:rsid wsp:val=&quot;000A2BFF&quot;/&gt;&lt;wsp:rsid wsp:val=&quot;000A37AE&quot;/&gt;&lt;wsp:rsid wsp:val=&quot;000A4A6D&quot;/&gt;&lt;wsp:rsid wsp:val=&quot;000A5C99&quot;/&gt;&lt;wsp:rsid wsp:val=&quot;000A6BBD&quot;/&gt;&lt;wsp:rsid wsp:val=&quot;000A6FAA&quot;/&gt;&lt;wsp:rsid wsp:val=&quot;000A7948&quot;/&gt;&lt;wsp:rsid wsp:val=&quot;000B00A0&quot;/&gt;&lt;wsp:rsid wsp:val=&quot;000B182A&quot;/&gt;&lt;wsp:rsid wsp:val=&quot;000B1A20&quot;/&gt;&lt;wsp:rsid wsp:val=&quot;000B20F3&quot;/&gt;&lt;wsp:rsid wsp:val=&quot;000B20F5&quot;/&gt;&lt;wsp:rsid wsp:val=&quot;000B3714&quot;/&gt;&lt;wsp:rsid wsp:val=&quot;000B4BF5&quot;/&gt;&lt;wsp:rsid wsp:val=&quot;000B5D94&quot;/&gt;&lt;wsp:rsid wsp:val=&quot;000C079A&quot;/&gt;&lt;wsp:rsid wsp:val=&quot;000C2257&quot;/&gt;&lt;wsp:rsid wsp:val=&quot;000C2F3E&quot;/&gt;&lt;wsp:rsid wsp:val=&quot;000C2F44&quot;/&gt;&lt;wsp:rsid wsp:val=&quot;000C3EBA&quot;/&gt;&lt;wsp:rsid wsp:val=&quot;000C46FB&quot;/&gt;&lt;wsp:rsid wsp:val=&quot;000C5D36&quot;/&gt;&lt;wsp:rsid wsp:val=&quot;000C649D&quot;/&gt;&lt;wsp:rsid wsp:val=&quot;000D0156&quot;/&gt;&lt;wsp:rsid wsp:val=&quot;000D2241&quot;/&gt;&lt;wsp:rsid wsp:val=&quot;000D2722&quot;/&gt;&lt;wsp:rsid wsp:val=&quot;000D3B73&quot;/&gt;&lt;wsp:rsid wsp:val=&quot;000D4482&quot;/&gt;&lt;wsp:rsid wsp:val=&quot;000D6185&quot;/&gt;&lt;wsp:rsid wsp:val=&quot;000D6F88&quot;/&gt;&lt;wsp:rsid wsp:val=&quot;000E19C8&quot;/&gt;&lt;wsp:rsid wsp:val=&quot;000E1B83&quot;/&gt;&lt;wsp:rsid wsp:val=&quot;000E1F64&quot;/&gt;&lt;wsp:rsid wsp:val=&quot;000E215C&quot;/&gt;&lt;wsp:rsid wsp:val=&quot;000E31EB&quot;/&gt;&lt;wsp:rsid wsp:val=&quot;000E603E&quot;/&gt;&lt;wsp:rsid wsp:val=&quot;000E6CB8&quot;/&gt;&lt;wsp:rsid wsp:val=&quot;000E7A42&quot;/&gt;&lt;wsp:rsid wsp:val=&quot;000F0454&quot;/&gt;&lt;wsp:rsid wsp:val=&quot;000F0F13&quot;/&gt;&lt;wsp:rsid wsp:val=&quot;000F18D2&quot;/&gt;&lt;wsp:rsid wsp:val=&quot;000F1BA0&quot;/&gt;&lt;wsp:rsid wsp:val=&quot;000F25EF&quot;/&gt;&lt;wsp:rsid wsp:val=&quot;000F2848&quot;/&gt;&lt;wsp:rsid wsp:val=&quot;000F3B0C&quot;/&gt;&lt;wsp:rsid wsp:val=&quot;000F3D29&quot;/&gt;&lt;wsp:rsid wsp:val=&quot;000F434D&quot;/&gt;&lt;wsp:rsid wsp:val=&quot;000F4B04&quot;/&gt;&lt;wsp:rsid wsp:val=&quot;000F5028&quot;/&gt;&lt;wsp:rsid wsp:val=&quot;000F5625&quot;/&gt;&lt;wsp:rsid wsp:val=&quot;000F6844&quot;/&gt;&lt;wsp:rsid wsp:val=&quot;000F7B3C&quot;/&gt;&lt;wsp:rsid wsp:val=&quot;0010094D&quot;/&gt;&lt;wsp:rsid wsp:val=&quot;00100BF9&quot;/&gt;&lt;wsp:rsid wsp:val=&quot;001010C2&quot;/&gt;&lt;wsp:rsid wsp:val=&quot;00101614&quot;/&gt;&lt;wsp:rsid wsp:val=&quot;001022A7&quot;/&gt;&lt;wsp:rsid wsp:val=&quot;00102980&quot;/&gt;&lt;wsp:rsid wsp:val=&quot;00102C8E&quot;/&gt;&lt;wsp:rsid wsp:val=&quot;001035B5&quot;/&gt;&lt;wsp:rsid wsp:val=&quot;00105AC4&quot;/&gt;&lt;wsp:rsid wsp:val=&quot;00105B49&quot;/&gt;&lt;wsp:rsid wsp:val=&quot;00106B7E&quot;/&gt;&lt;wsp:rsid wsp:val=&quot;001075A0&quot;/&gt;&lt;wsp:rsid wsp:val=&quot;00111C2B&quot;/&gt;&lt;wsp:rsid wsp:val=&quot;0011267A&quot;/&gt;&lt;wsp:rsid wsp:val=&quot;001128BE&quot;/&gt;&lt;wsp:rsid wsp:val=&quot;00113E6B&quot;/&gt;&lt;wsp:rsid wsp:val=&quot;00116730&quot;/&gt;&lt;wsp:rsid wsp:val=&quot;0011752A&quot;/&gt;&lt;wsp:rsid wsp:val=&quot;00120767&quot;/&gt;&lt;wsp:rsid wsp:val=&quot;0012161F&quot;/&gt;&lt;wsp:rsid wsp:val=&quot;001240D3&quot;/&gt;&lt;wsp:rsid wsp:val=&quot;00124B03&quot;/&gt;&lt;wsp:rsid wsp:val=&quot;00124B67&quot;/&gt;&lt;wsp:rsid wsp:val=&quot;00125B90&quot;/&gt;&lt;wsp:rsid wsp:val=&quot;001264C3&quot;/&gt;&lt;wsp:rsid wsp:val=&quot;001265D0&quot;/&gt;&lt;wsp:rsid wsp:val=&quot;001268B2&quot;/&gt;&lt;wsp:rsid wsp:val=&quot;00132EC9&quot;/&gt;&lt;wsp:rsid wsp:val=&quot;00133B04&quot;/&gt;&lt;wsp:rsid wsp:val=&quot;001345D4&quot;/&gt;&lt;wsp:rsid wsp:val=&quot;00134DB1&quot;/&gt;&lt;wsp:rsid wsp:val=&quot;00134FEF&quot;/&gt;&lt;wsp:rsid wsp:val=&quot;00135AE6&quot;/&gt;&lt;wsp:rsid wsp:val=&quot;00135C7B&quot;/&gt;&lt;wsp:rsid wsp:val=&quot;0013776D&quot;/&gt;&lt;wsp:rsid wsp:val=&quot;00140A7B&quot;/&gt;&lt;wsp:rsid wsp:val=&quot;0014183B&quot;/&gt;&lt;wsp:rsid wsp:val=&quot;00143A99&quot;/&gt;&lt;wsp:rsid wsp:val=&quot;00143C12&quot;/&gt;&lt;wsp:rsid wsp:val=&quot;00143DF0&quot;/&gt;&lt;wsp:rsid wsp:val=&quot;001443B6&quot;/&gt;&lt;wsp:rsid wsp:val=&quot;00144647&quot;/&gt;&lt;wsp:rsid wsp:val=&quot;00147F8A&quot;/&gt;&lt;wsp:rsid wsp:val=&quot;0015157A&quot;/&gt;&lt;wsp:rsid wsp:val=&quot;00151A3E&quot;/&gt;&lt;wsp:rsid wsp:val=&quot;001523BC&quot;/&gt;&lt;wsp:rsid wsp:val=&quot;00152A84&quot;/&gt;&lt;wsp:rsid wsp:val=&quot;00156B7F&quot;/&gt;&lt;wsp:rsid wsp:val=&quot;00157237&quot;/&gt;&lt;wsp:rsid wsp:val=&quot;0015751E&quot;/&gt;&lt;wsp:rsid wsp:val=&quot;0016032D&quot;/&gt;&lt;wsp:rsid wsp:val=&quot;001623F7&quot;/&gt;&lt;wsp:rsid wsp:val=&quot;001657A2&quot;/&gt;&lt;wsp:rsid wsp:val=&quot;00165F76&quot;/&gt;&lt;wsp:rsid wsp:val=&quot;001727F3&quot;/&gt;&lt;wsp:rsid wsp:val=&quot;00174559&quot;/&gt;&lt;wsp:rsid wsp:val=&quot;00174874&quot;/&gt;&lt;wsp:rsid wsp:val=&quot;0017513D&quot;/&gt;&lt;wsp:rsid wsp:val=&quot;00180D74&quot;/&gt;&lt;wsp:rsid wsp:val=&quot;00182C28&quot;/&gt;&lt;wsp:rsid wsp:val=&quot;001836ED&quot;/&gt;&lt;wsp:rsid wsp:val=&quot;0018396E&quot;/&gt;&lt;wsp:rsid wsp:val=&quot;00184057&quot;/&gt;&lt;wsp:rsid wsp:val=&quot;00185420&quot;/&gt;&lt;wsp:rsid wsp:val=&quot;001902A2&quot;/&gt;&lt;wsp:rsid wsp:val=&quot;001905B8&quot;/&gt;&lt;wsp:rsid wsp:val=&quot;00190800&quot;/&gt;&lt;wsp:rsid wsp:val=&quot;00194286&quot;/&gt;&lt;wsp:rsid wsp:val=&quot;001957BD&quot;/&gt;&lt;wsp:rsid wsp:val=&quot;00195AD6&quot;/&gt;&lt;wsp:rsid wsp:val=&quot;0019609F&quot;/&gt;&lt;wsp:rsid wsp:val=&quot;00197A5B&quot;/&gt;&lt;wsp:rsid wsp:val=&quot;001A101F&quot;/&gt;&lt;wsp:rsid wsp:val=&quot;001A1085&quot;/&gt;&lt;wsp:rsid wsp:val=&quot;001A2EB4&quot;/&gt;&lt;wsp:rsid wsp:val=&quot;001A443C&quot;/&gt;&lt;wsp:rsid wsp:val=&quot;001A45B0&quot;/&gt;&lt;wsp:rsid wsp:val=&quot;001A47BA&quot;/&gt;&lt;wsp:rsid wsp:val=&quot;001A578B&quot;/&gt;&lt;wsp:rsid wsp:val=&quot;001A6BEB&quot;/&gt;&lt;wsp:rsid wsp:val=&quot;001A6E3D&quot;/&gt;&lt;wsp:rsid wsp:val=&quot;001A7749&quot;/&gt;&lt;wsp:rsid wsp:val=&quot;001A77BB&quot;/&gt;&lt;wsp:rsid wsp:val=&quot;001B06F7&quot;/&gt;&lt;wsp:rsid wsp:val=&quot;001B2E69&quot;/&gt;&lt;wsp:rsid wsp:val=&quot;001B40F9&quot;/&gt;&lt;wsp:rsid wsp:val=&quot;001B46EB&quot;/&gt;&lt;wsp:rsid wsp:val=&quot;001B58F0&quot;/&gt;&lt;wsp:rsid wsp:val=&quot;001B5FE7&quot;/&gt;&lt;wsp:rsid wsp:val=&quot;001B6E26&quot;/&gt;&lt;wsp:rsid wsp:val=&quot;001C0936&quot;/&gt;&lt;wsp:rsid wsp:val=&quot;001C2B8B&quot;/&gt;&lt;wsp:rsid wsp:val=&quot;001C3F5D&quot;/&gt;&lt;wsp:rsid wsp:val=&quot;001C3F78&quot;/&gt;&lt;wsp:rsid wsp:val=&quot;001C6BB1&quot;/&gt;&lt;wsp:rsid wsp:val=&quot;001C6D19&quot;/&gt;&lt;wsp:rsid wsp:val=&quot;001D02E1&quot;/&gt;&lt;wsp:rsid wsp:val=&quot;001D3993&quot;/&gt;&lt;wsp:rsid wsp:val=&quot;001D44A1&quot;/&gt;&lt;wsp:rsid wsp:val=&quot;001D46DA&quot;/&gt;&lt;wsp:rsid wsp:val=&quot;001D5429&quot;/&gt;&lt;wsp:rsid wsp:val=&quot;001D564E&quot;/&gt;&lt;wsp:rsid wsp:val=&quot;001D5ACB&quot;/&gt;&lt;wsp:rsid wsp:val=&quot;001D60CC&quot;/&gt;&lt;wsp:rsid wsp:val=&quot;001D7563&quot;/&gt;&lt;wsp:rsid wsp:val=&quot;001E0360&quot;/&gt;&lt;wsp:rsid wsp:val=&quot;001E213C&quot;/&gt;&lt;wsp:rsid wsp:val=&quot;001E2451&quot;/&gt;&lt;wsp:rsid wsp:val=&quot;001E35F5&quot;/&gt;&lt;wsp:rsid wsp:val=&quot;001E3868&quot;/&gt;&lt;wsp:rsid wsp:val=&quot;001E440F&quot;/&gt;&lt;wsp:rsid wsp:val=&quot;001E4A2D&quot;/&gt;&lt;wsp:rsid wsp:val=&quot;001E539A&quot;/&gt;&lt;wsp:rsid wsp:val=&quot;001E5B6D&quot;/&gt;&lt;wsp:rsid wsp:val=&quot;001E6808&quot;/&gt;&lt;wsp:rsid wsp:val=&quot;001F0EE4&quot;/&gt;&lt;wsp:rsid wsp:val=&quot;001F269A&quot;/&gt;&lt;wsp:rsid wsp:val=&quot;001F2E8C&quot;/&gt;&lt;wsp:rsid wsp:val=&quot;001F5546&quot;/&gt;&lt;wsp:rsid wsp:val=&quot;001F6A7D&quot;/&gt;&lt;wsp:rsid wsp:val=&quot;001F7D82&quot;/&gt;&lt;wsp:rsid wsp:val=&quot;002005BC&quot;/&gt;&lt;wsp:rsid wsp:val=&quot;0020099C&quot;/&gt;&lt;wsp:rsid wsp:val=&quot;002009E4&quot;/&gt;&lt;wsp:rsid wsp:val=&quot;00201247&quot;/&gt;&lt;wsp:rsid wsp:val=&quot;00201CB2&quot;/&gt;&lt;wsp:rsid wsp:val=&quot;002041C3&quot;/&gt;&lt;wsp:rsid wsp:val=&quot;00205644&quot;/&gt;&lt;wsp:rsid wsp:val=&quot;002061C6&quot;/&gt;&lt;wsp:rsid wsp:val=&quot;0020668B&quot;/&gt;&lt;wsp:rsid wsp:val=&quot;00206B6D&quot;/&gt;&lt;wsp:rsid wsp:val=&quot;00207C39&quot;/&gt;&lt;wsp:rsid wsp:val=&quot;002103C4&quot;/&gt;&lt;wsp:rsid wsp:val=&quot;00210E0A&quot;/&gt;&lt;wsp:rsid wsp:val=&quot;002114CC&quot;/&gt;&lt;wsp:rsid wsp:val=&quot;002120AD&quot;/&gt;&lt;wsp:rsid wsp:val=&quot;00212E2F&quot;/&gt;&lt;wsp:rsid wsp:val=&quot;00213472&quot;/&gt;&lt;wsp:rsid wsp:val=&quot;00214840&quot;/&gt;&lt;wsp:rsid wsp:val=&quot;00217309&quot;/&gt;&lt;wsp:rsid wsp:val=&quot;00221B37&quot;/&gt;&lt;wsp:rsid wsp:val=&quot;00222117&quot;/&gt;&lt;wsp:rsid wsp:val=&quot;0022214D&quot;/&gt;&lt;wsp:rsid wsp:val=&quot;00222AD2&quot;/&gt;&lt;wsp:rsid wsp:val=&quot;00227905&quot;/&gt;&lt;wsp:rsid wsp:val=&quot;00230A2A&quot;/&gt;&lt;wsp:rsid wsp:val=&quot;00230C37&quot;/&gt;&lt;wsp:rsid wsp:val=&quot;002310EF&quot;/&gt;&lt;wsp:rsid wsp:val=&quot;00231A20&quot;/&gt;&lt;wsp:rsid wsp:val=&quot;002344CA&quot;/&gt;&lt;wsp:rsid wsp:val=&quot;00235507&quot;/&gt;&lt;wsp:rsid wsp:val=&quot;00236318&quot;/&gt;&lt;wsp:rsid wsp:val=&quot;00241C58&quot;/&gt;&lt;wsp:rsid wsp:val=&quot;002431DC&quot;/&gt;&lt;wsp:rsid wsp:val=&quot;002449DA&quot;/&gt;&lt;wsp:rsid wsp:val=&quot;00244F6D&quot;/&gt;&lt;wsp:rsid wsp:val=&quot;002455F3&quot;/&gt;&lt;wsp:rsid wsp:val=&quot;00245804&quot;/&gt;&lt;wsp:rsid wsp:val=&quot;00246390&quot;/&gt;&lt;wsp:rsid wsp:val=&quot;0024690F&quot;/&gt;&lt;wsp:rsid wsp:val=&quot;002513A7&quot;/&gt;&lt;wsp:rsid wsp:val=&quot;00251926&quot;/&gt;&lt;wsp:rsid wsp:val=&quot;00251EAD&quot;/&gt;&lt;wsp:rsid wsp:val=&quot;00252DBF&quot;/&gt;&lt;wsp:rsid wsp:val=&quot;00253E21&quot;/&gt;&lt;wsp:rsid wsp:val=&quot;00257F90&quot;/&gt;&lt;wsp:rsid wsp:val=&quot;00257FEA&quot;/&gt;&lt;wsp:rsid wsp:val=&quot;00260D77&quot;/&gt;&lt;wsp:rsid wsp:val=&quot;002619D2&quot;/&gt;&lt;wsp:rsid wsp:val=&quot;00262DCF&quot;/&gt;&lt;wsp:rsid wsp:val=&quot;00264913&quot;/&gt;&lt;wsp:rsid wsp:val=&quot;00264FC0&quot;/&gt;&lt;wsp:rsid wsp:val=&quot;002651E2&quot;/&gt;&lt;wsp:rsid wsp:val=&quot;0026596D&quot;/&gt;&lt;wsp:rsid wsp:val=&quot;00266D16&quot;/&gt;&lt;wsp:rsid wsp:val=&quot;00272066&quot;/&gt;&lt;wsp:rsid wsp:val=&quot;002725D9&quot;/&gt;&lt;wsp:rsid wsp:val=&quot;00273286&quot;/&gt;&lt;wsp:rsid wsp:val=&quot;00274061&quot;/&gt;&lt;wsp:rsid wsp:val=&quot;00276DA8&quot;/&gt;&lt;wsp:rsid wsp:val=&quot;00277310&quot;/&gt;&lt;wsp:rsid wsp:val=&quot;002774BD&quot;/&gt;&lt;wsp:rsid wsp:val=&quot;002779EA&quot;/&gt;&lt;wsp:rsid wsp:val=&quot;00280FB1&quot;/&gt;&lt;wsp:rsid wsp:val=&quot;002816B5&quot;/&gt;&lt;wsp:rsid wsp:val=&quot;00281712&quot;/&gt;&lt;wsp:rsid wsp:val=&quot;0028174D&quot;/&gt;&lt;wsp:rsid wsp:val=&quot;002817FC&quot;/&gt;&lt;wsp:rsid wsp:val=&quot;00282AFB&quot;/&gt;&lt;wsp:rsid wsp:val=&quot;002847DB&quot;/&gt;&lt;wsp:rsid wsp:val=&quot;00284982&quot;/&gt;&lt;wsp:rsid wsp:val=&quot;002905FA&quot;/&gt;&lt;wsp:rsid wsp:val=&quot;002923AA&quot;/&gt;&lt;wsp:rsid wsp:val=&quot;00293E43&quot;/&gt;&lt;wsp:rsid wsp:val=&quot;002942D2&quot;/&gt;&lt;wsp:rsid wsp:val=&quot;00296FF3&quot;/&gt;&lt;wsp:rsid wsp:val=&quot;002A1FE8&quot;/&gt;&lt;wsp:rsid wsp:val=&quot;002A374C&quot;/&gt;&lt;wsp:rsid wsp:val=&quot;002A5D66&quot;/&gt;&lt;wsp:rsid wsp:val=&quot;002A762A&quot;/&gt;&lt;wsp:rsid wsp:val=&quot;002A7AB3&quot;/&gt;&lt;wsp:rsid wsp:val=&quot;002A7F6A&quot;/&gt;&lt;wsp:rsid wsp:val=&quot;002B2F16&quot;/&gt;&lt;wsp:rsid wsp:val=&quot;002B3C62&quot;/&gt;&lt;wsp:rsid wsp:val=&quot;002B5C2A&quot;/&gt;&lt;wsp:rsid wsp:val=&quot;002B7BFF&quot;/&gt;&lt;wsp:rsid wsp:val=&quot;002C68BE&quot;/&gt;&lt;wsp:rsid wsp:val=&quot;002C73C6&quot;/&gt;&lt;wsp:rsid wsp:val=&quot;002C7D80&quot;/&gt;&lt;wsp:rsid wsp:val=&quot;002C7D81&quot;/&gt;&lt;wsp:rsid wsp:val=&quot;002D04DE&quot;/&gt;&lt;wsp:rsid wsp:val=&quot;002D061A&quot;/&gt;&lt;wsp:rsid wsp:val=&quot;002D0BE3&quot;/&gt;&lt;wsp:rsid wsp:val=&quot;002D11EE&quot;/&gt;&lt;wsp:rsid wsp:val=&quot;002D1808&quot;/&gt;&lt;wsp:rsid wsp:val=&quot;002D3767&quot;/&gt;&lt;wsp:rsid wsp:val=&quot;002D3F00&quot;/&gt;&lt;wsp:rsid wsp:val=&quot;002D45DC&quot;/&gt;&lt;wsp:rsid wsp:val=&quot;002D5A1A&quot;/&gt;&lt;wsp:rsid wsp:val=&quot;002D6062&quot;/&gt;&lt;wsp:rsid wsp:val=&quot;002D7AC5&quot;/&gt;&lt;wsp:rsid wsp:val=&quot;002D7F01&quot;/&gt;&lt;wsp:rsid wsp:val=&quot;002E36F4&quot;/&gt;&lt;wsp:rsid wsp:val=&quot;002E383D&quot;/&gt;&lt;wsp:rsid wsp:val=&quot;002E4F71&quot;/&gt;&lt;wsp:rsid wsp:val=&quot;002E5064&quot;/&gt;&lt;wsp:rsid wsp:val=&quot;002F0CFD&quot;/&gt;&lt;wsp:rsid wsp:val=&quot;002F146C&quot;/&gt;&lt;wsp:rsid wsp:val=&quot;002F20D8&quot;/&gt;&lt;wsp:rsid wsp:val=&quot;002F2648&quot;/&gt;&lt;wsp:rsid wsp:val=&quot;002F2B4E&quot;/&gt;&lt;wsp:rsid wsp:val=&quot;002F2C0A&quot;/&gt;&lt;wsp:rsid wsp:val=&quot;002F5412&quot;/&gt;&lt;wsp:rsid wsp:val=&quot;00300B1D&quot;/&gt;&lt;wsp:rsid wsp:val=&quot;00300EA1&quot;/&gt;&lt;wsp:rsid wsp:val=&quot;003016A4&quot;/&gt;&lt;wsp:rsid wsp:val=&quot;003017FE&quot;/&gt;&lt;wsp:rsid wsp:val=&quot;00301866&quot;/&gt;&lt;wsp:rsid wsp:val=&quot;0030290D&quot;/&gt;&lt;wsp:rsid wsp:val=&quot;00302C72&quot;/&gt;&lt;wsp:rsid wsp:val=&quot;00303861&quot;/&gt;&lt;wsp:rsid wsp:val=&quot;00304668&quot;/&gt;&lt;wsp:rsid wsp:val=&quot;0030476C&quot;/&gt;&lt;wsp:rsid wsp:val=&quot;00304E38&quot;/&gt;&lt;wsp:rsid wsp:val=&quot;00305B30&quot;/&gt;&lt;wsp:rsid wsp:val=&quot;00305D0C&quot;/&gt;&lt;wsp:rsid wsp:val=&quot;00306D1B&quot;/&gt;&lt;wsp:rsid wsp:val=&quot;00307656&quot;/&gt;&lt;wsp:rsid wsp:val=&quot;00307EB0&quot;/&gt;&lt;wsp:rsid wsp:val=&quot;0031003E&quot;/&gt;&lt;wsp:rsid wsp:val=&quot;00310FBF&quot;/&gt;&lt;wsp:rsid wsp:val=&quot;0031206C&quot;/&gt;&lt;wsp:rsid wsp:val=&quot;003121AF&quot;/&gt;&lt;wsp:rsid wsp:val=&quot;003128CF&quot;/&gt;&lt;wsp:rsid wsp:val=&quot;003156DB&quot;/&gt;&lt;wsp:rsid wsp:val=&quot;00323386&quot;/&gt;&lt;wsp:rsid wsp:val=&quot;00324EEB&quot;/&gt;&lt;wsp:rsid wsp:val=&quot;003254B5&quot;/&gt;&lt;wsp:rsid wsp:val=&quot;00326F8D&quot;/&gt;&lt;wsp:rsid wsp:val=&quot;0032725C&quot;/&gt;&lt;wsp:rsid wsp:val=&quot;00327C94&quot;/&gt;&lt;wsp:rsid wsp:val=&quot;00330565&quot;/&gt;&lt;wsp:rsid wsp:val=&quot;00333073&quot;/&gt;&lt;wsp:rsid wsp:val=&quot;00336527&quot;/&gt;&lt;wsp:rsid wsp:val=&quot;00341691&quot;/&gt;&lt;wsp:rsid wsp:val=&quot;00342058&quot;/&gt;&lt;wsp:rsid wsp:val=&quot;003430B7&quot;/&gt;&lt;wsp:rsid wsp:val=&quot;0034364C&quot;/&gt;&lt;wsp:rsid wsp:val=&quot;003457F4&quot;/&gt;&lt;wsp:rsid wsp:val=&quot;00345BCB&quot;/&gt;&lt;wsp:rsid wsp:val=&quot;0035080A&quot;/&gt;&lt;wsp:rsid wsp:val=&quot;003509D1&quot;/&gt;&lt;wsp:rsid wsp:val=&quot;00350C36&quot;/&gt;&lt;wsp:rsid wsp:val=&quot;0035159A&quot;/&gt;&lt;wsp:rsid wsp:val=&quot;00351B34&quot;/&gt;&lt;wsp:rsid wsp:val=&quot;00351D90&quot;/&gt;&lt;wsp:rsid wsp:val=&quot;00351DB0&quot;/&gt;&lt;wsp:rsid wsp:val=&quot;0036014C&quot;/&gt;&lt;wsp:rsid wsp:val=&quot;00360A63&quot;/&gt;&lt;wsp:rsid wsp:val=&quot;003625B6&quot;/&gt;&lt;wsp:rsid wsp:val=&quot;00363257&quot;/&gt;&lt;wsp:rsid wsp:val=&quot;00363728&quot;/&gt;&lt;wsp:rsid wsp:val=&quot;00363F52&quot;/&gt;&lt;wsp:rsid wsp:val=&quot;003643C2&quot;/&gt;&lt;wsp:rsid wsp:val=&quot;003678E9&quot;/&gt;&lt;wsp:rsid wsp:val=&quot;00371701&quot;/&gt;&lt;wsp:rsid wsp:val=&quot;00371ECC&quot;/&gt;&lt;wsp:rsid wsp:val=&quot;00374BD4&quot;/&gt;&lt;wsp:rsid wsp:val=&quot;00381927&quot;/&gt;&lt;wsp:rsid wsp:val=&quot;003826EA&quot;/&gt;&lt;wsp:rsid wsp:val=&quot;00385976&quot;/&gt;&lt;wsp:rsid wsp:val=&quot;00386AB9&quot;/&gt;&lt;wsp:rsid wsp:val=&quot;00386CD8&quot;/&gt;&lt;wsp:rsid wsp:val=&quot;0039012D&quot;/&gt;&lt;wsp:rsid wsp:val=&quot;00390A8E&quot;/&gt;&lt;wsp:rsid wsp:val=&quot;003945D4&quot;/&gt;&lt;wsp:rsid wsp:val=&quot;00397A4F&quot;/&gt;&lt;wsp:rsid wsp:val=&quot;003A0DC1&quot;/&gt;&lt;wsp:rsid wsp:val=&quot;003A15AA&quot;/&gt;&lt;wsp:rsid wsp:val=&quot;003A15DD&quot;/&gt;&lt;wsp:rsid wsp:val=&quot;003A312C&quot;/&gt;&lt;wsp:rsid wsp:val=&quot;003A3448&quot;/&gt;&lt;wsp:rsid wsp:val=&quot;003A3F71&quot;/&gt;&lt;wsp:rsid wsp:val=&quot;003A473F&quot;/&gt;&lt;wsp:rsid wsp:val=&quot;003A4B83&quot;/&gt;&lt;wsp:rsid wsp:val=&quot;003A7717&quot;/&gt;&lt;wsp:rsid wsp:val=&quot;003B2289&quot;/&gt;&lt;wsp:rsid wsp:val=&quot;003B2335&quot;/&gt;&lt;wsp:rsid wsp:val=&quot;003B3F7C&quot;/&gt;&lt;wsp:rsid wsp:val=&quot;003B4EB5&quot;/&gt;&lt;wsp:rsid wsp:val=&quot;003B56FD&quot;/&gt;&lt;wsp:rsid wsp:val=&quot;003B77D1&quot;/&gt;&lt;wsp:rsid wsp:val=&quot;003C049C&quot;/&gt;&lt;wsp:rsid wsp:val=&quot;003C0606&quot;/&gt;&lt;wsp:rsid wsp:val=&quot;003C0697&quot;/&gt;&lt;wsp:rsid wsp:val=&quot;003C07AD&quot;/&gt;&lt;wsp:rsid wsp:val=&quot;003C0E47&quot;/&gt;&lt;wsp:rsid wsp:val=&quot;003C1A65&quot;/&gt;&lt;wsp:rsid wsp:val=&quot;003C1C5F&quot;/&gt;&lt;wsp:rsid wsp:val=&quot;003C2854&quot;/&gt;&lt;wsp:rsid wsp:val=&quot;003C289F&quot;/&gt;&lt;wsp:rsid wsp:val=&quot;003C36FE&quot;/&gt;&lt;wsp:rsid wsp:val=&quot;003C37C5&quot;/&gt;&lt;wsp:rsid wsp:val=&quot;003C5CF6&quot;/&gt;&lt;wsp:rsid wsp:val=&quot;003C63BE&quot;/&gt;&lt;wsp:rsid wsp:val=&quot;003C6762&quot;/&gt;&lt;wsp:rsid wsp:val=&quot;003C6B51&quot;/&gt;&lt;wsp:rsid wsp:val=&quot;003C7503&quot;/&gt;&lt;wsp:rsid wsp:val=&quot;003D0D19&quot;/&gt;&lt;wsp:rsid wsp:val=&quot;003D24E1&quot;/&gt;&lt;wsp:rsid wsp:val=&quot;003D3EDE&quot;/&gt;&lt;wsp:rsid wsp:val=&quot;003D5339&quot;/&gt;&lt;wsp:rsid wsp:val=&quot;003D5E21&quot;/&gt;&lt;wsp:rsid wsp:val=&quot;003D7B16&quot;/&gt;&lt;wsp:rsid wsp:val=&quot;003E0B30&quot;/&gt;&lt;wsp:rsid wsp:val=&quot;003E39C0&quot;/&gt;&lt;wsp:rsid wsp:val=&quot;003E4D04&quot;/&gt;&lt;wsp:rsid wsp:val=&quot;003E7C65&quot;/&gt;&lt;wsp:rsid wsp:val=&quot;003F414D&quot;/&gt;&lt;wsp:rsid wsp:val=&quot;003F5034&quot;/&gt;&lt;wsp:rsid wsp:val=&quot;003F5BCD&quot;/&gt;&lt;wsp:rsid wsp:val=&quot;003F64D0&quot;/&gt;&lt;wsp:rsid wsp:val=&quot;003F7E10&quot;/&gt;&lt;wsp:rsid wsp:val=&quot;004009CB&quot;/&gt;&lt;wsp:rsid wsp:val=&quot;00401457&quot;/&gt;&lt;wsp:rsid wsp:val=&quot;00401506&quot;/&gt;&lt;wsp:rsid wsp:val=&quot;00402DAA&quot;/&gt;&lt;wsp:rsid wsp:val=&quot;00403A66&quot;/&gt;&lt;wsp:rsid wsp:val=&quot;00405582&quot;/&gt;&lt;wsp:rsid wsp:val=&quot;00405D3C&quot;/&gt;&lt;wsp:rsid wsp:val=&quot;004066DD&quot;/&gt;&lt;wsp:rsid wsp:val=&quot;0041145F&quot;/&gt;&lt;wsp:rsid wsp:val=&quot;00411921&quot;/&gt;&lt;wsp:rsid wsp:val=&quot;0041368D&quot;/&gt;&lt;wsp:rsid wsp:val=&quot;00413D37&quot;/&gt;&lt;wsp:rsid wsp:val=&quot;00414577&quot;/&gt;&lt;wsp:rsid wsp:val=&quot;00416961&quot;/&gt;&lt;wsp:rsid wsp:val=&quot;0042045D&quot;/&gt;&lt;wsp:rsid wsp:val=&quot;004211A3&quot;/&gt;&lt;wsp:rsid wsp:val=&quot;00421314&quot;/&gt;&lt;wsp:rsid wsp:val=&quot;00421487&quot;/&gt;&lt;wsp:rsid wsp:val=&quot;00421BE4&quot;/&gt;&lt;wsp:rsid wsp:val=&quot;00422CC4&quot;/&gt;&lt;wsp:rsid wsp:val=&quot;004233F7&quot;/&gt;&lt;wsp:rsid wsp:val=&quot;00423A36&quot;/&gt;&lt;wsp:rsid wsp:val=&quot;0042753D&quot;/&gt;&lt;wsp:rsid wsp:val=&quot;004304C5&quot;/&gt;&lt;wsp:rsid wsp:val=&quot;004346FE&quot;/&gt;&lt;wsp:rsid wsp:val=&quot;004361DE&quot;/&gt;&lt;wsp:rsid wsp:val=&quot;00442FF4&quot;/&gt;&lt;wsp:rsid wsp:val=&quot;004431D1&quot;/&gt;&lt;wsp:rsid wsp:val=&quot;00443737&quot;/&gt;&lt;wsp:rsid wsp:val=&quot;00443F19&quot;/&gt;&lt;wsp:rsid wsp:val=&quot;00444FD9&quot;/&gt;&lt;wsp:rsid wsp:val=&quot;00445430&quot;/&gt;&lt;wsp:rsid wsp:val=&quot;004461A3&quot;/&gt;&lt;wsp:rsid wsp:val=&quot;004464AB&quot;/&gt;&lt;wsp:rsid wsp:val=&quot;00446848&quot;/&gt;&lt;wsp:rsid wsp:val=&quot;00451505&quot;/&gt;&lt;wsp:rsid wsp:val=&quot;0045195C&quot;/&gt;&lt;wsp:rsid wsp:val=&quot;00451A7F&quot;/&gt;&lt;wsp:rsid wsp:val=&quot;00454685&quot;/&gt;&lt;wsp:rsid wsp:val=&quot;00455527&quot;/&gt;&lt;wsp:rsid wsp:val=&quot;00455FEB&quot;/&gt;&lt;wsp:rsid wsp:val=&quot;00456DB7&quot;/&gt;&lt;wsp:rsid wsp:val=&quot;00460111&quot;/&gt;&lt;wsp:rsid wsp:val=&quot;0046086E&quot;/&gt;&lt;wsp:rsid wsp:val=&quot;00460BBF&quot;/&gt;&lt;wsp:rsid wsp:val=&quot;00461205&quot;/&gt;&lt;wsp:rsid wsp:val=&quot;0046125A&quot;/&gt;&lt;wsp:rsid wsp:val=&quot;0046451F&quot;/&gt;&lt;wsp:rsid wsp:val=&quot;00465C12&quot;/&gt;&lt;wsp:rsid wsp:val=&quot;00466B46&quot;/&gt;&lt;wsp:rsid wsp:val=&quot;004679C6&quot;/&gt;&lt;wsp:rsid wsp:val=&quot;00473656&quot;/&gt;&lt;wsp:rsid wsp:val=&quot;004744E1&quot;/&gt;&lt;wsp:rsid wsp:val=&quot;00474E2F&quot;/&gt;&lt;wsp:rsid wsp:val=&quot;004752EB&quot;/&gt;&lt;wsp:rsid wsp:val=&quot;00480267&quot;/&gt;&lt;wsp:rsid wsp:val=&quot;00482C54&quot;/&gt;&lt;wsp:rsid wsp:val=&quot;00485772&quot;/&gt;&lt;wsp:rsid wsp:val=&quot;004866C7&quot;/&gt;&lt;wsp:rsid wsp:val=&quot;00487083&quot;/&gt;&lt;wsp:rsid wsp:val=&quot;00487F95&quot;/&gt;&lt;wsp:rsid wsp:val=&quot;004921F1&quot;/&gt;&lt;wsp:rsid wsp:val=&quot;00492BF3&quot;/&gt;&lt;wsp:rsid wsp:val=&quot;004941C4&quot;/&gt;&lt;wsp:rsid wsp:val=&quot;004945CE&quot;/&gt;&lt;wsp:rsid wsp:val=&quot;00494B00&quot;/&gt;&lt;wsp:rsid wsp:val=&quot;0049758E&quot;/&gt;&lt;wsp:rsid wsp:val=&quot;004A0583&quot;/&gt;&lt;wsp:rsid wsp:val=&quot;004A080B&quot;/&gt;&lt;wsp:rsid wsp:val=&quot;004A2BE0&quot;/&gt;&lt;wsp:rsid wsp:val=&quot;004B0A0E&quot;/&gt;&lt;wsp:rsid wsp:val=&quot;004B0E40&quot;/&gt;&lt;wsp:rsid wsp:val=&quot;004B2896&quot;/&gt;&lt;wsp:rsid wsp:val=&quot;004B3095&quot;/&gt;&lt;wsp:rsid wsp:val=&quot;004B3306&quot;/&gt;&lt;wsp:rsid wsp:val=&quot;004B36AC&quot;/&gt;&lt;wsp:rsid wsp:val=&quot;004B5105&quot;/&gt;&lt;wsp:rsid wsp:val=&quot;004B6BDD&quot;/&gt;&lt;wsp:rsid wsp:val=&quot;004B7BEA&quot;/&gt;&lt;wsp:rsid wsp:val=&quot;004B7CE0&quot;/&gt;&lt;wsp:rsid wsp:val=&quot;004C06A3&quot;/&gt;&lt;wsp:rsid wsp:val=&quot;004C079D&quot;/&gt;&lt;wsp:rsid wsp:val=&quot;004C0B15&quot;/&gt;&lt;wsp:rsid wsp:val=&quot;004C16B4&quot;/&gt;&lt;wsp:rsid wsp:val=&quot;004C2B84&quot;/&gt;&lt;wsp:rsid wsp:val=&quot;004C2D57&quot;/&gt;&lt;wsp:rsid wsp:val=&quot;004C3AA7&quot;/&gt;&lt;wsp:rsid wsp:val=&quot;004C5E52&quot;/&gt;&lt;wsp:rsid wsp:val=&quot;004D0FD4&quot;/&gt;&lt;wsp:rsid wsp:val=&quot;004D12C4&quot;/&gt;&lt;wsp:rsid wsp:val=&quot;004D1F3D&quot;/&gt;&lt;wsp:rsid wsp:val=&quot;004D1F61&quot;/&gt;&lt;wsp:rsid wsp:val=&quot;004D2F16&quot;/&gt;&lt;wsp:rsid wsp:val=&quot;004D379E&quot;/&gt;&lt;wsp:rsid wsp:val=&quot;004D3827&quot;/&gt;&lt;wsp:rsid wsp:val=&quot;004D4027&quot;/&gt;&lt;wsp:rsid wsp:val=&quot;004D6B8E&quot;/&gt;&lt;wsp:rsid wsp:val=&quot;004E2240&quot;/&gt;&lt;wsp:rsid wsp:val=&quot;004E36B8&quot;/&gt;&lt;wsp:rsid wsp:val=&quot;004F069D&quot;/&gt;&lt;wsp:rsid wsp:val=&quot;004F07B1&quot;/&gt;&lt;wsp:rsid wsp:val=&quot;004F11FD&quot;/&gt;&lt;wsp:rsid wsp:val=&quot;004F3D69&quot;/&gt;&lt;wsp:rsid wsp:val=&quot;004F3EB0&quot;/&gt;&lt;wsp:rsid wsp:val=&quot;004F45A9&quot;/&gt;&lt;wsp:rsid wsp:val=&quot;004F6445&quot;/&gt;&lt;wsp:rsid wsp:val=&quot;004F689E&quot;/&gt;&lt;wsp:rsid wsp:val=&quot;004F6E17&quot;/&gt;&lt;wsp:rsid wsp:val=&quot;00500994&quot;/&gt;&lt;wsp:rsid wsp:val=&quot;005024BD&quot;/&gt;&lt;wsp:rsid wsp:val=&quot;0050383B&quot;/&gt;&lt;wsp:rsid wsp:val=&quot;00504D2F&quot;/&gt;&lt;wsp:rsid wsp:val=&quot;005058D8&quot;/&gt;&lt;wsp:rsid wsp:val=&quot;005063A7&quot;/&gt;&lt;wsp:rsid wsp:val=&quot;00510057&quot;/&gt;&lt;wsp:rsid wsp:val=&quot;00511CE0&quot;/&gt;&lt;wsp:rsid wsp:val=&quot;00513440&quot;/&gt;&lt;wsp:rsid wsp:val=&quot;00513C21&quot;/&gt;&lt;wsp:rsid wsp:val=&quot;00515294&quot;/&gt;&lt;wsp:rsid wsp:val=&quot;00515B5F&quot;/&gt;&lt;wsp:rsid wsp:val=&quot;00517C34&quot;/&gt;&lt;wsp:rsid wsp:val=&quot;0052056C&quot;/&gt;&lt;wsp:rsid wsp:val=&quot;00521BAB&quot;/&gt;&lt;wsp:rsid wsp:val=&quot;0052215E&quot;/&gt;&lt;wsp:rsid wsp:val=&quot;005229A3&quot;/&gt;&lt;wsp:rsid wsp:val=&quot;00522CC9&quot;/&gt;&lt;wsp:rsid wsp:val=&quot;00522CCC&quot;/&gt;&lt;wsp:rsid wsp:val=&quot;00524102&quot;/&gt;&lt;wsp:rsid wsp:val=&quot;00524A32&quot;/&gt;&lt;wsp:rsid wsp:val=&quot;00525710&quot;/&gt;&lt;wsp:rsid wsp:val=&quot;0052771A&quot;/&gt;&lt;wsp:rsid wsp:val=&quot;005279BF&quot;/&gt;&lt;wsp:rsid wsp:val=&quot;00527C56&quot;/&gt;&lt;wsp:rsid wsp:val=&quot;0053220B&quot;/&gt;&lt;wsp:rsid wsp:val=&quot;0053230A&quot;/&gt;&lt;wsp:rsid wsp:val=&quot;005332D0&quot;/&gt;&lt;wsp:rsid wsp:val=&quot;0053377D&quot;/&gt;&lt;wsp:rsid wsp:val=&quot;00536350&quot;/&gt;&lt;wsp:rsid wsp:val=&quot;005373F5&quot;/&gt;&lt;wsp:rsid wsp:val=&quot;00541A15&quot;/&gt;&lt;wsp:rsid wsp:val=&quot;00543511&quot;/&gt;&lt;wsp:rsid wsp:val=&quot;005451F4&quot;/&gt;&lt;wsp:rsid wsp:val=&quot;00545556&quot;/&gt;&lt;wsp:rsid wsp:val=&quot;005455FE&quot;/&gt;&lt;wsp:rsid wsp:val=&quot;0054673E&quot;/&gt;&lt;wsp:rsid wsp:val=&quot;00546A6B&quot;/&gt;&lt;wsp:rsid wsp:val=&quot;00547FB3&quot;/&gt;&lt;wsp:rsid wsp:val=&quot;00550665&quot;/&gt;&lt;wsp:rsid wsp:val=&quot;0055077C&quot;/&gt;&lt;wsp:rsid wsp:val=&quot;00551C2C&quot;/&gt;&lt;wsp:rsid wsp:val=&quot;00552937&quot;/&gt;&lt;wsp:rsid wsp:val=&quot;00552A81&quot;/&gt;&lt;wsp:rsid wsp:val=&quot;00553744&quot;/&gt;&lt;wsp:rsid wsp:val=&quot;00553765&quot;/&gt;&lt;wsp:rsid wsp:val=&quot;00555C50&quot;/&gt;&lt;wsp:rsid wsp:val=&quot;00556885&quot;/&gt;&lt;wsp:rsid wsp:val=&quot;005572E6&quot;/&gt;&lt;wsp:rsid wsp:val=&quot;00560D9B&quot;/&gt;&lt;wsp:rsid wsp:val=&quot;005616C7&quot;/&gt;&lt;wsp:rsid wsp:val=&quot;00562B55&quot;/&gt;&lt;wsp:rsid wsp:val=&quot;00563CAC&quot;/&gt;&lt;wsp:rsid wsp:val=&quot;00563D16&quot;/&gt;&lt;wsp:rsid wsp:val=&quot;00564109&quot;/&gt;&lt;wsp:rsid wsp:val=&quot;005648D9&quot;/&gt;&lt;wsp:rsid wsp:val=&quot;00566596&quot;/&gt;&lt;wsp:rsid wsp:val=&quot;00571B90&quot;/&gt;&lt;wsp:rsid wsp:val=&quot;00572B8D&quot;/&gt;&lt;wsp:rsid wsp:val=&quot;005730AE&quot;/&gt;&lt;wsp:rsid wsp:val=&quot;005734B6&quot;/&gt;&lt;wsp:rsid wsp:val=&quot;005738D0&quot;/&gt;&lt;wsp:rsid wsp:val=&quot;0057453E&quot;/&gt;&lt;wsp:rsid wsp:val=&quot;005752F3&quot;/&gt;&lt;wsp:rsid wsp:val=&quot;00580E59&quot;/&gt;&lt;wsp:rsid wsp:val=&quot;00582B3D&quot;/&gt;&lt;wsp:rsid wsp:val=&quot;00584164&quot;/&gt;&lt;wsp:rsid wsp:val=&quot;005842C1&quot;/&gt;&lt;wsp:rsid wsp:val=&quot;00584314&quot;/&gt;&lt;wsp:rsid wsp:val=&quot;00584B97&quot;/&gt;&lt;wsp:rsid wsp:val=&quot;00585C20&quot;/&gt;&lt;wsp:rsid wsp:val=&quot;00586A6E&quot;/&gt;&lt;wsp:rsid wsp:val=&quot;00586B61&quot;/&gt;&lt;wsp:rsid wsp:val=&quot;00587F2C&quot;/&gt;&lt;wsp:rsid wsp:val=&quot;00587FED&quot;/&gt;&lt;wsp:rsid wsp:val=&quot;00590FEF&quot;/&gt;&lt;wsp:rsid wsp:val=&quot;00591042&quot;/&gt;&lt;wsp:rsid wsp:val=&quot;00593600&quot;/&gt;&lt;wsp:rsid wsp:val=&quot;00593D75&quot;/&gt;&lt;wsp:rsid wsp:val=&quot;00595A28&quot;/&gt;&lt;wsp:rsid wsp:val=&quot;005A24C8&quot;/&gt;&lt;wsp:rsid wsp:val=&quot;005A28F8&quot;/&gt;&lt;wsp:rsid wsp:val=&quot;005A2E41&quot;/&gt;&lt;wsp:rsid wsp:val=&quot;005A4306&quot;/&gt;&lt;wsp:rsid wsp:val=&quot;005A4D81&quot;/&gt;&lt;wsp:rsid wsp:val=&quot;005A6711&quot;/&gt;&lt;wsp:rsid wsp:val=&quot;005A7B78&quot;/&gt;&lt;wsp:rsid wsp:val=&quot;005B1A5D&quot;/&gt;&lt;wsp:rsid wsp:val=&quot;005B1A69&quot;/&gt;&lt;wsp:rsid wsp:val=&quot;005B1F55&quot;/&gt;&lt;wsp:rsid wsp:val=&quot;005B3779&quot;/&gt;&lt;wsp:rsid wsp:val=&quot;005B46A3&quot;/&gt;&lt;wsp:rsid wsp:val=&quot;005B4CFE&quot;/&gt;&lt;wsp:rsid wsp:val=&quot;005B6597&quot;/&gt;&lt;wsp:rsid wsp:val=&quot;005B6CB5&quot;/&gt;&lt;wsp:rsid wsp:val=&quot;005B6CE7&quot;/&gt;&lt;wsp:rsid wsp:val=&quot;005C0FA8&quot;/&gt;&lt;wsp:rsid wsp:val=&quot;005C2C3B&quot;/&gt;&lt;wsp:rsid wsp:val=&quot;005D0800&quot;/&gt;&lt;wsp:rsid wsp:val=&quot;005D0ED6&quot;/&gt;&lt;wsp:rsid wsp:val=&quot;005D1958&quot;/&gt;&lt;wsp:rsid wsp:val=&quot;005D19A7&quot;/&gt;&lt;wsp:rsid wsp:val=&quot;005D1E3A&quot;/&gt;&lt;wsp:rsid wsp:val=&quot;005D2249&quot;/&gt;&lt;wsp:rsid wsp:val=&quot;005D24CB&quot;/&gt;&lt;wsp:rsid wsp:val=&quot;005D2AFF&quot;/&gt;&lt;wsp:rsid wsp:val=&quot;005D328B&quot;/&gt;&lt;wsp:rsid wsp:val=&quot;005D5653&quot;/&gt;&lt;wsp:rsid wsp:val=&quot;005D5940&quot;/&gt;&lt;wsp:rsid wsp:val=&quot;005D76C0&quot;/&gt;&lt;wsp:rsid wsp:val=&quot;005E2E23&quot;/&gt;&lt;wsp:rsid wsp:val=&quot;005E370C&quot;/&gt;&lt;wsp:rsid wsp:val=&quot;005E4A14&quot;/&gt;&lt;wsp:rsid wsp:val=&quot;005E5ED1&quot;/&gt;&lt;wsp:rsid wsp:val=&quot;005E7AC3&quot;/&gt;&lt;wsp:rsid wsp:val=&quot;005F08D9&quot;/&gt;&lt;wsp:rsid wsp:val=&quot;005F106B&quot;/&gt;&lt;wsp:rsid wsp:val=&quot;005F1506&quot;/&gt;&lt;wsp:rsid wsp:val=&quot;005F2629&quot;/&gt;&lt;wsp:rsid wsp:val=&quot;005F304D&quot;/&gt;&lt;wsp:rsid wsp:val=&quot;005F3679&quot;/&gt;&lt;wsp:rsid wsp:val=&quot;005F386F&quot;/&gt;&lt;wsp:rsid wsp:val=&quot;005F5B4D&quot;/&gt;&lt;wsp:rsid wsp:val=&quot;005F5EFE&quot;/&gt;&lt;wsp:rsid wsp:val=&quot;005F6092&quot;/&gt;&lt;wsp:rsid wsp:val=&quot;005F6172&quot;/&gt;&lt;wsp:rsid wsp:val=&quot;005F7CC5&quot;/&gt;&lt;wsp:rsid wsp:val=&quot;006000B5&quot;/&gt;&lt;wsp:rsid wsp:val=&quot;00600364&quot;/&gt;&lt;wsp:rsid wsp:val=&quot;00600BC9&quot;/&gt;&lt;wsp:rsid wsp:val=&quot;00603756&quot;/&gt;&lt;wsp:rsid wsp:val=&quot;00604444&quot;/&gt;&lt;wsp:rsid wsp:val=&quot;00604B66&quot;/&gt;&lt;wsp:rsid wsp:val=&quot;00605165&quot;/&gt;&lt;wsp:rsid wsp:val=&quot;00605FC1&quot;/&gt;&lt;wsp:rsid wsp:val=&quot;0060635D&quot;/&gt;&lt;wsp:rsid wsp:val=&quot;0060730C&quot;/&gt;&lt;wsp:rsid wsp:val=&quot;006108AD&quot;/&gt;&lt;wsp:rsid wsp:val=&quot;006114D1&quot;/&gt;&lt;wsp:rsid wsp:val=&quot;00611B24&quot;/&gt;&lt;wsp:rsid wsp:val=&quot;00615466&quot;/&gt;&lt;wsp:rsid wsp:val=&quot;006166BB&quot;/&gt;&lt;wsp:rsid wsp:val=&quot;0062032B&quot;/&gt;&lt;wsp:rsid wsp:val=&quot;00622E33&quot;/&gt;&lt;wsp:rsid wsp:val=&quot;00623D28&quot;/&gt;&lt;wsp:rsid wsp:val=&quot;0062476E&quot;/&gt;&lt;wsp:rsid wsp:val=&quot;00624A78&quot;/&gt;&lt;wsp:rsid wsp:val=&quot;00624F4A&quot;/&gt;&lt;wsp:rsid wsp:val=&quot;0062508F&quot;/&gt;&lt;wsp:rsid wsp:val=&quot;00625791&quot;/&gt;&lt;wsp:rsid wsp:val=&quot;00627E3B&quot;/&gt;&lt;wsp:rsid wsp:val=&quot;00627FF3&quot;/&gt;&lt;wsp:rsid wsp:val=&quot;00630A76&quot;/&gt;&lt;wsp:rsid wsp:val=&quot;006311CD&quot;/&gt;&lt;wsp:rsid wsp:val=&quot;006318CF&quot;/&gt;&lt;wsp:rsid wsp:val=&quot;00631F63&quot;/&gt;&lt;wsp:rsid wsp:val=&quot;00632239&quot;/&gt;&lt;wsp:rsid wsp:val=&quot;00632545&quot;/&gt;&lt;wsp:rsid wsp:val=&quot;00637B32&quot;/&gt;&lt;wsp:rsid wsp:val=&quot;00640B6B&quot;/&gt;&lt;wsp:rsid wsp:val=&quot;00640C3F&quot;/&gt;&lt;wsp:rsid wsp:val=&quot;00640F5E&quot;/&gt;&lt;wsp:rsid wsp:val=&quot;0064219E&quot;/&gt;&lt;wsp:rsid wsp:val=&quot;00642F5B&quot;/&gt;&lt;wsp:rsid wsp:val=&quot;00643F20&quot;/&gt;&lt;wsp:rsid wsp:val=&quot;006464B5&quot;/&gt;&lt;wsp:rsid wsp:val=&quot;00647890&quot;/&gt;&lt;wsp:rsid wsp:val=&quot;006478E4&quot;/&gt;&lt;wsp:rsid wsp:val=&quot;00650F1C&quot;/&gt;&lt;wsp:rsid wsp:val=&quot;00652D02&quot;/&gt;&lt;wsp:rsid wsp:val=&quot;00652E1B&quot;/&gt;&lt;wsp:rsid wsp:val=&quot;0065321E&quot;/&gt;&lt;wsp:rsid wsp:val=&quot;00655B03&quot;/&gt;&lt;wsp:rsid wsp:val=&quot;00655B78&quot;/&gt;&lt;wsp:rsid wsp:val=&quot;00656068&quot;/&gt;&lt;wsp:rsid wsp:val=&quot;00657676&quot;/&gt;&lt;wsp:rsid wsp:val=&quot;00660A41&quot;/&gt;&lt;wsp:rsid wsp:val=&quot;006617D7&quot;/&gt;&lt;wsp:rsid wsp:val=&quot;006625A2&quot;/&gt;&lt;wsp:rsid wsp:val=&quot;0066403A&quot;/&gt;&lt;wsp:rsid wsp:val=&quot;00666376&quot;/&gt;&lt;wsp:rsid wsp:val=&quot;00666BA4&quot;/&gt;&lt;wsp:rsid wsp:val=&quot;0067125B&quot;/&gt;&lt;wsp:rsid wsp:val=&quot;00672EE9&quot;/&gt;&lt;wsp:rsid wsp:val=&quot;00674228&quot;/&gt;&lt;wsp:rsid wsp:val=&quot;00674950&quot;/&gt;&lt;wsp:rsid wsp:val=&quot;00674AF4&quot;/&gt;&lt;wsp:rsid wsp:val=&quot;00676938&quot;/&gt;&lt;wsp:rsid wsp:val=&quot;006818B4&quot;/&gt;&lt;wsp:rsid wsp:val=&quot;00685234&quot;/&gt;&lt;wsp:rsid wsp:val=&quot;00685307&quot;/&gt;&lt;wsp:rsid wsp:val=&quot;00685FBB&quot;/&gt;&lt;wsp:rsid wsp:val=&quot;0069086B&quot;/&gt;&lt;wsp:rsid wsp:val=&quot;00691F4B&quot;/&gt;&lt;wsp:rsid wsp:val=&quot;00693404&quot;/&gt;&lt;wsp:rsid wsp:val=&quot;00693EE4&quot;/&gt;&lt;wsp:rsid wsp:val=&quot;00694A07&quot;/&gt;&lt;wsp:rsid wsp:val=&quot;00694D10&quot;/&gt;&lt;wsp:rsid wsp:val=&quot;0069759B&quot;/&gt;&lt;wsp:rsid wsp:val=&quot;006A00F9&quot;/&gt;&lt;wsp:rsid wsp:val=&quot;006A1644&quot;/&gt;&lt;wsp:rsid wsp:val=&quot;006A1C3E&quot;/&gt;&lt;wsp:rsid wsp:val=&quot;006A592E&quot;/&gt;&lt;wsp:rsid wsp:val=&quot;006B0D48&quot;/&gt;&lt;wsp:rsid wsp:val=&quot;006B1E66&quot;/&gt;&lt;wsp:rsid wsp:val=&quot;006B2970&quot;/&gt;&lt;wsp:rsid wsp:val=&quot;006B359B&quot;/&gt;&lt;wsp:rsid wsp:val=&quot;006B3717&quot;/&gt;&lt;wsp:rsid wsp:val=&quot;006B5AC8&quot;/&gt;&lt;wsp:rsid wsp:val=&quot;006B5C9C&quot;/&gt;&lt;wsp:rsid wsp:val=&quot;006B6E33&quot;/&gt;&lt;wsp:rsid wsp:val=&quot;006B6F90&quot;/&gt;&lt;wsp:rsid wsp:val=&quot;006B6F95&quot;/&gt;&lt;wsp:rsid wsp:val=&quot;006B72CF&quot;/&gt;&lt;wsp:rsid wsp:val=&quot;006B73F6&quot;/&gt;&lt;wsp:rsid wsp:val=&quot;006B7CFD&quot;/&gt;&lt;wsp:rsid wsp:val=&quot;006C0A72&quot;/&gt;&lt;wsp:rsid wsp:val=&quot;006C0FCB&quot;/&gt;&lt;wsp:rsid wsp:val=&quot;006C16A3&quot;/&gt;&lt;wsp:rsid wsp:val=&quot;006C287C&quot;/&gt;&lt;wsp:rsid wsp:val=&quot;006C327C&quot;/&gt;&lt;wsp:rsid wsp:val=&quot;006C3A8F&quot;/&gt;&lt;wsp:rsid wsp:val=&quot;006C59CD&quot;/&gt;&lt;wsp:rsid wsp:val=&quot;006C71A1&quot;/&gt;&lt;wsp:rsid wsp:val=&quot;006D2CA7&quot;/&gt;&lt;wsp:rsid wsp:val=&quot;006D4696&quot;/&gt;&lt;wsp:rsid wsp:val=&quot;006D51F5&quot;/&gt;&lt;wsp:rsid wsp:val=&quot;006D5B5F&quot;/&gt;&lt;wsp:rsid wsp:val=&quot;006E000B&quot;/&gt;&lt;wsp:rsid wsp:val=&quot;006E00BB&quot;/&gt;&lt;wsp:rsid wsp:val=&quot;006E1173&quot;/&gt;&lt;wsp:rsid wsp:val=&quot;006E1183&quot;/&gt;&lt;wsp:rsid wsp:val=&quot;006E163F&quot;/&gt;&lt;wsp:rsid wsp:val=&quot;006E2392&quot;/&gt;&lt;wsp:rsid wsp:val=&quot;006E2682&quot;/&gt;&lt;wsp:rsid wsp:val=&quot;006E29CB&quot;/&gt;&lt;wsp:rsid wsp:val=&quot;006E513A&quot;/&gt;&lt;wsp:rsid wsp:val=&quot;006E7E38&quot;/&gt;&lt;wsp:rsid wsp:val=&quot;006F079A&quot;/&gt;&lt;wsp:rsid wsp:val=&quot;006F0B61&quot;/&gt;&lt;wsp:rsid wsp:val=&quot;006F0EE8&quot;/&gt;&lt;wsp:rsid wsp:val=&quot;006F1012&quot;/&gt;&lt;wsp:rsid wsp:val=&quot;006F186A&quot;/&gt;&lt;wsp:rsid wsp:val=&quot;006F57CB&quot;/&gt;&lt;wsp:rsid wsp:val=&quot;006F5950&quot;/&gt;&lt;wsp:rsid wsp:val=&quot;006F5A31&quot;/&gt;&lt;wsp:rsid wsp:val=&quot;006F696C&quot;/&gt;&lt;wsp:rsid wsp:val=&quot;006F71F4&quot;/&gt;&lt;wsp:rsid wsp:val=&quot;0070274B&quot;/&gt;&lt;wsp:rsid wsp:val=&quot;00703079&quot;/&gt;&lt;wsp:rsid wsp:val=&quot;00704429&quot;/&gt;&lt;wsp:rsid wsp:val=&quot;0070576B&quot;/&gt;&lt;wsp:rsid wsp:val=&quot;00705CD6&quot;/&gt;&lt;wsp:rsid wsp:val=&quot;00706BE9&quot;/&gt;&lt;wsp:rsid wsp:val=&quot;00707610&quot;/&gt;&lt;wsp:rsid wsp:val=&quot;0071007C&quot;/&gt;&lt;wsp:rsid wsp:val=&quot;0071091C&quot;/&gt;&lt;wsp:rsid wsp:val=&quot;00712F8D&quot;/&gt;&lt;wsp:rsid wsp:val=&quot;007132B0&quot;/&gt;&lt;wsp:rsid wsp:val=&quot;007158A2&quot;/&gt;&lt;wsp:rsid wsp:val=&quot;00717244&quot;/&gt;&lt;wsp:rsid wsp:val=&quot;00720A0A&quot;/&gt;&lt;wsp:rsid wsp:val=&quot;00720A8C&quot;/&gt;&lt;wsp:rsid wsp:val=&quot;00721112&quot;/&gt;&lt;wsp:rsid wsp:val=&quot;00726192&quot;/&gt;&lt;wsp:rsid wsp:val=&quot;007271A6&quot;/&gt;&lt;wsp:rsid wsp:val=&quot;00730DCE&quot;/&gt;&lt;wsp:rsid wsp:val=&quot;00731EFB&quot;/&gt;&lt;wsp:rsid wsp:val=&quot;00734372&quot;/&gt;&lt;wsp:rsid wsp:val=&quot;007347E7&quot;/&gt;&lt;wsp:rsid wsp:val=&quot;007355B5&quot;/&gt;&lt;wsp:rsid wsp:val=&quot;00736353&quot;/&gt;&lt;wsp:rsid wsp:val=&quot;00736817&quot;/&gt;&lt;wsp:rsid wsp:val=&quot;007410C3&quot;/&gt;&lt;wsp:rsid wsp:val=&quot;0074326C&quot;/&gt;&lt;wsp:rsid wsp:val=&quot;00745184&quot;/&gt;&lt;wsp:rsid wsp:val=&quot;0074582F&quot;/&gt;&lt;wsp:rsid wsp:val=&quot;00746F51&quot;/&gt;&lt;wsp:rsid wsp:val=&quot;00750BDB&quot;/&gt;&lt;wsp:rsid wsp:val=&quot;00753D37&quot;/&gt;&lt;wsp:rsid wsp:val=&quot;00755009&quot;/&gt;&lt;wsp:rsid wsp:val=&quot;007550BB&quot;/&gt;&lt;wsp:rsid wsp:val=&quot;0075521D&quot;/&gt;&lt;wsp:rsid wsp:val=&quot;007552A0&quot;/&gt;&lt;wsp:rsid wsp:val=&quot;00756C99&quot;/&gt;&lt;wsp:rsid wsp:val=&quot;00761700&quot;/&gt;&lt;wsp:rsid wsp:val=&quot;00764E41&quot;/&gt;&lt;wsp:rsid wsp:val=&quot;00767B44&quot;/&gt;&lt;wsp:rsid wsp:val=&quot;00770445&quot;/&gt;&lt;wsp:rsid wsp:val=&quot;00770A08&quot;/&gt;&lt;wsp:rsid wsp:val=&quot;0077196A&quot;/&gt;&lt;wsp:rsid wsp:val=&quot;00771CB7&quot;/&gt;&lt;wsp:rsid wsp:val=&quot;0077302C&quot;/&gt;&lt;wsp:rsid wsp:val=&quot;007732BF&quot;/&gt;&lt;wsp:rsid wsp:val=&quot;007743AA&quot;/&gt;&lt;wsp:rsid wsp:val=&quot;0077480D&quot;/&gt;&lt;wsp:rsid wsp:val=&quot;0077590C&quot;/&gt;&lt;wsp:rsid wsp:val=&quot;00776664&quot;/&gt;&lt;wsp:rsid wsp:val=&quot;00776B72&quot;/&gt;&lt;wsp:rsid wsp:val=&quot;00776C3B&quot;/&gt;&lt;wsp:rsid wsp:val=&quot;007774C9&quot;/&gt;&lt;wsp:rsid wsp:val=&quot;00782248&quot;/&gt;&lt;wsp:rsid wsp:val=&quot;00783A0C&quot;/&gt;&lt;wsp:rsid wsp:val=&quot;00783DC8&quot;/&gt;&lt;wsp:rsid wsp:val=&quot;00785ECA&quot;/&gt;&lt;wsp:rsid wsp:val=&quot;00785F88&quot;/&gt;&lt;wsp:rsid wsp:val=&quot;0078607C&quot;/&gt;&lt;wsp:rsid wsp:val=&quot;007866CD&quot;/&gt;&lt;wsp:rsid wsp:val=&quot;007869B0&quot;/&gt;&lt;wsp:rsid wsp:val=&quot;007875B1&quot;/&gt;&lt;wsp:rsid wsp:val=&quot;00787843&quot;/&gt;&lt;wsp:rsid wsp:val=&quot;00787DB1&quot;/&gt;&lt;wsp:rsid wsp:val=&quot;00790F89&quot;/&gt;&lt;wsp:rsid wsp:val=&quot;0079178D&quot;/&gt;&lt;wsp:rsid wsp:val=&quot;0079469F&quot;/&gt;&lt;wsp:rsid wsp:val=&quot;007956B0&quot;/&gt;&lt;wsp:rsid wsp:val=&quot;00795BBD&quot;/&gt;&lt;wsp:rsid wsp:val=&quot;0079751E&quot;/&gt;&lt;wsp:rsid wsp:val=&quot;007A0890&quot;/&gt;&lt;wsp:rsid wsp:val=&quot;007A5390&quot;/&gt;&lt;wsp:rsid wsp:val=&quot;007A5DE3&quot;/&gt;&lt;wsp:rsid wsp:val=&quot;007B041F&quot;/&gt;&lt;wsp:rsid wsp:val=&quot;007B0CD0&quot;/&gt;&lt;wsp:rsid wsp:val=&quot;007B107E&quot;/&gt;&lt;wsp:rsid wsp:val=&quot;007B119F&quot;/&gt;&lt;wsp:rsid wsp:val=&quot;007B13D0&quot;/&gt;&lt;wsp:rsid wsp:val=&quot;007B14D0&quot;/&gt;&lt;wsp:rsid wsp:val=&quot;007B1CAD&quot;/&gt;&lt;wsp:rsid wsp:val=&quot;007B217D&quot;/&gt;&lt;wsp:rsid wsp:val=&quot;007B28E0&quot;/&gt;&lt;wsp:rsid wsp:val=&quot;007B454B&quot;/&gt;&lt;wsp:rsid wsp:val=&quot;007B51D9&quot;/&gt;&lt;wsp:rsid wsp:val=&quot;007B6054&quot;/&gt;&lt;wsp:rsid wsp:val=&quot;007B7E03&quot;/&gt;&lt;wsp:rsid wsp:val=&quot;007C02A4&quot;/&gt;&lt;wsp:rsid wsp:val=&quot;007C0639&quot;/&gt;&lt;wsp:rsid wsp:val=&quot;007D0955&quot;/&gt;&lt;wsp:rsid wsp:val=&quot;007D1C03&quot;/&gt;&lt;wsp:rsid wsp:val=&quot;007D47D6&quot;/&gt;&lt;wsp:rsid wsp:val=&quot;007D49A1&quot;/&gt;&lt;wsp:rsid wsp:val=&quot;007D59AF&quot;/&gt;&lt;wsp:rsid wsp:val=&quot;007D7FE6&quot;/&gt;&lt;wsp:rsid wsp:val=&quot;007E266B&quot;/&gt;&lt;wsp:rsid wsp:val=&quot;007E3E41&quot;/&gt;&lt;wsp:rsid wsp:val=&quot;007E4313&quot;/&gt;&lt;wsp:rsid wsp:val=&quot;007E4D05&quot;/&gt;&lt;wsp:rsid wsp:val=&quot;007E4E12&quot;/&gt;&lt;wsp:rsid wsp:val=&quot;007E60C2&quot;/&gt;&lt;wsp:rsid wsp:val=&quot;007E631B&quot;/&gt;&lt;wsp:rsid wsp:val=&quot;007E6F71&quot;/&gt;&lt;wsp:rsid wsp:val=&quot;007E7182&quot;/&gt;&lt;wsp:rsid wsp:val=&quot;007E7360&quot;/&gt;&lt;wsp:rsid wsp:val=&quot;007F1662&quot;/&gt;&lt;wsp:rsid wsp:val=&quot;007F24CC&quot;/&gt;&lt;wsp:rsid wsp:val=&quot;007F24CF&quot;/&gt;&lt;wsp:rsid wsp:val=&quot;007F2810&quot;/&gt;&lt;wsp:rsid wsp:val=&quot;007F308C&quot;/&gt;&lt;wsp:rsid wsp:val=&quot;007F3766&quot;/&gt;&lt;wsp:rsid wsp:val=&quot;007F49CD&quot;/&gt;&lt;wsp:rsid wsp:val=&quot;007F4DB4&quot;/&gt;&lt;wsp:rsid wsp:val=&quot;007F7CA6&quot;/&gt;&lt;wsp:rsid wsp:val=&quot;0080004A&quot;/&gt;&lt;wsp:rsid wsp:val=&quot;008000AE&quot;/&gt;&lt;wsp:rsid wsp:val=&quot;00804A74&quot;/&gt;&lt;wsp:rsid wsp:val=&quot;00804B90&quot;/&gt;&lt;wsp:rsid wsp:val=&quot;00804BA6&quot;/&gt;&lt;wsp:rsid wsp:val=&quot;00804E6B&quot;/&gt;&lt;wsp:rsid wsp:val=&quot;00805076&quot;/&gt;&lt;wsp:rsid wsp:val=&quot;00806A08&quot;/&gt;&lt;wsp:rsid wsp:val=&quot;00806A71&quot;/&gt;&lt;wsp:rsid wsp:val=&quot;00806C36&quot;/&gt;&lt;wsp:rsid wsp:val=&quot;0080727B&quot;/&gt;&lt;wsp:rsid wsp:val=&quot;008117AD&quot;/&gt;&lt;wsp:rsid wsp:val=&quot;00811C8E&quot;/&gt;&lt;wsp:rsid wsp:val=&quot;008126DE&quot;/&gt;&lt;wsp:rsid wsp:val=&quot;00814C56&quot;/&gt;&lt;wsp:rsid wsp:val=&quot;00816BF1&quot;/&gt;&lt;wsp:rsid wsp:val=&quot;008208B9&quot;/&gt;&lt;wsp:rsid wsp:val=&quot;00820A0A&quot;/&gt;&lt;wsp:rsid wsp:val=&quot;00821EFF&quot;/&gt;&lt;wsp:rsid wsp:val=&quot;00821F07&quot;/&gt;&lt;wsp:rsid wsp:val=&quot;00822E1E&quot;/&gt;&lt;wsp:rsid wsp:val=&quot;0082584B&quot;/&gt;&lt;wsp:rsid wsp:val=&quot;00826D41&quot;/&gt;&lt;wsp:rsid wsp:val=&quot;00830962&quot;/&gt;&lt;wsp:rsid wsp:val=&quot;008348C0&quot;/&gt;&lt;wsp:rsid wsp:val=&quot;00834CE0&quot;/&gt;&lt;wsp:rsid wsp:val=&quot;00837D1B&quot;/&gt;&lt;wsp:rsid wsp:val=&quot;00837F83&quot;/&gt;&lt;wsp:rsid wsp:val=&quot;00840DD2&quot;/&gt;&lt;wsp:rsid wsp:val=&quot;00843573&quot;/&gt;&lt;wsp:rsid wsp:val=&quot;0084527A&quot;/&gt;&lt;wsp:rsid wsp:val=&quot;00851263&quot;/&gt;&lt;wsp:rsid wsp:val=&quot;008523F9&quot;/&gt;&lt;wsp:rsid wsp:val=&quot;008526A2&quot;/&gt;&lt;wsp:rsid wsp:val=&quot;00852B0D&quot;/&gt;&lt;wsp:rsid wsp:val=&quot;00852C4E&quot;/&gt;&lt;wsp:rsid wsp:val=&quot;00855AC3&quot;/&gt;&lt;wsp:rsid wsp:val=&quot;00855FAF&quot;/&gt;&lt;wsp:rsid wsp:val=&quot;0085717A&quot;/&gt;&lt;wsp:rsid wsp:val=&quot;00857F51&quot;/&gt;&lt;wsp:rsid wsp:val=&quot;00861456&quot;/&gt;&lt;wsp:rsid wsp:val=&quot;00861E38&quot;/&gt;&lt;wsp:rsid wsp:val=&quot;008630C8&quot;/&gt;&lt;wsp:rsid wsp:val=&quot;00864B13&quot;/&gt;&lt;wsp:rsid wsp:val=&quot;008655B6&quot;/&gt;&lt;wsp:rsid wsp:val=&quot;00866C85&quot;/&gt;&lt;wsp:rsid wsp:val=&quot;00867712&quot;/&gt;&lt;wsp:rsid wsp:val=&quot;00867C04&quot;/&gt;&lt;wsp:rsid wsp:val=&quot;0087427C&quot;/&gt;&lt;wsp:rsid wsp:val=&quot;008775DE&quot;/&gt;&lt;wsp:rsid wsp:val=&quot;00877ADD&quot;/&gt;&lt;wsp:rsid wsp:val=&quot;00881B5D&quot;/&gt;&lt;wsp:rsid wsp:val=&quot;00883BB2&quot;/&gt;&lt;wsp:rsid wsp:val=&quot;00883FC6&quot;/&gt;&lt;wsp:rsid wsp:val=&quot;008860DA&quot;/&gt;&lt;wsp:rsid wsp:val=&quot;0088619B&quot;/&gt;&lt;wsp:rsid wsp:val=&quot;008866C4&quot;/&gt;&lt;wsp:rsid wsp:val=&quot;00887558&quot;/&gt;&lt;wsp:rsid wsp:val=&quot;00887E02&quot;/&gt;&lt;wsp:rsid wsp:val=&quot;00892CDA&quot;/&gt;&lt;wsp:rsid wsp:val=&quot;0089396A&quot;/&gt;&lt;wsp:rsid wsp:val=&quot;00894A1B&quot;/&gt;&lt;wsp:rsid wsp:val=&quot;00894C74&quot;/&gt;&lt;wsp:rsid wsp:val=&quot;008A05C9&quot;/&gt;&lt;wsp:rsid wsp:val=&quot;008A092C&quot;/&gt;&lt;wsp:rsid wsp:val=&quot;008A2731&quot;/&gt;&lt;wsp:rsid wsp:val=&quot;008A3D04&quot;/&gt;&lt;wsp:rsid wsp:val=&quot;008A439E&quot;/&gt;&lt;wsp:rsid wsp:val=&quot;008A7196&quot;/&gt;&lt;wsp:rsid wsp:val=&quot;008B1FE2&quot;/&gt;&lt;wsp:rsid wsp:val=&quot;008B2669&quot;/&gt;&lt;wsp:rsid wsp:val=&quot;008B37C2&quot;/&gt;&lt;wsp:rsid wsp:val=&quot;008B3C0B&quot;/&gt;&lt;wsp:rsid wsp:val=&quot;008B54BC&quot;/&gt;&lt;wsp:rsid wsp:val=&quot;008B5640&quot;/&gt;&lt;wsp:rsid wsp:val=&quot;008B5C75&quot;/&gt;&lt;wsp:rsid wsp:val=&quot;008C095C&quot;/&gt;&lt;wsp:rsid wsp:val=&quot;008C0AAB&quot;/&gt;&lt;wsp:rsid wsp:val=&quot;008C0ECE&quot;/&gt;&lt;wsp:rsid wsp:val=&quot;008C1240&quot;/&gt;&lt;wsp:rsid wsp:val=&quot;008C1284&quot;/&gt;&lt;wsp:rsid wsp:val=&quot;008C17E3&quot;/&gt;&lt;wsp:rsid wsp:val=&quot;008C3A31&quot;/&gt;&lt;wsp:rsid wsp:val=&quot;008C3BE8&quot;/&gt;&lt;wsp:rsid wsp:val=&quot;008C6E65&quot;/&gt;&lt;wsp:rsid wsp:val=&quot;008C7259&quot;/&gt;&lt;wsp:rsid wsp:val=&quot;008D11C5&quot;/&gt;&lt;wsp:rsid wsp:val=&quot;008D1BB0&quot;/&gt;&lt;wsp:rsid wsp:val=&quot;008D2CBA&quot;/&gt;&lt;wsp:rsid wsp:val=&quot;008D3866&quot;/&gt;&lt;wsp:rsid wsp:val=&quot;008D601D&quot;/&gt;&lt;wsp:rsid wsp:val=&quot;008D76A2&quot;/&gt;&lt;wsp:rsid wsp:val=&quot;008E05A0&quot;/&gt;&lt;wsp:rsid wsp:val=&quot;008E0696&quot;/&gt;&lt;wsp:rsid wsp:val=&quot;008E17EA&quot;/&gt;&lt;wsp:rsid wsp:val=&quot;008E1A48&quot;/&gt;&lt;wsp:rsid wsp:val=&quot;008E20B7&quot;/&gt;&lt;wsp:rsid wsp:val=&quot;008E263F&quot;/&gt;&lt;wsp:rsid wsp:val=&quot;008E4B94&quot;/&gt;&lt;wsp:rsid wsp:val=&quot;008E6A70&quot;/&gt;&lt;wsp:rsid wsp:val=&quot;008F0943&quot;/&gt;&lt;wsp:rsid wsp:val=&quot;008F141B&quot;/&gt;&lt;wsp:rsid wsp:val=&quot;008F1799&quot;/&gt;&lt;wsp:rsid wsp:val=&quot;008F4E42&quot;/&gt;&lt;wsp:rsid wsp:val=&quot;00900893&quot;/&gt;&lt;wsp:rsid wsp:val=&quot;00902BA0&quot;/&gt;&lt;wsp:rsid wsp:val=&quot;00902FED&quot;/&gt;&lt;wsp:rsid wsp:val=&quot;009031CB&quot;/&gt;&lt;wsp:rsid wsp:val=&quot;009048AC&quot;/&gt;&lt;wsp:rsid wsp:val=&quot;00904ED0&quot;/&gt;&lt;wsp:rsid wsp:val=&quot;00905EA4&quot;/&gt;&lt;wsp:rsid wsp:val=&quot;009071E0&quot;/&gt;&lt;wsp:rsid wsp:val=&quot;00907C40&quot;/&gt;&lt;wsp:rsid wsp:val=&quot;009101F0&quot;/&gt;&lt;wsp:rsid wsp:val=&quot;0091100F&quot;/&gt;&lt;wsp:rsid wsp:val=&quot;00911022&quot;/&gt;&lt;wsp:rsid wsp:val=&quot;0091138C&quot;/&gt;&lt;wsp:rsid wsp:val=&quot;0091352A&quot;/&gt;&lt;wsp:rsid wsp:val=&quot;00913E21&quot;/&gt;&lt;wsp:rsid wsp:val=&quot;009154A4&quot;/&gt;&lt;wsp:rsid wsp:val=&quot;009157DE&quot;/&gt;&lt;wsp:rsid wsp:val=&quot;0091594F&quot;/&gt;&lt;wsp:rsid wsp:val=&quot;00915B90&quot;/&gt;&lt;wsp:rsid wsp:val=&quot;00916B88&quot;/&gt;&lt;wsp:rsid wsp:val=&quot;009172DE&quot;/&gt;&lt;wsp:rsid wsp:val=&quot;00917435&quot;/&gt;&lt;wsp:rsid wsp:val=&quot;00920697&quot;/&gt;&lt;wsp:rsid wsp:val=&quot;0092146A&quot;/&gt;&lt;wsp:rsid wsp:val=&quot;00924797&quot;/&gt;&lt;wsp:rsid wsp:val=&quot;00927531&quot;/&gt;&lt;wsp:rsid wsp:val=&quot;009277D0&quot;/&gt;&lt;wsp:rsid wsp:val=&quot;009300A4&quot;/&gt;&lt;wsp:rsid wsp:val=&quot;009301F2&quot;/&gt;&lt;wsp:rsid wsp:val=&quot;00930DB7&quot;/&gt;&lt;wsp:rsid wsp:val=&quot;009331CD&quot;/&gt;&lt;wsp:rsid wsp:val=&quot;009334C5&quot;/&gt;&lt;wsp:rsid wsp:val=&quot;0093397D&quot;/&gt;&lt;wsp:rsid wsp:val=&quot;00933BAB&quot;/&gt;&lt;wsp:rsid wsp:val=&quot;00935A0B&quot;/&gt;&lt;wsp:rsid wsp:val=&quot;00936306&quot;/&gt;&lt;wsp:rsid wsp:val=&quot;0094050B&quot;/&gt;&lt;wsp:rsid wsp:val=&quot;00940F9F&quot;/&gt;&lt;wsp:rsid wsp:val=&quot;009426F4&quot;/&gt;&lt;wsp:rsid wsp:val=&quot;00943420&quot;/&gt;&lt;wsp:rsid wsp:val=&quot;00943CEA&quot;/&gt;&lt;wsp:rsid wsp:val=&quot;00944CBC&quot;/&gt;&lt;wsp:rsid wsp:val=&quot;009459C9&quot;/&gt;&lt;wsp:rsid wsp:val=&quot;00950264&quot;/&gt;&lt;wsp:rsid wsp:val=&quot;009515FC&quot;/&gt;&lt;wsp:rsid wsp:val=&quot;00951AE1&quot;/&gt;&lt;wsp:rsid wsp:val=&quot;00952A47&quot;/&gt;&lt;wsp:rsid wsp:val=&quot;00954073&quot;/&gt;&lt;wsp:rsid wsp:val=&quot;0095481C&quot;/&gt;&lt;wsp:rsid wsp:val=&quot;00954A9D&quot;/&gt;&lt;wsp:rsid wsp:val=&quot;00954C8C&quot;/&gt;&lt;wsp:rsid wsp:val=&quot;009561BF&quot;/&gt;&lt;wsp:rsid wsp:val=&quot;00956B5A&quot;/&gt;&lt;wsp:rsid wsp:val=&quot;00957158&quot;/&gt;&lt;wsp:rsid wsp:val=&quot;00957572&quot;/&gt;&lt;wsp:rsid wsp:val=&quot;0095786E&quot;/&gt;&lt;wsp:rsid wsp:val=&quot;0095794A&quot;/&gt;&lt;wsp:rsid wsp:val=&quot;00957AAB&quot;/&gt;&lt;wsp:rsid wsp:val=&quot;0096216D&quot;/&gt;&lt;wsp:rsid wsp:val=&quot;00962F0B&quot;/&gt;&lt;wsp:rsid wsp:val=&quot;00964773&quot;/&gt;&lt;wsp:rsid wsp:val=&quot;00966A01&quot;/&gt;&lt;wsp:rsid wsp:val=&quot;00966F27&quot;/&gt;&lt;wsp:rsid wsp:val=&quot;00970DEC&quot;/&gt;&lt;wsp:rsid wsp:val=&quot;00971564&quot;/&gt;&lt;wsp:rsid wsp:val=&quot;00972246&quot;/&gt;&lt;wsp:rsid wsp:val=&quot;00972A6D&quot;/&gt;&lt;wsp:rsid wsp:val=&quot;009747D2&quot;/&gt;&lt;wsp:rsid wsp:val=&quot;009763F8&quot;/&gt;&lt;wsp:rsid wsp:val=&quot;00977F10&quot;/&gt;&lt;wsp:rsid wsp:val=&quot;009808AF&quot;/&gt;&lt;wsp:rsid wsp:val=&quot;00981044&quot;/&gt;&lt;wsp:rsid wsp:val=&quot;00981923&quot;/&gt;&lt;wsp:rsid wsp:val=&quot;009831C9&quot;/&gt;&lt;wsp:rsid wsp:val=&quot;009852A4&quot;/&gt;&lt;wsp:rsid wsp:val=&quot;009868F9&quot;/&gt;&lt;wsp:rsid wsp:val=&quot;009879D2&quot;/&gt;&lt;wsp:rsid wsp:val=&quot;00990746&quot;/&gt;&lt;wsp:rsid wsp:val=&quot;00991414&quot;/&gt;&lt;wsp:rsid wsp:val=&quot;009915BE&quot;/&gt;&lt;wsp:rsid wsp:val=&quot;00991AA0&quot;/&gt;&lt;wsp:rsid wsp:val=&quot;00993B5C&quot;/&gt;&lt;wsp:rsid wsp:val=&quot;0099457C&quot;/&gt;&lt;wsp:rsid wsp:val=&quot;00996F97&quot;/&gt;&lt;wsp:rsid wsp:val=&quot;0099797B&quot;/&gt;&lt;wsp:rsid wsp:val=&quot;00997BA2&quot;/&gt;&lt;wsp:rsid wsp:val=&quot;00997C87&quot;/&gt;&lt;wsp:rsid wsp:val=&quot;00997FD3&quot;/&gt;&lt;wsp:rsid wsp:val=&quot;009A0CC9&quot;/&gt;&lt;wsp:rsid wsp:val=&quot;009A164F&quot;/&gt;&lt;wsp:rsid wsp:val=&quot;009A4767&quot;/&gt;&lt;wsp:rsid wsp:val=&quot;009A6301&quot;/&gt;&lt;wsp:rsid wsp:val=&quot;009A6445&quot;/&gt;&lt;wsp:rsid wsp:val=&quot;009A651A&quot;/&gt;&lt;wsp:rsid wsp:val=&quot;009A79C7&quot;/&gt;&lt;wsp:rsid wsp:val=&quot;009A7A81&quot;/&gt;&lt;wsp:rsid wsp:val=&quot;009A7AB9&quot;/&gt;&lt;wsp:rsid wsp:val=&quot;009A7DB0&quot;/&gt;&lt;wsp:rsid wsp:val=&quot;009A7FDF&quot;/&gt;&lt;wsp:rsid wsp:val=&quot;009B1AB0&quot;/&gt;&lt;wsp:rsid wsp:val=&quot;009B2BD9&quot;/&gt;&lt;wsp:rsid wsp:val=&quot;009B3F14&quot;/&gt;&lt;wsp:rsid wsp:val=&quot;009B68BE&quot;/&gt;&lt;wsp:rsid wsp:val=&quot;009B7C0E&quot;/&gt;&lt;wsp:rsid wsp:val=&quot;009C191B&quot;/&gt;&lt;wsp:rsid wsp:val=&quot;009C2D8D&quot;/&gt;&lt;wsp:rsid wsp:val=&quot;009C3621&quot;/&gt;&lt;wsp:rsid wsp:val=&quot;009C4C97&quot;/&gt;&lt;wsp:rsid wsp:val=&quot;009C627E&quot;/&gt;&lt;wsp:rsid wsp:val=&quot;009C675E&quot;/&gt;&lt;wsp:rsid wsp:val=&quot;009C73BC&quot;/&gt;&lt;wsp:rsid wsp:val=&quot;009C75A2&quot;/&gt;&lt;wsp:rsid wsp:val=&quot;009D01B2&quot;/&gt;&lt;wsp:rsid wsp:val=&quot;009D1B82&quot;/&gt;&lt;wsp:rsid wsp:val=&quot;009D20FA&quot;/&gt;&lt;wsp:rsid wsp:val=&quot;009D2F3D&quot;/&gt;&lt;wsp:rsid wsp:val=&quot;009D2F9A&quot;/&gt;&lt;wsp:rsid wsp:val=&quot;009D5223&quot;/&gt;&lt;wsp:rsid wsp:val=&quot;009D6B18&quot;/&gt;&lt;wsp:rsid wsp:val=&quot;009E0D7F&quot;/&gt;&lt;wsp:rsid wsp:val=&quot;009E1177&quot;/&gt;&lt;wsp:rsid wsp:val=&quot;009E1359&quot;/&gt;&lt;wsp:rsid wsp:val=&quot;009E2484&quot;/&gt;&lt;wsp:rsid wsp:val=&quot;009E25A1&quot;/&gt;&lt;wsp:rsid wsp:val=&quot;009E320A&quot;/&gt;&lt;wsp:rsid wsp:val=&quot;009E5119&quot;/&gt;&lt;wsp:rsid wsp:val=&quot;009E680F&quot;/&gt;&lt;wsp:rsid wsp:val=&quot;009E6A06&quot;/&gt;&lt;wsp:rsid wsp:val=&quot;009E772A&quot;/&gt;&lt;wsp:rsid wsp:val=&quot;009F01E9&quot;/&gt;&lt;wsp:rsid wsp:val=&quot;009F0781&quot;/&gt;&lt;wsp:rsid wsp:val=&quot;009F11CC&quot;/&gt;&lt;wsp:rsid wsp:val=&quot;009F15A6&quot;/&gt;&lt;wsp:rsid wsp:val=&quot;009F15EE&quot;/&gt;&lt;wsp:rsid wsp:val=&quot;009F26D8&quot;/&gt;&lt;wsp:rsid wsp:val=&quot;009F32F5&quot;/&gt;&lt;wsp:rsid wsp:val=&quot;009F3EC7&quot;/&gt;&lt;wsp:rsid wsp:val=&quot;009F3F74&quot;/&gt;&lt;wsp:rsid wsp:val=&quot;009F4580&quot;/&gt;&lt;wsp:rsid wsp:val=&quot;009F53B4&quot;/&gt;&lt;wsp:rsid wsp:val=&quot;009F5A40&quot;/&gt;&lt;wsp:rsid wsp:val=&quot;009F7145&quot;/&gt;&lt;wsp:rsid wsp:val=&quot;009F79AF&quot;/&gt;&lt;wsp:rsid wsp:val=&quot;00A00354&quot;/&gt;&lt;wsp:rsid wsp:val=&quot;00A0037B&quot;/&gt;&lt;wsp:rsid wsp:val=&quot;00A00538&quot;/&gt;&lt;wsp:rsid wsp:val=&quot;00A03163&quot;/&gt;&lt;wsp:rsid wsp:val=&quot;00A041C3&quot;/&gt;&lt;wsp:rsid wsp:val=&quot;00A06574&quot;/&gt;&lt;wsp:rsid wsp:val=&quot;00A1292A&quot;/&gt;&lt;wsp:rsid wsp:val=&quot;00A144DE&quot;/&gt;&lt;wsp:rsid wsp:val=&quot;00A14DB9&quot;/&gt;&lt;wsp:rsid wsp:val=&quot;00A152BE&quot;/&gt;&lt;wsp:rsid wsp:val=&quot;00A167F5&quot;/&gt;&lt;wsp:rsid wsp:val=&quot;00A17C31&quot;/&gt;&lt;wsp:rsid wsp:val=&quot;00A20B61&quot;/&gt;&lt;wsp:rsid wsp:val=&quot;00A2299E&quot;/&gt;&lt;wsp:rsid wsp:val=&quot;00A2365B&quot;/&gt;&lt;wsp:rsid wsp:val=&quot;00A2498E&quot;/&gt;&lt;wsp:rsid wsp:val=&quot;00A25B89&quot;/&gt;&lt;wsp:rsid wsp:val=&quot;00A262A2&quot;/&gt;&lt;wsp:rsid wsp:val=&quot;00A26512&quot;/&gt;&lt;wsp:rsid wsp:val=&quot;00A27A23&quot;/&gt;&lt;wsp:rsid wsp:val=&quot;00A315C1&quot;/&gt;&lt;wsp:rsid wsp:val=&quot;00A3396B&quot;/&gt;&lt;wsp:rsid wsp:val=&quot;00A35409&quot;/&gt;&lt;wsp:rsid wsp:val=&quot;00A3711C&quot;/&gt;&lt;wsp:rsid wsp:val=&quot;00A3752B&quot;/&gt;&lt;wsp:rsid wsp:val=&quot;00A37CC4&quot;/&gt;&lt;wsp:rsid wsp:val=&quot;00A40590&quot;/&gt;&lt;wsp:rsid wsp:val=&quot;00A40754&quot;/&gt;&lt;wsp:rsid wsp:val=&quot;00A40F73&quot;/&gt;&lt;wsp:rsid wsp:val=&quot;00A423CA&quot;/&gt;&lt;wsp:rsid wsp:val=&quot;00A449EA&quot;/&gt;&lt;wsp:rsid wsp:val=&quot;00A47A2F&quot;/&gt;&lt;wsp:rsid wsp:val=&quot;00A516BF&quot;/&gt;&lt;wsp:rsid wsp:val=&quot;00A53A8B&quot;/&gt;&lt;wsp:rsid wsp:val=&quot;00A54599&quot;/&gt;&lt;wsp:rsid wsp:val=&quot;00A54A34&quot;/&gt;&lt;wsp:rsid wsp:val=&quot;00A5631F&quot;/&gt;&lt;wsp:rsid wsp:val=&quot;00A57701&quot;/&gt;&lt;wsp:rsid wsp:val=&quot;00A5782C&quot;/&gt;&lt;wsp:rsid wsp:val=&quot;00A60FE3&quot;/&gt;&lt;wsp:rsid wsp:val=&quot;00A610CC&quot;/&gt;&lt;wsp:rsid wsp:val=&quot;00A622F5&quot;/&gt;&lt;wsp:rsid wsp:val=&quot;00A6273C&quot;/&gt;&lt;wsp:rsid wsp:val=&quot;00A63819&quot;/&gt;&lt;wsp:rsid wsp:val=&quot;00A665C2&quot;/&gt;&lt;wsp:rsid wsp:val=&quot;00A67B6C&quot;/&gt;&lt;wsp:rsid wsp:val=&quot;00A705DE&quot;/&gt;&lt;wsp:rsid wsp:val=&quot;00A70C1F&quot;/&gt;&lt;wsp:rsid wsp:val=&quot;00A71736&quot;/&gt;&lt;wsp:rsid wsp:val=&quot;00A77F80&quot;/&gt;&lt;wsp:rsid wsp:val=&quot;00A80B0E&quot;/&gt;&lt;wsp:rsid wsp:val=&quot;00A81BC7&quot;/&gt;&lt;wsp:rsid wsp:val=&quot;00A832C5&quot;/&gt;&lt;wsp:rsid wsp:val=&quot;00A835F7&quot;/&gt;&lt;wsp:rsid wsp:val=&quot;00A836AD&quot;/&gt;&lt;wsp:rsid wsp:val=&quot;00A93A7E&quot;/&gt;&lt;wsp:rsid wsp:val=&quot;00A9452E&quot;/&gt;&lt;wsp:rsid wsp:val=&quot;00A94C39&quot;/&gt;&lt;wsp:rsid wsp:val=&quot;00A9584F&quot;/&gt;&lt;wsp:rsid wsp:val=&quot;00A95A8C&quot;/&gt;&lt;wsp:rsid wsp:val=&quot;00A95B82&quot;/&gt;&lt;wsp:rsid wsp:val=&quot;00A96037&quot;/&gt;&lt;wsp:rsid wsp:val=&quot;00A96CA3&quot;/&gt;&lt;wsp:rsid wsp:val=&quot;00A9754D&quot;/&gt;&lt;wsp:rsid wsp:val=&quot;00AA0C46&quot;/&gt;&lt;wsp:rsid wsp:val=&quot;00AA14DE&quot;/&gt;&lt;wsp:rsid wsp:val=&quot;00AA2042&quot;/&gt;&lt;wsp:rsid wsp:val=&quot;00AA2F15&quot;/&gt;&lt;wsp:rsid wsp:val=&quot;00AA5042&quot;/&gt;&lt;wsp:rsid wsp:val=&quot;00AA5667&quot;/&gt;&lt;wsp:rsid wsp:val=&quot;00AA56C9&quot;/&gt;&lt;wsp:rsid wsp:val=&quot;00AA6A00&quot;/&gt;&lt;wsp:rsid wsp:val=&quot;00AA6C67&quot;/&gt;&lt;wsp:rsid wsp:val=&quot;00AA788C&quot;/&gt;&lt;wsp:rsid wsp:val=&quot;00AB3784&quot;/&gt;&lt;wsp:rsid wsp:val=&quot;00AB4478&quot;/&gt;&lt;wsp:rsid wsp:val=&quot;00AB5217&quot;/&gt;&lt;wsp:rsid wsp:val=&quot;00AB7774&quot;/&gt;&lt;wsp:rsid wsp:val=&quot;00AC0153&quot;/&gt;&lt;wsp:rsid wsp:val=&quot;00AC0795&quot;/&gt;&lt;wsp:rsid wsp:val=&quot;00AC38CF&quot;/&gt;&lt;wsp:rsid wsp:val=&quot;00AC3AF2&quot;/&gt;&lt;wsp:rsid wsp:val=&quot;00AC3EA8&quot;/&gt;&lt;wsp:rsid wsp:val=&quot;00AC4528&quot;/&gt;&lt;wsp:rsid wsp:val=&quot;00AC5086&quot;/&gt;&lt;wsp:rsid wsp:val=&quot;00AC53C4&quot;/&gt;&lt;wsp:rsid wsp:val=&quot;00AC6C00&quot;/&gt;&lt;wsp:rsid wsp:val=&quot;00AC7363&quot;/&gt;&lt;wsp:rsid wsp:val=&quot;00AD07FC&quot;/&gt;&lt;wsp:rsid wsp:val=&quot;00AD0802&quot;/&gt;&lt;wsp:rsid wsp:val=&quot;00AD0F77&quot;/&gt;&lt;wsp:rsid wsp:val=&quot;00AD1324&quot;/&gt;&lt;wsp:rsid wsp:val=&quot;00AD2B5F&quot;/&gt;&lt;wsp:rsid wsp:val=&quot;00AD2CED&quot;/&gt;&lt;wsp:rsid wsp:val=&quot;00AD319D&quot;/&gt;&lt;wsp:rsid wsp:val=&quot;00AD3873&quot;/&gt;&lt;wsp:rsid wsp:val=&quot;00AD3E09&quot;/&gt;&lt;wsp:rsid wsp:val=&quot;00AD4299&quot;/&gt;&lt;wsp:rsid wsp:val=&quot;00AD4EF9&quot;/&gt;&lt;wsp:rsid wsp:val=&quot;00AD60CB&quot;/&gt;&lt;wsp:rsid wsp:val=&quot;00AE38A0&quot;/&gt;&lt;wsp:rsid wsp:val=&quot;00AE4B59&quot;/&gt;&lt;wsp:rsid wsp:val=&quot;00AE5E56&quot;/&gt;&lt;wsp:rsid wsp:val=&quot;00AE67CE&quot;/&gt;&lt;wsp:rsid wsp:val=&quot;00AE7503&quot;/&gt;&lt;wsp:rsid wsp:val=&quot;00AF0580&quot;/&gt;&lt;wsp:rsid wsp:val=&quot;00AF1297&quot;/&gt;&lt;wsp:rsid wsp:val=&quot;00AF22EA&quot;/&gt;&lt;wsp:rsid wsp:val=&quot;00AF24E5&quot;/&gt;&lt;wsp:rsid wsp:val=&quot;00AF30BA&quot;/&gt;&lt;wsp:rsid wsp:val=&quot;00AF35D7&quot;/&gt;&lt;wsp:rsid wsp:val=&quot;00AF3D89&quot;/&gt;&lt;wsp:rsid wsp:val=&quot;00AF5069&quot;/&gt;&lt;wsp:rsid wsp:val=&quot;00B00E61&quot;/&gt;&lt;wsp:rsid wsp:val=&quot;00B03277&quot;/&gt;&lt;wsp:rsid wsp:val=&quot;00B03CF7&quot;/&gt;&lt;wsp:rsid wsp:val=&quot;00B048C9&quot;/&gt;&lt;wsp:rsid wsp:val=&quot;00B04D14&quot;/&gt;&lt;wsp:rsid wsp:val=&quot;00B050E8&quot;/&gt;&lt;wsp:rsid wsp:val=&quot;00B05106&quot;/&gt;&lt;wsp:rsid wsp:val=&quot;00B052C7&quot;/&gt;&lt;wsp:rsid wsp:val=&quot;00B068B5&quot;/&gt;&lt;wsp:rsid wsp:val=&quot;00B07C21&quot;/&gt;&lt;wsp:rsid wsp:val=&quot;00B111A1&quot;/&gt;&lt;wsp:rsid wsp:val=&quot;00B11403&quot;/&gt;&lt;wsp:rsid wsp:val=&quot;00B11887&quot;/&gt;&lt;wsp:rsid wsp:val=&quot;00B13325&quot;/&gt;&lt;wsp:rsid wsp:val=&quot;00B1641F&quot;/&gt;&lt;wsp:rsid wsp:val=&quot;00B172F3&quot;/&gt;&lt;wsp:rsid wsp:val=&quot;00B22C71&quot;/&gt;&lt;wsp:rsid wsp:val=&quot;00B2529F&quot;/&gt;&lt;wsp:rsid wsp:val=&quot;00B271DC&quot;/&gt;&lt;wsp:rsid wsp:val=&quot;00B275EA&quot;/&gt;&lt;wsp:rsid wsp:val=&quot;00B302F5&quot;/&gt;&lt;wsp:rsid wsp:val=&quot;00B32F98&quot;/&gt;&lt;wsp:rsid wsp:val=&quot;00B331E7&quot;/&gt;&lt;wsp:rsid wsp:val=&quot;00B338FA&quot;/&gt;&lt;wsp:rsid wsp:val=&quot;00B33E38&quot;/&gt;&lt;wsp:rsid wsp:val=&quot;00B34DA1&quot;/&gt;&lt;wsp:rsid wsp:val=&quot;00B35454&quot;/&gt;&lt;wsp:rsid wsp:val=&quot;00B36494&quot;/&gt;&lt;wsp:rsid wsp:val=&quot;00B36C0F&quot;/&gt;&lt;wsp:rsid wsp:val=&quot;00B37F50&quot;/&gt;&lt;wsp:rsid wsp:val=&quot;00B42886&quot;/&gt;&lt;wsp:rsid wsp:val=&quot;00B4405F&quot;/&gt;&lt;wsp:rsid wsp:val=&quot;00B44847&quot;/&gt;&lt;wsp:rsid wsp:val=&quot;00B4582F&quot;/&gt;&lt;wsp:rsid wsp:val=&quot;00B46D11&quot;/&gt;&lt;wsp:rsid wsp:val=&quot;00B51009&quot;/&gt;&lt;wsp:rsid wsp:val=&quot;00B5147D&quot;/&gt;&lt;wsp:rsid wsp:val=&quot;00B52733&quot;/&gt;&lt;wsp:rsid wsp:val=&quot;00B53604&quot;/&gt;&lt;wsp:rsid wsp:val=&quot;00B53E0F&quot;/&gt;&lt;wsp:rsid wsp:val=&quot;00B54BA2&quot;/&gt;&lt;wsp:rsid wsp:val=&quot;00B552B6&quot;/&gt;&lt;wsp:rsid wsp:val=&quot;00B55E16&quot;/&gt;&lt;wsp:rsid wsp:val=&quot;00B56778&quot;/&gt;&lt;wsp:rsid wsp:val=&quot;00B616ED&quot;/&gt;&lt;wsp:rsid wsp:val=&quot;00B62C62&quot;/&gt;&lt;wsp:rsid wsp:val=&quot;00B63D0B&quot;/&gt;&lt;wsp:rsid wsp:val=&quot;00B64718&quot;/&gt;&lt;wsp:rsid wsp:val=&quot;00B650AF&quot;/&gt;&lt;wsp:rsid wsp:val=&quot;00B675DA&quot;/&gt;&lt;wsp:rsid wsp:val=&quot;00B705BD&quot;/&gt;&lt;wsp:rsid wsp:val=&quot;00B71365&quot;/&gt;&lt;wsp:rsid wsp:val=&quot;00B7136E&quot;/&gt;&lt;wsp:rsid wsp:val=&quot;00B71D3A&quot;/&gt;&lt;wsp:rsid wsp:val=&quot;00B7243F&quot;/&gt;&lt;wsp:rsid wsp:val=&quot;00B72482&quot;/&gt;&lt;wsp:rsid wsp:val=&quot;00B74C52&quot;/&gt;&lt;wsp:rsid wsp:val=&quot;00B74E64&quot;/&gt;&lt;wsp:rsid wsp:val=&quot;00B76189&quot;/&gt;&lt;wsp:rsid wsp:val=&quot;00B77574&quot;/&gt;&lt;wsp:rsid wsp:val=&quot;00B84824&quot;/&gt;&lt;wsp:rsid wsp:val=&quot;00B849D8&quot;/&gt;&lt;wsp:rsid wsp:val=&quot;00B84D35&quot;/&gt;&lt;wsp:rsid wsp:val=&quot;00B84FB4&quot;/&gt;&lt;wsp:rsid wsp:val=&quot;00B8584C&quot;/&gt;&lt;wsp:rsid wsp:val=&quot;00B86A51&quot;/&gt;&lt;wsp:rsid wsp:val=&quot;00B879CA&quot;/&gt;&lt;wsp:rsid wsp:val=&quot;00B87F5A&quot;/&gt;&lt;wsp:rsid wsp:val=&quot;00B90FC5&quot;/&gt;&lt;wsp:rsid wsp:val=&quot;00B96353&quot;/&gt;&lt;wsp:rsid wsp:val=&quot;00B9649D&quot;/&gt;&lt;wsp:rsid wsp:val=&quot;00B971F4&quot;/&gt;&lt;wsp:rsid wsp:val=&quot;00BA0211&quot;/&gt;&lt;wsp:rsid wsp:val=&quot;00BA0AF5&quot;/&gt;&lt;wsp:rsid wsp:val=&quot;00BA1396&quot;/&gt;&lt;wsp:rsid wsp:val=&quot;00BA1DA9&quot;/&gt;&lt;wsp:rsid wsp:val=&quot;00BA3E38&quot;/&gt;&lt;wsp:rsid wsp:val=&quot;00BA47E5&quot;/&gt;&lt;wsp:rsid wsp:val=&quot;00BA56A3&quot;/&gt;&lt;wsp:rsid wsp:val=&quot;00BA588F&quot;/&gt;&lt;wsp:rsid wsp:val=&quot;00BA6E8E&quot;/&gt;&lt;wsp:rsid wsp:val=&quot;00BB15D6&quot;/&gt;&lt;wsp:rsid wsp:val=&quot;00BB2240&quot;/&gt;&lt;wsp:rsid wsp:val=&quot;00BB2976&quot;/&gt;&lt;wsp:rsid wsp:val=&quot;00BB3524&quot;/&gt;&lt;wsp:rsid wsp:val=&quot;00BB4909&quot;/&gt;&lt;wsp:rsid wsp:val=&quot;00BB4C7F&quot;/&gt;&lt;wsp:rsid wsp:val=&quot;00BB729B&quot;/&gt;&lt;wsp:rsid wsp:val=&quot;00BB79B9&quot;/&gt;&lt;wsp:rsid wsp:val=&quot;00BC1B35&quot;/&gt;&lt;wsp:rsid wsp:val=&quot;00BC1F27&quot;/&gt;&lt;wsp:rsid wsp:val=&quot;00BC490C&quot;/&gt;&lt;wsp:rsid wsp:val=&quot;00BC5574&quot;/&gt;&lt;wsp:rsid wsp:val=&quot;00BC5595&quot;/&gt;&lt;wsp:rsid wsp:val=&quot;00BC75D1&quot;/&gt;&lt;wsp:rsid wsp:val=&quot;00BC7AC4&quot;/&gt;&lt;wsp:rsid wsp:val=&quot;00BD1655&quot;/&gt;&lt;wsp:rsid wsp:val=&quot;00BD1928&quot;/&gt;&lt;wsp:rsid wsp:val=&quot;00BD19F6&quot;/&gt;&lt;wsp:rsid wsp:val=&quot;00BD420D&quot;/&gt;&lt;wsp:rsid wsp:val=&quot;00BD4E9C&quot;/&gt;&lt;wsp:rsid wsp:val=&quot;00BD68CA&quot;/&gt;&lt;wsp:rsid wsp:val=&quot;00BD7B5A&quot;/&gt;&lt;wsp:rsid wsp:val=&quot;00BE0AA1&quot;/&gt;&lt;wsp:rsid wsp:val=&quot;00BE2303&quot;/&gt;&lt;wsp:rsid wsp:val=&quot;00BE2968&quot;/&gt;&lt;wsp:rsid wsp:val=&quot;00BE327F&quot;/&gt;&lt;wsp:rsid wsp:val=&quot;00BE5208&quot;/&gt;&lt;wsp:rsid wsp:val=&quot;00BE5E57&quot;/&gt;&lt;wsp:rsid wsp:val=&quot;00BE6C76&quot;/&gt;&lt;wsp:rsid wsp:val=&quot;00BE6E59&quot;/&gt;&lt;wsp:rsid wsp:val=&quot;00BE7AC6&quot;/&gt;&lt;wsp:rsid wsp:val=&quot;00BF0539&quot;/&gt;&lt;wsp:rsid wsp:val=&quot;00BF1EDD&quot;/&gt;&lt;wsp:rsid wsp:val=&quot;00BF203B&quot;/&gt;&lt;wsp:rsid wsp:val=&quot;00BF3E2D&quot;/&gt;&lt;wsp:rsid wsp:val=&quot;00BF4479&quot;/&gt;&lt;wsp:rsid wsp:val=&quot;00BF6292&quot;/&gt;&lt;wsp:rsid wsp:val=&quot;00BF68D8&quot;/&gt;&lt;wsp:rsid wsp:val=&quot;00BF6FB0&quot;/&gt;&lt;wsp:rsid wsp:val=&quot;00BF75CA&quot;/&gt;&lt;wsp:rsid wsp:val=&quot;00BF7EF2&quot;/&gt;&lt;wsp:rsid wsp:val=&quot;00C0063D&quot;/&gt;&lt;wsp:rsid wsp:val=&quot;00C00BA2&quot;/&gt;&lt;wsp:rsid wsp:val=&quot;00C028DE&quot;/&gt;&lt;wsp:rsid wsp:val=&quot;00C02B52&quot;/&gt;&lt;wsp:rsid wsp:val=&quot;00C03AF4&quot;/&gt;&lt;wsp:rsid wsp:val=&quot;00C04B5C&quot;/&gt;&lt;wsp:rsid wsp:val=&quot;00C06374&quot;/&gt;&lt;wsp:rsid wsp:val=&quot;00C06534&quot;/&gt;&lt;wsp:rsid wsp:val=&quot;00C07D76&quot;/&gt;&lt;wsp:rsid wsp:val=&quot;00C100D1&quot;/&gt;&lt;wsp:rsid wsp:val=&quot;00C11852&quot;/&gt;&lt;wsp:rsid wsp:val=&quot;00C1387D&quot;/&gt;&lt;wsp:rsid wsp:val=&quot;00C14A6C&quot;/&gt;&lt;wsp:rsid wsp:val=&quot;00C14E97&quot;/&gt;&lt;wsp:rsid wsp:val=&quot;00C151B1&quot;/&gt;&lt;wsp:rsid wsp:val=&quot;00C165BD&quot;/&gt;&lt;wsp:rsid wsp:val=&quot;00C16602&quot;/&gt;&lt;wsp:rsid wsp:val=&quot;00C169FB&quot;/&gt;&lt;wsp:rsid wsp:val=&quot;00C17648&quot;/&gt;&lt;wsp:rsid wsp:val=&quot;00C17B69&quot;/&gt;&lt;wsp:rsid wsp:val=&quot;00C21600&quot;/&gt;&lt;wsp:rsid wsp:val=&quot;00C22211&quot;/&gt;&lt;wsp:rsid wsp:val=&quot;00C22719&quot;/&gt;&lt;wsp:rsid wsp:val=&quot;00C22DED&quot;/&gt;&lt;wsp:rsid wsp:val=&quot;00C25C72&quot;/&gt;&lt;wsp:rsid wsp:val=&quot;00C26091&quot;/&gt;&lt;wsp:rsid wsp:val=&quot;00C26859&quot;/&gt;&lt;wsp:rsid wsp:val=&quot;00C27309&quot;/&gt;&lt;wsp:rsid wsp:val=&quot;00C3019B&quot;/&gt;&lt;wsp:rsid wsp:val=&quot;00C30D81&quot;/&gt;&lt;wsp:rsid wsp:val=&quot;00C328E7&quot;/&gt;&lt;wsp:rsid wsp:val=&quot;00C33DBD&quot;/&gt;&lt;wsp:rsid wsp:val=&quot;00C34899&quot;/&gt;&lt;wsp:rsid wsp:val=&quot;00C3570B&quot;/&gt;&lt;wsp:rsid wsp:val=&quot;00C35EF2&quot;/&gt;&lt;wsp:rsid wsp:val=&quot;00C3608B&quot;/&gt;&lt;wsp:rsid wsp:val=&quot;00C371BF&quot;/&gt;&lt;wsp:rsid wsp:val=&quot;00C37364&quot;/&gt;&lt;wsp:rsid wsp:val=&quot;00C37478&quot;/&gt;&lt;wsp:rsid wsp:val=&quot;00C37ACC&quot;/&gt;&lt;wsp:rsid wsp:val=&quot;00C40949&quot;/&gt;&lt;wsp:rsid wsp:val=&quot;00C41DFA&quot;/&gt;&lt;wsp:rsid wsp:val=&quot;00C42134&quot;/&gt;&lt;wsp:rsid wsp:val=&quot;00C4442B&quot;/&gt;&lt;wsp:rsid wsp:val=&quot;00C44B69&quot;/&gt;&lt;wsp:rsid wsp:val=&quot;00C44BE3&quot;/&gt;&lt;wsp:rsid wsp:val=&quot;00C44D87&quot;/&gt;&lt;wsp:rsid wsp:val=&quot;00C44FDD&quot;/&gt;&lt;wsp:rsid wsp:val=&quot;00C45D90&quot;/&gt;&lt;wsp:rsid wsp:val=&quot;00C465F7&quot;/&gt;&lt;wsp:rsid wsp:val=&quot;00C47CA7&quot;/&gt;&lt;wsp:rsid wsp:val=&quot;00C51593&quot;/&gt;&lt;wsp:rsid wsp:val=&quot;00C51A72&quot;/&gt;&lt;wsp:rsid wsp:val=&quot;00C51DC0&quot;/&gt;&lt;wsp:rsid wsp:val=&quot;00C52AF6&quot;/&gt;&lt;wsp:rsid wsp:val=&quot;00C531FC&quot;/&gt;&lt;wsp:rsid wsp:val=&quot;00C53839&quot;/&gt;&lt;wsp:rsid wsp:val=&quot;00C55C4B&quot;/&gt;&lt;wsp:rsid wsp:val=&quot;00C55EC4&quot;/&gt;&lt;wsp:rsid wsp:val=&quot;00C56085&quot;/&gt;&lt;wsp:rsid wsp:val=&quot;00C56B32&quot;/&gt;&lt;wsp:rsid wsp:val=&quot;00C57D95&quot;/&gt;&lt;wsp:rsid wsp:val=&quot;00C605CD&quot;/&gt;&lt;wsp:rsid wsp:val=&quot;00C605FF&quot;/&gt;&lt;wsp:rsid wsp:val=&quot;00C6067B&quot;/&gt;&lt;wsp:rsid wsp:val=&quot;00C60D44&quot;/&gt;&lt;wsp:rsid wsp:val=&quot;00C62734&quot;/&gt;&lt;wsp:rsid wsp:val=&quot;00C633F2&quot;/&gt;&lt;wsp:rsid wsp:val=&quot;00C63DAC&quot;/&gt;&lt;wsp:rsid wsp:val=&quot;00C64B66&quot;/&gt;&lt;wsp:rsid wsp:val=&quot;00C6693D&quot;/&gt;&lt;wsp:rsid wsp:val=&quot;00C66BC8&quot;/&gt;&lt;wsp:rsid wsp:val=&quot;00C72156&quot;/&gt;&lt;wsp:rsid wsp:val=&quot;00C72479&quot;/&gt;&lt;wsp:rsid wsp:val=&quot;00C727D7&quot;/&gt;&lt;wsp:rsid wsp:val=&quot;00C73C90&quot;/&gt;&lt;wsp:rsid wsp:val=&quot;00C73F7B&quot;/&gt;&lt;wsp:rsid wsp:val=&quot;00C75093&quot;/&gt;&lt;wsp:rsid wsp:val=&quot;00C75279&quot;/&gt;&lt;wsp:rsid wsp:val=&quot;00C77920&quot;/&gt;&lt;wsp:rsid wsp:val=&quot;00C80B0E&quot;/&gt;&lt;wsp:rsid wsp:val=&quot;00C81D9B&quot;/&gt;&lt;wsp:rsid wsp:val=&quot;00C81DE0&quot;/&gt;&lt;wsp:rsid wsp:val=&quot;00C820BE&quot;/&gt;&lt;wsp:rsid wsp:val=&quot;00C84745&quot;/&gt;&lt;wsp:rsid wsp:val=&quot;00C85227&quot;/&gt;&lt;wsp:rsid wsp:val=&quot;00C86021&quot;/&gt;&lt;wsp:rsid wsp:val=&quot;00C86CBD&quot;/&gt;&lt;wsp:rsid wsp:val=&quot;00C908EE&quot;/&gt;&lt;wsp:rsid wsp:val=&quot;00C92747&quot;/&gt;&lt;wsp:rsid wsp:val=&quot;00C95CEC&quot;/&gt;&lt;wsp:rsid wsp:val=&quot;00C964F0&quot;/&gt;&lt;wsp:rsid wsp:val=&quot;00C96C10&quot;/&gt;&lt;wsp:rsid wsp:val=&quot;00C96F8F&quot;/&gt;&lt;wsp:rsid wsp:val=&quot;00CA02CE&quot;/&gt;&lt;wsp:rsid wsp:val=&quot;00CA06EE&quot;/&gt;&lt;wsp:rsid wsp:val=&quot;00CA0F17&quot;/&gt;&lt;wsp:rsid wsp:val=&quot;00CA1F08&quot;/&gt;&lt;wsp:rsid wsp:val=&quot;00CA2746&quot;/&gt;&lt;wsp:rsid wsp:val=&quot;00CA2B6A&quot;/&gt;&lt;wsp:rsid wsp:val=&quot;00CA3E4F&quot;/&gt;&lt;wsp:rsid wsp:val=&quot;00CA4902&quot;/&gt;&lt;wsp:rsid wsp:val=&quot;00CA774D&quot;/&gt;&lt;wsp:rsid wsp:val=&quot;00CB3C41&quot;/&gt;&lt;wsp:rsid wsp:val=&quot;00CB61CE&quot;/&gt;&lt;wsp:rsid wsp:val=&quot;00CB62D3&quot;/&gt;&lt;wsp:rsid wsp:val=&quot;00CB6A7A&quot;/&gt;&lt;wsp:rsid wsp:val=&quot;00CC0B26&quot;/&gt;&lt;wsp:rsid wsp:val=&quot;00CC0E37&quot;/&gt;&lt;wsp:rsid wsp:val=&quot;00CC1AC8&quot;/&gt;&lt;wsp:rsid wsp:val=&quot;00CC26ED&quot;/&gt;&lt;wsp:rsid wsp:val=&quot;00CC4692&quot;/&gt;&lt;wsp:rsid wsp:val=&quot;00CC5497&quot;/&gt;&lt;wsp:rsid wsp:val=&quot;00CC6635&quot;/&gt;&lt;wsp:rsid wsp:val=&quot;00CD083E&quot;/&gt;&lt;wsp:rsid wsp:val=&quot;00CD34BF&quot;/&gt;&lt;wsp:rsid wsp:val=&quot;00CD3CB9&quot;/&gt;&lt;wsp:rsid wsp:val=&quot;00CD5C77&quot;/&gt;&lt;wsp:rsid wsp:val=&quot;00CD6211&quot;/&gt;&lt;wsp:rsid wsp:val=&quot;00CD7209&quot;/&gt;&lt;wsp:rsid wsp:val=&quot;00CE0F41&quot;/&gt;&lt;wsp:rsid wsp:val=&quot;00CE32CA&quot;/&gt;&lt;wsp:rsid wsp:val=&quot;00CE3DB9&quot;/&gt;&lt;wsp:rsid wsp:val=&quot;00CE40B4&quot;/&gt;&lt;wsp:rsid wsp:val=&quot;00CE4A33&quot;/&gt;&lt;wsp:rsid wsp:val=&quot;00CE5E64&quot;/&gt;&lt;wsp:rsid wsp:val=&quot;00CE6011&quot;/&gt;&lt;wsp:rsid wsp:val=&quot;00CE7F2A&quot;/&gt;&lt;wsp:rsid wsp:val=&quot;00CF22D1&quot;/&gt;&lt;wsp:rsid wsp:val=&quot;00CF2E1A&quot;/&gt;&lt;wsp:rsid wsp:val=&quot;00CF43DA&quot;/&gt;&lt;wsp:rsid wsp:val=&quot;00CF6D59&quot;/&gt;&lt;wsp:rsid wsp:val=&quot;00D03B50&quot;/&gt;&lt;wsp:rsid wsp:val=&quot;00D0625A&quot;/&gt;&lt;wsp:rsid wsp:val=&quot;00D107B2&quot;/&gt;&lt;wsp:rsid wsp:val=&quot;00D110FE&quot;/&gt;&lt;wsp:rsid wsp:val=&quot;00D13F2A&quot;/&gt;&lt;wsp:rsid wsp:val=&quot;00D15D50&quot;/&gt;&lt;wsp:rsid wsp:val=&quot;00D15D90&quot;/&gt;&lt;wsp:rsid wsp:val=&quot;00D15E86&quot;/&gt;&lt;wsp:rsid wsp:val=&quot;00D176F6&quot;/&gt;&lt;wsp:rsid wsp:val=&quot;00D17BBB&quot;/&gt;&lt;wsp:rsid wsp:val=&quot;00D20059&quot;/&gt;&lt;wsp:rsid wsp:val=&quot;00D201E9&quot;/&gt;&lt;wsp:rsid wsp:val=&quot;00D202D0&quot;/&gt;&lt;wsp:rsid wsp:val=&quot;00D204CA&quot;/&gt;&lt;wsp:rsid wsp:val=&quot;00D244F7&quot;/&gt;&lt;wsp:rsid wsp:val=&quot;00D2451B&quot;/&gt;&lt;wsp:rsid wsp:val=&quot;00D25186&quot;/&gt;&lt;wsp:rsid wsp:val=&quot;00D2589B&quot;/&gt;&lt;wsp:rsid wsp:val=&quot;00D2597F&quot;/&gt;&lt;wsp:rsid wsp:val=&quot;00D25A04&quot;/&gt;&lt;wsp:rsid wsp:val=&quot;00D25C95&quot;/&gt;&lt;wsp:rsid wsp:val=&quot;00D279BA&quot;/&gt;&lt;wsp:rsid wsp:val=&quot;00D30A41&quot;/&gt;&lt;wsp:rsid wsp:val=&quot;00D31356&quot;/&gt;&lt;wsp:rsid wsp:val=&quot;00D313A4&quot;/&gt;&lt;wsp:rsid wsp:val=&quot;00D313DE&quot;/&gt;&lt;wsp:rsid wsp:val=&quot;00D3198B&quot;/&gt;&lt;wsp:rsid wsp:val=&quot;00D3285E&quot;/&gt;&lt;wsp:rsid wsp:val=&quot;00D349F0&quot;/&gt;&lt;wsp:rsid wsp:val=&quot;00D37813&quot;/&gt;&lt;wsp:rsid wsp:val=&quot;00D42737&quot;/&gt;&lt;wsp:rsid wsp:val=&quot;00D42864&quot;/&gt;&lt;wsp:rsid wsp:val=&quot;00D44F97&quot;/&gt;&lt;wsp:rsid wsp:val=&quot;00D4728E&quot;/&gt;&lt;wsp:rsid wsp:val=&quot;00D50165&quot;/&gt;&lt;wsp:rsid wsp:val=&quot;00D50304&quot;/&gt;&lt;wsp:rsid wsp:val=&quot;00D52FB6&quot;/&gt;&lt;wsp:rsid wsp:val=&quot;00D53D57&quot;/&gt;&lt;wsp:rsid wsp:val=&quot;00D564F9&quot;/&gt;&lt;wsp:rsid wsp:val=&quot;00D577F7&quot;/&gt;&lt;wsp:rsid wsp:val=&quot;00D60BA8&quot;/&gt;&lt;wsp:rsid wsp:val=&quot;00D60C82&quot;/&gt;&lt;wsp:rsid wsp:val=&quot;00D60E28&quot;/&gt;&lt;wsp:rsid wsp:val=&quot;00D621F8&quot;/&gt;&lt;wsp:rsid wsp:val=&quot;00D62667&quot;/&gt;&lt;wsp:rsid wsp:val=&quot;00D62EC3&quot;/&gt;&lt;wsp:rsid wsp:val=&quot;00D65489&quot;/&gt;&lt;wsp:rsid wsp:val=&quot;00D67006&quot;/&gt;&lt;wsp:rsid wsp:val=&quot;00D67222&quot;/&gt;&lt;wsp:rsid wsp:val=&quot;00D6779A&quot;/&gt;&lt;wsp:rsid wsp:val=&quot;00D70E8F&quot;/&gt;&lt;wsp:rsid wsp:val=&quot;00D71942&quot;/&gt;&lt;wsp:rsid wsp:val=&quot;00D71AF2&quot;/&gt;&lt;wsp:rsid wsp:val=&quot;00D720A8&quot;/&gt;&lt;wsp:rsid wsp:val=&quot;00D72F97&quot;/&gt;&lt;wsp:rsid wsp:val=&quot;00D7583A&quot;/&gt;&lt;wsp:rsid wsp:val=&quot;00D77BC6&quot;/&gt;&lt;wsp:rsid wsp:val=&quot;00D800BF&quot;/&gt;&lt;wsp:rsid wsp:val=&quot;00D8020C&quot;/&gt;&lt;wsp:rsid wsp:val=&quot;00D8152A&quot;/&gt;&lt;wsp:rsid wsp:val=&quot;00D82422&quot;/&gt;&lt;wsp:rsid wsp:val=&quot;00D82743&quot;/&gt;&lt;wsp:rsid wsp:val=&quot;00D82DFE&quot;/&gt;&lt;wsp:rsid wsp:val=&quot;00D83F91&quot;/&gt;&lt;wsp:rsid wsp:val=&quot;00D84E0C&quot;/&gt;&lt;wsp:rsid wsp:val=&quot;00D86BCC&quot;/&gt;&lt;wsp:rsid wsp:val=&quot;00D86CF6&quot;/&gt;&lt;wsp:rsid wsp:val=&quot;00D90616&quot;/&gt;&lt;wsp:rsid wsp:val=&quot;00D921A0&quot;/&gt;&lt;wsp:rsid wsp:val=&quot;00D9299D&quot;/&gt;&lt;wsp:rsid wsp:val=&quot;00D93FC9&quot;/&gt;&lt;wsp:rsid wsp:val=&quot;00D941D4&quot;/&gt;&lt;wsp:rsid wsp:val=&quot;00D94347&quot;/&gt;&lt;wsp:rsid wsp:val=&quot;00D946DC&quot;/&gt;&lt;wsp:rsid wsp:val=&quot;00D9480F&quot;/&gt;&lt;wsp:rsid wsp:val=&quot;00D97878&quot;/&gt;&lt;wsp:rsid wsp:val=&quot;00DA14CB&quot;/&gt;&lt;wsp:rsid wsp:val=&quot;00DA1E1A&quot;/&gt;&lt;wsp:rsid wsp:val=&quot;00DA25D5&quot;/&gt;&lt;wsp:rsid wsp:val=&quot;00DA34BF&quot;/&gt;&lt;wsp:rsid wsp:val=&quot;00DA3F0D&quot;/&gt;&lt;wsp:rsid wsp:val=&quot;00DA67EE&quot;/&gt;&lt;wsp:rsid wsp:val=&quot;00DB17C8&quot;/&gt;&lt;wsp:rsid wsp:val=&quot;00DB2A4D&quot;/&gt;&lt;wsp:rsid wsp:val=&quot;00DB2BBE&quot;/&gt;&lt;wsp:rsid wsp:val=&quot;00DB2C88&quot;/&gt;&lt;wsp:rsid wsp:val=&quot;00DB4D77&quot;/&gt;&lt;wsp:rsid wsp:val=&quot;00DB5CBD&quot;/&gt;&lt;wsp:rsid wsp:val=&quot;00DB63D2&quot;/&gt;&lt;wsp:rsid wsp:val=&quot;00DB70D4&quot;/&gt;&lt;wsp:rsid wsp:val=&quot;00DC1C48&quot;/&gt;&lt;wsp:rsid wsp:val=&quot;00DC204C&quot;/&gt;&lt;wsp:rsid wsp:val=&quot;00DC2E01&quot;/&gt;&lt;wsp:rsid wsp:val=&quot;00DC5E1D&quot;/&gt;&lt;wsp:rsid wsp:val=&quot;00DC725A&quot;/&gt;&lt;wsp:rsid wsp:val=&quot;00DD0055&quot;/&gt;&lt;wsp:rsid wsp:val=&quot;00DD0895&quot;/&gt;&lt;wsp:rsid wsp:val=&quot;00DD095E&quot;/&gt;&lt;wsp:rsid wsp:val=&quot;00DD0EF2&quot;/&gt;&lt;wsp:rsid wsp:val=&quot;00DD5FCA&quot;/&gt;&lt;wsp:rsid wsp:val=&quot;00DD7A0F&quot;/&gt;&lt;wsp:rsid wsp:val=&quot;00DE03D3&quot;/&gt;&lt;wsp:rsid wsp:val=&quot;00DE0C9C&quot;/&gt;&lt;wsp:rsid wsp:val=&quot;00DE19F0&quot;/&gt;&lt;wsp:rsid wsp:val=&quot;00DE379E&quot;/&gt;&lt;wsp:rsid wsp:val=&quot;00DE4A96&quot;/&gt;&lt;wsp:rsid wsp:val=&quot;00DE6504&quot;/&gt;&lt;wsp:rsid wsp:val=&quot;00DE7AD6&quot;/&gt;&lt;wsp:rsid wsp:val=&quot;00DF0A37&quot;/&gt;&lt;wsp:rsid wsp:val=&quot;00DF1A14&quot;/&gt;&lt;wsp:rsid wsp:val=&quot;00DF22F9&quot;/&gt;&lt;wsp:rsid wsp:val=&quot;00DF7AFE&quot;/&gt;&lt;wsp:rsid wsp:val=&quot;00E00C98&quot;/&gt;&lt;wsp:rsid wsp:val=&quot;00E00EC7&quot;/&gt;&lt;wsp:rsid wsp:val=&quot;00E01F5E&quot;/&gt;&lt;wsp:rsid wsp:val=&quot;00E02E49&quot;/&gt;&lt;wsp:rsid wsp:val=&quot;00E040DA&quot;/&gt;&lt;wsp:rsid wsp:val=&quot;00E0475F&quot;/&gt;&lt;wsp:rsid wsp:val=&quot;00E05619&quot;/&gt;&lt;wsp:rsid wsp:val=&quot;00E104A3&quot;/&gt;&lt;wsp:rsid wsp:val=&quot;00E10758&quot;/&gt;&lt;wsp:rsid wsp:val=&quot;00E10E6D&quot;/&gt;&lt;wsp:rsid wsp:val=&quot;00E114EF&quot;/&gt;&lt;wsp:rsid wsp:val=&quot;00E1291E&quot;/&gt;&lt;wsp:rsid wsp:val=&quot;00E12EC4&quot;/&gt;&lt;wsp:rsid wsp:val=&quot;00E133DB&quot;/&gt;&lt;wsp:rsid wsp:val=&quot;00E13AB6&quot;/&gt;&lt;wsp:rsid wsp:val=&quot;00E15100&quot;/&gt;&lt;wsp:rsid wsp:val=&quot;00E151EB&quot;/&gt;&lt;wsp:rsid wsp:val=&quot;00E16411&quot;/&gt;&lt;wsp:rsid wsp:val=&quot;00E1672A&quot;/&gt;&lt;wsp:rsid wsp:val=&quot;00E2012A&quot;/&gt;&lt;wsp:rsid wsp:val=&quot;00E20CAA&quot;/&gt;&lt;wsp:rsid wsp:val=&quot;00E245A3&quot;/&gt;&lt;wsp:rsid wsp:val=&quot;00E273F7&quot;/&gt;&lt;wsp:rsid wsp:val=&quot;00E30770&quot;/&gt;&lt;wsp:rsid wsp:val=&quot;00E30C4A&quot;/&gt;&lt;wsp:rsid wsp:val=&quot;00E31029&quot;/&gt;&lt;wsp:rsid wsp:val=&quot;00E3134A&quot;/&gt;&lt;wsp:rsid wsp:val=&quot;00E359D8&quot;/&gt;&lt;wsp:rsid wsp:val=&quot;00E35A96&quot;/&gt;&lt;wsp:rsid wsp:val=&quot;00E3644E&quot;/&gt;&lt;wsp:rsid wsp:val=&quot;00E3686D&quot;/&gt;&lt;wsp:rsid wsp:val=&quot;00E36C5F&quot;/&gt;&lt;wsp:rsid wsp:val=&quot;00E374FE&quot;/&gt;&lt;wsp:rsid wsp:val=&quot;00E416C1&quot;/&gt;&lt;wsp:rsid wsp:val=&quot;00E4270C&quot;/&gt;&lt;wsp:rsid wsp:val=&quot;00E4558C&quot;/&gt;&lt;wsp:rsid wsp:val=&quot;00E46878&quot;/&gt;&lt;wsp:rsid wsp:val=&quot;00E4689A&quot;/&gt;&lt;wsp:rsid wsp:val=&quot;00E4735A&quot;/&gt;&lt;wsp:rsid wsp:val=&quot;00E473B6&quot;/&gt;&lt;wsp:rsid wsp:val=&quot;00E478C2&quot;/&gt;&lt;wsp:rsid wsp:val=&quot;00E5019F&quot;/&gt;&lt;wsp:rsid wsp:val=&quot;00E54E00&quot;/&gt;&lt;wsp:rsid wsp:val=&quot;00E55436&quot;/&gt;&lt;wsp:rsid wsp:val=&quot;00E56CCB&quot;/&gt;&lt;wsp:rsid wsp:val=&quot;00E57276&quot;/&gt;&lt;wsp:rsid wsp:val=&quot;00E6163D&quot;/&gt;&lt;wsp:rsid wsp:val=&quot;00E639DE&quot;/&gt;&lt;wsp:rsid wsp:val=&quot;00E63E1B&quot;/&gt;&lt;wsp:rsid wsp:val=&quot;00E6653B&quot;/&gt;&lt;wsp:rsid wsp:val=&quot;00E665EE&quot;/&gt;&lt;wsp:rsid wsp:val=&quot;00E67F4E&quot;/&gt;&lt;wsp:rsid wsp:val=&quot;00E7069C&quot;/&gt;&lt;wsp:rsid wsp:val=&quot;00E707D7&quot;/&gt;&lt;wsp:rsid wsp:val=&quot;00E70D30&quot;/&gt;&lt;wsp:rsid wsp:val=&quot;00E70E03&quot;/&gt;&lt;wsp:rsid wsp:val=&quot;00E740EC&quot;/&gt;&lt;wsp:rsid wsp:val=&quot;00E75757&quot;/&gt;&lt;wsp:rsid wsp:val=&quot;00E764C2&quot;/&gt;&lt;wsp:rsid wsp:val=&quot;00E77F8D&quot;/&gt;&lt;wsp:rsid wsp:val=&quot;00E77FFA&quot;/&gt;&lt;wsp:rsid wsp:val=&quot;00E84FB1&quot;/&gt;&lt;wsp:rsid wsp:val=&quot;00E8570D&quot;/&gt;&lt;wsp:rsid wsp:val=&quot;00E86728&quot;/&gt;&lt;wsp:rsid wsp:val=&quot;00E909D3&quot;/&gt;&lt;wsp:rsid wsp:val=&quot;00E91154&quot;/&gt;&lt;wsp:rsid wsp:val=&quot;00E9294A&quot;/&gt;&lt;wsp:rsid wsp:val=&quot;00E94CB6&quot;/&gt;&lt;wsp:rsid wsp:val=&quot;00E951BA&quot;/&gt;&lt;wsp:rsid wsp:val=&quot;00E95D13&quot;/&gt;&lt;wsp:rsid wsp:val=&quot;00E9613B&quot;/&gt;&lt;wsp:rsid wsp:val=&quot;00EA0B99&quot;/&gt;&lt;wsp:rsid wsp:val=&quot;00EA1AC0&quot;/&gt;&lt;wsp:rsid wsp:val=&quot;00EA31C9&quot;/&gt;&lt;wsp:rsid wsp:val=&quot;00EA3EC7&quot;/&gt;&lt;wsp:rsid wsp:val=&quot;00EA47D3&quot;/&gt;&lt;wsp:rsid wsp:val=&quot;00EA4ABA&quot;/&gt;&lt;wsp:rsid wsp:val=&quot;00EA6B2E&quot;/&gt;&lt;wsp:rsid wsp:val=&quot;00EA6F95&quot;/&gt;&lt;wsp:rsid wsp:val=&quot;00EA77EC&quot;/&gt;&lt;wsp:rsid wsp:val=&quot;00EB682E&quot;/&gt;&lt;wsp:rsid wsp:val=&quot;00EB6FCA&quot;/&gt;&lt;wsp:rsid wsp:val=&quot;00EB7437&quot;/&gt;&lt;wsp:rsid wsp:val=&quot;00EB7AB9&quot;/&gt;&lt;wsp:rsid wsp:val=&quot;00EC19D0&quot;/&gt;&lt;wsp:rsid wsp:val=&quot;00EC1C4F&quot;/&gt;&lt;wsp:rsid wsp:val=&quot;00EC57DB&quot;/&gt;&lt;wsp:rsid wsp:val=&quot;00EC6893&quot;/&gt;&lt;wsp:rsid wsp:val=&quot;00EC6AE0&quot;/&gt;&lt;wsp:rsid wsp:val=&quot;00ED0164&quot;/&gt;&lt;wsp:rsid wsp:val=&quot;00ED1600&quot;/&gt;&lt;wsp:rsid wsp:val=&quot;00ED16FC&quot;/&gt;&lt;wsp:rsid wsp:val=&quot;00ED1C8F&quot;/&gt;&lt;wsp:rsid wsp:val=&quot;00ED283D&quot;/&gt;&lt;wsp:rsid wsp:val=&quot;00ED295F&quot;/&gt;&lt;wsp:rsid wsp:val=&quot;00ED381E&quot;/&gt;&lt;wsp:rsid wsp:val=&quot;00ED3FE1&quot;/&gt;&lt;wsp:rsid wsp:val=&quot;00ED4CD4&quot;/&gt;&lt;wsp:rsid wsp:val=&quot;00ED633A&quot;/&gt;&lt;wsp:rsid wsp:val=&quot;00ED7049&quot;/&gt;&lt;wsp:rsid wsp:val=&quot;00EE05BF&quot;/&gt;&lt;wsp:rsid wsp:val=&quot;00EE0A37&quot;/&gt;&lt;wsp:rsid wsp:val=&quot;00EE2396&quot;/&gt;&lt;wsp:rsid wsp:val=&quot;00EE23BE&quot;/&gt;&lt;wsp:rsid wsp:val=&quot;00EE429A&quot;/&gt;&lt;wsp:rsid wsp:val=&quot;00EE4462&quot;/&gt;&lt;wsp:rsid wsp:val=&quot;00EE48EA&quot;/&gt;&lt;wsp:rsid wsp:val=&quot;00EE4E32&quot;/&gt;&lt;wsp:rsid wsp:val=&quot;00EE56F6&quot;/&gt;&lt;wsp:rsid wsp:val=&quot;00EE620B&quot;/&gt;&lt;wsp:rsid wsp:val=&quot;00EE6BED&quot;/&gt;&lt;wsp:rsid wsp:val=&quot;00EE6CA2&quot;/&gt;&lt;wsp:rsid wsp:val=&quot;00EE6DBD&quot;/&gt;&lt;wsp:rsid wsp:val=&quot;00EE6EA6&quot;/&gt;&lt;wsp:rsid wsp:val=&quot;00EE776B&quot;/&gt;&lt;wsp:rsid wsp:val=&quot;00EE7803&quot;/&gt;&lt;wsp:rsid wsp:val=&quot;00EF040B&quot;/&gt;&lt;wsp:rsid wsp:val=&quot;00EF1C30&quot;/&gt;&lt;wsp:rsid wsp:val=&quot;00EF308C&quot;/&gt;&lt;wsp:rsid wsp:val=&quot;00EF3B9A&quot;/&gt;&lt;wsp:rsid wsp:val=&quot;00EF3C53&quot;/&gt;&lt;wsp:rsid wsp:val=&quot;00EF4F8F&quot;/&gt;&lt;wsp:rsid wsp:val=&quot;00EF74C5&quot;/&gt;&lt;wsp:rsid wsp:val=&quot;00F00FE7&quot;/&gt;&lt;wsp:rsid wsp:val=&quot;00F02E37&quot;/&gt;&lt;wsp:rsid wsp:val=&quot;00F03378&quot;/&gt;&lt;wsp:rsid wsp:val=&quot;00F03E93&quot;/&gt;&lt;wsp:rsid wsp:val=&quot;00F03F08&quot;/&gt;&lt;wsp:rsid wsp:val=&quot;00F071B9&quot;/&gt;&lt;wsp:rsid wsp:val=&quot;00F07F49&quot;/&gt;&lt;wsp:rsid wsp:val=&quot;00F118F9&quot;/&gt;&lt;wsp:rsid wsp:val=&quot;00F12507&quot;/&gt;&lt;wsp:rsid wsp:val=&quot;00F125E4&quot;/&gt;&lt;wsp:rsid wsp:val=&quot;00F12A03&quot;/&gt;&lt;wsp:rsid wsp:val=&quot;00F14D05&quot;/&gt;&lt;wsp:rsid wsp:val=&quot;00F22902&quot;/&gt;&lt;wsp:rsid wsp:val=&quot;00F23229&quot;/&gt;&lt;wsp:rsid wsp:val=&quot;00F237C1&quot;/&gt;&lt;wsp:rsid wsp:val=&quot;00F26337&quot;/&gt;&lt;wsp:rsid wsp:val=&quot;00F267A6&quot;/&gt;&lt;wsp:rsid wsp:val=&quot;00F31491&quot;/&gt;&lt;wsp:rsid wsp:val=&quot;00F33436&quot;/&gt;&lt;wsp:rsid wsp:val=&quot;00F36205&quot;/&gt;&lt;wsp:rsid wsp:val=&quot;00F37A3E&quot;/&gt;&lt;wsp:rsid wsp:val=&quot;00F37CB2&quot;/&gt;&lt;wsp:rsid wsp:val=&quot;00F40901&quot;/&gt;&lt;wsp:rsid wsp:val=&quot;00F439FB&quot;/&gt;&lt;wsp:rsid wsp:val=&quot;00F44402&quot;/&gt;&lt;wsp:rsid wsp:val=&quot;00F50CBA&quot;/&gt;&lt;wsp:rsid wsp:val=&quot;00F5355D&quot;/&gt;&lt;wsp:rsid wsp:val=&quot;00F54013&quot;/&gt;&lt;wsp:rsid wsp:val=&quot;00F5463D&quot;/&gt;&lt;wsp:rsid wsp:val=&quot;00F54ED7&quot;/&gt;&lt;wsp:rsid wsp:val=&quot;00F550FC&quot;/&gt;&lt;wsp:rsid wsp:val=&quot;00F567A7&quot;/&gt;&lt;wsp:rsid wsp:val=&quot;00F578A4&quot;/&gt;&lt;wsp:rsid wsp:val=&quot;00F57992&quot;/&gt;&lt;wsp:rsid wsp:val=&quot;00F609B9&quot;/&gt;&lt;wsp:rsid wsp:val=&quot;00F64ADE&quot;/&gt;&lt;wsp:rsid wsp:val=&quot;00F66106&quot;/&gt;&lt;wsp:rsid wsp:val=&quot;00F674F6&quot;/&gt;&lt;wsp:rsid wsp:val=&quot;00F67CAC&quot;/&gt;&lt;wsp:rsid wsp:val=&quot;00F70FE0&quot;/&gt;&lt;wsp:rsid wsp:val=&quot;00F71ABF&quot;/&gt;&lt;wsp:rsid wsp:val=&quot;00F74E33&quot;/&gt;&lt;wsp:rsid wsp:val=&quot;00F75103&quot;/&gt;&lt;wsp:rsid wsp:val=&quot;00F77E67&quot;/&gt;&lt;wsp:rsid wsp:val=&quot;00F8029E&quot;/&gt;&lt;wsp:rsid wsp:val=&quot;00F83904&quot;/&gt;&lt;wsp:rsid wsp:val=&quot;00F839F2&quot;/&gt;&lt;wsp:rsid wsp:val=&quot;00F84F3E&quot;/&gt;&lt;wsp:rsid wsp:val=&quot;00F8586C&quot;/&gt;&lt;wsp:rsid wsp:val=&quot;00F86E5A&quot;/&gt;&lt;wsp:rsid wsp:val=&quot;00F90440&quot;/&gt;&lt;wsp:rsid wsp:val=&quot;00F90A26&quot;/&gt;&lt;wsp:rsid wsp:val=&quot;00F91173&quot;/&gt;&lt;wsp:rsid wsp:val=&quot;00F91B72&quot;/&gt;&lt;wsp:rsid wsp:val=&quot;00F92DA9&quot;/&gt;&lt;wsp:rsid wsp:val=&quot;00F93AD0&quot;/&gt;&lt;wsp:rsid wsp:val=&quot;00F93F4A&quot;/&gt;&lt;wsp:rsid wsp:val=&quot;00F94090&quot;/&gt;&lt;wsp:rsid wsp:val=&quot;00F949E1&quot;/&gt;&lt;wsp:rsid wsp:val=&quot;00F9762F&quot;/&gt;&lt;wsp:rsid wsp:val=&quot;00FA2503&quot;/&gt;&lt;wsp:rsid wsp:val=&quot;00FA2D2F&quot;/&gt;&lt;wsp:rsid wsp:val=&quot;00FA3150&quot;/&gt;&lt;wsp:rsid wsp:val=&quot;00FA3D0F&quot;/&gt;&lt;wsp:rsid wsp:val=&quot;00FA43B0&quot;/&gt;&lt;wsp:rsid wsp:val=&quot;00FA4D95&quot;/&gt;&lt;wsp:rsid wsp:val=&quot;00FA5E59&quot;/&gt;&lt;wsp:rsid wsp:val=&quot;00FB15E7&quot;/&gt;&lt;wsp:rsid wsp:val=&quot;00FB2EE0&quot;/&gt;&lt;wsp:rsid wsp:val=&quot;00FB5408&quot;/&gt;&lt;wsp:rsid wsp:val=&quot;00FC2915&quot;/&gt;&lt;wsp:rsid wsp:val=&quot;00FC3EEA&quot;/&gt;&lt;wsp:rsid wsp:val=&quot;00FC4686&quot;/&gt;&lt;wsp:rsid wsp:val=&quot;00FD22EC&quot;/&gt;&lt;wsp:rsid wsp:val=&quot;00FD23C2&quot;/&gt;&lt;wsp:rsid wsp:val=&quot;00FD2907&quot;/&gt;&lt;wsp:rsid wsp:val=&quot;00FD4E92&quot;/&gt;&lt;wsp:rsid wsp:val=&quot;00FD57C7&quot;/&gt;&lt;wsp:rsid wsp:val=&quot;00FD5A82&quot;/&gt;&lt;wsp:rsid wsp:val=&quot;00FE0A36&quot;/&gt;&lt;wsp:rsid wsp:val=&quot;00FE3407&quot;/&gt;&lt;wsp:rsid wsp:val=&quot;00FE3780&quot;/&gt;&lt;wsp:rsid wsp:val=&quot;00FE38AE&quot;/&gt;&lt;wsp:rsid wsp:val=&quot;00FE3B7C&quot;/&gt;&lt;wsp:rsid wsp:val=&quot;00FE48B8&quot;/&gt;&lt;wsp:rsid wsp:val=&quot;00FE4AC2&quot;/&gt;&lt;wsp:rsid wsp:val=&quot;00FE5D46&quot;/&gt;&lt;wsp:rsid wsp:val=&quot;00FE6E1A&quot;/&gt;&lt;wsp:rsid wsp:val=&quot;00FF00B4&quot;/&gt;&lt;wsp:rsid wsp:val=&quot;00FF00E9&quot;/&gt;&lt;wsp:rsid wsp:val=&quot;00FF0F23&quot;/&gt;&lt;wsp:rsid wsp:val=&quot;00FF13F3&quot;/&gt;&lt;wsp:rsid wsp:val=&quot;00FF1D63&quot;/&gt;&lt;wsp:rsid wsp:val=&quot;00FF20DA&quot;/&gt;&lt;wsp:rsid wsp:val=&quot;00FF346B&quot;/&gt;&lt;wsp:rsid wsp:val=&quot;00FF582F&quot;/&gt;&lt;wsp:rsid wsp:val=&quot;00FF5CC0&quot;/&gt;&lt;wsp:rsid wsp:val=&quot;00FF5DB0&quot;/&gt;&lt;wsp:rsid wsp:val=&quot;00FF6921&quot;/&gt;&lt;wsp:rsid wsp:val=&quot;00FF7FA0&quot;/&gt;&lt;/wsp:rsids&gt;&lt;/w:docPr&gt;&lt;w:body&gt;&lt;wx:sect&gt;&lt;w:p wsp:rsidR=&quot;00000000&quot; wsp:rsidRPr=&quot;00C33DBD&quot; wsp:rsidRDefault=&quot;00C33DBD&quot; wsp:rsidP=&quot;00C33DBD&quot;&gt;&lt;m:oMathPara&gt;&lt;m:oMathParaPr&gt;&lt;m:jc m:val=&quot;left&quot;/&gt;&lt;/m:oMathParaPr&gt;&lt;m:oMath&gt;&lt;m:r&gt;&lt;w:rPr&gt;&lt;w:rFonts w:ascii=&quot;Cambria Math&quot; w:fareast=&quot;Times New Roman&quot; w:h-ansi=&quot;Cambria Math&quot;/&gt;&lt;wx:font wx:val=&quot;Cambria Math&quot;/&gt;&lt;w:i/&gt;&lt;/w:rPr&gt;&lt;m:t&gt;   Var&lt;/m:t&gt;&lt;/m:r&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Î·&lt;/m:t&gt;&lt;/m:r&gt;&lt;/m:e&gt;&lt;m:e&gt;&lt;m:r&gt;&lt;w:rPr&gt;&lt;w:rFonts w:ascii=&quot;Cambria Math&quot; w:fareast=&quot;Times New Roman&quot; w:h-ansi=&quot;Cambria Math&quot;/&gt;&lt;wx:font wx:val=&quot;Cambria Math&quot;/&gt;&lt;w:i/&gt;&lt;/w:rPr&gt;&lt;m:t&gt;Î·&amp;lt;c&lt;/m:t&gt;&lt;/m:r&gt;&lt;/m:e&gt;&lt;/m:d&gt;&lt;m:r&gt;&lt;w:rPr&gt;&lt;w:rFonts w:ascii=&quot;Cambria Math&quot; w:fareast=&quot;Times New Roman&quot; w:h-ansi=&quot;Cambria Math&quot;/&gt;&lt;wx:font wx:val=&quot;Cambria Math&quot;/&gt;&lt;w:i/&gt;&lt;/w:rPr&gt;&lt;m:t&gt;=-&lt;/m:t&gt;&lt;/m:r&gt;&lt;m:f&gt;&lt;m:fPr&gt;&lt;m:ctrlPr&gt;&lt;w:rPr&gt;&lt;w:rFonts w:ascii=&quot;Cambria Math&quot; w:fareast=&quot;Times New Roman&quot; w:h-ansi=&quot;Cambria Math&quot;/&gt;&lt;wx:font wx:val=&quot;Cambria Math&quot;/&gt;&lt;w:b-cs/&gt;&lt;w:i/&gt;&lt;/w:rPr&gt;&lt;/m:ctrlPr&gt;&lt;/m:fPr&gt;&lt;m:num&gt;&lt;m:r&gt;&lt;w:rPr&gt;&lt;w:rFonts w:ascii=&quot;Cambria Math&quot; w:fareast=&quot;Times New Roman&quot; w:h-ansi=&quot;Cambria Math&quot;/&gt;&lt;wx:font wx:val=&quot;Cambria Math&quot;/&gt;&lt;w:i/&gt;&lt;/w:rPr&gt;&lt;m:t&gt;2&lt;/m:t&gt;&lt;/m:r&gt;&lt;m:sSup&gt;&lt;m:sSupPr&gt;&lt;m:ctrlPr&gt;&lt;w:rPr&gt;&lt;w:rFonts w:ascii=&quot;Cambria Math&quot; w:fareast=&quot;Times New Roman&quot; w:h-ansi=&quot;Cambria Math&quot;/&gt;&lt;wx:font wx:val=&quot;Cambria Math&quot;/&gt;&lt;w:b-cs/&gt;&lt;w:i/&gt;&lt;/w:rPr&gt;&lt;/m:ctrlPr&gt;&lt;/m:sSupPr&gt;&lt;m:e&gt;&lt;m:r&gt;&lt;w:rPr&gt;&lt;w:rFonts w:ascii=&quot;Cambria Math&quot; w:fareast=&quot;Times New Roman&quot; w:h-ansi=&quot;Cambria Math&quot;/&gt;&lt;wx:font wx:val=&quot;Cambria Math&quot;/&gt;&lt;w:i/&gt;&lt;/w:rPr&gt;&lt;m:t&gt;Ïƒ&lt;/m:t&gt;&lt;/m:r&gt;&lt;/m:e&gt;&lt;m:sup&gt;&lt;m:r&gt;&lt;w:rPr&gt;&lt;w:rFonts w:ascii=&quot;Cambria Math&quot; w:fareast=&quot;Times New Roman&quot; w:h-ansi=&quot;Cambria Math&quot;/&gt;&lt;wx:font wx:val=&quot;Cambria Math&quot;/&gt;&lt;w:i/&gt;&lt;/w:rPr&gt;&lt;m:t&gt;2&lt;/m:t&gt;&lt;/m:r&gt;&lt;/m:sup&gt;&lt;/m:sSup&gt;&lt;/m:num&gt;&lt;m:den&gt;&lt;m:r&gt;&lt;w:rPr&gt;&lt;w:rFonts w:ascii=&quot;Cambria Math&quot; w:fareast=&quot;Times New Roman&quot; w:h-ansi=&quot;Cambria Math&quot;/&gt;&lt;wx:font wx:val=&quot;Cambria Math&quot;/&gt;&lt;w:i/&gt;&lt;/w:rPr&gt;&lt;m:t&gt;F&lt;/m:t&gt;&lt;/m:r&gt;&lt;m:sSub&gt;&lt;m:sSubPr&gt;&lt;m:ctrlPr&gt;&lt;w:rPr&gt;&lt;w:rFonts w:ascii=&quot;Cambria Math&quot; w:fareast=&quot;Times New Roman&quot; w:h-ansi=&quot;Cambria Math&quot;/&gt;&lt;wx:font wx:val=&quot;Cambria Math&quot;/&gt;&lt;w:b-cs/&gt;&lt;w:i/&gt;&lt;/w:rPr&gt;&lt;/m:ctrlPr&gt;&lt;/m:sSubPr&gt;&lt;m:e&gt;&lt;m:r&gt;&lt;m:rPr&gt;&lt;m:sty m:val=&quot;p&quot;/&gt;&lt;/m:rPr&gt;&lt;w:rPr&gt;&lt;w:rFonts w:ascii=&quot;Cambria Math&quot; w:fareast=&quot;Times New Roman&quot; w:h-ansi=&quot;Cambria Math&quot;/&gt;&lt;wx:font wx:val=&quot;Cambria Math&quot;/&gt;&lt;/w:rPr&gt;&lt;w:softHyphen/&gt;&lt;/m:r&gt;&lt;/m:e&gt;&lt;m:sub&gt;&lt;m:r&gt;&lt;w:rPr&gt;&lt;w:rFonts w:ascii=&quot;Cambria Math&quot; w:fareast=&quot;Times New Roman&quot; w:h-ansi=&quot;Cambria Math&quot;/&gt;&lt;wx:font wx:val=&quot;Cambria Math&quot;/&gt;&lt;w:i/&gt;&lt;/w:rPr&gt;&lt;m:t&gt;Î·&lt;/m:t&gt;&lt;/m:r&gt;&lt;/m:sub&gt;&lt;/m:sSub&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c&lt;/m:t&gt;&lt;/m:r&gt;&lt;/m:e&gt;&lt;/m:d&gt;&lt;/m:den&gt;&lt;/m:f&gt;&lt;m:nary&gt;&lt;m:naryPr&gt;&lt;m:chr m:val=&quot;âˆ‘&quot;/&gt;&lt;m:limLoc m:val=&quot;undOvr&quot;/&gt;&lt;m:ctrlPr&gt;&lt;w:rPr&gt;&lt;w:rFonts w:ascii=&quot;Cambria Math&quot; w:fareast=&quot;Times New Roman&quot; w:h-ansi=&quot;Cambria Math&quot;/&gt;&lt;wx:font wx:val=&quot;Cambria Math&quot;/&gt;&lt;w:b-cs/&gt;&lt;w:i/&gt;&lt;/w:rPr&gt;&lt;/m:ctrlPr&gt;&lt;/m:naryPr&gt;&lt;m:sub&gt;&lt;m:r&gt;&lt;w:rPr&gt;&lt;w:rFonts w:ascii=&quot;Cambria Math&quot; w:fareast=&quot;Times New Roman&quot; w:h-ansi=&quot;Cambria Math&quot;/&gt;&lt;wx:font wx:val=&quot;Cambria Math&quot;/&gt;&lt;w:i/&gt;&lt;/w:rPr&gt;&lt;m:t&gt;k=1&lt;/m:t&gt;&lt;/m:r&gt;&lt;/m:sub&gt;&lt;m:sup&gt;&lt;m:r&gt;&lt;w:rPr&gt;&lt;w:rFonts w:ascii=&quot;Cambria Math&quot; w:fareast=&quot;Times New Roman&quot; w:h-ansi=&quot;Cambria Math&quot;/&gt;&lt;wx:font wx:val=&quot;Cambria Math&quot;/&gt;&lt;w:i/&gt;&lt;/w:rPr&gt;&lt;m:t&gt;K&lt;/m:t&gt;&lt;/m:r&gt;&lt;/m:sup&gt;&lt;m:e&gt;&lt;m:f&gt;&lt;m:fPr&gt;&lt;m:ctrlPr&gt;&lt;w:rPr&gt;&lt;w:rFonts w:ascii=&quot;Cambria Math&quot; w:fareast=&quot;Times New Roman&quot; w:h-ansi=&quot;Cambria Math&quot;/&gt;&lt;wx:font wx:val=&quot;Cambria Math&quot;/&gt;&lt;w:b-cs/&gt;&lt;w:i/&gt;&lt;/w:rPr&gt;&lt;/m:ctrlPr&gt;&lt;/m:fPr&gt;&lt;m:num&gt;&lt;m:sSubSup&gt;&lt;m:sSubSupPr&gt;&lt;m:ctrlPr&gt;&lt;w:rPr&gt;&lt;w:rFonts w:ascii=&quot;Cambria Math&quot; w:fareast=&quot;Times New Roman&quot; w:h-ansi=&quot;Cambria Math&quot;/&gt;&lt;wx:font wx:val=&quot;Cambria Math&quot;/&gt;&lt;w:b-cs/&gt;&lt;w:i/&gt;&lt;/w:rPr&gt;&lt;/m:ctrlPr&gt;&lt;/m:sSubSup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up&gt;&lt;m:r&gt;&lt;w:rPr&gt;&lt;w:rFonts w:ascii=&quot;Cambria Math&quot; w:fareast=&quot;Times New Roman&quot; w:h-ansi=&quot;Cambria Math&quot;/&gt;&lt;wx:font wx:val=&quot;Cambria Math&quot;/&gt;&lt;w:i/&gt;&lt;/w:rPr&gt;&lt;m:t&gt;K-1&lt;/m:t&gt;&lt;/m:r&gt;&lt;/m:sup&gt;&lt;/m:sSubSup&gt;&lt;m:r&gt;&lt;w:rPr&gt;&lt;w:rFonts w:ascii=&quot;Cambria Math&quot; w:fareast=&quot;Times New Roman&quot; w:h-ansi=&quot;Cambria Math&quot;/&gt;&lt;wx:font wx:val=&quot;Cambria Math&quot;/&gt;&lt;w:i/&gt;&lt;/w:rPr&gt;&lt;m:t&gt;L&lt;/m:t&gt;&lt;/m:r&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i&lt;/m:t&gt;&lt;/m:r&gt;&lt;/m:e&gt;&lt;m:sub&gt;&lt;m:r&gt;&lt;w:rPr&gt;&lt;w:rFonts w:ascii=&quot;Cambria Math&quot; w:fareast=&quot;Times New Roman&quot; w:h-ansi=&quot;Cambria Math&quot;/&gt;&lt;wx:font wx:val=&quot;Cambria Math&quot;/&gt;&lt;w:i/&gt;&lt;/w:rPr&gt;&lt;m:t&gt;2&lt;/m:t&gt;&lt;/m:r&gt;&lt;/m:sub&gt;&lt;/m:sSub&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lt;/m:t&gt;&lt;/m:r&gt;&lt;m:sSub&gt;&lt;m:sSubPr&gt;&lt;m:ctrlPr&gt;&lt;w:rPr&gt;&lt;w:rFonts w:ascii=&quot;Cambria Math&quot; w:fareast=&quot;Times New Roman&quot; w:h-ansi=&quot;Cambria Math&quot;/&gt;&lt;wx:font wx:val=&quot;Cambria Math&quot;/&gt;&lt;w:b-cs/&gt;&lt;w:i/&gt;&lt;/w:rPr&gt;&lt;/m:ctrlPr&gt;&lt;/m:sSubPr&gt;&lt;m:e&gt;&lt;m:r&gt;&lt;w:rPr&gt;&lt;w:rFonts w:ascii=&quot;Cambria Math&quot; w:fareast=&quot;Times New Roman&quot; w:h-ansi=&quot;Cambria Math&quot;/&gt;&lt;wx:font wx:val=&quot;Cambria Math&quot;/&gt;&lt;w:i/&gt;&lt;/w:rPr&gt;&lt;m:t&gt;a&lt;/m:t&gt;&lt;/m:r&gt;&lt;/m:e&gt;&lt;m:sub&gt;&lt;m:r&gt;&lt;w:rPr&gt;&lt;w:rFonts w:ascii=&quot;Cambria Math&quot; w:fareast=&quot;Times New Roman&quot; w:h-ansi=&quot;Cambria Math&quot;/&gt;&lt;wx:font wx:val=&quot;Cambria Math&quot;/&gt;&lt;w:i/&gt;&lt;/w:rPr&gt;&lt;m:t&gt;k&lt;/m:t&gt;&lt;/m:r&gt;&lt;/m:sub&gt;&lt;/m:sSub&gt;&lt;m:sSup&gt;&lt;m:sSupPr&gt;&lt;m:ctrlPr&gt;&lt;w:rPr&gt;&lt;w:rFonts w:ascii=&quot;Cambria Math&quot; w:fareast=&quot;Times New Roman&quot; w:h-ansi=&quot;Cambria Math&quot;/&gt;&lt;wx:font wx:val=&quot;Cambria Math&quot;/&gt;&lt;w:b-cs/&gt;&lt;w:i/&gt;&lt;/w:rPr&gt;&lt;/m:ctrlPr&gt;&lt;/m:sSupPr&gt;&lt;m:e&gt;&lt;m:r&gt;&lt;w:rPr&gt;&lt;w:rFonts w:ascii=&quot;Cambria Math&quot; w:fareast=&quot;Times New Roman&quot; w:h-ansi=&quot;Cambria Math&quot;/&gt;&lt;wx:font wx:val=&quot;Cambria Math&quot;/&gt;&lt;w:i/&gt;&lt;/w:rPr&gt;&lt;m:t&gt;e&lt;/m:t&gt;&lt;/m:r&gt;&lt;/m:e&gt;&lt;m:sup&gt;&lt;m:f&gt;&lt;m:fPr&gt;&lt;m:ctrlPr&gt;&lt;w:rPr&gt;&lt;w:rFonts w:ascii=&quot;Cambria Math&quot; w:fareast=&quot;Times New Roman&quot; w:h-ansi=&quot;Cambria Math&quot;/&gt;&lt;wx:font wx:val=&quot;Cambria Math&quot;/&gt;&lt;w:b-cs/&gt;&lt;w:i/&gt;&lt;/w:rPr&gt;&lt;/m:ctrlPr&gt;&lt;/m:fPr&gt;&lt;m:num&gt;&lt;m:r&gt;&lt;w:rPr&gt;&lt;w:rFonts w:ascii=&quot;Cambria Math&quot; w:fareast=&quot;Times New Roman&quot; w:h-ansi=&quot;Cambria Math&quot;/&gt;&lt;wx:font wx:val=&quot;Cambria Math&quot;/&gt;&lt;w:i/&gt;&lt;/w:rPr&gt;&lt;m:t&gt;c&lt;/m:t&gt;&lt;/m:r&gt;&lt;/m:num&gt;&lt;m:den&gt;&lt;m:r&gt;&lt;w:rPr&gt;&lt;w:rFonts w:ascii=&quot;Cambria Math&quot; w:fareast=&quot;Times New Roman&quot; w:h-ansi=&quot;Cambria Math&quot;/&gt;&lt;wx:font wx:val=&quot;Cambria Math&quot;/&gt;&lt;w:i/&gt;&lt;/w:rPr&gt;&lt;m:t&gt;Î¸&lt;/m:t&gt;&lt;/m:r&gt;&lt;/m:den&gt;&lt;/m:f&gt;&lt;/m:sup&gt;&lt;/m:sSup&gt;&lt;/m:e&gt;&lt;/m:d&gt;&lt;/m:num&gt;&lt;m:den&gt;&lt;m:nary&gt;&lt;m:naryPr&gt;&lt;m:chr m:val=&quot;âˆ&quot;/&gt;&lt;m:limLoc m:val=&quot;undOvr&quot;/&gt;&lt;m:ctrlPr&gt;&lt;w:rPr&gt;&lt;w:rFonts w:ascii=&quot;Cambria Math&quot; w:h-ansi=&quot;Cambria Math&quot;/&gt;&lt;wx:font wx:val=&quot;Cambria Math&quot;/&gt;&lt;w:b-cs/&gt;&lt;w:i/&gt;&lt;/w:rPr&gt;&lt;/m:ctrlPr&gt;&lt;/m:naryPr&gt;&lt;m:sub&gt;&lt;m:r&gt;&lt;w:rPr&gt;&lt;w:rFonts w:ascii=&quot;Cambria Math&quot; w:h-ansi=&quot;Cambria Math&quot;/&gt;&lt;wx:font wx:val=&quot;Cambria Math&quot;/&gt;&lt;w:i/&gt;&lt;/w:rPr&gt;&lt;m:t&gt;j=1,jâ‰ k&lt;/m:t&gt;&lt;/m:r&gt;&lt;/m:sub&gt;&lt;m:sup&gt;&lt;m:r&gt;&lt;w:rPr&gt;&lt;w:rFonts w:ascii=&quot;Cambria Math&quot; w:h-ansi=&quot;Cambria Math&quot;/&gt;&lt;wx:font wx:val=&quot;Cambria Math&quot;/&gt;&lt;w:i/&gt;&lt;/w:rPr&gt;&lt;m:t&gt;j=K&lt;/m:t&gt;&lt;/m:r&gt;&lt;/m:sup&gt;&lt;m:e&gt;&lt;m:d&gt;&lt;m:dPr&gt;&lt;m:ctrlPr&gt;&lt;w:rPr&gt;&lt;w:rFonts w:ascii=&quot;Cambria Math&quot; w:h-ansi=&quot;Cambria Math&quot;/&gt;&lt;wx:font wx:val=&quot;Cambria Math&quot;/&gt;&lt;w:b-cs/&gt;&lt;w:i/&gt;&lt;/w:rPr&gt;&lt;/m:ctrlPr&gt;&lt;/m:dPr&gt;&lt;m:e&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b-cs/&gt;&lt;w:i/&gt;&lt;/w:rPr&gt;&lt;/m:ctrlPr&gt;&lt;/m:sSubPr&gt;&lt;m:e&gt;&lt;m:r&gt;&lt;w:rPr&gt;&lt;w:rFonts w:ascii=&quot;Cambria Math&quot; w:h-ansi=&quot;Cambria Math&quot;/&gt;&lt;wx:font wx:val=&quot;Cambria Math&quot;/&gt;&lt;w:i/&gt;&lt;/w:rPr&gt;&lt;m:t&gt;a&lt;/m:t&gt;&lt;/m:r&gt;&lt;/m:e&gt;&lt;m:sub&gt;&lt;m:r&gt;&lt;w:rPr&gt;&lt;w:rFonts w:ascii=&quot;Cambria Math&quot; w:h-ansi=&quot;Cambria Math&quot;/&gt;&lt;wx:font wx:val=&quot;Cambria Math&quot;/&gt;&lt;w:i/&gt;&lt;/w:rPr&gt;&lt;m:t&gt;j&lt;/m:t&gt;&lt;/m:r&gt;&lt;/m:sub&gt;&lt;/m:sSub&gt;&lt;/m:e&gt;&lt;/m:d&gt;&lt;/m:e&gt;&lt;/m:nary&gt;&lt;/m:den&gt;&lt;/m:f&gt;&lt;/m:e&gt;&lt;/m:nary&gt;&lt;m:r&gt;&lt;w:rPr&gt;&lt;w:rFonts w:ascii=&quot;Cambria Math&quot; w:fareast=&quot;Times New Roman&quot; w:h-ansi=&quot;Cambria Math&quot;/&gt;&lt;wx:font wx:val=&quot;Cambria Math&quot;/&gt;&lt;w:i/&gt;&lt;/w:rPr&gt;&lt;m:t&gt;-&lt;/m:t&gt;&lt;/m:r&gt;&lt;m:sSup&gt;&lt;m:sSupPr&gt;&lt;m:ctrlPr&gt;&lt;w:rPr&gt;&lt;w:rFonts w:ascii=&quot;Cambria Math&quot; w:fareast=&quot;Times New Roman&quot; w:h-ansi=&quot;Cambria Math&quot;/&gt;&lt;wx:font wx:val=&quot;Cambria Math&quot;/&gt;&lt;w:b-cs/&gt;&lt;w:i/&gt;&lt;/w:rPr&gt;&lt;/m:ctrlPr&gt;&lt;/m:sSupPr&gt;&lt;m:e&gt;&lt;m:d&gt;&lt;m:dPr&gt;&lt;m:begChr m:val=&quot;[&quot;/&gt;&lt;m:endChr m:val=&quot;]&quot;/&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c-E&lt;/m:t&gt;&lt;/m:r&gt;&lt;m:d&gt;&lt;m:dPr&gt;&lt;m:ctrlPr&gt;&lt;w:rPr&gt;&lt;w:rFonts w:ascii=&quot;Cambria Math&quot; w:fareast=&quot;Times New Roman&quot; w:h-ansi=&quot;Cambria Math&quot;/&gt;&lt;wx:font wx:val=&quot;Cambria Math&quot;/&gt;&lt;w:b-cs/&gt;&lt;w:i/&gt;&lt;/w:rPr&gt;&lt;/m:ctrlPr&gt;&lt;/m:dPr&gt;&lt;m:e&gt;&lt;m:r&gt;&lt;w:rPr&gt;&lt;w:rFonts w:ascii=&quot;Cambria Math&quot; w:fareast=&quot;Times New Roman&quot; w:h-ansi=&quot;Cambria Math&quot;/&gt;&lt;wx:font wx:val=&quot;Cambria Math&quot;/&gt;&lt;w:i/&gt;&lt;/w:rPr&gt;&lt;m:t&gt;Î·&lt;/m:t&gt;&lt;/m:r&gt;&lt;/m:e&gt;&lt;m:e&gt;&lt;m:r&gt;&lt;w:rPr&gt;&lt;w:rFonts w:ascii=&quot;Cambria Math&quot; w:fareast=&quot;Times New Roman&quot; w:h-ansi=&quot;Cambria Math&quot;/&gt;&lt;wx:font wx:val=&quot;Cambria Math&quot;/&gt;&lt;w:i/&gt;&lt;/w:rPr&gt;&lt;m:t&gt;Î·&amp;lt;c&lt;/m:t&gt;&lt;/m:r&gt;&lt;/m:e&gt;&lt;/m:d&gt;&lt;/m:e&gt;&lt;/m:d&gt;&lt;/m:e&gt;&lt;m:sup&gt;&lt;m:r&gt;&lt;w:rPr&gt;&lt;w:rFonts w:ascii=&quot;Cambria Math&quot; w:fareast=&quot;Times New Roman&quot; w:h-ansi=&quot;Cambria Math&quot;/&gt;&lt;wx:font wx:val=&quot;Cambria Math&quot;/&gt;&lt;w:i/&gt;&lt;/w:rPr&gt;&lt;m:t&gt;2&lt;/m:t&gt;&lt;/m:r&gt;&lt;/m:sup&gt;&lt;/m:sSup&gt;&lt;/m:oMath&gt;&lt;/m:oMathPara&gt;&lt;/w:p&gt;&lt;w:sectPr wsp:rsidR=&quot;00000000&quot; wsp:rsidRPr=&quot;00C33DBD&quot;&gt;&lt;w:pgSz w:w=&quot;12240&quot; w:h=&quot;15840&quot;/&gt;&lt;w:pgMar w:top=&quot;1440&quot; w:right=&quot;1440&quot; w:bottom=&quot;1440&quot; w:left=&quot;1440&quot; w:header=&quot;720&quot; w:footer=&quot;720&quot; w:gutter=&quot;0&quot;/&gt;&lt;w:cols w:space=&quot;720&quot;/&gt;&lt;/w:sectPr&gt;&lt;/wx:sect&gt;&lt;/w:body&gt;&lt;/w:wordDocument&gt;">
            <v:imagedata r:id="rId680" o:title="" chromakey="white"/>
          </v:shape>
        </w:pict>
      </w:r>
    </w:p>
    <w:bookmarkEnd w:id="6"/>
    <w:p w:rsidR="00D621F8" w:rsidRPr="00D621F8" w:rsidRDefault="00D621F8" w:rsidP="00D621F8">
      <w:pPr>
        <w:rPr>
          <w:rFonts w:ascii="Cambria Math" w:hAnsi="Cambria Math"/>
        </w:rPr>
      </w:pPr>
    </w:p>
    <w:p w:rsidR="00C51593" w:rsidRPr="00855FAF" w:rsidRDefault="00C51593" w:rsidP="0070560A">
      <w:pPr>
        <w:spacing w:line="276" w:lineRule="auto"/>
        <w:jc w:val="center"/>
        <w:rPr>
          <w:b/>
        </w:rPr>
      </w:pPr>
      <w:r>
        <w:br w:type="page"/>
      </w:r>
      <w:r w:rsidR="00D1647F" w:rsidRPr="009048AC">
        <w:rPr>
          <w:b/>
        </w:rPr>
        <w:lastRenderedPageBreak/>
        <w:t>APPENDIX</w:t>
      </w:r>
      <w:r w:rsidR="00855FAF" w:rsidRPr="00855FAF">
        <w:rPr>
          <w:b/>
        </w:rPr>
        <w:t xml:space="preserve"> </w:t>
      </w:r>
      <w:r w:rsidR="00855FAF">
        <w:rPr>
          <w:b/>
        </w:rPr>
        <w:t>B</w:t>
      </w:r>
      <w:r w:rsidR="00855FAF" w:rsidRPr="00855FAF">
        <w:rPr>
          <w:b/>
        </w:rPr>
        <w:t>:</w:t>
      </w:r>
      <w:r w:rsidR="00855FAF">
        <w:t xml:space="preserve"> </w:t>
      </w:r>
      <w:r w:rsidRPr="00855FAF">
        <w:rPr>
          <w:b/>
        </w:rPr>
        <w:t>Derivation of Forecasting Formula for Fractional Allocations</w:t>
      </w:r>
    </w:p>
    <w:p w:rsidR="0070560A" w:rsidRDefault="0070560A" w:rsidP="0070560A">
      <w:pPr>
        <w:spacing w:line="276" w:lineRule="auto"/>
        <w:jc w:val="both"/>
      </w:pPr>
    </w:p>
    <w:p w:rsidR="00913E21" w:rsidRPr="00855FAF" w:rsidRDefault="00C51593" w:rsidP="0070560A">
      <w:pPr>
        <w:spacing w:line="276" w:lineRule="auto"/>
        <w:jc w:val="both"/>
      </w:pPr>
      <w:r w:rsidRPr="00855FAF">
        <w:t xml:space="preserve">In this appendix, we derive the formula for a good </w:t>
      </w:r>
      <w:r w:rsidRPr="00855FAF">
        <w:rPr>
          <w:i/>
        </w:rPr>
        <w:t>k</w:t>
      </w:r>
      <w:r w:rsidRPr="00855FAF">
        <w:t xml:space="preserve">, conditional on the good being chosen for consumption. The allocation to the entire product group in determined in the first-level Tobit model (all fractional allocations are immediately zero if there is no allocation to the product group as a whole). So, consider the case of positive allocation to the product group, in which case at least one inside good should be consumed. </w:t>
      </w:r>
      <w:r w:rsidR="00913E21" w:rsidRPr="00855FAF">
        <w:t xml:space="preserve">Without any loss in generality, assume that the first good is consumed in such a situation. If only this inside good is consumed, the fractional prediction for this good should be one (which we will demonstrate later). But consider the more general case of multiple inside goods </w:t>
      </w:r>
      <w:r w:rsidR="001727F3" w:rsidRPr="00855FAF">
        <w:t xml:space="preserve">(say </w:t>
      </w:r>
      <w:r w:rsidR="001727F3" w:rsidRPr="00855FAF">
        <w:rPr>
          <w:i/>
        </w:rPr>
        <w:t>M</w:t>
      </w:r>
      <w:r w:rsidR="001727F3" w:rsidRPr="00855FAF">
        <w:t xml:space="preserve"> goods, including the first good, and assume that these are the first </w:t>
      </w:r>
      <w:r w:rsidR="001727F3" w:rsidRPr="00855FAF">
        <w:rPr>
          <w:i/>
        </w:rPr>
        <w:t>M</w:t>
      </w:r>
      <w:r w:rsidR="001727F3" w:rsidRPr="00855FAF">
        <w:t xml:space="preserve"> goods), with a zero fraction for the non-consumed inside goods</w:t>
      </w:r>
      <w:r w:rsidR="00913E21" w:rsidRPr="00855FAF">
        <w:t>. From the KKT conditions in Equation</w:t>
      </w:r>
      <w:r w:rsidR="00BF6292" w:rsidRPr="00855FAF">
        <w:t>s</w:t>
      </w:r>
      <w:r w:rsidR="00913E21" w:rsidRPr="00855FAF">
        <w:t xml:space="preserve"> (</w:t>
      </w:r>
      <w:r w:rsidR="006506C7">
        <w:t>10</w:t>
      </w:r>
      <w:r w:rsidR="00913E21" w:rsidRPr="00855FAF">
        <w:t>) and (1</w:t>
      </w:r>
      <w:r w:rsidR="006506C7">
        <w:t>1</w:t>
      </w:r>
      <w:r w:rsidR="00913E21" w:rsidRPr="00855FAF">
        <w:t>)</w:t>
      </w:r>
      <w:r w:rsidR="00BF6292" w:rsidRPr="00855FAF">
        <w:t>,</w:t>
      </w:r>
      <w:r w:rsidR="00ED4CD4" w:rsidRPr="00855FAF">
        <w:t xml:space="preserve"> </w:t>
      </w:r>
    </w:p>
    <w:p w:rsidR="000D2722" w:rsidRPr="00855FAF" w:rsidRDefault="00D533D7" w:rsidP="0070560A">
      <w:pPr>
        <w:spacing w:before="120" w:after="120" w:line="276" w:lineRule="auto"/>
        <w:jc w:val="both"/>
      </w:pPr>
      <w:r w:rsidRPr="0085008A">
        <w:rPr>
          <w:position w:val="-76"/>
        </w:rPr>
        <w:object w:dxaOrig="5140" w:dyaOrig="1640">
          <v:shape id="_x0000_i1433" type="#_x0000_t75" style="width:257.15pt;height:81.85pt" o:ole="">
            <v:imagedata r:id="rId681" o:title=""/>
          </v:shape>
          <o:OLEObject Type="Embed" ProgID="Equation.DSMT4" ShapeID="_x0000_i1433" DrawAspect="Content" ObjectID="_1722089827" r:id="rId682"/>
        </w:object>
      </w:r>
      <w:r w:rsidR="0085008A">
        <w:tab/>
      </w:r>
      <w:r w:rsidR="0085008A">
        <w:tab/>
      </w:r>
      <w:r w:rsidR="0085008A">
        <w:tab/>
      </w:r>
      <w:r w:rsidR="0085008A">
        <w:tab/>
      </w:r>
      <w:r w:rsidR="0085008A">
        <w:tab/>
        <w:t>(B.1)</w:t>
      </w:r>
      <w:r w:rsidR="00913E21" w:rsidRPr="00855FAF">
        <w:tab/>
        <w:t xml:space="preserve">  </w:t>
      </w:r>
    </w:p>
    <w:p w:rsidR="00ED4CD4" w:rsidRPr="00855FAF" w:rsidRDefault="00BF6292" w:rsidP="0070560A">
      <w:pPr>
        <w:spacing w:line="276" w:lineRule="auto"/>
        <w:jc w:val="both"/>
      </w:pPr>
      <w:r w:rsidRPr="00855FAF">
        <w:t xml:space="preserve">As in the text, the baseline preferences are denoted by </w:t>
      </w:r>
      <w:r w:rsidRPr="00855FAF">
        <w:rPr>
          <w:position w:val="-12"/>
        </w:rPr>
        <w:object w:dxaOrig="320" w:dyaOrig="360">
          <v:shape id="_x0000_i1434" type="#_x0000_t75" style="width:15.85pt;height:18pt" o:ole="">
            <v:imagedata r:id="rId683" o:title=""/>
          </v:shape>
          <o:OLEObject Type="Embed" ProgID="Equation.DSMT4" ShapeID="_x0000_i1434" DrawAspect="Content" ObjectID="_1722089828" r:id="rId684"/>
        </w:object>
      </w:r>
      <w:r w:rsidR="00C80B0E" w:rsidRPr="00855FAF">
        <w:t xml:space="preserve">, and the satiation parameters by </w:t>
      </w:r>
      <w:r w:rsidR="00C80B0E" w:rsidRPr="00855FAF">
        <w:rPr>
          <w:position w:val="-12"/>
        </w:rPr>
        <w:object w:dxaOrig="279" w:dyaOrig="360">
          <v:shape id="_x0000_i1435" type="#_x0000_t75" style="width:14.15pt;height:18pt" o:ole="">
            <v:imagedata r:id="rId685" o:title=""/>
          </v:shape>
          <o:OLEObject Type="Embed" ProgID="Equation.DSMT4" ShapeID="_x0000_i1435" DrawAspect="Content" ObjectID="_1722089829" r:id="rId686"/>
        </w:object>
      </w:r>
      <w:r w:rsidRPr="00855FAF">
        <w:t xml:space="preserve">, because of the re-ordering of the goods from the highest value of </w:t>
      </w:r>
      <w:r w:rsidRPr="00855FAF">
        <w:rPr>
          <w:position w:val="-12"/>
        </w:rPr>
        <w:object w:dxaOrig="320" w:dyaOrig="360">
          <v:shape id="_x0000_i1436" type="#_x0000_t75" style="width:15.85pt;height:18pt" o:ole="">
            <v:imagedata r:id="rId687" o:title=""/>
          </v:shape>
          <o:OLEObject Type="Embed" ProgID="Equation.DSMT4" ShapeID="_x0000_i1436" DrawAspect="Content" ObjectID="_1722089830" r:id="rId688"/>
        </w:object>
      </w:r>
      <w:r w:rsidRPr="00855FAF">
        <w:t xml:space="preserve"> to the lowest. </w:t>
      </w:r>
      <w:r w:rsidR="00480267" w:rsidRPr="00855FAF">
        <w:t xml:space="preserve">That is, </w:t>
      </w:r>
      <w:r w:rsidR="00480267" w:rsidRPr="00855FAF">
        <w:rPr>
          <w:position w:val="-12"/>
        </w:rPr>
        <w:object w:dxaOrig="2020" w:dyaOrig="360">
          <v:shape id="_x0000_i1437" type="#_x0000_t75" style="width:101.15pt;height:18pt" o:ole="">
            <v:imagedata r:id="rId689" o:title=""/>
          </v:shape>
          <o:OLEObject Type="Embed" ProgID="Equation.DSMT4" ShapeID="_x0000_i1437" DrawAspect="Content" ObjectID="_1722089831" r:id="rId690"/>
        </w:object>
      </w:r>
      <w:r w:rsidR="00ED4CD4" w:rsidRPr="00855FAF">
        <w:t xml:space="preserve"> In particular, conditional on a positive allocation to the product group, the inside good with the highest baseline preference will definitely see some positive fractional allocation. Further, from the KKT conditions, the following should hold for the inside consumed goods 2 through </w:t>
      </w:r>
      <w:r w:rsidR="00ED4CD4" w:rsidRPr="00855FAF">
        <w:rPr>
          <w:i/>
        </w:rPr>
        <w:t>M</w:t>
      </w:r>
      <w:r w:rsidR="00ED4CD4" w:rsidRPr="00855FAF">
        <w:t>:</w:t>
      </w:r>
    </w:p>
    <w:p w:rsidR="00ED4CD4" w:rsidRPr="00855FAF" w:rsidRDefault="00D533D7" w:rsidP="0070560A">
      <w:pPr>
        <w:spacing w:before="120" w:after="120" w:line="276" w:lineRule="auto"/>
        <w:jc w:val="both"/>
      </w:pPr>
      <w:r w:rsidRPr="00855FAF">
        <w:rPr>
          <w:position w:val="-34"/>
        </w:rPr>
        <w:object w:dxaOrig="6600" w:dyaOrig="840">
          <v:shape id="_x0000_i1438" type="#_x0000_t75" style="width:330pt;height:42pt" o:ole="">
            <v:imagedata r:id="rId691" o:title=""/>
          </v:shape>
          <o:OLEObject Type="Embed" ProgID="Equation.DSMT4" ShapeID="_x0000_i1438" DrawAspect="Content" ObjectID="_1722089832" r:id="rId692"/>
        </w:object>
      </w:r>
      <w:r w:rsidR="0085008A">
        <w:tab/>
      </w:r>
      <w:r w:rsidR="0085008A">
        <w:tab/>
      </w:r>
      <w:r w:rsidR="0085008A">
        <w:tab/>
        <w:t>(B.2)</w:t>
      </w:r>
    </w:p>
    <w:p w:rsidR="00913E21" w:rsidRPr="00855FAF" w:rsidRDefault="00231A20" w:rsidP="0070560A">
      <w:pPr>
        <w:spacing w:line="276" w:lineRule="auto"/>
        <w:jc w:val="both"/>
      </w:pPr>
      <w:r w:rsidRPr="00855FAF">
        <w:t xml:space="preserve">which immediately implies that </w:t>
      </w:r>
      <w:r w:rsidR="00D533D7" w:rsidRPr="00855FAF">
        <w:rPr>
          <w:position w:val="-12"/>
        </w:rPr>
        <w:object w:dxaOrig="400" w:dyaOrig="400">
          <v:shape id="_x0000_i1439" type="#_x0000_t75" style="width:20.15pt;height:20.15pt" o:ole="">
            <v:imagedata r:id="rId693" o:title=""/>
          </v:shape>
          <o:OLEObject Type="Embed" ProgID="Equation.DSMT4" ShapeID="_x0000_i1439" DrawAspect="Content" ObjectID="_1722089833" r:id="rId694"/>
        </w:object>
      </w:r>
      <w:r w:rsidRPr="00855FAF">
        <w:t xml:space="preserve">&gt; 0, </w:t>
      </w:r>
      <w:r w:rsidRPr="00855FAF">
        <w:rPr>
          <w:i/>
        </w:rPr>
        <w:t>m</w:t>
      </w:r>
      <w:r w:rsidRPr="00855FAF">
        <w:t>=</w:t>
      </w:r>
      <w:proofErr w:type="gramStart"/>
      <w:r w:rsidRPr="00855FAF">
        <w:t>2,3,…</w:t>
      </w:r>
      <w:proofErr w:type="gramEnd"/>
      <w:r w:rsidR="00A071C3">
        <w:t>,</w:t>
      </w:r>
      <w:r w:rsidRPr="00855FAF">
        <w:rPr>
          <w:i/>
        </w:rPr>
        <w:t>M</w:t>
      </w:r>
      <w:r w:rsidRPr="00855FAF">
        <w:t xml:space="preserve">. </w:t>
      </w:r>
      <w:r w:rsidR="00BF6292" w:rsidRPr="00855FAF">
        <w:t>Note also that</w:t>
      </w:r>
      <w:r w:rsidR="000D2722" w:rsidRPr="00855FAF">
        <w:t xml:space="preserve"> the budget constraint </w:t>
      </w:r>
      <w:r w:rsidR="00D533D7" w:rsidRPr="00855FAF">
        <w:rPr>
          <w:position w:val="-30"/>
        </w:rPr>
        <w:object w:dxaOrig="1120" w:dyaOrig="700">
          <v:shape id="_x0000_i1440" type="#_x0000_t75" style="width:56.15pt;height:35.15pt" o:ole="">
            <v:imagedata r:id="rId695" o:title=""/>
          </v:shape>
          <o:OLEObject Type="Embed" ProgID="Equation.DSMT4" ShapeID="_x0000_i1440" DrawAspect="Content" ObjectID="_1722089834" r:id="rId696"/>
        </w:object>
      </w:r>
      <w:r w:rsidR="00BF6292" w:rsidRPr="00855FAF">
        <w:t xml:space="preserve"> should be</w:t>
      </w:r>
      <w:r w:rsidR="000D2722" w:rsidRPr="00855FAF">
        <w:t xml:space="preserve"> preserved by the optimal allocation formula for the fractions. For now, assume this is preserved (we will get back to showing this later, once the formula is derived). Then, </w:t>
      </w:r>
      <w:r w:rsidR="001727F3" w:rsidRPr="00855FAF">
        <w:t xml:space="preserve">it must be true that, </w:t>
      </w:r>
    </w:p>
    <w:p w:rsidR="000D2722" w:rsidRPr="00855FAF" w:rsidRDefault="00D533D7" w:rsidP="0070560A">
      <w:pPr>
        <w:spacing w:before="120" w:after="120" w:line="276" w:lineRule="auto"/>
        <w:jc w:val="both"/>
      </w:pPr>
      <w:r w:rsidRPr="00EB6078">
        <w:rPr>
          <w:position w:val="-34"/>
        </w:rPr>
        <w:object w:dxaOrig="4400" w:dyaOrig="800">
          <v:shape id="_x0000_i1441" type="#_x0000_t75" style="width:219.85pt;height:39.85pt" o:ole="">
            <v:imagedata r:id="rId697" o:title=""/>
          </v:shape>
          <o:OLEObject Type="Embed" ProgID="Equation.DSMT4" ShapeID="_x0000_i1441" DrawAspect="Content" ObjectID="_1722089835" r:id="rId698"/>
        </w:object>
      </w:r>
      <w:r w:rsidR="0085008A">
        <w:tab/>
      </w:r>
      <w:r w:rsidR="0085008A">
        <w:tab/>
      </w:r>
      <w:r w:rsidR="0085008A">
        <w:tab/>
      </w:r>
      <w:r w:rsidR="0085008A">
        <w:tab/>
      </w:r>
      <w:r w:rsidR="0085008A">
        <w:tab/>
      </w:r>
      <w:r w:rsidR="0085008A">
        <w:tab/>
        <w:t>(B.3)</w:t>
      </w:r>
    </w:p>
    <w:p w:rsidR="001727F3" w:rsidRPr="00855FAF" w:rsidRDefault="001727F3" w:rsidP="0070560A">
      <w:pPr>
        <w:spacing w:line="276" w:lineRule="auto"/>
        <w:jc w:val="both"/>
      </w:pPr>
      <w:r w:rsidRPr="00855FAF">
        <w:t xml:space="preserve">Solving for </w:t>
      </w:r>
      <w:r w:rsidR="00D533D7" w:rsidRPr="00855FAF">
        <w:rPr>
          <w:position w:val="-12"/>
        </w:rPr>
        <w:object w:dxaOrig="400" w:dyaOrig="400">
          <v:shape id="_x0000_i1442" type="#_x0000_t75" style="width:20.15pt;height:20.15pt" o:ole="">
            <v:imagedata r:id="rId699" o:title=""/>
          </v:shape>
          <o:OLEObject Type="Embed" ProgID="Equation.DSMT4" ShapeID="_x0000_i1442" DrawAspect="Content" ObjectID="_1722089836" r:id="rId700"/>
        </w:object>
      </w:r>
      <w:r w:rsidR="00913E21" w:rsidRPr="00855FAF">
        <w:t xml:space="preserve">, </w:t>
      </w:r>
      <w:r w:rsidRPr="00855FAF">
        <w:t>and after some re-arrangement, we get:</w:t>
      </w:r>
    </w:p>
    <w:p w:rsidR="00972246" w:rsidRPr="00855FAF" w:rsidRDefault="00D533D7" w:rsidP="0070560A">
      <w:pPr>
        <w:spacing w:line="276" w:lineRule="auto"/>
        <w:jc w:val="both"/>
      </w:pPr>
      <w:r w:rsidRPr="00855FAF">
        <w:rPr>
          <w:position w:val="-62"/>
        </w:rPr>
        <w:object w:dxaOrig="2960" w:dyaOrig="1359">
          <v:shape id="_x0000_i1443" type="#_x0000_t75" style="width:148.7pt;height:67.3pt" o:ole="">
            <v:imagedata r:id="rId701" o:title=""/>
          </v:shape>
          <o:OLEObject Type="Embed" ProgID="Equation.DSMT4" ShapeID="_x0000_i1443" DrawAspect="Content" ObjectID="_1722089837" r:id="rId702"/>
        </w:object>
      </w:r>
      <w:r w:rsidR="0085008A">
        <w:tab/>
      </w:r>
      <w:r w:rsidR="0085008A">
        <w:tab/>
      </w:r>
      <w:r w:rsidR="0085008A">
        <w:tab/>
      </w:r>
      <w:r w:rsidR="0085008A">
        <w:tab/>
      </w:r>
      <w:r w:rsidR="0085008A">
        <w:tab/>
      </w:r>
      <w:r w:rsidR="0085008A">
        <w:tab/>
      </w:r>
      <w:r w:rsidR="0085008A">
        <w:tab/>
      </w:r>
      <w:r w:rsidR="0085008A">
        <w:tab/>
        <w:t xml:space="preserve">  (B.4)</w:t>
      </w:r>
    </w:p>
    <w:p w:rsidR="00972246" w:rsidRPr="00855FAF" w:rsidRDefault="00ED4CD4" w:rsidP="0070560A">
      <w:pPr>
        <w:spacing w:line="276" w:lineRule="auto"/>
        <w:jc w:val="both"/>
      </w:pPr>
      <w:r w:rsidRPr="00855FAF">
        <w:t xml:space="preserve">Note immediately that </w:t>
      </w:r>
      <w:r w:rsidR="00D533D7" w:rsidRPr="00855FAF">
        <w:rPr>
          <w:position w:val="-12"/>
        </w:rPr>
        <w:object w:dxaOrig="400" w:dyaOrig="400">
          <v:shape id="_x0000_i1444" type="#_x0000_t75" style="width:20.15pt;height:20.15pt" o:ole="">
            <v:imagedata r:id="rId703" o:title=""/>
          </v:shape>
          <o:OLEObject Type="Embed" ProgID="Equation.DSMT4" ShapeID="_x0000_i1444" DrawAspect="Content" ObjectID="_1722089838" r:id="rId704"/>
        </w:object>
      </w:r>
      <w:r w:rsidRPr="00855FAF">
        <w:t xml:space="preserve">&gt;0, because </w:t>
      </w:r>
      <w:r w:rsidRPr="00855FAF">
        <w:rPr>
          <w:position w:val="-12"/>
        </w:rPr>
        <w:object w:dxaOrig="279" w:dyaOrig="360">
          <v:shape id="_x0000_i1445" type="#_x0000_t75" style="width:14.15pt;height:18pt" o:ole="">
            <v:imagedata r:id="rId705" o:title=""/>
          </v:shape>
          <o:OLEObject Type="Embed" ProgID="Equation.DSMT4" ShapeID="_x0000_i1445" DrawAspect="Content" ObjectID="_1722089839" r:id="rId706"/>
        </w:object>
      </w:r>
      <w:r w:rsidRPr="00855FAF">
        <w:t>&gt;</w:t>
      </w:r>
      <w:r w:rsidRPr="00855FAF">
        <w:rPr>
          <w:position w:val="-14"/>
        </w:rPr>
        <w:object w:dxaOrig="300" w:dyaOrig="380">
          <v:shape id="_x0000_i1446" type="#_x0000_t75" style="width:15pt;height:18.85pt" o:ole="">
            <v:imagedata r:id="rId707" o:title=""/>
          </v:shape>
          <o:OLEObject Type="Embed" ProgID="Equation.DSMT4" ShapeID="_x0000_i1446" DrawAspect="Content" ObjectID="_1722089840" r:id="rId708"/>
        </w:object>
      </w:r>
      <w:r w:rsidRPr="00855FAF">
        <w:t xml:space="preserve"> for all </w:t>
      </w:r>
      <w:r w:rsidRPr="00855FAF">
        <w:rPr>
          <w:i/>
        </w:rPr>
        <w:t>j</w:t>
      </w:r>
      <w:r w:rsidRPr="00855FAF">
        <w:t>=2,3,…</w:t>
      </w:r>
      <w:r w:rsidR="00F30414">
        <w:t>,</w:t>
      </w:r>
      <w:r w:rsidRPr="00855FAF">
        <w:rPr>
          <w:i/>
        </w:rPr>
        <w:t>K</w:t>
      </w:r>
      <w:r w:rsidRPr="00855FAF">
        <w:t xml:space="preserve">. </w:t>
      </w:r>
      <w:r w:rsidR="00972246" w:rsidRPr="00855FAF">
        <w:t xml:space="preserve">Substituting for </w:t>
      </w:r>
      <w:r w:rsidR="00D533D7" w:rsidRPr="00855FAF">
        <w:rPr>
          <w:position w:val="-12"/>
        </w:rPr>
        <w:object w:dxaOrig="400" w:dyaOrig="400">
          <v:shape id="_x0000_i1447" type="#_x0000_t75" style="width:20.15pt;height:20.15pt" o:ole="">
            <v:imagedata r:id="rId709" o:title=""/>
          </v:shape>
          <o:OLEObject Type="Embed" ProgID="Equation.DSMT4" ShapeID="_x0000_i1447" DrawAspect="Content" ObjectID="_1722089841" r:id="rId710"/>
        </w:object>
      </w:r>
      <w:r w:rsidR="00972246" w:rsidRPr="00855FAF">
        <w:t xml:space="preserve"> back in the formula for </w:t>
      </w:r>
      <w:r w:rsidR="00D533D7" w:rsidRPr="00855FAF">
        <w:rPr>
          <w:position w:val="-12"/>
        </w:rPr>
        <w:object w:dxaOrig="400" w:dyaOrig="400">
          <v:shape id="_x0000_i1448" type="#_x0000_t75" style="width:20.15pt;height:20.15pt" o:ole="">
            <v:imagedata r:id="rId711" o:title=""/>
          </v:shape>
          <o:OLEObject Type="Embed" ProgID="Equation.DSMT4" ShapeID="_x0000_i1448" DrawAspect="Content" ObjectID="_1722089842" r:id="rId712"/>
        </w:object>
      </w:r>
      <w:r w:rsidR="00972246" w:rsidRPr="00855FAF">
        <w:t>, and simplifying, we get the following:</w:t>
      </w:r>
    </w:p>
    <w:p w:rsidR="00972246" w:rsidRPr="00855FAF" w:rsidRDefault="00D533D7" w:rsidP="0070560A">
      <w:pPr>
        <w:spacing w:line="276" w:lineRule="auto"/>
        <w:jc w:val="both"/>
      </w:pPr>
      <w:r w:rsidRPr="00855FAF">
        <w:rPr>
          <w:position w:val="-62"/>
        </w:rPr>
        <w:object w:dxaOrig="6920" w:dyaOrig="1500">
          <v:shape id="_x0000_i1449" type="#_x0000_t75" style="width:345.85pt;height:75pt" o:ole="">
            <v:imagedata r:id="rId713" o:title=""/>
          </v:shape>
          <o:OLEObject Type="Embed" ProgID="Equation.DSMT4" ShapeID="_x0000_i1449" DrawAspect="Content" ObjectID="_1722089843" r:id="rId714"/>
        </w:object>
      </w:r>
      <w:r w:rsidR="0085008A">
        <w:tab/>
      </w:r>
      <w:r w:rsidR="0085008A">
        <w:tab/>
      </w:r>
      <w:r w:rsidR="0085008A">
        <w:tab/>
        <w:t xml:space="preserve"> (B.5)</w:t>
      </w:r>
    </w:p>
    <w:p w:rsidR="00C51593" w:rsidRPr="00855FAF" w:rsidRDefault="00EE23BE" w:rsidP="0070560A">
      <w:pPr>
        <w:spacing w:line="276" w:lineRule="auto"/>
        <w:jc w:val="both"/>
      </w:pPr>
      <w:r w:rsidRPr="00855FAF">
        <w:t>I</w:t>
      </w:r>
      <w:r w:rsidR="00972246" w:rsidRPr="00855FAF">
        <w:t xml:space="preserve">ncluding good 1, we get the generic formula for any consumed good as in Equation </w:t>
      </w:r>
      <w:r w:rsidR="00972246" w:rsidRPr="004B450C">
        <w:t>(</w:t>
      </w:r>
      <w:r w:rsidR="0085008A">
        <w:t>40</w:t>
      </w:r>
      <w:r w:rsidR="00972246" w:rsidRPr="004B450C">
        <w:t>)</w:t>
      </w:r>
      <w:r w:rsidR="00972246" w:rsidRPr="00855FAF">
        <w:t xml:space="preserve"> of the text: </w:t>
      </w:r>
    </w:p>
    <w:p w:rsidR="009048AC" w:rsidRPr="00855FAF" w:rsidRDefault="00D533D7" w:rsidP="0070560A">
      <w:pPr>
        <w:spacing w:line="276" w:lineRule="auto"/>
        <w:jc w:val="both"/>
      </w:pPr>
      <w:r w:rsidRPr="00855FAF">
        <w:rPr>
          <w:position w:val="-62"/>
        </w:rPr>
        <w:object w:dxaOrig="4360" w:dyaOrig="1500">
          <v:shape id="_x0000_i1450" type="#_x0000_t75" style="width:219pt;height:74.15pt" o:ole="">
            <v:imagedata r:id="rId715" o:title=""/>
          </v:shape>
          <o:OLEObject Type="Embed" ProgID="Equation.DSMT4" ShapeID="_x0000_i1450" DrawAspect="Content" ObjectID="_1722089844" r:id="rId716"/>
        </w:object>
      </w:r>
      <w:r w:rsidR="0085008A">
        <w:tab/>
      </w:r>
      <w:r w:rsidR="0085008A">
        <w:tab/>
      </w:r>
      <w:r w:rsidR="0085008A">
        <w:tab/>
      </w:r>
      <w:r w:rsidR="0085008A">
        <w:tab/>
      </w:r>
      <w:r w:rsidR="0085008A">
        <w:tab/>
      </w:r>
      <w:r w:rsidR="0085008A">
        <w:tab/>
        <w:t xml:space="preserve"> (B.6)</w:t>
      </w:r>
    </w:p>
    <w:p w:rsidR="00991414" w:rsidRDefault="00231A20" w:rsidP="0070560A">
      <w:pPr>
        <w:spacing w:line="276" w:lineRule="auto"/>
        <w:jc w:val="both"/>
      </w:pPr>
      <w:r w:rsidRPr="00855FAF">
        <w:t xml:space="preserve">We have already shown that </w:t>
      </w:r>
      <w:r w:rsidR="00D533D7" w:rsidRPr="00855FAF">
        <w:rPr>
          <w:position w:val="-12"/>
        </w:rPr>
        <w:object w:dxaOrig="400" w:dyaOrig="400">
          <v:shape id="_x0000_i1451" type="#_x0000_t75" style="width:20.15pt;height:20.15pt" o:ole="">
            <v:imagedata r:id="rId717" o:title=""/>
          </v:shape>
          <o:OLEObject Type="Embed" ProgID="Equation.DSMT4" ShapeID="_x0000_i1451" DrawAspect="Content" ObjectID="_1722089845" r:id="rId718"/>
        </w:object>
      </w:r>
      <w:r w:rsidRPr="00855FAF">
        <w:t xml:space="preserve">&gt;0, </w:t>
      </w:r>
      <w:r w:rsidRPr="00855FAF">
        <w:rPr>
          <w:position w:val="-10"/>
        </w:rPr>
        <w:object w:dxaOrig="1160" w:dyaOrig="320">
          <v:shape id="_x0000_i1452" type="#_x0000_t75" style="width:57.85pt;height:15.85pt" o:ole="">
            <v:imagedata r:id="rId719" o:title=""/>
          </v:shape>
          <o:OLEObject Type="Embed" ProgID="Equation.DSMT4" ShapeID="_x0000_i1452" DrawAspect="Content" ObjectID="_1722089846" r:id="rId720"/>
        </w:object>
      </w:r>
      <w:r w:rsidRPr="00855FAF">
        <w:t xml:space="preserve">. </w:t>
      </w:r>
      <w:r w:rsidR="00972246" w:rsidRPr="00855FAF">
        <w:t xml:space="preserve">It </w:t>
      </w:r>
      <w:r w:rsidRPr="00855FAF">
        <w:t xml:space="preserve">also </w:t>
      </w:r>
      <w:r w:rsidR="00972246" w:rsidRPr="00855FAF">
        <w:t xml:space="preserve">is easy enough to show that </w:t>
      </w:r>
      <w:r w:rsidR="00D533D7" w:rsidRPr="00855FAF">
        <w:rPr>
          <w:position w:val="-28"/>
        </w:rPr>
        <w:object w:dxaOrig="1020" w:dyaOrig="680">
          <v:shape id="_x0000_i1453" type="#_x0000_t75" style="width:51pt;height:33.85pt" o:ole="">
            <v:imagedata r:id="rId721" o:title=""/>
          </v:shape>
          <o:OLEObject Type="Embed" ProgID="Equation.DSMT4" ShapeID="_x0000_i1453" DrawAspect="Content" ObjectID="_1722089847" r:id="rId722"/>
        </w:object>
      </w:r>
      <w:r w:rsidR="00972246" w:rsidRPr="00855FAF">
        <w:t xml:space="preserve">, because the second term, when summed across all inside goods M that are consumed is zero; that is, </w:t>
      </w:r>
      <w:r w:rsidR="00972246" w:rsidRPr="00855FAF">
        <w:rPr>
          <w:position w:val="-44"/>
        </w:rPr>
        <w:object w:dxaOrig="2500" w:dyaOrig="840">
          <v:shape id="_x0000_i1454" type="#_x0000_t75" style="width:125.15pt;height:42pt" o:ole="">
            <v:imagedata r:id="rId723" o:title=""/>
          </v:shape>
          <o:OLEObject Type="Embed" ProgID="Equation.DSMT4" ShapeID="_x0000_i1454" DrawAspect="Content" ObjectID="_1722089848" r:id="rId724"/>
        </w:object>
      </w:r>
      <w:r w:rsidR="00151A3E" w:rsidRPr="00855FAF">
        <w:t xml:space="preserve"> </w:t>
      </w:r>
      <w:r w:rsidR="00EE23BE" w:rsidRPr="00855FAF">
        <w:t xml:space="preserve">From the fact that </w:t>
      </w:r>
      <w:r w:rsidR="00D533D7" w:rsidRPr="00855FAF">
        <w:rPr>
          <w:position w:val="-12"/>
        </w:rPr>
        <w:object w:dxaOrig="400" w:dyaOrig="400">
          <v:shape id="_x0000_i1455" type="#_x0000_t75" style="width:20.15pt;height:20.15pt" o:ole="">
            <v:imagedata r:id="rId725" o:title=""/>
          </v:shape>
          <o:OLEObject Type="Embed" ProgID="Equation.DSMT4" ShapeID="_x0000_i1455" DrawAspect="Content" ObjectID="_1722089849" r:id="rId726"/>
        </w:object>
      </w:r>
      <w:r w:rsidR="00EE23BE" w:rsidRPr="00855FAF">
        <w:t xml:space="preserve">&gt;0 for all consumed inside goods </w:t>
      </w:r>
      <w:r w:rsidR="00EE23BE" w:rsidRPr="00855FAF">
        <w:rPr>
          <w:i/>
        </w:rPr>
        <w:t>m</w:t>
      </w:r>
      <w:r w:rsidR="00EE23BE" w:rsidRPr="00855FAF">
        <w:t xml:space="preserve"> and </w:t>
      </w:r>
      <w:r w:rsidR="00D533D7" w:rsidRPr="00855FAF">
        <w:rPr>
          <w:position w:val="-28"/>
        </w:rPr>
        <w:object w:dxaOrig="1020" w:dyaOrig="680">
          <v:shape id="_x0000_i1456" type="#_x0000_t75" style="width:51pt;height:33.85pt" o:ole="">
            <v:imagedata r:id="rId727" o:title=""/>
          </v:shape>
          <o:OLEObject Type="Embed" ProgID="Equation.DSMT4" ShapeID="_x0000_i1456" DrawAspect="Content" ObjectID="_1722089850" r:id="rId728"/>
        </w:object>
      </w:r>
      <w:r w:rsidR="00EE23BE" w:rsidRPr="00855FAF">
        <w:t xml:space="preserve">, it immediately follows that </w:t>
      </w:r>
      <w:r w:rsidR="00D533D7" w:rsidRPr="00855FAF">
        <w:rPr>
          <w:position w:val="-12"/>
        </w:rPr>
        <w:object w:dxaOrig="720" w:dyaOrig="400">
          <v:shape id="_x0000_i1457" type="#_x0000_t75" style="width:36pt;height:20.15pt" o:ole="">
            <v:imagedata r:id="rId729" o:title=""/>
          </v:shape>
          <o:OLEObject Type="Embed" ProgID="Equation.DSMT4" ShapeID="_x0000_i1457" DrawAspect="Content" ObjectID="_1722089851" r:id="rId730"/>
        </w:object>
      </w:r>
      <w:r w:rsidR="00151A3E" w:rsidRPr="00855FAF">
        <w:t xml:space="preserve"> for </w:t>
      </w:r>
      <w:r w:rsidR="00EE23BE" w:rsidRPr="00855FAF">
        <w:t xml:space="preserve">each </w:t>
      </w:r>
      <w:r w:rsidR="00151A3E" w:rsidRPr="00855FAF">
        <w:t xml:space="preserve">consumed inside good </w:t>
      </w:r>
      <w:r w:rsidR="00151A3E" w:rsidRPr="00855FAF">
        <w:rPr>
          <w:i/>
        </w:rPr>
        <w:t>m</w:t>
      </w:r>
      <w:r w:rsidR="00151A3E" w:rsidRPr="00855FAF">
        <w:t xml:space="preserve">. </w:t>
      </w:r>
      <w:r w:rsidR="00855FAF" w:rsidRPr="00855FAF">
        <w:t>Of course</w:t>
      </w:r>
      <w:r w:rsidR="00EE23BE" w:rsidRPr="00855FAF">
        <w:t xml:space="preserve">, if only one inside good is chosen (the top good or good 1 in the descending order of baseline preference arrangement), </w:t>
      </w:r>
      <w:r w:rsidR="00D533D7" w:rsidRPr="00855FAF">
        <w:rPr>
          <w:position w:val="-12"/>
        </w:rPr>
        <w:object w:dxaOrig="780" w:dyaOrig="400">
          <v:shape id="_x0000_i1458" type="#_x0000_t75" style="width:39pt;height:20.15pt" o:ole="">
            <v:imagedata r:id="rId731" o:title=""/>
          </v:shape>
          <o:OLEObject Type="Embed" ProgID="Equation.DSMT4" ShapeID="_x0000_i1458" DrawAspect="Content" ObjectID="_1722089852" r:id="rId732"/>
        </w:object>
      </w:r>
      <w:r w:rsidR="00EE23BE" w:rsidRPr="00855FAF">
        <w:t xml:space="preserve"> as should be the case. </w:t>
      </w:r>
    </w:p>
    <w:p w:rsidR="007401B2" w:rsidRPr="00607103" w:rsidRDefault="007401B2" w:rsidP="0070560A">
      <w:pPr>
        <w:spacing w:line="276" w:lineRule="auto"/>
        <w:jc w:val="both"/>
      </w:pPr>
      <w:r>
        <w:tab/>
      </w:r>
      <w:r w:rsidR="00EE35CE">
        <w:t>Next</w:t>
      </w:r>
      <w:r w:rsidRPr="00607103">
        <w:t xml:space="preserve">, note that, for any two consumed goods </w:t>
      </w:r>
      <w:r w:rsidRPr="00607103">
        <w:rPr>
          <w:i/>
        </w:rPr>
        <w:t>l</w:t>
      </w:r>
      <w:r w:rsidRPr="00607103">
        <w:t xml:space="preserve"> and </w:t>
      </w:r>
      <w:r w:rsidRPr="00607103">
        <w:rPr>
          <w:i/>
        </w:rPr>
        <w:t>m</w:t>
      </w:r>
      <w:r w:rsidRPr="00607103">
        <w:t xml:space="preserve">, the KKT condition </w:t>
      </w:r>
      <w:r w:rsidR="00D533D7" w:rsidRPr="00607103">
        <w:rPr>
          <w:position w:val="-32"/>
        </w:rPr>
        <w:object w:dxaOrig="3120" w:dyaOrig="820">
          <v:shape id="_x0000_i1459" type="#_x0000_t75" style="width:156pt;height:41.15pt" o:ole="">
            <v:imagedata r:id="rId733" o:title=""/>
          </v:shape>
          <o:OLEObject Type="Embed" ProgID="Equation.DSMT4" ShapeID="_x0000_i1459" DrawAspect="Content" ObjectID="_1722089853" r:id="rId734"/>
        </w:object>
      </w:r>
      <w:r w:rsidRPr="00607103">
        <w:t xml:space="preserve"> or </w:t>
      </w:r>
      <w:r w:rsidR="00D533D7" w:rsidRPr="00607103">
        <w:rPr>
          <w:position w:val="-32"/>
        </w:rPr>
        <w:object w:dxaOrig="3140" w:dyaOrig="820">
          <v:shape id="_x0000_i1460" type="#_x0000_t75" style="width:156.85pt;height:41.15pt" o:ole="">
            <v:imagedata r:id="rId735" o:title=""/>
          </v:shape>
          <o:OLEObject Type="Embed" ProgID="Equation.DSMT4" ShapeID="_x0000_i1460" DrawAspect="Content" ObjectID="_1722089854" r:id="rId736"/>
        </w:object>
      </w:r>
      <w:r w:rsidRPr="00607103">
        <w:t xml:space="preserve"> should hold. This is</w:t>
      </w:r>
      <w:r w:rsidR="003129C6">
        <w:t xml:space="preserve"> </w:t>
      </w:r>
      <w:r w:rsidRPr="00607103">
        <w:lastRenderedPageBreak/>
        <w:t>guaranteed because</w:t>
      </w:r>
      <w:r w:rsidR="00607103" w:rsidRPr="00607103">
        <w:t xml:space="preserve"> </w:t>
      </w:r>
      <w:r w:rsidR="00D533D7" w:rsidRPr="00607103">
        <w:rPr>
          <w:position w:val="-62"/>
        </w:rPr>
        <w:object w:dxaOrig="5380" w:dyaOrig="1500">
          <v:shape id="_x0000_i1461" type="#_x0000_t75" style="width:245.15pt;height:68.55pt" o:ole="">
            <v:imagedata r:id="rId737" o:title=""/>
          </v:shape>
          <o:OLEObject Type="Embed" ProgID="Equation.DSMT4" ShapeID="_x0000_i1461" DrawAspect="Content" ObjectID="_1722089855" r:id="rId738"/>
        </w:object>
      </w:r>
      <w:r w:rsidR="00607103" w:rsidRPr="00607103">
        <w:t xml:space="preserve"> Similarly, </w:t>
      </w:r>
      <w:r w:rsidR="00D533D7" w:rsidRPr="00607103">
        <w:rPr>
          <w:position w:val="-62"/>
        </w:rPr>
        <w:object w:dxaOrig="2700" w:dyaOrig="1440">
          <v:shape id="_x0000_i1462" type="#_x0000_t75" style="width:126.85pt;height:67.7pt" o:ole="">
            <v:imagedata r:id="rId739" o:title=""/>
          </v:shape>
          <o:OLEObject Type="Embed" ProgID="Equation.DSMT4" ShapeID="_x0000_i1462" DrawAspect="Content" ObjectID="_1722089856" r:id="rId740"/>
        </w:object>
      </w:r>
      <w:r w:rsidR="00607103" w:rsidRPr="00607103">
        <w:t xml:space="preserve">, and the necessary equality results. </w:t>
      </w:r>
    </w:p>
    <w:p w:rsidR="0085008A" w:rsidRPr="00AA0BE1" w:rsidRDefault="0085008A" w:rsidP="0070560A">
      <w:pPr>
        <w:pStyle w:val="ListParagraph"/>
        <w:autoSpaceDE w:val="0"/>
        <w:autoSpaceDN w:val="0"/>
        <w:adjustRightInd w:val="0"/>
        <w:spacing w:before="60"/>
        <w:ind w:left="0"/>
        <w:jc w:val="both"/>
        <w:rPr>
          <w:rFonts w:ascii="Times New Roman" w:hAnsi="Times New Roman"/>
          <w:sz w:val="24"/>
          <w:szCs w:val="24"/>
          <w:shd w:val="clear" w:color="auto" w:fill="FFFFFF"/>
        </w:rPr>
      </w:pPr>
      <w:r w:rsidRPr="00AA0BE1">
        <w:rPr>
          <w:rFonts w:ascii="Times New Roman" w:hAnsi="Times New Roman"/>
          <w:sz w:val="24"/>
          <w:szCs w:val="24"/>
          <w:shd w:val="clear" w:color="auto" w:fill="FFFFFF"/>
        </w:rPr>
        <w:tab/>
        <w:t xml:space="preserve">Finally, note that, for non-consumed goods, the KKT conditions </w:t>
      </w:r>
      <w:r w:rsidR="00D533D7" w:rsidRPr="00AA0BE1">
        <w:rPr>
          <w:rFonts w:ascii="Times New Roman" w:hAnsi="Times New Roman"/>
          <w:sz w:val="24"/>
          <w:szCs w:val="24"/>
          <w:shd w:val="clear" w:color="auto" w:fill="FFFFFF"/>
        </w:rPr>
        <w:t xml:space="preserve">of Equation (10) </w:t>
      </w:r>
      <w:r w:rsidRPr="00AA0BE1">
        <w:rPr>
          <w:rFonts w:ascii="Times New Roman" w:hAnsi="Times New Roman"/>
          <w:sz w:val="24"/>
          <w:szCs w:val="24"/>
          <w:shd w:val="clear" w:color="auto" w:fill="FFFFFF"/>
        </w:rPr>
        <w:t>imply that the following should hold:</w:t>
      </w:r>
    </w:p>
    <w:p w:rsidR="0085008A" w:rsidRPr="00AA0BE1" w:rsidRDefault="00EF78FE" w:rsidP="0070560A">
      <w:pPr>
        <w:pStyle w:val="ListParagraph"/>
        <w:autoSpaceDE w:val="0"/>
        <w:autoSpaceDN w:val="0"/>
        <w:adjustRightInd w:val="0"/>
        <w:spacing w:before="60"/>
        <w:ind w:left="0"/>
        <w:jc w:val="both"/>
        <w:rPr>
          <w:rFonts w:ascii="Times New Roman" w:hAnsi="Times New Roman"/>
          <w:sz w:val="24"/>
          <w:szCs w:val="24"/>
        </w:rPr>
      </w:pPr>
      <w:r w:rsidRPr="00AA0BE1">
        <w:rPr>
          <w:rFonts w:ascii="Times New Roman" w:hAnsi="Times New Roman"/>
          <w:position w:val="-32"/>
          <w:sz w:val="24"/>
          <w:szCs w:val="24"/>
        </w:rPr>
        <w:object w:dxaOrig="4239" w:dyaOrig="820">
          <v:shape id="_x0000_i1463" type="#_x0000_t75" style="width:212.15pt;height:41.15pt" o:ole="">
            <v:imagedata r:id="rId741" o:title=""/>
          </v:shape>
          <o:OLEObject Type="Embed" ProgID="Equation.DSMT4" ShapeID="_x0000_i1463" DrawAspect="Content" ObjectID="_1722089857" r:id="rId742"/>
        </w:object>
      </w:r>
      <w:r w:rsidR="0085008A" w:rsidRPr="00AA0BE1">
        <w:rPr>
          <w:rFonts w:ascii="Times New Roman" w:hAnsi="Times New Roman"/>
          <w:sz w:val="24"/>
          <w:szCs w:val="24"/>
        </w:rPr>
        <w:t xml:space="preserve">. </w:t>
      </w:r>
      <w:r w:rsidR="0085008A" w:rsidRPr="00AA0BE1">
        <w:rPr>
          <w:rFonts w:ascii="Times New Roman" w:hAnsi="Times New Roman"/>
          <w:sz w:val="24"/>
          <w:szCs w:val="24"/>
        </w:rPr>
        <w:tab/>
      </w:r>
      <w:r w:rsidR="0085008A" w:rsidRPr="00AA0BE1">
        <w:rPr>
          <w:rFonts w:ascii="Times New Roman" w:hAnsi="Times New Roman"/>
          <w:sz w:val="24"/>
          <w:szCs w:val="24"/>
        </w:rPr>
        <w:tab/>
      </w:r>
      <w:r w:rsidR="0085008A" w:rsidRPr="00AA0BE1">
        <w:rPr>
          <w:rFonts w:ascii="Times New Roman" w:hAnsi="Times New Roman"/>
          <w:sz w:val="24"/>
          <w:szCs w:val="24"/>
        </w:rPr>
        <w:tab/>
      </w:r>
      <w:r w:rsidR="0085008A" w:rsidRPr="00AA0BE1">
        <w:rPr>
          <w:rFonts w:ascii="Times New Roman" w:hAnsi="Times New Roman"/>
          <w:sz w:val="24"/>
          <w:szCs w:val="24"/>
        </w:rPr>
        <w:tab/>
      </w:r>
      <w:r w:rsidR="0085008A" w:rsidRPr="00AA0BE1">
        <w:rPr>
          <w:rFonts w:ascii="Times New Roman" w:hAnsi="Times New Roman"/>
          <w:sz w:val="24"/>
          <w:szCs w:val="24"/>
        </w:rPr>
        <w:tab/>
      </w:r>
      <w:r w:rsidR="0085008A" w:rsidRPr="00AA0BE1">
        <w:rPr>
          <w:rFonts w:ascii="Times New Roman" w:hAnsi="Times New Roman"/>
          <w:sz w:val="24"/>
          <w:szCs w:val="24"/>
        </w:rPr>
        <w:tab/>
      </w:r>
      <w:r w:rsidR="00D533D7" w:rsidRPr="00AA0BE1">
        <w:rPr>
          <w:rFonts w:ascii="Times New Roman" w:hAnsi="Times New Roman"/>
          <w:sz w:val="24"/>
          <w:szCs w:val="24"/>
        </w:rPr>
        <w:t xml:space="preserve"> </w:t>
      </w:r>
      <w:r w:rsidR="0085008A" w:rsidRPr="00AA0BE1">
        <w:rPr>
          <w:rFonts w:ascii="Times New Roman" w:hAnsi="Times New Roman"/>
          <w:sz w:val="24"/>
          <w:szCs w:val="24"/>
        </w:rPr>
        <w:t>(B.7)</w:t>
      </w:r>
    </w:p>
    <w:p w:rsidR="00F44402" w:rsidRPr="00AA0BE1" w:rsidRDefault="0085008A" w:rsidP="0070560A">
      <w:pPr>
        <w:pStyle w:val="ListParagraph"/>
        <w:autoSpaceDE w:val="0"/>
        <w:autoSpaceDN w:val="0"/>
        <w:adjustRightInd w:val="0"/>
        <w:spacing w:before="60"/>
        <w:ind w:left="0"/>
        <w:jc w:val="both"/>
        <w:rPr>
          <w:rFonts w:ascii="Times New Roman" w:hAnsi="Times New Roman"/>
          <w:sz w:val="24"/>
          <w:szCs w:val="24"/>
        </w:rPr>
      </w:pPr>
      <w:r w:rsidRPr="00AA0BE1">
        <w:rPr>
          <w:rFonts w:ascii="Times New Roman" w:hAnsi="Times New Roman"/>
          <w:sz w:val="24"/>
          <w:szCs w:val="24"/>
        </w:rPr>
        <w:t xml:space="preserve">Substituting from Equation (B.4) for </w:t>
      </w:r>
      <w:r w:rsidR="00D533D7" w:rsidRPr="00AA0BE1">
        <w:rPr>
          <w:rFonts w:ascii="Times New Roman" w:hAnsi="Times New Roman"/>
          <w:position w:val="-12"/>
          <w:sz w:val="24"/>
          <w:szCs w:val="24"/>
        </w:rPr>
        <w:object w:dxaOrig="400" w:dyaOrig="400">
          <v:shape id="_x0000_i1464" type="#_x0000_t75" style="width:20.15pt;height:20.15pt" o:ole="">
            <v:imagedata r:id="rId743" o:title=""/>
          </v:shape>
          <o:OLEObject Type="Embed" ProgID="Equation.DSMT4" ShapeID="_x0000_i1464" DrawAspect="Content" ObjectID="_1722089858" r:id="rId744"/>
        </w:object>
      </w:r>
      <w:r w:rsidRPr="00AA0BE1">
        <w:rPr>
          <w:rFonts w:ascii="Times New Roman" w:hAnsi="Times New Roman"/>
          <w:sz w:val="24"/>
          <w:szCs w:val="24"/>
        </w:rPr>
        <w:t>, and after some algebra, we get:</w:t>
      </w:r>
    </w:p>
    <w:p w:rsidR="00D533D7" w:rsidRPr="00AA0BE1" w:rsidRDefault="00D533D7" w:rsidP="0070560A">
      <w:pPr>
        <w:pStyle w:val="ListParagraph"/>
        <w:autoSpaceDE w:val="0"/>
        <w:autoSpaceDN w:val="0"/>
        <w:adjustRightInd w:val="0"/>
        <w:spacing w:before="60"/>
        <w:ind w:left="0"/>
        <w:jc w:val="both"/>
        <w:rPr>
          <w:rFonts w:ascii="Times New Roman" w:hAnsi="Times New Roman"/>
          <w:sz w:val="24"/>
          <w:szCs w:val="24"/>
        </w:rPr>
      </w:pPr>
      <w:r w:rsidRPr="00AA0BE1">
        <w:rPr>
          <w:rFonts w:ascii="Times New Roman" w:hAnsi="Times New Roman"/>
          <w:position w:val="-62"/>
          <w:sz w:val="24"/>
          <w:szCs w:val="24"/>
        </w:rPr>
        <w:object w:dxaOrig="2500" w:dyaOrig="1359">
          <v:shape id="_x0000_i1465" type="#_x0000_t75" style="width:125.15pt;height:68.15pt" o:ole="">
            <v:imagedata r:id="rId745" o:title=""/>
          </v:shape>
          <o:OLEObject Type="Embed" ProgID="Equation.DSMT4" ShapeID="_x0000_i1465" DrawAspect="Content" ObjectID="_1722089859" r:id="rId746"/>
        </w:object>
      </w:r>
      <w:r w:rsidR="00EF78FE" w:rsidRPr="00AA0BE1">
        <w:rPr>
          <w:rFonts w:ascii="Times New Roman" w:hAnsi="Times New Roman"/>
          <w:sz w:val="24"/>
          <w:szCs w:val="24"/>
        </w:rPr>
        <w:tab/>
      </w:r>
      <w:r w:rsidR="00EF78FE" w:rsidRPr="00AA0BE1">
        <w:rPr>
          <w:rFonts w:ascii="Times New Roman" w:hAnsi="Times New Roman"/>
          <w:sz w:val="24"/>
          <w:szCs w:val="24"/>
        </w:rPr>
        <w:tab/>
      </w:r>
      <w:r w:rsidR="00EF78FE" w:rsidRPr="00AA0BE1">
        <w:rPr>
          <w:rFonts w:ascii="Times New Roman" w:hAnsi="Times New Roman"/>
          <w:sz w:val="24"/>
          <w:szCs w:val="24"/>
        </w:rPr>
        <w:tab/>
      </w:r>
      <w:r w:rsidR="00EF78FE" w:rsidRPr="00AA0BE1">
        <w:rPr>
          <w:rFonts w:ascii="Times New Roman" w:hAnsi="Times New Roman"/>
          <w:sz w:val="24"/>
          <w:szCs w:val="24"/>
        </w:rPr>
        <w:tab/>
      </w:r>
      <w:r w:rsidR="00EF78FE" w:rsidRPr="00AA0BE1">
        <w:rPr>
          <w:rFonts w:ascii="Times New Roman" w:hAnsi="Times New Roman"/>
          <w:sz w:val="24"/>
          <w:szCs w:val="24"/>
        </w:rPr>
        <w:tab/>
      </w:r>
      <w:r w:rsidR="00EF78FE" w:rsidRPr="00AA0BE1">
        <w:rPr>
          <w:rFonts w:ascii="Times New Roman" w:hAnsi="Times New Roman"/>
          <w:sz w:val="24"/>
          <w:szCs w:val="24"/>
        </w:rPr>
        <w:tab/>
      </w:r>
      <w:r w:rsidR="00EF78FE" w:rsidRPr="00AA0BE1">
        <w:rPr>
          <w:rFonts w:ascii="Times New Roman" w:hAnsi="Times New Roman"/>
          <w:sz w:val="24"/>
          <w:szCs w:val="24"/>
        </w:rPr>
        <w:tab/>
      </w:r>
      <w:r w:rsidR="00EF78FE" w:rsidRPr="00AA0BE1">
        <w:rPr>
          <w:rFonts w:ascii="Times New Roman" w:hAnsi="Times New Roman"/>
          <w:sz w:val="24"/>
          <w:szCs w:val="24"/>
        </w:rPr>
        <w:tab/>
      </w:r>
      <w:r w:rsidR="00EF78FE" w:rsidRPr="00AA0BE1">
        <w:rPr>
          <w:rFonts w:ascii="Times New Roman" w:hAnsi="Times New Roman"/>
          <w:sz w:val="24"/>
          <w:szCs w:val="24"/>
        </w:rPr>
        <w:tab/>
        <w:t xml:space="preserve">  (B.8)</w:t>
      </w:r>
    </w:p>
    <w:p w:rsidR="00EF78FE" w:rsidRDefault="00EF78FE" w:rsidP="0070560A">
      <w:pPr>
        <w:pStyle w:val="ListParagraph"/>
        <w:autoSpaceDE w:val="0"/>
        <w:autoSpaceDN w:val="0"/>
        <w:adjustRightInd w:val="0"/>
        <w:spacing w:before="60"/>
        <w:ind w:left="0"/>
        <w:jc w:val="both"/>
        <w:rPr>
          <w:rFonts w:ascii="Times New Roman" w:hAnsi="Times New Roman"/>
          <w:sz w:val="24"/>
          <w:szCs w:val="24"/>
        </w:rPr>
      </w:pPr>
      <w:r w:rsidRPr="00AA0BE1">
        <w:rPr>
          <w:rFonts w:ascii="Times New Roman" w:hAnsi="Times New Roman"/>
          <w:sz w:val="24"/>
          <w:szCs w:val="24"/>
        </w:rPr>
        <w:t>Using (B.8) in (B.7), the result is the following:</w:t>
      </w:r>
    </w:p>
    <w:p w:rsidR="00EF78FE" w:rsidRPr="00AA0BE1" w:rsidRDefault="00EF78FE" w:rsidP="0070560A">
      <w:pPr>
        <w:pStyle w:val="ListParagraph"/>
        <w:autoSpaceDE w:val="0"/>
        <w:autoSpaceDN w:val="0"/>
        <w:adjustRightInd w:val="0"/>
        <w:spacing w:before="60"/>
        <w:ind w:left="0"/>
        <w:jc w:val="both"/>
        <w:rPr>
          <w:rFonts w:ascii="Times New Roman" w:hAnsi="Times New Roman"/>
          <w:sz w:val="24"/>
          <w:szCs w:val="24"/>
        </w:rPr>
      </w:pPr>
    </w:p>
    <w:p w:rsidR="0085008A" w:rsidRPr="00AA0BE1" w:rsidRDefault="00EF78FE" w:rsidP="0070560A">
      <w:pPr>
        <w:pStyle w:val="ListParagraph"/>
        <w:autoSpaceDE w:val="0"/>
        <w:autoSpaceDN w:val="0"/>
        <w:adjustRightInd w:val="0"/>
        <w:spacing w:before="60"/>
        <w:ind w:left="0"/>
        <w:jc w:val="both"/>
        <w:rPr>
          <w:rFonts w:ascii="Times New Roman" w:hAnsi="Times New Roman"/>
          <w:sz w:val="24"/>
          <w:szCs w:val="24"/>
        </w:rPr>
      </w:pPr>
      <w:r w:rsidRPr="00AA0BE1">
        <w:rPr>
          <w:rFonts w:ascii="Times New Roman" w:hAnsi="Times New Roman"/>
          <w:position w:val="-64"/>
          <w:sz w:val="24"/>
          <w:szCs w:val="24"/>
        </w:rPr>
        <w:object w:dxaOrig="4300" w:dyaOrig="1400">
          <v:shape id="_x0000_i1466" type="#_x0000_t75" style="width:215.15pt;height:69.85pt" o:ole="">
            <v:imagedata r:id="rId747" o:title=""/>
          </v:shape>
          <o:OLEObject Type="Embed" ProgID="Equation.DSMT4" ShapeID="_x0000_i1466" DrawAspect="Content" ObjectID="_1722089860" r:id="rId748"/>
        </w:object>
      </w:r>
      <w:r w:rsidRPr="00AA0BE1">
        <w:rPr>
          <w:rFonts w:ascii="Times New Roman" w:hAnsi="Times New Roman"/>
          <w:sz w:val="24"/>
          <w:szCs w:val="24"/>
        </w:rPr>
        <w:t xml:space="preserve"> or, equivalently,</w:t>
      </w:r>
    </w:p>
    <w:p w:rsidR="0085008A" w:rsidRPr="00AA0BE1" w:rsidRDefault="00647C32" w:rsidP="0070560A">
      <w:pPr>
        <w:pStyle w:val="ListParagraph"/>
        <w:autoSpaceDE w:val="0"/>
        <w:autoSpaceDN w:val="0"/>
        <w:adjustRightInd w:val="0"/>
        <w:spacing w:before="60"/>
        <w:ind w:left="0"/>
        <w:jc w:val="both"/>
        <w:rPr>
          <w:rFonts w:ascii="Times New Roman" w:hAnsi="Times New Roman"/>
          <w:sz w:val="24"/>
          <w:szCs w:val="24"/>
          <w:shd w:val="clear" w:color="auto" w:fill="FFFFFF"/>
        </w:rPr>
      </w:pPr>
      <w:r w:rsidRPr="00647C32">
        <w:rPr>
          <w:rFonts w:ascii="Times New Roman" w:hAnsi="Times New Roman"/>
          <w:position w:val="-30"/>
          <w:sz w:val="24"/>
          <w:szCs w:val="24"/>
        </w:rPr>
        <w:object w:dxaOrig="5860" w:dyaOrig="700">
          <v:shape id="_x0000_i1467" type="#_x0000_t75" style="width:293.15pt;height:35.15pt" o:ole="">
            <v:imagedata r:id="rId749" o:title=""/>
          </v:shape>
          <o:OLEObject Type="Embed" ProgID="Equation.DSMT4" ShapeID="_x0000_i1467" DrawAspect="Content" ObjectID="_1722089861" r:id="rId750"/>
        </w:object>
      </w:r>
    </w:p>
    <w:sectPr w:rsidR="0085008A" w:rsidRPr="00AA0BE1" w:rsidSect="00A071C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2B7C" w:rsidRDefault="00CC2B7C">
      <w:r>
        <w:separator/>
      </w:r>
    </w:p>
  </w:endnote>
  <w:endnote w:type="continuationSeparator" w:id="0">
    <w:p w:rsidR="00CC2B7C" w:rsidRDefault="00CC2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733" w:rsidRDefault="00C30733" w:rsidP="0005161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30733" w:rsidRDefault="00C30733" w:rsidP="006203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733" w:rsidRDefault="00C30733" w:rsidP="0062032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733" w:rsidRDefault="00C30733" w:rsidP="00F7350D">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733" w:rsidRDefault="00C30733" w:rsidP="00F7350D">
    <w:pPr>
      <w:pStyle w:val="Footer"/>
      <w:jc w:val="center"/>
    </w:pPr>
    <w:r>
      <w:fldChar w:fldCharType="begin"/>
    </w:r>
    <w:r>
      <w:instrText xml:space="preserve"> PAGE   \* MERGEFORMAT </w:instrText>
    </w:r>
    <w:r>
      <w:fldChar w:fldCharType="separate"/>
    </w:r>
    <w:r>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2B7C" w:rsidRDefault="00CC2B7C">
      <w:r>
        <w:separator/>
      </w:r>
    </w:p>
  </w:footnote>
  <w:footnote w:type="continuationSeparator" w:id="0">
    <w:p w:rsidR="00CC2B7C" w:rsidRDefault="00CC2B7C">
      <w:r>
        <w:continuationSeparator/>
      </w:r>
    </w:p>
  </w:footnote>
  <w:footnote w:id="1">
    <w:p w:rsidR="00C30733" w:rsidRPr="00F62F4D" w:rsidRDefault="00C30733" w:rsidP="004973B8">
      <w:pPr>
        <w:pStyle w:val="FootnoteText"/>
        <w:spacing w:after="60"/>
        <w:jc w:val="both"/>
      </w:pPr>
      <w:r>
        <w:rPr>
          <w:rStyle w:val="FootnoteReference"/>
        </w:rPr>
        <w:footnoteRef/>
      </w:r>
      <w:r>
        <w:t xml:space="preserve"> Some earlier studies have tried to “skirt” the overall budget unobservability problem by imposing a natural maximum constant budget amount across all individuals, or adding a constant allocation to an outside good to construct an overall budget, or developing a customized maximum budget amount for each individual, or developing an independent first-stage regression model for total budget (see, for example, Bhat and Sen, 2006, Pinjari et al., 2016). But these are all rather </w:t>
      </w:r>
      <w:r w:rsidRPr="00E53B18">
        <w:rPr>
          <w:i/>
        </w:rPr>
        <w:t>ad hoc</w:t>
      </w:r>
      <w:r>
        <w:t xml:space="preserve"> ways of developing a total budget.</w:t>
      </w:r>
    </w:p>
  </w:footnote>
  <w:footnote w:id="2">
    <w:p w:rsidR="00C30733" w:rsidRDefault="00C30733" w:rsidP="00AA0BE1">
      <w:pPr>
        <w:pStyle w:val="FootnoteText"/>
        <w:jc w:val="both"/>
      </w:pPr>
      <w:r>
        <w:rPr>
          <w:rStyle w:val="FootnoteReference"/>
        </w:rPr>
        <w:footnoteRef/>
      </w:r>
      <w:r>
        <w:t xml:space="preserve"> In the traditional MDC model estimation, a large budget expenditure on the outside good will tend to drive the baseline preferences of the inside goods to small values and also drive the satiation to be extremely high for these goods, resulting in convergence instability. On the other hand, the use of a linear utility form for the outside good, because it focuses better on fitting the discrete probabilities and does not involve the appearance of the outside good consumption in the baseline preference for the inside goods handles such situations much better.</w:t>
      </w:r>
    </w:p>
  </w:footnote>
  <w:footnote w:id="3">
    <w:p w:rsidR="00C30733" w:rsidRDefault="00C30733" w:rsidP="007422BF">
      <w:pPr>
        <w:pStyle w:val="FootnoteText"/>
        <w:jc w:val="both"/>
      </w:pPr>
      <w:r>
        <w:rPr>
          <w:rStyle w:val="FootnoteReference"/>
        </w:rPr>
        <w:footnoteRef/>
      </w:r>
      <w:r>
        <w:t xml:space="preserve"> This is also true of the Hicksian composite good-based stochastic-frontier approach of Augustin et al. (2015) and Pinjari et al. (2016).</w:t>
      </w:r>
    </w:p>
  </w:footnote>
  <w:footnote w:id="4">
    <w:p w:rsidR="00C30733" w:rsidRDefault="00C30733" w:rsidP="004973B8">
      <w:pPr>
        <w:pStyle w:val="FootnoteText"/>
        <w:spacing w:after="60"/>
        <w:jc w:val="both"/>
      </w:pPr>
      <w:r>
        <w:rPr>
          <w:rStyle w:val="FootnoteReference"/>
        </w:rPr>
        <w:footnoteRef/>
      </w:r>
      <w:r>
        <w:t xml:space="preserve"> The assumption of a quasi-concave utility function is simply a manifestation of requiring the indifference curves to be convex to the origin (see Deaton and Muellbauer, 1980, p. 30 for a rigorous definition of quasi-concavity). The assumption of an increasing utility function implies that for any good </w:t>
      </w:r>
      <w:r w:rsidRPr="004B7CE0">
        <w:rPr>
          <w:i/>
        </w:rPr>
        <w:t>k</w:t>
      </w:r>
      <w:r>
        <w:t xml:space="preserve">, the subutility function is such that </w:t>
      </w:r>
      <w:r>
        <w:rPr>
          <w:position w:val="-12"/>
        </w:rPr>
        <w:object w:dxaOrig="2820" w:dyaOrig="400">
          <v:shape id="_x0000_i1469" type="#_x0000_t75" style="width:117.45pt;height:16.7pt" o:ole="">
            <v:imagedata r:id="rId1" o:title=""/>
          </v:shape>
          <o:OLEObject Type="Embed" ProgID="Equation.DSMT4" ShapeID="_x0000_i1469" DrawAspect="Content" ObjectID="_1722089862" r:id="rId2"/>
        </w:object>
      </w:r>
    </w:p>
  </w:footnote>
  <w:footnote w:id="5">
    <w:p w:rsidR="00C30733" w:rsidRPr="009E25A1" w:rsidRDefault="00C30733" w:rsidP="00ED0164">
      <w:pPr>
        <w:jc w:val="both"/>
        <w:rPr>
          <w:sz w:val="20"/>
          <w:szCs w:val="20"/>
        </w:rPr>
      </w:pPr>
      <w:r w:rsidRPr="007422BF">
        <w:rPr>
          <w:rStyle w:val="FootnoteReference"/>
          <w:sz w:val="20"/>
          <w:szCs w:val="20"/>
        </w:rPr>
        <w:footnoteRef/>
      </w:r>
      <w:r>
        <w:rPr>
          <w:sz w:val="20"/>
          <w:szCs w:val="20"/>
        </w:rPr>
        <w:t xml:space="preserve"> </w:t>
      </w:r>
      <w:r w:rsidRPr="009E25A1">
        <w:rPr>
          <w:sz w:val="20"/>
          <w:szCs w:val="20"/>
        </w:rPr>
        <w:t xml:space="preserve">The origin of these identification conditions is the unit sum constraint associated with the fractional splits. Also, note that one could as well have considered the baseline marginal utility function for alternative </w:t>
      </w:r>
      <w:r w:rsidRPr="009E25A1">
        <w:rPr>
          <w:i/>
          <w:sz w:val="20"/>
          <w:szCs w:val="20"/>
        </w:rPr>
        <w:t>k</w:t>
      </w:r>
      <w:r w:rsidRPr="009E25A1">
        <w:rPr>
          <w:sz w:val="20"/>
          <w:szCs w:val="20"/>
        </w:rPr>
        <w:t xml:space="preserve"> in Equation (</w:t>
      </w:r>
      <w:r>
        <w:rPr>
          <w:sz w:val="20"/>
          <w:szCs w:val="20"/>
        </w:rPr>
        <w:t>3</w:t>
      </w:r>
      <w:r w:rsidRPr="009E25A1">
        <w:rPr>
          <w:sz w:val="20"/>
          <w:szCs w:val="20"/>
        </w:rPr>
        <w:t>) as:</w:t>
      </w:r>
    </w:p>
    <w:p w:rsidR="00C30733" w:rsidRPr="002548C5" w:rsidRDefault="00C30733" w:rsidP="002548C5">
      <w:pPr>
        <w:spacing w:after="80"/>
        <w:jc w:val="both"/>
        <w:rPr>
          <w:sz w:val="20"/>
          <w:szCs w:val="20"/>
        </w:rPr>
      </w:pPr>
      <w:r w:rsidRPr="009E25A1">
        <w:rPr>
          <w:position w:val="-16"/>
          <w:sz w:val="20"/>
          <w:szCs w:val="20"/>
        </w:rPr>
        <w:object w:dxaOrig="2360" w:dyaOrig="420">
          <v:shape id="_x0000_i1471" type="#_x0000_t75" style="width:117.85pt;height:21pt" o:ole="" o:preferrelative="f">
            <v:imagedata r:id="rId3" o:title=""/>
            <o:lock v:ext="edit" aspectratio="f"/>
          </v:shape>
          <o:OLEObject Type="Embed" ProgID="Equation.DSMT4" ShapeID="_x0000_i1471" DrawAspect="Content" ObjectID="_1722089863" r:id="rId4"/>
        </w:object>
      </w:r>
      <w:r w:rsidRPr="009E25A1">
        <w:rPr>
          <w:sz w:val="20"/>
          <w:szCs w:val="20"/>
        </w:rPr>
        <w:t xml:space="preserve">with the error term </w:t>
      </w:r>
      <w:r w:rsidRPr="009E25A1">
        <w:rPr>
          <w:position w:val="-12"/>
          <w:sz w:val="20"/>
          <w:szCs w:val="20"/>
        </w:rPr>
        <w:object w:dxaOrig="260" w:dyaOrig="360">
          <v:shape id="_x0000_i1473" type="#_x0000_t75" style="width:10.7pt;height:15pt" o:ole="">
            <v:imagedata r:id="rId5" o:title=""/>
          </v:shape>
          <o:OLEObject Type="Embed" ProgID="Equation.DSMT4" ShapeID="_x0000_i1473" DrawAspect="Content" ObjectID="_1722089864" r:id="rId6"/>
        </w:object>
      </w:r>
      <w:r w:rsidRPr="009E25A1">
        <w:rPr>
          <w:sz w:val="20"/>
          <w:szCs w:val="20"/>
        </w:rPr>
        <w:t xml:space="preserve"> being distributed with scale</w:t>
      </w:r>
      <w:r>
        <w:rPr>
          <w:sz w:val="20"/>
          <w:szCs w:val="20"/>
        </w:rPr>
        <w:t xml:space="preserve"> </w:t>
      </w:r>
      <w:r w:rsidRPr="000C44EE">
        <w:rPr>
          <w:i/>
          <w:sz w:val="20"/>
          <w:szCs w:val="20"/>
        </w:rPr>
        <w:t>σ</w:t>
      </w:r>
      <w:r>
        <w:rPr>
          <w:sz w:val="20"/>
          <w:szCs w:val="20"/>
        </w:rPr>
        <w:t>.</w:t>
      </w:r>
      <w:r w:rsidRPr="009E25A1">
        <w:rPr>
          <w:sz w:val="20"/>
          <w:szCs w:val="20"/>
        </w:rPr>
        <w:t xml:space="preserve"> It is easy to show that nothing changes in our entire formulation or model results, except that </w:t>
      </w:r>
      <w:r w:rsidRPr="009E25A1">
        <w:rPr>
          <w:position w:val="-10"/>
          <w:sz w:val="20"/>
          <w:szCs w:val="20"/>
        </w:rPr>
        <w:object w:dxaOrig="680" w:dyaOrig="340">
          <v:shape id="_x0000_i1475" type="#_x0000_t75" style="width:29.55pt;height:15pt" o:ole="">
            <v:imagedata r:id="rId7" o:title=""/>
          </v:shape>
          <o:OLEObject Type="Embed" ProgID="Equation.DSMT4" ShapeID="_x0000_i1475" DrawAspect="Content" ObjectID="_1722089865" r:id="rId8"/>
        </w:object>
      </w:r>
      <w:r w:rsidRPr="009E25A1">
        <w:rPr>
          <w:sz w:val="20"/>
          <w:szCs w:val="20"/>
        </w:rPr>
        <w:t xml:space="preserve"> We prefer to use the notation in Equation (</w:t>
      </w:r>
      <w:r>
        <w:rPr>
          <w:sz w:val="20"/>
          <w:szCs w:val="20"/>
        </w:rPr>
        <w:t>3</w:t>
      </w:r>
      <w:r w:rsidRPr="009E25A1">
        <w:rPr>
          <w:sz w:val="20"/>
          <w:szCs w:val="20"/>
        </w:rPr>
        <w:t xml:space="preserve">) because it simplifies the presentation.  </w:t>
      </w:r>
    </w:p>
  </w:footnote>
  <w:footnote w:id="6">
    <w:p w:rsidR="00C30733" w:rsidRDefault="00C30733" w:rsidP="0064219E">
      <w:pPr>
        <w:pStyle w:val="FootnoteText"/>
        <w:jc w:val="both"/>
      </w:pPr>
      <w:r>
        <w:rPr>
          <w:rStyle w:val="FootnoteReference"/>
        </w:rPr>
        <w:footnoteRef/>
      </w:r>
      <w:r>
        <w:t xml:space="preserve"> The </w:t>
      </w:r>
      <w:r w:rsidR="00650C1F" w:rsidRPr="00EA51AE">
        <w:rPr>
          <w:position w:val="-12"/>
        </w:rPr>
        <w:object w:dxaOrig="279" w:dyaOrig="360">
          <v:shape id="_x0000_i1477" type="#_x0000_t75" style="width:14.15pt;height:18pt" o:ole="">
            <v:imagedata r:id="rId9" o:title=""/>
          </v:shape>
          <o:OLEObject Type="Embed" ProgID="Equation.DSMT4" ShapeID="_x0000_i1477" DrawAspect="Content" ObjectID="_1722089866" r:id="rId10"/>
        </w:object>
      </w:r>
      <w:r w:rsidR="00650C1F">
        <w:t xml:space="preserve"> </w:t>
      </w:r>
      <w:r>
        <w:t>error terms (</w:t>
      </w:r>
      <w:r>
        <w:rPr>
          <w:i/>
        </w:rPr>
        <w:t xml:space="preserve">k </w:t>
      </w:r>
      <w:r>
        <w:t xml:space="preserve">= 2, 3,…, </w:t>
      </w:r>
      <w:r>
        <w:rPr>
          <w:i/>
        </w:rPr>
        <w:t>K</w:t>
      </w:r>
      <w:r>
        <w:t>) are essentially multivariate logistically distributed with a correlation of 0.5, with the SDF expression as given below (</w:t>
      </w:r>
      <w:r w:rsidRPr="007367AA">
        <w:t>see Bhat et al., 2020).</w:t>
      </w:r>
    </w:p>
  </w:footnote>
  <w:footnote w:id="7">
    <w:p w:rsidR="00C30733" w:rsidRDefault="00C30733" w:rsidP="008F4031">
      <w:pPr>
        <w:pStyle w:val="FootnoteText"/>
        <w:spacing w:after="80"/>
        <w:jc w:val="both"/>
      </w:pPr>
      <w:r>
        <w:rPr>
          <w:rStyle w:val="FootnoteReference"/>
        </w:rPr>
        <w:footnoteRef/>
      </w:r>
      <w:r>
        <w:t xml:space="preserve"> This distribution was proposed by Bhat recently and applied in a pair of recent papers for a different application; see Mondal and Bhat, 2021 and Bhat et al., 2022; but much more of its properties are derived and formally presented here; these properties will be put to good use not only in estimation, but also in forecasting, as discussed later.</w:t>
      </w:r>
    </w:p>
  </w:footnote>
  <w:footnote w:id="8">
    <w:p w:rsidR="00C30733" w:rsidRDefault="00C30733" w:rsidP="00A15DCC">
      <w:pPr>
        <w:pStyle w:val="FootnoteText"/>
        <w:spacing w:after="80"/>
        <w:jc w:val="both"/>
      </w:pPr>
      <w:r>
        <w:rPr>
          <w:rStyle w:val="FootnoteReference"/>
        </w:rPr>
        <w:footnoteRef/>
      </w:r>
      <w:r>
        <w:t xml:space="preserve"> Note also that, because </w:t>
      </w:r>
      <w:r w:rsidRPr="00562B55">
        <w:rPr>
          <w:position w:val="-10"/>
        </w:rPr>
        <w:object w:dxaOrig="200" w:dyaOrig="260">
          <v:shape id="_x0000_i1479" type="#_x0000_t75" style="width:8.55pt;height:11.15pt" o:ole="">
            <v:imagedata r:id="rId11" o:title=""/>
          </v:shape>
          <o:OLEObject Type="Embed" ProgID="Equation.DSMT4" ShapeID="_x0000_i1479" DrawAspect="Content" ObjectID="_1722089867" r:id="rId12"/>
        </w:object>
      </w:r>
      <w:r>
        <w:t xml:space="preserve"> appears in negative form on the right side of Equation (26), the effective distribution for </w:t>
      </w:r>
      <w:r w:rsidRPr="00562B55">
        <w:rPr>
          <w:position w:val="-12"/>
        </w:rPr>
        <w:object w:dxaOrig="279" w:dyaOrig="380">
          <v:shape id="_x0000_i1481" type="#_x0000_t75" style="width:12pt;height:16.3pt" o:ole="">
            <v:imagedata r:id="rId13" o:title=""/>
          </v:shape>
          <o:OLEObject Type="Embed" ProgID="Equation.DSMT4" ShapeID="_x0000_i1481" DrawAspect="Content" ObjectID="_1722089868" r:id="rId14"/>
        </w:object>
      </w:r>
      <w:r>
        <w:t xml:space="preserve">, takes a distributional form that has a long right tail. This is consistent with expenditure data or mileage data, which is rarely symmetric, and has a long trailing right edge. This is also the reason why a lognormal form has been used to model such expenditure data. In our case here, the convenience of the distribution form with linking leads us to use the reverse Gumbel distribution for </w:t>
      </w:r>
      <w:r w:rsidRPr="0052056C">
        <w:rPr>
          <w:position w:val="-10"/>
        </w:rPr>
        <w:object w:dxaOrig="240" w:dyaOrig="320">
          <v:shape id="_x0000_i1483" type="#_x0000_t75" style="width:10.3pt;height:13.3pt" o:ole="">
            <v:imagedata r:id="rId15" o:title=""/>
          </v:shape>
          <o:OLEObject Type="Embed" ProgID="Equation.DSMT4" ShapeID="_x0000_i1483" DrawAspect="Content" ObjectID="_1722089869" r:id="rId16"/>
        </w:object>
      </w:r>
      <w:r>
        <w:t xml:space="preserve">, which translates to the right skew of </w:t>
      </w:r>
      <w:r w:rsidR="00650C1F" w:rsidRPr="00562B55">
        <w:rPr>
          <w:position w:val="-12"/>
        </w:rPr>
        <w:object w:dxaOrig="279" w:dyaOrig="380">
          <v:shape id="_x0000_i1485" type="#_x0000_t75" style="width:12pt;height:16.3pt" o:ole="">
            <v:imagedata r:id="rId17" o:title=""/>
          </v:shape>
          <o:OLEObject Type="Embed" ProgID="Equation.DSMT4" ShapeID="_x0000_i1485" DrawAspect="Content" ObjectID="_1722089870" r:id="rId18"/>
        </w:object>
      </w:r>
      <w:r>
        <w:t xml:space="preserve">. Interestingly, when there is no linkage, the only error term appearing in Equation (26) is the reverse Gumbel variable </w:t>
      </w:r>
      <w:r w:rsidRPr="0052056C">
        <w:rPr>
          <w:position w:val="-10"/>
        </w:rPr>
        <w:object w:dxaOrig="240" w:dyaOrig="320">
          <v:shape id="_x0000_i1487" type="#_x0000_t75" style="width:10.3pt;height:13.3pt" o:ole="">
            <v:imagedata r:id="rId15" o:title=""/>
          </v:shape>
          <o:OLEObject Type="Embed" ProgID="Equation.DSMT4" ShapeID="_x0000_i1487" DrawAspect="Content" ObjectID="_1722089871" r:id="rId19"/>
        </w:object>
      </w:r>
      <w:r>
        <w:t xml:space="preserve">, which still lends the desirable right-skew to the distribution for </w:t>
      </w:r>
      <w:r w:rsidR="00650C1F" w:rsidRPr="00562B55">
        <w:rPr>
          <w:position w:val="-12"/>
        </w:rPr>
        <w:object w:dxaOrig="279" w:dyaOrig="380">
          <v:shape id="_x0000_i1489" type="#_x0000_t75" style="width:12pt;height:16.3pt" o:ole="">
            <v:imagedata r:id="rId20" o:title=""/>
          </v:shape>
          <o:OLEObject Type="Embed" ProgID="Equation.DSMT4" ShapeID="_x0000_i1489" DrawAspect="Content" ObjectID="_1722089872" r:id="rId21"/>
        </w:object>
      </w:r>
      <w:r>
        <w:t xml:space="preserve">. </w:t>
      </w:r>
    </w:p>
  </w:footnote>
  <w:footnote w:id="9">
    <w:p w:rsidR="00C30733" w:rsidRDefault="00C30733" w:rsidP="00AA0BE1">
      <w:pPr>
        <w:pStyle w:val="FootnoteText"/>
        <w:spacing w:after="80"/>
        <w:jc w:val="both"/>
      </w:pPr>
      <w:r>
        <w:rPr>
          <w:rStyle w:val="FootnoteReference"/>
        </w:rPr>
        <w:footnoteRef/>
      </w:r>
      <w:r>
        <w:t xml:space="preserve"> When there is no linkage, </w:t>
      </w:r>
      <w:r w:rsidRPr="00782248">
        <w:rPr>
          <w:position w:val="-6"/>
        </w:rPr>
        <w:object w:dxaOrig="380" w:dyaOrig="279">
          <v:shape id="_x0000_i1491" type="#_x0000_t75" style="width:16.3pt;height:12pt" o:ole="">
            <v:imagedata r:id="rId22" o:title=""/>
          </v:shape>
          <o:OLEObject Type="Embed" ProgID="Equation.DSMT4" ShapeID="_x0000_i1491" DrawAspect="Content" ObjectID="_1722089873" r:id="rId23"/>
        </w:object>
      </w:r>
      <w:r>
        <w:t xml:space="preserve"> serves as the scale parameter of the error term in the Tobit regression of Equation (26) (</w:t>
      </w:r>
      <w:r w:rsidRPr="00782248">
        <w:rPr>
          <w:position w:val="-6"/>
        </w:rPr>
        <w:object w:dxaOrig="220" w:dyaOrig="279">
          <v:shape id="_x0000_i1493" type="#_x0000_t75" style="width:9.45pt;height:12pt" o:ole="">
            <v:imagedata r:id="rId24" o:title=""/>
          </v:shape>
          <o:OLEObject Type="Embed" ProgID="Equation.DSMT4" ShapeID="_x0000_i1493" DrawAspect="Content" ObjectID="_1722089874" r:id="rId25"/>
        </w:object>
      </w:r>
      <w:r>
        <w:t xml:space="preserve"> and </w:t>
      </w:r>
      <w:r w:rsidRPr="00782248">
        <w:rPr>
          <w:position w:val="-6"/>
        </w:rPr>
        <w:object w:dxaOrig="240" w:dyaOrig="220">
          <v:shape id="_x0000_i1495" type="#_x0000_t75" style="width:10.3pt;height:9.45pt" o:ole="">
            <v:imagedata r:id="rId26" o:title=""/>
          </v:shape>
          <o:OLEObject Type="Embed" ProgID="Equation.DSMT4" ShapeID="_x0000_i1495" DrawAspect="Content" ObjectID="_1722089875" r:id="rId27"/>
        </w:object>
      </w:r>
      <w:r>
        <w:t xml:space="preserve"> are identified separately only if there is price variations across the goods in the product category under consideration in the fractional MDCEV model; otherwise, </w:t>
      </w:r>
      <w:r w:rsidRPr="00782248">
        <w:rPr>
          <w:position w:val="-6"/>
        </w:rPr>
        <w:object w:dxaOrig="240" w:dyaOrig="220">
          <v:shape id="_x0000_i1497" type="#_x0000_t75" style="width:10.3pt;height:9.45pt" o:ole="">
            <v:imagedata r:id="rId26" o:title=""/>
          </v:shape>
          <o:OLEObject Type="Embed" ProgID="Equation.DSMT4" ShapeID="_x0000_i1497" DrawAspect="Content" ObjectID="_1722089876" r:id="rId28"/>
        </w:object>
      </w:r>
      <w:r w:rsidR="008F4031">
        <w:t xml:space="preserve"> </w:t>
      </w:r>
      <w:r>
        <w:t xml:space="preserve">needs to be normalized to one and </w:t>
      </w:r>
      <w:r w:rsidRPr="00782248">
        <w:rPr>
          <w:position w:val="-6"/>
        </w:rPr>
        <w:object w:dxaOrig="220" w:dyaOrig="279">
          <v:shape id="_x0000_i1499" type="#_x0000_t75" style="width:9.45pt;height:12pt" o:ole="">
            <v:imagedata r:id="rId24" o:title=""/>
          </v:shape>
          <o:OLEObject Type="Embed" ProgID="Equation.DSMT4" ShapeID="_x0000_i1499" DrawAspect="Content" ObjectID="_1722089877" r:id="rId29"/>
        </w:object>
      </w:r>
      <w:r>
        <w:t xml:space="preserve"> is identified). With linkage, the linkage parameter </w:t>
      </w:r>
      <w:r w:rsidRPr="00782248">
        <w:rPr>
          <w:position w:val="-6"/>
        </w:rPr>
        <w:object w:dxaOrig="220" w:dyaOrig="279">
          <v:shape id="_x0000_i1501" type="#_x0000_t75" style="width:9.45pt;height:12pt" o:ole="">
            <v:imagedata r:id="rId30" o:title=""/>
          </v:shape>
          <o:OLEObject Type="Embed" ProgID="Equation.DSMT4" ShapeID="_x0000_i1501" DrawAspect="Content" ObjectID="_1722089878" r:id="rId31"/>
        </w:object>
      </w:r>
      <w:r>
        <w:t xml:space="preserve"> (that captures the systematic baseline preference effects as well as unobserved heterogeneity of the baseline preference effects on the overall price index for the product category) is estimable, but </w:t>
      </w:r>
      <w:r w:rsidRPr="00782248">
        <w:rPr>
          <w:position w:val="-6"/>
        </w:rPr>
        <w:object w:dxaOrig="240" w:dyaOrig="220">
          <v:shape id="_x0000_i1503" type="#_x0000_t75" style="width:10.3pt;height:9.45pt" o:ole="">
            <v:imagedata r:id="rId26" o:title=""/>
          </v:shape>
          <o:OLEObject Type="Embed" ProgID="Equation.DSMT4" ShapeID="_x0000_i1503" DrawAspect="Content" ObjectID="_1722089879" r:id="rId32"/>
        </w:object>
      </w:r>
      <w:r>
        <w:t>again is estimable only if there i</w:t>
      </w:r>
      <w:r w:rsidR="001F279B">
        <w:t xml:space="preserve">s </w:t>
      </w:r>
      <w:r>
        <w:t xml:space="preserve">price variation across commodities in the product group. However, with linkage, heteroscedasticity is also introduced in the Tobit model because of the </w:t>
      </w:r>
      <w:r w:rsidR="008F4031" w:rsidRPr="00550A2E">
        <w:rPr>
          <w:position w:val="-12"/>
        </w:rPr>
        <w:object w:dxaOrig="260" w:dyaOrig="360">
          <v:shape id="_x0000_i1505" type="#_x0000_t75" style="width:11.55pt;height:16.3pt" o:ole="">
            <v:imagedata r:id="rId33" o:title=""/>
          </v:shape>
          <o:OLEObject Type="Embed" ProgID="Equation.DSMT4" ShapeID="_x0000_i1505" DrawAspect="Content" ObjectID="_1722089880" r:id="rId34"/>
        </w:object>
      </w:r>
      <w:r>
        <w:t xml:space="preserve"> error terms, as will be noted later in Equation (30). Finally, if one uses the empirical specification where the expected value of </w:t>
      </w:r>
      <w:r w:rsidR="008F4031" w:rsidRPr="00AA0BE1">
        <w:rPr>
          <w:position w:val="-30"/>
        </w:rPr>
        <w:object w:dxaOrig="2020" w:dyaOrig="760">
          <v:shape id="_x0000_i1507" type="#_x0000_t75" style="width:91.3pt;height:34.7pt" o:ole="">
            <v:imagedata r:id="rId35" o:title=""/>
          </v:shape>
          <o:OLEObject Type="Embed" ProgID="Equation.DSMT4" ShapeID="_x0000_i1507" DrawAspect="Content" ObjectID="_1722089881" r:id="rId36"/>
        </w:object>
      </w:r>
      <w:r>
        <w:t xml:space="preserve"> </w:t>
      </w:r>
      <w:r w:rsidR="001F279B">
        <w:t xml:space="preserve">(or its monotonic transformation, such as a logarithm transformation) </w:t>
      </w:r>
      <w:r>
        <w:t xml:space="preserve">is employed as the deterministic linking function, it is possible to separately identify the linking parameter </w:t>
      </w:r>
      <w:r w:rsidRPr="00782248">
        <w:rPr>
          <w:position w:val="-6"/>
        </w:rPr>
        <w:object w:dxaOrig="220" w:dyaOrig="279">
          <v:shape id="_x0000_i1509" type="#_x0000_t75" style="width:9.45pt;height:12pt" o:ole="">
            <v:imagedata r:id="rId24" o:title=""/>
          </v:shape>
          <o:OLEObject Type="Embed" ProgID="Equation.DSMT4" ShapeID="_x0000_i1509" DrawAspect="Content" ObjectID="_1722089882" r:id="rId37"/>
        </w:object>
      </w:r>
      <w:r>
        <w:t xml:space="preserve"> from a separate scale parameter for the </w:t>
      </w:r>
      <w:r w:rsidRPr="0052056C">
        <w:rPr>
          <w:position w:val="-10"/>
        </w:rPr>
        <w:object w:dxaOrig="240" w:dyaOrig="320">
          <v:shape id="_x0000_i1511" type="#_x0000_t75" style="width:10.3pt;height:13.3pt" o:ole="">
            <v:imagedata r:id="rId15" o:title=""/>
          </v:shape>
          <o:OLEObject Type="Embed" ProgID="Equation.DSMT4" ShapeID="_x0000_i1511" DrawAspect="Content" ObjectID="_1722089883" r:id="rId38"/>
        </w:object>
      </w:r>
      <w:r>
        <w:t xml:space="preserve"> error term as well as </w:t>
      </w:r>
      <w:r w:rsidRPr="00782248">
        <w:rPr>
          <w:position w:val="-6"/>
        </w:rPr>
        <w:object w:dxaOrig="240" w:dyaOrig="220">
          <v:shape id="_x0000_i1513" type="#_x0000_t75" style="width:10.3pt;height:9.45pt" o:ole="">
            <v:imagedata r:id="rId26" o:title=""/>
          </v:shape>
          <o:OLEObject Type="Embed" ProgID="Equation.DSMT4" ShapeID="_x0000_i1513" DrawAspect="Content" ObjectID="_1722089884" r:id="rId39"/>
        </w:object>
      </w:r>
      <w:r>
        <w:t xml:space="preserve"> in the case of price variation in the fractional MDCEV model. If there is no price variation, </w:t>
      </w:r>
      <w:r w:rsidRPr="00782248">
        <w:rPr>
          <w:position w:val="-6"/>
        </w:rPr>
        <w:object w:dxaOrig="240" w:dyaOrig="220">
          <v:shape id="_x0000_i1515" type="#_x0000_t75" style="width:10.3pt;height:9.45pt" o:ole="">
            <v:imagedata r:id="rId26" o:title=""/>
          </v:shape>
          <o:OLEObject Type="Embed" ProgID="Equation.DSMT4" ShapeID="_x0000_i1515" DrawAspect="Content" ObjectID="_1722089885" r:id="rId40"/>
        </w:object>
      </w:r>
      <w:r>
        <w:t xml:space="preserve"> has to be normalized to one, but the linking parameter </w:t>
      </w:r>
      <w:r w:rsidRPr="00782248">
        <w:rPr>
          <w:position w:val="-6"/>
        </w:rPr>
        <w:object w:dxaOrig="220" w:dyaOrig="279">
          <v:shape id="_x0000_i1517" type="#_x0000_t75" style="width:9.45pt;height:12pt" o:ole="">
            <v:imagedata r:id="rId24" o:title=""/>
          </v:shape>
          <o:OLEObject Type="Embed" ProgID="Equation.DSMT4" ShapeID="_x0000_i1517" DrawAspect="Content" ObjectID="_1722089886" r:id="rId41"/>
        </w:object>
      </w:r>
      <w:r>
        <w:t xml:space="preserve"> again is identifiable separately from the scale parameter for the </w:t>
      </w:r>
      <w:r w:rsidRPr="0052056C">
        <w:rPr>
          <w:position w:val="-10"/>
        </w:rPr>
        <w:object w:dxaOrig="240" w:dyaOrig="320">
          <v:shape id="_x0000_i1519" type="#_x0000_t75" style="width:10.3pt;height:13.3pt" o:ole="">
            <v:imagedata r:id="rId15" o:title=""/>
          </v:shape>
          <o:OLEObject Type="Embed" ProgID="Equation.DSMT4" ShapeID="_x0000_i1519" DrawAspect="Content" ObjectID="_1722089887" r:id="rId42"/>
        </w:object>
      </w:r>
      <w:r>
        <w:t xml:space="preserve"> error term. Essentially, this alternative deterministic linking specification, which we do not consider in this paper, adds a parameter while maintaining homoscedasticity in the Tobit model. The deterministic linking specification also nests the unlinked model. Our empirical stochastic linking approach, on the other hand, has the same number of parameters as the unlinked model, while also engendering heteroscedasticity in the Tobit equation (see also Section 4.4.2). Thus, it is parsimonious and affords more flexibility, though the error term distribution of the Tobit model gets altered; so our empirical model does not nest the unlinked model. </w:t>
      </w:r>
    </w:p>
  </w:footnote>
  <w:footnote w:id="10">
    <w:p w:rsidR="00C30733" w:rsidRDefault="00C30733" w:rsidP="00F70F5E">
      <w:pPr>
        <w:pStyle w:val="FootnoteText"/>
        <w:jc w:val="both"/>
      </w:pPr>
      <w:r>
        <w:rPr>
          <w:rStyle w:val="FootnoteReference"/>
        </w:rPr>
        <w:footnoteRef/>
      </w:r>
      <w:r>
        <w:t xml:space="preserve"> When </w:t>
      </w:r>
      <w:r w:rsidRPr="001E5B6D">
        <w:rPr>
          <w:i/>
        </w:rPr>
        <w:t>K</w:t>
      </w:r>
      <w:r>
        <w:t xml:space="preserve">=1, it is straightforward to note that the distribution of </w:t>
      </w:r>
      <w:r w:rsidRPr="00562B55">
        <w:rPr>
          <w:position w:val="-10"/>
        </w:rPr>
        <w:object w:dxaOrig="200" w:dyaOrig="260">
          <v:shape id="_x0000_i1521" type="#_x0000_t75" style="width:8.55pt;height:11.15pt" o:ole="">
            <v:imagedata r:id="rId11" o:title=""/>
          </v:shape>
          <o:OLEObject Type="Embed" ProgID="Equation.DSMT4" ShapeID="_x0000_i1521" DrawAspect="Content" ObjectID="_1722089888" r:id="rId43"/>
        </w:object>
      </w:r>
      <w:r>
        <w:t xml:space="preserve"> takes a symmetric Logistic distribution, with a location parameter of </w:t>
      </w:r>
      <w:r w:rsidRPr="001E5B6D">
        <w:rPr>
          <w:position w:val="-12"/>
        </w:rPr>
        <w:object w:dxaOrig="660" w:dyaOrig="360">
          <v:shape id="_x0000_i1523" type="#_x0000_t75" style="width:28.3pt;height:15.45pt" o:ole="">
            <v:imagedata r:id="rId44" o:title=""/>
          </v:shape>
          <o:OLEObject Type="Embed" ProgID="Equation.DSMT4" ShapeID="_x0000_i1523" DrawAspect="Content" ObjectID="_1722089889" r:id="rId45"/>
        </w:object>
      </w:r>
      <w:r>
        <w:t xml:space="preserve"> and a scale parameter of </w:t>
      </w:r>
      <w:r w:rsidRPr="000A2BFF">
        <w:rPr>
          <w:position w:val="-6"/>
        </w:rPr>
        <w:object w:dxaOrig="240" w:dyaOrig="220">
          <v:shape id="_x0000_i1525" type="#_x0000_t75" style="width:10.3pt;height:9.45pt" o:ole="">
            <v:imagedata r:id="rId46" o:title=""/>
          </v:shape>
          <o:OLEObject Type="Embed" ProgID="Equation.DSMT4" ShapeID="_x0000_i1525" DrawAspect="Content" ObjectID="_1722089890" r:id="rId47"/>
        </w:object>
      </w:r>
      <w:r>
        <w:t>.</w:t>
      </w:r>
    </w:p>
  </w:footnote>
  <w:footnote w:id="11">
    <w:p w:rsidR="00C30733" w:rsidRDefault="00C30733" w:rsidP="00AA0BE1">
      <w:pPr>
        <w:pStyle w:val="FootnoteText"/>
        <w:jc w:val="both"/>
      </w:pPr>
      <w:r>
        <w:rPr>
          <w:rStyle w:val="FootnoteReference"/>
        </w:rPr>
        <w:footnoteRef/>
      </w:r>
      <w:r>
        <w:t xml:space="preserve"> An important derivative of the results in Equation (30) is that, to the author’s knowledge, this is the first time in the statistical literature that the expected value and variance of the random variable </w:t>
      </w:r>
      <w:r w:rsidR="008F4031" w:rsidRPr="0002761A">
        <w:rPr>
          <w:position w:val="-30"/>
        </w:rPr>
        <w:object w:dxaOrig="2340" w:dyaOrig="720">
          <v:shape id="_x0000_i1527" type="#_x0000_t75" style="width:99.45pt;height:30.45pt" o:ole="">
            <v:imagedata r:id="rId48" o:title=""/>
          </v:shape>
          <o:OLEObject Type="Embed" ProgID="Equation.DSMT4" ShapeID="_x0000_i1527" DrawAspect="Content" ObjectID="_1722089891" r:id="rId49"/>
        </w:object>
      </w:r>
      <w:r>
        <w:t xml:space="preserve"> has also been derived. Specifically, </w:t>
      </w:r>
      <w:r w:rsidR="008F4031" w:rsidRPr="003A5450">
        <w:rPr>
          <w:position w:val="-24"/>
        </w:rPr>
        <w:object w:dxaOrig="4819" w:dyaOrig="660">
          <v:shape id="_x0000_i1529" type="#_x0000_t75" style="width:205.3pt;height:28.3pt" o:ole="">
            <v:imagedata r:id="rId50" o:title=""/>
          </v:shape>
          <o:OLEObject Type="Embed" ProgID="Equation.DSMT4" ShapeID="_x0000_i1529" DrawAspect="Content" ObjectID="_1722089892" r:id="rId51"/>
        </w:object>
      </w:r>
      <w:r>
        <w:t xml:space="preserve"> where </w:t>
      </w:r>
      <w:r w:rsidR="008F4031" w:rsidRPr="0002761A">
        <w:rPr>
          <w:position w:val="-10"/>
        </w:rPr>
        <w:object w:dxaOrig="220" w:dyaOrig="320">
          <v:shape id="_x0000_i1531" type="#_x0000_t75" style="width:10.3pt;height:14.15pt" o:ole="">
            <v:imagedata r:id="rId52" o:title=""/>
          </v:shape>
          <o:OLEObject Type="Embed" ProgID="Equation.DSMT4" ShapeID="_x0000_i1531" DrawAspect="Content" ObjectID="_1722089893" r:id="rId53"/>
        </w:object>
      </w:r>
      <w:r>
        <w:t xml:space="preserve"> is the Euler’s constant and </w:t>
      </w:r>
      <w:r w:rsidR="008F4031" w:rsidRPr="0002761A">
        <w:rPr>
          <w:position w:val="-6"/>
        </w:rPr>
        <w:object w:dxaOrig="220" w:dyaOrig="279">
          <v:shape id="_x0000_i1533" type="#_x0000_t75" style="width:9.45pt;height:12pt" o:ole="">
            <v:imagedata r:id="rId54" o:title=""/>
          </v:shape>
          <o:OLEObject Type="Embed" ProgID="Equation.DSMT4" ShapeID="_x0000_i1533" DrawAspect="Content" ObjectID="_1722089894" r:id="rId55"/>
        </w:object>
      </w:r>
      <w:r>
        <w:t xml:space="preserve"> is the usual ratio of the circumference of a circle to its diameter. </w:t>
      </w:r>
    </w:p>
  </w:footnote>
  <w:footnote w:id="12">
    <w:p w:rsidR="00C30733" w:rsidRDefault="00C30733" w:rsidP="008A439E">
      <w:pPr>
        <w:pStyle w:val="FootnoteText"/>
        <w:jc w:val="both"/>
      </w:pPr>
      <w:r>
        <w:rPr>
          <w:rStyle w:val="FootnoteReference"/>
        </w:rPr>
        <w:footnoteRef/>
      </w:r>
      <w:r>
        <w:t xml:space="preserve"> An important benefit of the proposed closed-form model in forecasting is that the first and second moments of the continuous consumption values are easily computed because of their closed form nature (as shown here in this equation for the first moment of the budget for the product category). This is unlike the case of the linear outside good closed-form MDCEV utility models of Bhat (2018), Bhat et al. (2020) and Saxena et al. (</w:t>
      </w:r>
      <w:r w:rsidRPr="00AF60B4">
        <w:t>2022a)</w:t>
      </w:r>
      <w:r>
        <w:t xml:space="preserve"> in which forecasting becomes challenging because </w:t>
      </w:r>
      <w:r w:rsidRPr="001D7563">
        <w:t xml:space="preserve">the first and second moments of optimal consumption of </w:t>
      </w:r>
      <w:r>
        <w:t>inside</w:t>
      </w:r>
      <w:r w:rsidRPr="001D7563">
        <w:t xml:space="preserve"> good</w:t>
      </w:r>
      <w:r>
        <w:t>s</w:t>
      </w:r>
      <w:r w:rsidRPr="001D7563">
        <w:t xml:space="preserve"> might not always be finite </w:t>
      </w:r>
      <w:r>
        <w:t xml:space="preserve">without an upper bound on the budget for the product category. Ironically, though, the situation of an infinite budget is precisely when the linear outside good utility models are technically applicable. </w:t>
      </w:r>
    </w:p>
  </w:footnote>
  <w:footnote w:id="13">
    <w:p w:rsidR="00C30733" w:rsidRPr="003B4219" w:rsidRDefault="00C30733" w:rsidP="008F4031">
      <w:pPr>
        <w:jc w:val="both"/>
        <w:rPr>
          <w:sz w:val="20"/>
          <w:szCs w:val="20"/>
        </w:rPr>
      </w:pPr>
      <w:r w:rsidRPr="005D76C0">
        <w:rPr>
          <w:rStyle w:val="FootnoteReference"/>
          <w:sz w:val="20"/>
          <w:szCs w:val="20"/>
        </w:rPr>
        <w:footnoteRef/>
      </w:r>
      <w:r w:rsidRPr="005D76C0">
        <w:rPr>
          <w:sz w:val="20"/>
          <w:szCs w:val="20"/>
        </w:rPr>
        <w:t xml:space="preserve"> </w:t>
      </w:r>
      <w:r w:rsidRPr="003B4219">
        <w:rPr>
          <w:sz w:val="20"/>
          <w:szCs w:val="20"/>
        </w:rPr>
        <w:t>The derivation of this expression</w:t>
      </w:r>
      <w:r>
        <w:rPr>
          <w:sz w:val="20"/>
          <w:szCs w:val="20"/>
        </w:rPr>
        <w:t xml:space="preserve"> </w:t>
      </w:r>
      <w:r w:rsidRPr="003B4219">
        <w:rPr>
          <w:sz w:val="20"/>
          <w:szCs w:val="20"/>
        </w:rPr>
        <w:t xml:space="preserve">is provided in Appendix B. </w:t>
      </w:r>
      <w:r w:rsidRPr="005D76C0">
        <w:rPr>
          <w:sz w:val="20"/>
          <w:szCs w:val="20"/>
        </w:rPr>
        <w:t>It is straightforward to see that the fractional allocations among the consumed goods will sum to one, because the second term in the numerator of the expression above cancel</w:t>
      </w:r>
      <w:r>
        <w:rPr>
          <w:sz w:val="20"/>
          <w:szCs w:val="20"/>
        </w:rPr>
        <w:t>s</w:t>
      </w:r>
      <w:r w:rsidRPr="005D76C0">
        <w:rPr>
          <w:sz w:val="20"/>
          <w:szCs w:val="20"/>
        </w:rPr>
        <w:t xml:space="preserve"> out across the different consumed goods. As we show in Appendix</w:t>
      </w:r>
      <w:r>
        <w:rPr>
          <w:sz w:val="20"/>
          <w:szCs w:val="20"/>
        </w:rPr>
        <w:t xml:space="preserve"> B,</w:t>
      </w:r>
      <w:r w:rsidRPr="005D76C0">
        <w:rPr>
          <w:sz w:val="20"/>
          <w:szCs w:val="20"/>
        </w:rPr>
        <w:t xml:space="preserve"> the expression also guarantees that the predictions </w:t>
      </w:r>
      <w:r w:rsidR="008F4031" w:rsidRPr="005D76C0">
        <w:rPr>
          <w:position w:val="-12"/>
          <w:sz w:val="20"/>
          <w:szCs w:val="20"/>
        </w:rPr>
        <w:object w:dxaOrig="300" w:dyaOrig="400">
          <v:shape id="_x0000_i1535" type="#_x0000_t75" style="width:12.85pt;height:17.15pt" o:ole="">
            <v:imagedata r:id="rId56" o:title=""/>
          </v:shape>
          <o:OLEObject Type="Embed" ProgID="Equation.DSMT4" ShapeID="_x0000_i1535" DrawAspect="Content" ObjectID="_1722089895" r:id="rId57"/>
        </w:object>
      </w:r>
      <w:r w:rsidRPr="005D76C0">
        <w:rPr>
          <w:sz w:val="20"/>
          <w:szCs w:val="20"/>
        </w:rPr>
        <w:t xml:space="preserve"> for any consumed good will be positive and less than 1.</w:t>
      </w:r>
      <w:r>
        <w:rPr>
          <w:sz w:val="20"/>
          <w:szCs w:val="20"/>
        </w:rPr>
        <w:t xml:space="preserve"> Note also that the form of this expression matches that needed for consistency with two-stage budgeting, as discussed in Section 2.2.</w:t>
      </w:r>
      <w:r w:rsidR="00B751A3">
        <w:rPr>
          <w:sz w:val="20"/>
          <w:szCs w:val="20"/>
        </w:rPr>
        <w:t>3</w:t>
      </w:r>
      <w:r>
        <w:rPr>
          <w:sz w:val="20"/>
          <w:szCs w:val="20"/>
        </w:rPr>
        <w:t xml:space="preserve">. </w:t>
      </w:r>
      <w:r w:rsidRPr="003B4219">
        <w:rPr>
          <w:sz w:val="20"/>
          <w:szCs w:val="20"/>
        </w:rPr>
        <w:t>Finally, the second term in the numerator of this expression is critical because it guarantees that the KKT condition of equal marginal utility at the point of actual expenditure on the consumed goods holds</w:t>
      </w:r>
      <w:r>
        <w:rPr>
          <w:sz w:val="20"/>
          <w:szCs w:val="20"/>
        </w:rPr>
        <w:t>, as also discussed in</w:t>
      </w:r>
      <w:r w:rsidRPr="003B4219">
        <w:rPr>
          <w:sz w:val="20"/>
          <w:szCs w:val="20"/>
        </w:rPr>
        <w:t xml:space="preserve"> </w:t>
      </w:r>
      <w:r>
        <w:rPr>
          <w:sz w:val="20"/>
          <w:szCs w:val="20"/>
        </w:rPr>
        <w:t>Appendix B.</w:t>
      </w:r>
    </w:p>
  </w:footnote>
  <w:footnote w:id="14">
    <w:p w:rsidR="00C30733" w:rsidRDefault="00C30733" w:rsidP="002C6B51">
      <w:pPr>
        <w:pStyle w:val="FootnoteText"/>
        <w:jc w:val="both"/>
      </w:pPr>
      <w:r>
        <w:rPr>
          <w:rStyle w:val="FootnoteReference"/>
        </w:rPr>
        <w:footnoteRef/>
      </w:r>
      <w:r>
        <w:t xml:space="preserve"> The heteroscedasticity depends upon the </w:t>
      </w:r>
      <w:r w:rsidRPr="00213472">
        <w:rPr>
          <w:position w:val="-12"/>
        </w:rPr>
        <w:object w:dxaOrig="279" w:dyaOrig="360">
          <v:shape id="_x0000_i1537" type="#_x0000_t75" style="width:12.45pt;height:15.45pt" o:ole="">
            <v:imagedata r:id="rId58" o:title=""/>
          </v:shape>
          <o:OLEObject Type="Embed" ProgID="Equation.DSMT4" ShapeID="_x0000_i1537" DrawAspect="Content" ObjectID="_1722089896" r:id="rId59"/>
        </w:object>
      </w:r>
      <w:r w:rsidR="008F4031">
        <w:t xml:space="preserve"> </w:t>
      </w:r>
      <w:r>
        <w:t>values in a complicated, but utility theoretic, manner.</w:t>
      </w:r>
    </w:p>
  </w:footnote>
  <w:footnote w:id="15">
    <w:p w:rsidR="00C30733" w:rsidRDefault="00C30733" w:rsidP="005C6AE5">
      <w:pPr>
        <w:pStyle w:val="FootnoteText"/>
        <w:jc w:val="both"/>
      </w:pPr>
      <w:r>
        <w:rPr>
          <w:rStyle w:val="FootnoteReference"/>
        </w:rPr>
        <w:footnoteRef/>
      </w:r>
      <w:r>
        <w:t xml:space="preserve"> We do not consider the MAPE for the “van-other” combination because there were no households in this combination in the hold-out sample.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D81017"/>
    <w:multiLevelType w:val="hybridMultilevel"/>
    <w:tmpl w:val="E2822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1D3EA7"/>
    <w:multiLevelType w:val="hybridMultilevel"/>
    <w:tmpl w:val="D9C60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9E0E07"/>
    <w:multiLevelType w:val="multilevel"/>
    <w:tmpl w:val="AEB01A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BD557E4"/>
    <w:multiLevelType w:val="hybridMultilevel"/>
    <w:tmpl w:val="1E0AB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4E3608"/>
    <w:multiLevelType w:val="hybridMultilevel"/>
    <w:tmpl w:val="3FE0E96E"/>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36D41CAB"/>
    <w:multiLevelType w:val="hybridMultilevel"/>
    <w:tmpl w:val="13981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C40163"/>
    <w:multiLevelType w:val="hybridMultilevel"/>
    <w:tmpl w:val="92320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F55E36"/>
    <w:multiLevelType w:val="hybridMultilevel"/>
    <w:tmpl w:val="0C684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8A7550"/>
    <w:multiLevelType w:val="hybridMultilevel"/>
    <w:tmpl w:val="76424170"/>
    <w:lvl w:ilvl="0" w:tplc="A42C96E6">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79F46851"/>
    <w:multiLevelType w:val="hybridMultilevel"/>
    <w:tmpl w:val="B0CC1ED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7"/>
  </w:num>
  <w:num w:numId="5">
    <w:abstractNumId w:val="0"/>
  </w:num>
  <w:num w:numId="6">
    <w:abstractNumId w:val="2"/>
  </w:num>
  <w:num w:numId="7">
    <w:abstractNumId w:val="8"/>
  </w:num>
  <w:num w:numId="8">
    <w:abstractNumId w:val="9"/>
  </w:num>
  <w:num w:numId="9">
    <w:abstractNumId w:val="6"/>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4A32"/>
    <w:rsid w:val="00001788"/>
    <w:rsid w:val="0000281B"/>
    <w:rsid w:val="00003060"/>
    <w:rsid w:val="00006197"/>
    <w:rsid w:val="00006FF3"/>
    <w:rsid w:val="00010516"/>
    <w:rsid w:val="00010C60"/>
    <w:rsid w:val="000110F5"/>
    <w:rsid w:val="00011756"/>
    <w:rsid w:val="00011AF0"/>
    <w:rsid w:val="00011E8F"/>
    <w:rsid w:val="00012574"/>
    <w:rsid w:val="00012C47"/>
    <w:rsid w:val="00013156"/>
    <w:rsid w:val="00014738"/>
    <w:rsid w:val="000155FF"/>
    <w:rsid w:val="00015624"/>
    <w:rsid w:val="0001701E"/>
    <w:rsid w:val="00017BA3"/>
    <w:rsid w:val="000201D9"/>
    <w:rsid w:val="00033567"/>
    <w:rsid w:val="000342A6"/>
    <w:rsid w:val="00037FE8"/>
    <w:rsid w:val="00040A2D"/>
    <w:rsid w:val="00040DFF"/>
    <w:rsid w:val="00041F0D"/>
    <w:rsid w:val="000433A0"/>
    <w:rsid w:val="00044355"/>
    <w:rsid w:val="00044603"/>
    <w:rsid w:val="00044816"/>
    <w:rsid w:val="00044E20"/>
    <w:rsid w:val="00047381"/>
    <w:rsid w:val="00050A00"/>
    <w:rsid w:val="00051610"/>
    <w:rsid w:val="00052219"/>
    <w:rsid w:val="00054426"/>
    <w:rsid w:val="0005449D"/>
    <w:rsid w:val="00054D13"/>
    <w:rsid w:val="000554BC"/>
    <w:rsid w:val="00056DC9"/>
    <w:rsid w:val="0005784C"/>
    <w:rsid w:val="00061EF8"/>
    <w:rsid w:val="00062022"/>
    <w:rsid w:val="0006440A"/>
    <w:rsid w:val="00066024"/>
    <w:rsid w:val="0006696D"/>
    <w:rsid w:val="000674A2"/>
    <w:rsid w:val="000678FF"/>
    <w:rsid w:val="00070F59"/>
    <w:rsid w:val="00073E8F"/>
    <w:rsid w:val="000752B2"/>
    <w:rsid w:val="00075A22"/>
    <w:rsid w:val="000766AC"/>
    <w:rsid w:val="0007675F"/>
    <w:rsid w:val="000770ED"/>
    <w:rsid w:val="00077446"/>
    <w:rsid w:val="0008176A"/>
    <w:rsid w:val="000823AD"/>
    <w:rsid w:val="000832BD"/>
    <w:rsid w:val="00085317"/>
    <w:rsid w:val="00085BED"/>
    <w:rsid w:val="00085F4D"/>
    <w:rsid w:val="000865EE"/>
    <w:rsid w:val="00086B99"/>
    <w:rsid w:val="00087393"/>
    <w:rsid w:val="00090C4D"/>
    <w:rsid w:val="00090F6E"/>
    <w:rsid w:val="00091E9C"/>
    <w:rsid w:val="0009326A"/>
    <w:rsid w:val="00095180"/>
    <w:rsid w:val="00095FF6"/>
    <w:rsid w:val="0009608B"/>
    <w:rsid w:val="0009609E"/>
    <w:rsid w:val="0009672B"/>
    <w:rsid w:val="00096BD4"/>
    <w:rsid w:val="00097103"/>
    <w:rsid w:val="00097CA3"/>
    <w:rsid w:val="000A1FB6"/>
    <w:rsid w:val="000A2BFF"/>
    <w:rsid w:val="000A37AE"/>
    <w:rsid w:val="000A4A6D"/>
    <w:rsid w:val="000A4E95"/>
    <w:rsid w:val="000A5C99"/>
    <w:rsid w:val="000A6BBD"/>
    <w:rsid w:val="000A6FAA"/>
    <w:rsid w:val="000A7948"/>
    <w:rsid w:val="000B00A0"/>
    <w:rsid w:val="000B182A"/>
    <w:rsid w:val="000B1A20"/>
    <w:rsid w:val="000B1E1D"/>
    <w:rsid w:val="000B20F3"/>
    <w:rsid w:val="000B20F5"/>
    <w:rsid w:val="000B3714"/>
    <w:rsid w:val="000B3BCB"/>
    <w:rsid w:val="000B4BF5"/>
    <w:rsid w:val="000B5D94"/>
    <w:rsid w:val="000C079A"/>
    <w:rsid w:val="000C2257"/>
    <w:rsid w:val="000C2F3E"/>
    <w:rsid w:val="000C2F44"/>
    <w:rsid w:val="000C3EBA"/>
    <w:rsid w:val="000C44EE"/>
    <w:rsid w:val="000C46FB"/>
    <w:rsid w:val="000C5D36"/>
    <w:rsid w:val="000C649D"/>
    <w:rsid w:val="000C6D95"/>
    <w:rsid w:val="000D0156"/>
    <w:rsid w:val="000D2241"/>
    <w:rsid w:val="000D2722"/>
    <w:rsid w:val="000D3B73"/>
    <w:rsid w:val="000D4482"/>
    <w:rsid w:val="000D6185"/>
    <w:rsid w:val="000D6F88"/>
    <w:rsid w:val="000E19C8"/>
    <w:rsid w:val="000E1B83"/>
    <w:rsid w:val="000E1F64"/>
    <w:rsid w:val="000E215C"/>
    <w:rsid w:val="000E31EB"/>
    <w:rsid w:val="000E603E"/>
    <w:rsid w:val="000E6CB8"/>
    <w:rsid w:val="000E7A42"/>
    <w:rsid w:val="000F0454"/>
    <w:rsid w:val="000F0F13"/>
    <w:rsid w:val="000F18D2"/>
    <w:rsid w:val="000F1BA0"/>
    <w:rsid w:val="000F25EF"/>
    <w:rsid w:val="000F2848"/>
    <w:rsid w:val="000F2D30"/>
    <w:rsid w:val="000F3B0C"/>
    <w:rsid w:val="000F3D29"/>
    <w:rsid w:val="000F434D"/>
    <w:rsid w:val="000F4B04"/>
    <w:rsid w:val="000F5028"/>
    <w:rsid w:val="000F5625"/>
    <w:rsid w:val="000F6844"/>
    <w:rsid w:val="000F7B3C"/>
    <w:rsid w:val="0010094D"/>
    <w:rsid w:val="00100BF9"/>
    <w:rsid w:val="001010C2"/>
    <w:rsid w:val="00101614"/>
    <w:rsid w:val="001022A7"/>
    <w:rsid w:val="00102980"/>
    <w:rsid w:val="00102C8E"/>
    <w:rsid w:val="001035B5"/>
    <w:rsid w:val="00105AC4"/>
    <w:rsid w:val="00105B49"/>
    <w:rsid w:val="00106B7E"/>
    <w:rsid w:val="001075A0"/>
    <w:rsid w:val="00111C2B"/>
    <w:rsid w:val="0011267A"/>
    <w:rsid w:val="001128BE"/>
    <w:rsid w:val="00113E6B"/>
    <w:rsid w:val="00116730"/>
    <w:rsid w:val="0011752A"/>
    <w:rsid w:val="00120767"/>
    <w:rsid w:val="0012161F"/>
    <w:rsid w:val="001240D3"/>
    <w:rsid w:val="00124B03"/>
    <w:rsid w:val="00124B67"/>
    <w:rsid w:val="00125B90"/>
    <w:rsid w:val="001264C3"/>
    <w:rsid w:val="001265D0"/>
    <w:rsid w:val="001268B2"/>
    <w:rsid w:val="001307B4"/>
    <w:rsid w:val="00132EC9"/>
    <w:rsid w:val="0013301C"/>
    <w:rsid w:val="00133B04"/>
    <w:rsid w:val="001345D4"/>
    <w:rsid w:val="00134DB1"/>
    <w:rsid w:val="00134FEF"/>
    <w:rsid w:val="00135AE6"/>
    <w:rsid w:val="00135C7B"/>
    <w:rsid w:val="0013776D"/>
    <w:rsid w:val="00140A7B"/>
    <w:rsid w:val="0014183B"/>
    <w:rsid w:val="0014292A"/>
    <w:rsid w:val="00143A99"/>
    <w:rsid w:val="00143C12"/>
    <w:rsid w:val="00143DF0"/>
    <w:rsid w:val="00143DFB"/>
    <w:rsid w:val="001443B6"/>
    <w:rsid w:val="00144647"/>
    <w:rsid w:val="00147F8A"/>
    <w:rsid w:val="0015157A"/>
    <w:rsid w:val="00151A3E"/>
    <w:rsid w:val="001523BC"/>
    <w:rsid w:val="00152A84"/>
    <w:rsid w:val="00153903"/>
    <w:rsid w:val="00156B7F"/>
    <w:rsid w:val="001570E8"/>
    <w:rsid w:val="00157237"/>
    <w:rsid w:val="0015751E"/>
    <w:rsid w:val="0016032D"/>
    <w:rsid w:val="001623F7"/>
    <w:rsid w:val="001641AB"/>
    <w:rsid w:val="001657A2"/>
    <w:rsid w:val="00165F76"/>
    <w:rsid w:val="001727F3"/>
    <w:rsid w:val="00174559"/>
    <w:rsid w:val="00174874"/>
    <w:rsid w:val="0017513D"/>
    <w:rsid w:val="001766DC"/>
    <w:rsid w:val="00180D74"/>
    <w:rsid w:val="00182C28"/>
    <w:rsid w:val="001836ED"/>
    <w:rsid w:val="0018396E"/>
    <w:rsid w:val="00184057"/>
    <w:rsid w:val="00185420"/>
    <w:rsid w:val="0019022E"/>
    <w:rsid w:val="001902A2"/>
    <w:rsid w:val="001905B8"/>
    <w:rsid w:val="00190800"/>
    <w:rsid w:val="00193EE0"/>
    <w:rsid w:val="00194286"/>
    <w:rsid w:val="001957BD"/>
    <w:rsid w:val="00195AD6"/>
    <w:rsid w:val="0019609F"/>
    <w:rsid w:val="00197A5B"/>
    <w:rsid w:val="001A101F"/>
    <w:rsid w:val="001A1085"/>
    <w:rsid w:val="001A2EB4"/>
    <w:rsid w:val="001A443C"/>
    <w:rsid w:val="001A45B0"/>
    <w:rsid w:val="001A47BA"/>
    <w:rsid w:val="001A48B3"/>
    <w:rsid w:val="001A578B"/>
    <w:rsid w:val="001A6BEB"/>
    <w:rsid w:val="001A6E3D"/>
    <w:rsid w:val="001A7749"/>
    <w:rsid w:val="001A77BB"/>
    <w:rsid w:val="001B06F7"/>
    <w:rsid w:val="001B2E69"/>
    <w:rsid w:val="001B40F9"/>
    <w:rsid w:val="001B46EB"/>
    <w:rsid w:val="001B58F0"/>
    <w:rsid w:val="001B5FE7"/>
    <w:rsid w:val="001B6E26"/>
    <w:rsid w:val="001C0936"/>
    <w:rsid w:val="001C2B8B"/>
    <w:rsid w:val="001C2D6F"/>
    <w:rsid w:val="001C3F5D"/>
    <w:rsid w:val="001C3F78"/>
    <w:rsid w:val="001C64EA"/>
    <w:rsid w:val="001C6BB1"/>
    <w:rsid w:val="001C6D19"/>
    <w:rsid w:val="001D02E1"/>
    <w:rsid w:val="001D3468"/>
    <w:rsid w:val="001D3993"/>
    <w:rsid w:val="001D4242"/>
    <w:rsid w:val="001D44A1"/>
    <w:rsid w:val="001D46DA"/>
    <w:rsid w:val="001D5429"/>
    <w:rsid w:val="001D564E"/>
    <w:rsid w:val="001D5729"/>
    <w:rsid w:val="001D5ACB"/>
    <w:rsid w:val="001D60CC"/>
    <w:rsid w:val="001D7563"/>
    <w:rsid w:val="001E0360"/>
    <w:rsid w:val="001E213C"/>
    <w:rsid w:val="001E2451"/>
    <w:rsid w:val="001E35F5"/>
    <w:rsid w:val="001E3868"/>
    <w:rsid w:val="001E440F"/>
    <w:rsid w:val="001E4A2D"/>
    <w:rsid w:val="001E539A"/>
    <w:rsid w:val="001E5B6D"/>
    <w:rsid w:val="001E6808"/>
    <w:rsid w:val="001F0EE4"/>
    <w:rsid w:val="001F269A"/>
    <w:rsid w:val="001F279B"/>
    <w:rsid w:val="001F2E8C"/>
    <w:rsid w:val="001F5546"/>
    <w:rsid w:val="001F6A7D"/>
    <w:rsid w:val="001F7D82"/>
    <w:rsid w:val="002005BC"/>
    <w:rsid w:val="0020099C"/>
    <w:rsid w:val="002009E4"/>
    <w:rsid w:val="00201247"/>
    <w:rsid w:val="00201CB2"/>
    <w:rsid w:val="002041C3"/>
    <w:rsid w:val="00205644"/>
    <w:rsid w:val="002061C6"/>
    <w:rsid w:val="0020668B"/>
    <w:rsid w:val="00206B6D"/>
    <w:rsid w:val="00207B95"/>
    <w:rsid w:val="00207C39"/>
    <w:rsid w:val="002103C4"/>
    <w:rsid w:val="00210E0A"/>
    <w:rsid w:val="002114CC"/>
    <w:rsid w:val="002120AD"/>
    <w:rsid w:val="00212E2F"/>
    <w:rsid w:val="00213472"/>
    <w:rsid w:val="00214840"/>
    <w:rsid w:val="00217309"/>
    <w:rsid w:val="00220BB0"/>
    <w:rsid w:val="00221B37"/>
    <w:rsid w:val="00222117"/>
    <w:rsid w:val="0022214D"/>
    <w:rsid w:val="00222AD2"/>
    <w:rsid w:val="00222FFE"/>
    <w:rsid w:val="00227905"/>
    <w:rsid w:val="00230A2A"/>
    <w:rsid w:val="00230C37"/>
    <w:rsid w:val="002310EF"/>
    <w:rsid w:val="00231A20"/>
    <w:rsid w:val="002344CA"/>
    <w:rsid w:val="00235507"/>
    <w:rsid w:val="00236318"/>
    <w:rsid w:val="00241C58"/>
    <w:rsid w:val="002431DC"/>
    <w:rsid w:val="002449DA"/>
    <w:rsid w:val="00244F6D"/>
    <w:rsid w:val="002455F3"/>
    <w:rsid w:val="00245804"/>
    <w:rsid w:val="00246390"/>
    <w:rsid w:val="0024646D"/>
    <w:rsid w:val="0024690F"/>
    <w:rsid w:val="002513A7"/>
    <w:rsid w:val="00251926"/>
    <w:rsid w:val="00251EAD"/>
    <w:rsid w:val="00252DBF"/>
    <w:rsid w:val="00253E21"/>
    <w:rsid w:val="002548C5"/>
    <w:rsid w:val="002559BF"/>
    <w:rsid w:val="002562D2"/>
    <w:rsid w:val="00257F90"/>
    <w:rsid w:val="00257FEA"/>
    <w:rsid w:val="00260D77"/>
    <w:rsid w:val="002619D2"/>
    <w:rsid w:val="00262DCF"/>
    <w:rsid w:val="0026349A"/>
    <w:rsid w:val="00263EBE"/>
    <w:rsid w:val="00264913"/>
    <w:rsid w:val="00264FC0"/>
    <w:rsid w:val="002651E2"/>
    <w:rsid w:val="0026596D"/>
    <w:rsid w:val="00266D16"/>
    <w:rsid w:val="00267716"/>
    <w:rsid w:val="00272066"/>
    <w:rsid w:val="002725D9"/>
    <w:rsid w:val="00273286"/>
    <w:rsid w:val="00274061"/>
    <w:rsid w:val="00276255"/>
    <w:rsid w:val="00276DA8"/>
    <w:rsid w:val="00277310"/>
    <w:rsid w:val="002774BD"/>
    <w:rsid w:val="002779EA"/>
    <w:rsid w:val="00280FB1"/>
    <w:rsid w:val="002816B5"/>
    <w:rsid w:val="00281712"/>
    <w:rsid w:val="0028174D"/>
    <w:rsid w:val="002817FC"/>
    <w:rsid w:val="00282AFB"/>
    <w:rsid w:val="00282D0E"/>
    <w:rsid w:val="002847DB"/>
    <w:rsid w:val="00284982"/>
    <w:rsid w:val="00285B81"/>
    <w:rsid w:val="002905FA"/>
    <w:rsid w:val="002923AA"/>
    <w:rsid w:val="00293E43"/>
    <w:rsid w:val="002942D2"/>
    <w:rsid w:val="00294C3E"/>
    <w:rsid w:val="00296FF3"/>
    <w:rsid w:val="002A0192"/>
    <w:rsid w:val="002A1FE8"/>
    <w:rsid w:val="002A374C"/>
    <w:rsid w:val="002A5D66"/>
    <w:rsid w:val="002A762A"/>
    <w:rsid w:val="002A7AB3"/>
    <w:rsid w:val="002A7F6A"/>
    <w:rsid w:val="002B2F16"/>
    <w:rsid w:val="002B3C62"/>
    <w:rsid w:val="002B53AA"/>
    <w:rsid w:val="002B5C2A"/>
    <w:rsid w:val="002B5F27"/>
    <w:rsid w:val="002B7BFF"/>
    <w:rsid w:val="002C5A29"/>
    <w:rsid w:val="002C68BE"/>
    <w:rsid w:val="002C6B51"/>
    <w:rsid w:val="002C73C6"/>
    <w:rsid w:val="002C7D80"/>
    <w:rsid w:val="002C7D81"/>
    <w:rsid w:val="002D04DE"/>
    <w:rsid w:val="002D061A"/>
    <w:rsid w:val="002D0BE3"/>
    <w:rsid w:val="002D11EE"/>
    <w:rsid w:val="002D1808"/>
    <w:rsid w:val="002D3767"/>
    <w:rsid w:val="002D3F00"/>
    <w:rsid w:val="002D45DC"/>
    <w:rsid w:val="002D4C11"/>
    <w:rsid w:val="002D5A1A"/>
    <w:rsid w:val="002D6062"/>
    <w:rsid w:val="002D66E8"/>
    <w:rsid w:val="002D7AC5"/>
    <w:rsid w:val="002D7F01"/>
    <w:rsid w:val="002E36F4"/>
    <w:rsid w:val="002E383D"/>
    <w:rsid w:val="002E4F71"/>
    <w:rsid w:val="002E5064"/>
    <w:rsid w:val="002F0CFD"/>
    <w:rsid w:val="002F146C"/>
    <w:rsid w:val="002F20D8"/>
    <w:rsid w:val="002F2648"/>
    <w:rsid w:val="002F2B4E"/>
    <w:rsid w:val="002F2C0A"/>
    <w:rsid w:val="002F5412"/>
    <w:rsid w:val="00300B1D"/>
    <w:rsid w:val="00300EA1"/>
    <w:rsid w:val="00301461"/>
    <w:rsid w:val="003016A4"/>
    <w:rsid w:val="003017FE"/>
    <w:rsid w:val="00301866"/>
    <w:rsid w:val="0030290D"/>
    <w:rsid w:val="00302C72"/>
    <w:rsid w:val="00303861"/>
    <w:rsid w:val="00304668"/>
    <w:rsid w:val="0030476C"/>
    <w:rsid w:val="00304E38"/>
    <w:rsid w:val="00305B30"/>
    <w:rsid w:val="00305D0C"/>
    <w:rsid w:val="00306D1B"/>
    <w:rsid w:val="0030729D"/>
    <w:rsid w:val="00307656"/>
    <w:rsid w:val="00307EB0"/>
    <w:rsid w:val="0031003E"/>
    <w:rsid w:val="00310FBF"/>
    <w:rsid w:val="0031206C"/>
    <w:rsid w:val="003121AF"/>
    <w:rsid w:val="003128CF"/>
    <w:rsid w:val="003129C6"/>
    <w:rsid w:val="0031457F"/>
    <w:rsid w:val="003156DB"/>
    <w:rsid w:val="00323386"/>
    <w:rsid w:val="00324EEB"/>
    <w:rsid w:val="003254B5"/>
    <w:rsid w:val="00326F8D"/>
    <w:rsid w:val="0032725C"/>
    <w:rsid w:val="00327C94"/>
    <w:rsid w:val="00330565"/>
    <w:rsid w:val="00332DFD"/>
    <w:rsid w:val="00333073"/>
    <w:rsid w:val="003346C8"/>
    <w:rsid w:val="00336527"/>
    <w:rsid w:val="00341691"/>
    <w:rsid w:val="00342058"/>
    <w:rsid w:val="003430B7"/>
    <w:rsid w:val="0034364C"/>
    <w:rsid w:val="003457F4"/>
    <w:rsid w:val="00345BCB"/>
    <w:rsid w:val="0035080A"/>
    <w:rsid w:val="003509D1"/>
    <w:rsid w:val="00350C36"/>
    <w:rsid w:val="0035159A"/>
    <w:rsid w:val="00351B34"/>
    <w:rsid w:val="00351D90"/>
    <w:rsid w:val="00351DB0"/>
    <w:rsid w:val="0036014C"/>
    <w:rsid w:val="00360A63"/>
    <w:rsid w:val="00360D7C"/>
    <w:rsid w:val="003625B6"/>
    <w:rsid w:val="00363257"/>
    <w:rsid w:val="00363728"/>
    <w:rsid w:val="00363F52"/>
    <w:rsid w:val="003643C2"/>
    <w:rsid w:val="0036754A"/>
    <w:rsid w:val="003678E9"/>
    <w:rsid w:val="00371701"/>
    <w:rsid w:val="00371ECC"/>
    <w:rsid w:val="00374BD4"/>
    <w:rsid w:val="00381927"/>
    <w:rsid w:val="003826EA"/>
    <w:rsid w:val="00385976"/>
    <w:rsid w:val="00386AB9"/>
    <w:rsid w:val="00386CD8"/>
    <w:rsid w:val="0039012D"/>
    <w:rsid w:val="00390A8E"/>
    <w:rsid w:val="003945D4"/>
    <w:rsid w:val="00396C5B"/>
    <w:rsid w:val="00397A4F"/>
    <w:rsid w:val="003A0CDC"/>
    <w:rsid w:val="003A0DC1"/>
    <w:rsid w:val="003A15AA"/>
    <w:rsid w:val="003A15DD"/>
    <w:rsid w:val="003A312C"/>
    <w:rsid w:val="003A3448"/>
    <w:rsid w:val="003A3F71"/>
    <w:rsid w:val="003A40C0"/>
    <w:rsid w:val="003A46A4"/>
    <w:rsid w:val="003A473F"/>
    <w:rsid w:val="003A4B83"/>
    <w:rsid w:val="003A5450"/>
    <w:rsid w:val="003A7587"/>
    <w:rsid w:val="003A7717"/>
    <w:rsid w:val="003B2289"/>
    <w:rsid w:val="003B2335"/>
    <w:rsid w:val="003B3F7C"/>
    <w:rsid w:val="003B4219"/>
    <w:rsid w:val="003B4EB5"/>
    <w:rsid w:val="003B56FD"/>
    <w:rsid w:val="003B77D1"/>
    <w:rsid w:val="003C049C"/>
    <w:rsid w:val="003C0606"/>
    <w:rsid w:val="003C0697"/>
    <w:rsid w:val="003C07AD"/>
    <w:rsid w:val="003C0E47"/>
    <w:rsid w:val="003C11B9"/>
    <w:rsid w:val="003C1A65"/>
    <w:rsid w:val="003C1C5F"/>
    <w:rsid w:val="003C2854"/>
    <w:rsid w:val="003C289F"/>
    <w:rsid w:val="003C36FE"/>
    <w:rsid w:val="003C37C5"/>
    <w:rsid w:val="003C539E"/>
    <w:rsid w:val="003C5CF6"/>
    <w:rsid w:val="003C63BE"/>
    <w:rsid w:val="003C6762"/>
    <w:rsid w:val="003C6B51"/>
    <w:rsid w:val="003C7503"/>
    <w:rsid w:val="003C7E7B"/>
    <w:rsid w:val="003D0D19"/>
    <w:rsid w:val="003D24E1"/>
    <w:rsid w:val="003D3EDE"/>
    <w:rsid w:val="003D5339"/>
    <w:rsid w:val="003D5E21"/>
    <w:rsid w:val="003D7B16"/>
    <w:rsid w:val="003E0B30"/>
    <w:rsid w:val="003E25AD"/>
    <w:rsid w:val="003E39C0"/>
    <w:rsid w:val="003E44E9"/>
    <w:rsid w:val="003E4D04"/>
    <w:rsid w:val="003E7C65"/>
    <w:rsid w:val="003F414D"/>
    <w:rsid w:val="003F5034"/>
    <w:rsid w:val="003F528F"/>
    <w:rsid w:val="003F5BCD"/>
    <w:rsid w:val="003F64D0"/>
    <w:rsid w:val="003F7E10"/>
    <w:rsid w:val="004009CB"/>
    <w:rsid w:val="00400FCA"/>
    <w:rsid w:val="00401457"/>
    <w:rsid w:val="00401506"/>
    <w:rsid w:val="00402DAA"/>
    <w:rsid w:val="00403A66"/>
    <w:rsid w:val="00405582"/>
    <w:rsid w:val="004056DE"/>
    <w:rsid w:val="00405D3C"/>
    <w:rsid w:val="004066DD"/>
    <w:rsid w:val="0041145F"/>
    <w:rsid w:val="00411921"/>
    <w:rsid w:val="004122DD"/>
    <w:rsid w:val="0041368D"/>
    <w:rsid w:val="00413D37"/>
    <w:rsid w:val="00414577"/>
    <w:rsid w:val="00415685"/>
    <w:rsid w:val="00416961"/>
    <w:rsid w:val="00417F58"/>
    <w:rsid w:val="0042045D"/>
    <w:rsid w:val="004211A3"/>
    <w:rsid w:val="00421314"/>
    <w:rsid w:val="00421487"/>
    <w:rsid w:val="00421BE4"/>
    <w:rsid w:val="00422356"/>
    <w:rsid w:val="00422CC4"/>
    <w:rsid w:val="004233F7"/>
    <w:rsid w:val="00423A36"/>
    <w:rsid w:val="00426F1A"/>
    <w:rsid w:val="0042753D"/>
    <w:rsid w:val="004304C5"/>
    <w:rsid w:val="004315C0"/>
    <w:rsid w:val="00431A65"/>
    <w:rsid w:val="004346FE"/>
    <w:rsid w:val="004352CA"/>
    <w:rsid w:val="004361DE"/>
    <w:rsid w:val="0044178B"/>
    <w:rsid w:val="00442FF4"/>
    <w:rsid w:val="004431D1"/>
    <w:rsid w:val="00443737"/>
    <w:rsid w:val="00443EA6"/>
    <w:rsid w:val="00443F19"/>
    <w:rsid w:val="00444FD9"/>
    <w:rsid w:val="00445430"/>
    <w:rsid w:val="004461A3"/>
    <w:rsid w:val="004464AB"/>
    <w:rsid w:val="00446848"/>
    <w:rsid w:val="00446DC0"/>
    <w:rsid w:val="00451505"/>
    <w:rsid w:val="0045195C"/>
    <w:rsid w:val="00451A7F"/>
    <w:rsid w:val="00454685"/>
    <w:rsid w:val="00455527"/>
    <w:rsid w:val="00455FEB"/>
    <w:rsid w:val="00456DB7"/>
    <w:rsid w:val="00460111"/>
    <w:rsid w:val="0046086E"/>
    <w:rsid w:val="00460BBF"/>
    <w:rsid w:val="00461205"/>
    <w:rsid w:val="0046125A"/>
    <w:rsid w:val="0046451F"/>
    <w:rsid w:val="00465C12"/>
    <w:rsid w:val="00466B46"/>
    <w:rsid w:val="004679C6"/>
    <w:rsid w:val="00473656"/>
    <w:rsid w:val="004744E1"/>
    <w:rsid w:val="00474E2F"/>
    <w:rsid w:val="004752EB"/>
    <w:rsid w:val="00480267"/>
    <w:rsid w:val="00482C54"/>
    <w:rsid w:val="00483278"/>
    <w:rsid w:val="00485772"/>
    <w:rsid w:val="00485D23"/>
    <w:rsid w:val="004866C7"/>
    <w:rsid w:val="00487083"/>
    <w:rsid w:val="00487F95"/>
    <w:rsid w:val="004921F1"/>
    <w:rsid w:val="00492BF3"/>
    <w:rsid w:val="004941C4"/>
    <w:rsid w:val="004945CE"/>
    <w:rsid w:val="00494B00"/>
    <w:rsid w:val="004973B8"/>
    <w:rsid w:val="0049758E"/>
    <w:rsid w:val="004A0583"/>
    <w:rsid w:val="004A080B"/>
    <w:rsid w:val="004A0E62"/>
    <w:rsid w:val="004A2A32"/>
    <w:rsid w:val="004A2BE0"/>
    <w:rsid w:val="004B0550"/>
    <w:rsid w:val="004B0A0E"/>
    <w:rsid w:val="004B0E40"/>
    <w:rsid w:val="004B2896"/>
    <w:rsid w:val="004B3095"/>
    <w:rsid w:val="004B3306"/>
    <w:rsid w:val="004B36AC"/>
    <w:rsid w:val="004B450C"/>
    <w:rsid w:val="004B5105"/>
    <w:rsid w:val="004B6BDD"/>
    <w:rsid w:val="004B7BEA"/>
    <w:rsid w:val="004B7CE0"/>
    <w:rsid w:val="004C06A3"/>
    <w:rsid w:val="004C079D"/>
    <w:rsid w:val="004C0B15"/>
    <w:rsid w:val="004C16B4"/>
    <w:rsid w:val="004C2B84"/>
    <w:rsid w:val="004C2D57"/>
    <w:rsid w:val="004C3AA7"/>
    <w:rsid w:val="004C5E52"/>
    <w:rsid w:val="004C6C8F"/>
    <w:rsid w:val="004D0FD4"/>
    <w:rsid w:val="004D12C4"/>
    <w:rsid w:val="004D1F3D"/>
    <w:rsid w:val="004D1F61"/>
    <w:rsid w:val="004D2F16"/>
    <w:rsid w:val="004D379E"/>
    <w:rsid w:val="004D3827"/>
    <w:rsid w:val="004D4027"/>
    <w:rsid w:val="004D6B8E"/>
    <w:rsid w:val="004E2240"/>
    <w:rsid w:val="004E36B8"/>
    <w:rsid w:val="004E3D03"/>
    <w:rsid w:val="004F069D"/>
    <w:rsid w:val="004F07B1"/>
    <w:rsid w:val="004F11FD"/>
    <w:rsid w:val="004F1E34"/>
    <w:rsid w:val="004F3D69"/>
    <w:rsid w:val="004F3EB0"/>
    <w:rsid w:val="004F45A9"/>
    <w:rsid w:val="004F6445"/>
    <w:rsid w:val="004F689E"/>
    <w:rsid w:val="004F68A2"/>
    <w:rsid w:val="004F6E17"/>
    <w:rsid w:val="00500994"/>
    <w:rsid w:val="005024BD"/>
    <w:rsid w:val="0050383B"/>
    <w:rsid w:val="00504D2F"/>
    <w:rsid w:val="005058D8"/>
    <w:rsid w:val="005063A7"/>
    <w:rsid w:val="00506FA0"/>
    <w:rsid w:val="00510057"/>
    <w:rsid w:val="00511CE0"/>
    <w:rsid w:val="00513440"/>
    <w:rsid w:val="00513C21"/>
    <w:rsid w:val="00515294"/>
    <w:rsid w:val="00515B5F"/>
    <w:rsid w:val="00515FCB"/>
    <w:rsid w:val="00516AEF"/>
    <w:rsid w:val="00517C34"/>
    <w:rsid w:val="0052056C"/>
    <w:rsid w:val="00521BAB"/>
    <w:rsid w:val="0052215E"/>
    <w:rsid w:val="005229A3"/>
    <w:rsid w:val="00522CC9"/>
    <w:rsid w:val="00522CCC"/>
    <w:rsid w:val="00524102"/>
    <w:rsid w:val="00524A32"/>
    <w:rsid w:val="00525710"/>
    <w:rsid w:val="00525917"/>
    <w:rsid w:val="0052771A"/>
    <w:rsid w:val="005279BF"/>
    <w:rsid w:val="00527B21"/>
    <w:rsid w:val="00527C56"/>
    <w:rsid w:val="0053220B"/>
    <w:rsid w:val="0053230A"/>
    <w:rsid w:val="005332D0"/>
    <w:rsid w:val="0053377D"/>
    <w:rsid w:val="00536350"/>
    <w:rsid w:val="005373F5"/>
    <w:rsid w:val="00541A15"/>
    <w:rsid w:val="00541F1E"/>
    <w:rsid w:val="00543511"/>
    <w:rsid w:val="005451F4"/>
    <w:rsid w:val="00545556"/>
    <w:rsid w:val="005455FE"/>
    <w:rsid w:val="0054673E"/>
    <w:rsid w:val="00546A6B"/>
    <w:rsid w:val="00547FB3"/>
    <w:rsid w:val="00550665"/>
    <w:rsid w:val="0055077C"/>
    <w:rsid w:val="00551C2C"/>
    <w:rsid w:val="00552937"/>
    <w:rsid w:val="00552A81"/>
    <w:rsid w:val="00552A8F"/>
    <w:rsid w:val="00553744"/>
    <w:rsid w:val="00553765"/>
    <w:rsid w:val="0055405B"/>
    <w:rsid w:val="00555C50"/>
    <w:rsid w:val="00556885"/>
    <w:rsid w:val="005572E6"/>
    <w:rsid w:val="00560247"/>
    <w:rsid w:val="005602F3"/>
    <w:rsid w:val="00560D9B"/>
    <w:rsid w:val="005616C7"/>
    <w:rsid w:val="00561FC1"/>
    <w:rsid w:val="00562B55"/>
    <w:rsid w:val="00563CAC"/>
    <w:rsid w:val="00563D16"/>
    <w:rsid w:val="00563E2B"/>
    <w:rsid w:val="00564109"/>
    <w:rsid w:val="005648D9"/>
    <w:rsid w:val="00566596"/>
    <w:rsid w:val="00571B90"/>
    <w:rsid w:val="00572B8D"/>
    <w:rsid w:val="005730AE"/>
    <w:rsid w:val="005734B6"/>
    <w:rsid w:val="005738D0"/>
    <w:rsid w:val="0057391D"/>
    <w:rsid w:val="0057453E"/>
    <w:rsid w:val="00574885"/>
    <w:rsid w:val="005752F3"/>
    <w:rsid w:val="005803BF"/>
    <w:rsid w:val="00580E59"/>
    <w:rsid w:val="005815CC"/>
    <w:rsid w:val="00582B3D"/>
    <w:rsid w:val="00584164"/>
    <w:rsid w:val="005842C1"/>
    <w:rsid w:val="00584314"/>
    <w:rsid w:val="00584877"/>
    <w:rsid w:val="00584B97"/>
    <w:rsid w:val="00585C20"/>
    <w:rsid w:val="00586A6E"/>
    <w:rsid w:val="00586B61"/>
    <w:rsid w:val="00587F2C"/>
    <w:rsid w:val="00587FED"/>
    <w:rsid w:val="00590FEF"/>
    <w:rsid w:val="00591042"/>
    <w:rsid w:val="00593600"/>
    <w:rsid w:val="00593D75"/>
    <w:rsid w:val="00595556"/>
    <w:rsid w:val="00595A28"/>
    <w:rsid w:val="005A24C8"/>
    <w:rsid w:val="005A28F8"/>
    <w:rsid w:val="005A2E41"/>
    <w:rsid w:val="005A4306"/>
    <w:rsid w:val="005A4D81"/>
    <w:rsid w:val="005A6711"/>
    <w:rsid w:val="005A7B78"/>
    <w:rsid w:val="005B1A5D"/>
    <w:rsid w:val="005B1A69"/>
    <w:rsid w:val="005B1E9E"/>
    <w:rsid w:val="005B1F55"/>
    <w:rsid w:val="005B3779"/>
    <w:rsid w:val="005B46A3"/>
    <w:rsid w:val="005B4CFE"/>
    <w:rsid w:val="005B6597"/>
    <w:rsid w:val="005B6CB5"/>
    <w:rsid w:val="005B6CE7"/>
    <w:rsid w:val="005C0FA8"/>
    <w:rsid w:val="005C2C3B"/>
    <w:rsid w:val="005C6AE5"/>
    <w:rsid w:val="005D0800"/>
    <w:rsid w:val="005D0ED6"/>
    <w:rsid w:val="005D1958"/>
    <w:rsid w:val="005D19A7"/>
    <w:rsid w:val="005D1E3A"/>
    <w:rsid w:val="005D2249"/>
    <w:rsid w:val="005D24CB"/>
    <w:rsid w:val="005D2AFF"/>
    <w:rsid w:val="005D328B"/>
    <w:rsid w:val="005D5653"/>
    <w:rsid w:val="005D5940"/>
    <w:rsid w:val="005D76C0"/>
    <w:rsid w:val="005E2E23"/>
    <w:rsid w:val="005E370C"/>
    <w:rsid w:val="005E4A14"/>
    <w:rsid w:val="005E5ED1"/>
    <w:rsid w:val="005E7AC3"/>
    <w:rsid w:val="005F08D9"/>
    <w:rsid w:val="005F106B"/>
    <w:rsid w:val="005F1506"/>
    <w:rsid w:val="005F2629"/>
    <w:rsid w:val="005F304D"/>
    <w:rsid w:val="005F3679"/>
    <w:rsid w:val="005F386F"/>
    <w:rsid w:val="005F5B4D"/>
    <w:rsid w:val="005F5EFE"/>
    <w:rsid w:val="005F6092"/>
    <w:rsid w:val="005F6172"/>
    <w:rsid w:val="005F7CC5"/>
    <w:rsid w:val="005F7E4E"/>
    <w:rsid w:val="006000B5"/>
    <w:rsid w:val="00600364"/>
    <w:rsid w:val="00600BC9"/>
    <w:rsid w:val="00603756"/>
    <w:rsid w:val="00604444"/>
    <w:rsid w:val="00604B66"/>
    <w:rsid w:val="00604DB2"/>
    <w:rsid w:val="00605165"/>
    <w:rsid w:val="00605FC1"/>
    <w:rsid w:val="0060635D"/>
    <w:rsid w:val="00607103"/>
    <w:rsid w:val="0060730C"/>
    <w:rsid w:val="006108AD"/>
    <w:rsid w:val="006114D1"/>
    <w:rsid w:val="00611B24"/>
    <w:rsid w:val="00613C7C"/>
    <w:rsid w:val="00615466"/>
    <w:rsid w:val="006166BB"/>
    <w:rsid w:val="0062032B"/>
    <w:rsid w:val="00622E33"/>
    <w:rsid w:val="00623D28"/>
    <w:rsid w:val="0062476E"/>
    <w:rsid w:val="00624A78"/>
    <w:rsid w:val="00624F4A"/>
    <w:rsid w:val="0062508F"/>
    <w:rsid w:val="00625791"/>
    <w:rsid w:val="00626FD2"/>
    <w:rsid w:val="00627E3B"/>
    <w:rsid w:val="00627FF3"/>
    <w:rsid w:val="00630A76"/>
    <w:rsid w:val="006311CD"/>
    <w:rsid w:val="006318CF"/>
    <w:rsid w:val="00631F63"/>
    <w:rsid w:val="00632239"/>
    <w:rsid w:val="00632545"/>
    <w:rsid w:val="00632C12"/>
    <w:rsid w:val="00637842"/>
    <w:rsid w:val="00637B32"/>
    <w:rsid w:val="00640B6B"/>
    <w:rsid w:val="00640C3F"/>
    <w:rsid w:val="00640F5E"/>
    <w:rsid w:val="0064115A"/>
    <w:rsid w:val="0064142A"/>
    <w:rsid w:val="0064219E"/>
    <w:rsid w:val="00642F5B"/>
    <w:rsid w:val="006431A6"/>
    <w:rsid w:val="00643D22"/>
    <w:rsid w:val="00643F20"/>
    <w:rsid w:val="006448B3"/>
    <w:rsid w:val="006464B5"/>
    <w:rsid w:val="00647890"/>
    <w:rsid w:val="006478E4"/>
    <w:rsid w:val="00647C32"/>
    <w:rsid w:val="00647D18"/>
    <w:rsid w:val="006506C7"/>
    <w:rsid w:val="00650C1F"/>
    <w:rsid w:val="00650F1C"/>
    <w:rsid w:val="00652D02"/>
    <w:rsid w:val="00652E1B"/>
    <w:rsid w:val="0065321E"/>
    <w:rsid w:val="00655B03"/>
    <w:rsid w:val="00655B78"/>
    <w:rsid w:val="00656068"/>
    <w:rsid w:val="006567A3"/>
    <w:rsid w:val="00657676"/>
    <w:rsid w:val="00660A41"/>
    <w:rsid w:val="006617D7"/>
    <w:rsid w:val="006625A2"/>
    <w:rsid w:val="00663341"/>
    <w:rsid w:val="0066403A"/>
    <w:rsid w:val="00666376"/>
    <w:rsid w:val="006667BB"/>
    <w:rsid w:val="00666BA4"/>
    <w:rsid w:val="0067125B"/>
    <w:rsid w:val="00672EE9"/>
    <w:rsid w:val="00674228"/>
    <w:rsid w:val="0067440C"/>
    <w:rsid w:val="00674950"/>
    <w:rsid w:val="00674AF4"/>
    <w:rsid w:val="00676938"/>
    <w:rsid w:val="006770D6"/>
    <w:rsid w:val="006818B4"/>
    <w:rsid w:val="00685234"/>
    <w:rsid w:val="00685307"/>
    <w:rsid w:val="00685FBB"/>
    <w:rsid w:val="0069086B"/>
    <w:rsid w:val="00691F4B"/>
    <w:rsid w:val="00693404"/>
    <w:rsid w:val="00693EE4"/>
    <w:rsid w:val="00694A07"/>
    <w:rsid w:val="00694D10"/>
    <w:rsid w:val="00696ACF"/>
    <w:rsid w:val="0069759B"/>
    <w:rsid w:val="006A00F9"/>
    <w:rsid w:val="006A1644"/>
    <w:rsid w:val="006A1C3E"/>
    <w:rsid w:val="006A592E"/>
    <w:rsid w:val="006B0D48"/>
    <w:rsid w:val="006B1E66"/>
    <w:rsid w:val="006B2970"/>
    <w:rsid w:val="006B2CC9"/>
    <w:rsid w:val="006B359B"/>
    <w:rsid w:val="006B3717"/>
    <w:rsid w:val="006B5AC8"/>
    <w:rsid w:val="006B5C9C"/>
    <w:rsid w:val="006B6E33"/>
    <w:rsid w:val="006B6F90"/>
    <w:rsid w:val="006B6F95"/>
    <w:rsid w:val="006B72CF"/>
    <w:rsid w:val="006B73F6"/>
    <w:rsid w:val="006B7CFD"/>
    <w:rsid w:val="006C0A72"/>
    <w:rsid w:val="006C0FCB"/>
    <w:rsid w:val="006C16A3"/>
    <w:rsid w:val="006C287C"/>
    <w:rsid w:val="006C327C"/>
    <w:rsid w:val="006C3A8F"/>
    <w:rsid w:val="006C4206"/>
    <w:rsid w:val="006C59CD"/>
    <w:rsid w:val="006C71A1"/>
    <w:rsid w:val="006D2CA7"/>
    <w:rsid w:val="006D4696"/>
    <w:rsid w:val="006D51F5"/>
    <w:rsid w:val="006D5B5F"/>
    <w:rsid w:val="006E000B"/>
    <w:rsid w:val="006E00BB"/>
    <w:rsid w:val="006E1173"/>
    <w:rsid w:val="006E1183"/>
    <w:rsid w:val="006E163F"/>
    <w:rsid w:val="006E2392"/>
    <w:rsid w:val="006E2682"/>
    <w:rsid w:val="006E29CB"/>
    <w:rsid w:val="006E430C"/>
    <w:rsid w:val="006E513A"/>
    <w:rsid w:val="006E7E38"/>
    <w:rsid w:val="006F079A"/>
    <w:rsid w:val="006F0B61"/>
    <w:rsid w:val="006F0EE8"/>
    <w:rsid w:val="006F1012"/>
    <w:rsid w:val="006F186A"/>
    <w:rsid w:val="006F57CB"/>
    <w:rsid w:val="006F5950"/>
    <w:rsid w:val="006F5A31"/>
    <w:rsid w:val="006F696C"/>
    <w:rsid w:val="006F71F4"/>
    <w:rsid w:val="0070171D"/>
    <w:rsid w:val="0070274B"/>
    <w:rsid w:val="00703079"/>
    <w:rsid w:val="00704429"/>
    <w:rsid w:val="0070560A"/>
    <w:rsid w:val="0070576B"/>
    <w:rsid w:val="00705CD6"/>
    <w:rsid w:val="00706BE9"/>
    <w:rsid w:val="00707610"/>
    <w:rsid w:val="0071007C"/>
    <w:rsid w:val="0071091C"/>
    <w:rsid w:val="007120F9"/>
    <w:rsid w:val="00712F8D"/>
    <w:rsid w:val="007132B0"/>
    <w:rsid w:val="00713BCF"/>
    <w:rsid w:val="00714094"/>
    <w:rsid w:val="007158A2"/>
    <w:rsid w:val="00716259"/>
    <w:rsid w:val="00717244"/>
    <w:rsid w:val="007176DF"/>
    <w:rsid w:val="00720A0A"/>
    <w:rsid w:val="00720A8C"/>
    <w:rsid w:val="00720C10"/>
    <w:rsid w:val="00721112"/>
    <w:rsid w:val="00726192"/>
    <w:rsid w:val="007271A6"/>
    <w:rsid w:val="007272E4"/>
    <w:rsid w:val="00730DCE"/>
    <w:rsid w:val="00731EFB"/>
    <w:rsid w:val="00734372"/>
    <w:rsid w:val="007347E7"/>
    <w:rsid w:val="007355B5"/>
    <w:rsid w:val="00736353"/>
    <w:rsid w:val="007367AA"/>
    <w:rsid w:val="00736817"/>
    <w:rsid w:val="007401B2"/>
    <w:rsid w:val="007410C3"/>
    <w:rsid w:val="007422BF"/>
    <w:rsid w:val="007422FC"/>
    <w:rsid w:val="0074326C"/>
    <w:rsid w:val="00745184"/>
    <w:rsid w:val="0074582F"/>
    <w:rsid w:val="00746F51"/>
    <w:rsid w:val="00750BDB"/>
    <w:rsid w:val="00753D37"/>
    <w:rsid w:val="00755009"/>
    <w:rsid w:val="007550BB"/>
    <w:rsid w:val="0075521D"/>
    <w:rsid w:val="007552A0"/>
    <w:rsid w:val="00756C99"/>
    <w:rsid w:val="00757623"/>
    <w:rsid w:val="00761700"/>
    <w:rsid w:val="00763349"/>
    <w:rsid w:val="00764E41"/>
    <w:rsid w:val="00767B44"/>
    <w:rsid w:val="00770445"/>
    <w:rsid w:val="00770A08"/>
    <w:rsid w:val="0077196A"/>
    <w:rsid w:val="00771CB7"/>
    <w:rsid w:val="0077302C"/>
    <w:rsid w:val="007732BF"/>
    <w:rsid w:val="007743AA"/>
    <w:rsid w:val="0077480D"/>
    <w:rsid w:val="0077590C"/>
    <w:rsid w:val="00776664"/>
    <w:rsid w:val="00776B72"/>
    <w:rsid w:val="00776C3B"/>
    <w:rsid w:val="007774C9"/>
    <w:rsid w:val="00777B10"/>
    <w:rsid w:val="00782248"/>
    <w:rsid w:val="00783A0C"/>
    <w:rsid w:val="00783DC8"/>
    <w:rsid w:val="00785ECA"/>
    <w:rsid w:val="00785F88"/>
    <w:rsid w:val="0078607C"/>
    <w:rsid w:val="007866CD"/>
    <w:rsid w:val="007869B0"/>
    <w:rsid w:val="007875B1"/>
    <w:rsid w:val="00787843"/>
    <w:rsid w:val="00787DB1"/>
    <w:rsid w:val="00790F89"/>
    <w:rsid w:val="0079178D"/>
    <w:rsid w:val="0079469F"/>
    <w:rsid w:val="007956B0"/>
    <w:rsid w:val="00795BBD"/>
    <w:rsid w:val="0079751E"/>
    <w:rsid w:val="007A0890"/>
    <w:rsid w:val="007A5390"/>
    <w:rsid w:val="007A5DE3"/>
    <w:rsid w:val="007A5E7B"/>
    <w:rsid w:val="007A63FF"/>
    <w:rsid w:val="007A7A61"/>
    <w:rsid w:val="007B041F"/>
    <w:rsid w:val="007B0CD0"/>
    <w:rsid w:val="007B0D50"/>
    <w:rsid w:val="007B107E"/>
    <w:rsid w:val="007B119F"/>
    <w:rsid w:val="007B13D0"/>
    <w:rsid w:val="007B14D0"/>
    <w:rsid w:val="007B1CAD"/>
    <w:rsid w:val="007B217D"/>
    <w:rsid w:val="007B28E0"/>
    <w:rsid w:val="007B3984"/>
    <w:rsid w:val="007B454B"/>
    <w:rsid w:val="007B51D9"/>
    <w:rsid w:val="007B5554"/>
    <w:rsid w:val="007B6054"/>
    <w:rsid w:val="007B64DC"/>
    <w:rsid w:val="007B7E03"/>
    <w:rsid w:val="007C02A4"/>
    <w:rsid w:val="007C0639"/>
    <w:rsid w:val="007C7BC2"/>
    <w:rsid w:val="007D0955"/>
    <w:rsid w:val="007D1C03"/>
    <w:rsid w:val="007D3614"/>
    <w:rsid w:val="007D47D6"/>
    <w:rsid w:val="007D49A1"/>
    <w:rsid w:val="007D59AF"/>
    <w:rsid w:val="007D7FE6"/>
    <w:rsid w:val="007E266B"/>
    <w:rsid w:val="007E3123"/>
    <w:rsid w:val="007E3665"/>
    <w:rsid w:val="007E3E41"/>
    <w:rsid w:val="007E4313"/>
    <w:rsid w:val="007E4D05"/>
    <w:rsid w:val="007E4E12"/>
    <w:rsid w:val="007E60C2"/>
    <w:rsid w:val="007E631B"/>
    <w:rsid w:val="007E6F71"/>
    <w:rsid w:val="007E7182"/>
    <w:rsid w:val="007E7360"/>
    <w:rsid w:val="007F10A0"/>
    <w:rsid w:val="007F1662"/>
    <w:rsid w:val="007F24CC"/>
    <w:rsid w:val="007F24CF"/>
    <w:rsid w:val="007F2810"/>
    <w:rsid w:val="007F308C"/>
    <w:rsid w:val="007F3766"/>
    <w:rsid w:val="007F3BFB"/>
    <w:rsid w:val="007F49CD"/>
    <w:rsid w:val="007F4DB4"/>
    <w:rsid w:val="007F7CA6"/>
    <w:rsid w:val="0080004A"/>
    <w:rsid w:val="008000AE"/>
    <w:rsid w:val="00804A74"/>
    <w:rsid w:val="00804B90"/>
    <w:rsid w:val="00804BA6"/>
    <w:rsid w:val="00804E6B"/>
    <w:rsid w:val="00805076"/>
    <w:rsid w:val="008056C1"/>
    <w:rsid w:val="00806A08"/>
    <w:rsid w:val="00806A71"/>
    <w:rsid w:val="00806C36"/>
    <w:rsid w:val="0080727B"/>
    <w:rsid w:val="008117AD"/>
    <w:rsid w:val="00811C8E"/>
    <w:rsid w:val="008126DE"/>
    <w:rsid w:val="00814C56"/>
    <w:rsid w:val="00816BF1"/>
    <w:rsid w:val="008208B9"/>
    <w:rsid w:val="00820A0A"/>
    <w:rsid w:val="00821EFF"/>
    <w:rsid w:val="00821F07"/>
    <w:rsid w:val="00822E1E"/>
    <w:rsid w:val="00824967"/>
    <w:rsid w:val="0082584B"/>
    <w:rsid w:val="00826D41"/>
    <w:rsid w:val="00830962"/>
    <w:rsid w:val="00833E55"/>
    <w:rsid w:val="008348C0"/>
    <w:rsid w:val="00834CE0"/>
    <w:rsid w:val="008353ED"/>
    <w:rsid w:val="0083573E"/>
    <w:rsid w:val="00837D1B"/>
    <w:rsid w:val="00837F83"/>
    <w:rsid w:val="00840DD2"/>
    <w:rsid w:val="00843573"/>
    <w:rsid w:val="0084527A"/>
    <w:rsid w:val="0085008A"/>
    <w:rsid w:val="00851263"/>
    <w:rsid w:val="008523F9"/>
    <w:rsid w:val="00852415"/>
    <w:rsid w:val="008526A2"/>
    <w:rsid w:val="00852B0D"/>
    <w:rsid w:val="00852C4E"/>
    <w:rsid w:val="00855AC3"/>
    <w:rsid w:val="00855FAF"/>
    <w:rsid w:val="00856204"/>
    <w:rsid w:val="0085717A"/>
    <w:rsid w:val="0085760D"/>
    <w:rsid w:val="00857F51"/>
    <w:rsid w:val="00861456"/>
    <w:rsid w:val="00861E38"/>
    <w:rsid w:val="008630C8"/>
    <w:rsid w:val="00864B13"/>
    <w:rsid w:val="008655B6"/>
    <w:rsid w:val="00866C85"/>
    <w:rsid w:val="00867712"/>
    <w:rsid w:val="00867C04"/>
    <w:rsid w:val="00872E24"/>
    <w:rsid w:val="0087427C"/>
    <w:rsid w:val="008742AF"/>
    <w:rsid w:val="008775DE"/>
    <w:rsid w:val="00877ADD"/>
    <w:rsid w:val="00881B5D"/>
    <w:rsid w:val="00883BB2"/>
    <w:rsid w:val="00883FC6"/>
    <w:rsid w:val="00884774"/>
    <w:rsid w:val="008860DA"/>
    <w:rsid w:val="0088619B"/>
    <w:rsid w:val="008866C4"/>
    <w:rsid w:val="0088728A"/>
    <w:rsid w:val="00887558"/>
    <w:rsid w:val="00887E02"/>
    <w:rsid w:val="00892CDA"/>
    <w:rsid w:val="0089396A"/>
    <w:rsid w:val="00894A1B"/>
    <w:rsid w:val="00894C74"/>
    <w:rsid w:val="008A05C9"/>
    <w:rsid w:val="008A092C"/>
    <w:rsid w:val="008A0B81"/>
    <w:rsid w:val="008A237E"/>
    <w:rsid w:val="008A2731"/>
    <w:rsid w:val="008A3D04"/>
    <w:rsid w:val="008A439E"/>
    <w:rsid w:val="008A7196"/>
    <w:rsid w:val="008B1FE2"/>
    <w:rsid w:val="008B2669"/>
    <w:rsid w:val="008B37C2"/>
    <w:rsid w:val="008B37D1"/>
    <w:rsid w:val="008B3C0B"/>
    <w:rsid w:val="008B54BC"/>
    <w:rsid w:val="008B5640"/>
    <w:rsid w:val="008B5C75"/>
    <w:rsid w:val="008C095C"/>
    <w:rsid w:val="008C0AAB"/>
    <w:rsid w:val="008C0ECE"/>
    <w:rsid w:val="008C1240"/>
    <w:rsid w:val="008C1284"/>
    <w:rsid w:val="008C17E3"/>
    <w:rsid w:val="008C3A31"/>
    <w:rsid w:val="008C3BE8"/>
    <w:rsid w:val="008C44D6"/>
    <w:rsid w:val="008C6E65"/>
    <w:rsid w:val="008C7259"/>
    <w:rsid w:val="008D11C5"/>
    <w:rsid w:val="008D1BB0"/>
    <w:rsid w:val="008D2CBA"/>
    <w:rsid w:val="008D3866"/>
    <w:rsid w:val="008D5887"/>
    <w:rsid w:val="008D601D"/>
    <w:rsid w:val="008D76A2"/>
    <w:rsid w:val="008E05A0"/>
    <w:rsid w:val="008E0696"/>
    <w:rsid w:val="008E17EA"/>
    <w:rsid w:val="008E1A48"/>
    <w:rsid w:val="008E20B7"/>
    <w:rsid w:val="008E263F"/>
    <w:rsid w:val="008E2B3D"/>
    <w:rsid w:val="008E4B94"/>
    <w:rsid w:val="008E58A1"/>
    <w:rsid w:val="008E6A70"/>
    <w:rsid w:val="008E70B5"/>
    <w:rsid w:val="008F0943"/>
    <w:rsid w:val="008F141B"/>
    <w:rsid w:val="008F1799"/>
    <w:rsid w:val="008F38B6"/>
    <w:rsid w:val="008F4031"/>
    <w:rsid w:val="008F4E42"/>
    <w:rsid w:val="008F4EA8"/>
    <w:rsid w:val="008F6E1F"/>
    <w:rsid w:val="008F7F9F"/>
    <w:rsid w:val="00900893"/>
    <w:rsid w:val="00902BA0"/>
    <w:rsid w:val="00902FED"/>
    <w:rsid w:val="009031CB"/>
    <w:rsid w:val="009048AC"/>
    <w:rsid w:val="00904ED0"/>
    <w:rsid w:val="00905EA4"/>
    <w:rsid w:val="009071E0"/>
    <w:rsid w:val="00907C40"/>
    <w:rsid w:val="009101F0"/>
    <w:rsid w:val="0091100F"/>
    <w:rsid w:val="00911022"/>
    <w:rsid w:val="0091138C"/>
    <w:rsid w:val="0091352A"/>
    <w:rsid w:val="00913E21"/>
    <w:rsid w:val="009145A8"/>
    <w:rsid w:val="0091465A"/>
    <w:rsid w:val="009154A4"/>
    <w:rsid w:val="009157DE"/>
    <w:rsid w:val="0091594F"/>
    <w:rsid w:val="00915B90"/>
    <w:rsid w:val="00916B88"/>
    <w:rsid w:val="009172DE"/>
    <w:rsid w:val="00917435"/>
    <w:rsid w:val="00920697"/>
    <w:rsid w:val="0092146A"/>
    <w:rsid w:val="00924797"/>
    <w:rsid w:val="00927531"/>
    <w:rsid w:val="009277D0"/>
    <w:rsid w:val="009300A4"/>
    <w:rsid w:val="009301F2"/>
    <w:rsid w:val="00930DB7"/>
    <w:rsid w:val="009331CD"/>
    <w:rsid w:val="009334C5"/>
    <w:rsid w:val="0093397D"/>
    <w:rsid w:val="00933BAB"/>
    <w:rsid w:val="00935A0B"/>
    <w:rsid w:val="00936306"/>
    <w:rsid w:val="0094050B"/>
    <w:rsid w:val="00940F9F"/>
    <w:rsid w:val="009426F4"/>
    <w:rsid w:val="00943420"/>
    <w:rsid w:val="00943564"/>
    <w:rsid w:val="00943CEA"/>
    <w:rsid w:val="00944CBC"/>
    <w:rsid w:val="009459C9"/>
    <w:rsid w:val="00950264"/>
    <w:rsid w:val="009515FC"/>
    <w:rsid w:val="00951AE1"/>
    <w:rsid w:val="00952A47"/>
    <w:rsid w:val="00954073"/>
    <w:rsid w:val="0095481C"/>
    <w:rsid w:val="00954A9D"/>
    <w:rsid w:val="00954C8C"/>
    <w:rsid w:val="0095527E"/>
    <w:rsid w:val="009561BF"/>
    <w:rsid w:val="00956B5A"/>
    <w:rsid w:val="00957158"/>
    <w:rsid w:val="00957572"/>
    <w:rsid w:val="0095786E"/>
    <w:rsid w:val="0095794A"/>
    <w:rsid w:val="00957AAB"/>
    <w:rsid w:val="0096216D"/>
    <w:rsid w:val="00962F0B"/>
    <w:rsid w:val="009644B7"/>
    <w:rsid w:val="00964773"/>
    <w:rsid w:val="00966A01"/>
    <w:rsid w:val="00966F27"/>
    <w:rsid w:val="00970DEC"/>
    <w:rsid w:val="00971564"/>
    <w:rsid w:val="00972246"/>
    <w:rsid w:val="00972A6D"/>
    <w:rsid w:val="00972B95"/>
    <w:rsid w:val="009747D2"/>
    <w:rsid w:val="009763F8"/>
    <w:rsid w:val="00977F10"/>
    <w:rsid w:val="009808AF"/>
    <w:rsid w:val="00981044"/>
    <w:rsid w:val="00981923"/>
    <w:rsid w:val="009831C9"/>
    <w:rsid w:val="009852A4"/>
    <w:rsid w:val="009868F9"/>
    <w:rsid w:val="009879D2"/>
    <w:rsid w:val="00990746"/>
    <w:rsid w:val="00991414"/>
    <w:rsid w:val="009915BE"/>
    <w:rsid w:val="00991AA0"/>
    <w:rsid w:val="00993B5C"/>
    <w:rsid w:val="0099457C"/>
    <w:rsid w:val="00996F97"/>
    <w:rsid w:val="0099797B"/>
    <w:rsid w:val="00997BA2"/>
    <w:rsid w:val="00997C87"/>
    <w:rsid w:val="00997FD3"/>
    <w:rsid w:val="009A08FE"/>
    <w:rsid w:val="009A0CC9"/>
    <w:rsid w:val="009A10C3"/>
    <w:rsid w:val="009A164F"/>
    <w:rsid w:val="009A3FA3"/>
    <w:rsid w:val="009A4767"/>
    <w:rsid w:val="009A5972"/>
    <w:rsid w:val="009A6301"/>
    <w:rsid w:val="009A6445"/>
    <w:rsid w:val="009A651A"/>
    <w:rsid w:val="009A79C7"/>
    <w:rsid w:val="009A7A81"/>
    <w:rsid w:val="009A7AB9"/>
    <w:rsid w:val="009A7B92"/>
    <w:rsid w:val="009A7DB0"/>
    <w:rsid w:val="009A7FDF"/>
    <w:rsid w:val="009B1AB0"/>
    <w:rsid w:val="009B2BD9"/>
    <w:rsid w:val="009B3F14"/>
    <w:rsid w:val="009B68BE"/>
    <w:rsid w:val="009B7C0E"/>
    <w:rsid w:val="009C08A9"/>
    <w:rsid w:val="009C191B"/>
    <w:rsid w:val="009C2D8D"/>
    <w:rsid w:val="009C3621"/>
    <w:rsid w:val="009C4C97"/>
    <w:rsid w:val="009C627E"/>
    <w:rsid w:val="009C675E"/>
    <w:rsid w:val="009C73BC"/>
    <w:rsid w:val="009C75A2"/>
    <w:rsid w:val="009D01B2"/>
    <w:rsid w:val="009D0F8D"/>
    <w:rsid w:val="009D1B82"/>
    <w:rsid w:val="009D20FA"/>
    <w:rsid w:val="009D2F3D"/>
    <w:rsid w:val="009D2F9A"/>
    <w:rsid w:val="009D5223"/>
    <w:rsid w:val="009D6B18"/>
    <w:rsid w:val="009E0D7F"/>
    <w:rsid w:val="009E1177"/>
    <w:rsid w:val="009E1359"/>
    <w:rsid w:val="009E2484"/>
    <w:rsid w:val="009E25A1"/>
    <w:rsid w:val="009E320A"/>
    <w:rsid w:val="009E5119"/>
    <w:rsid w:val="009E526B"/>
    <w:rsid w:val="009E680F"/>
    <w:rsid w:val="009E6A06"/>
    <w:rsid w:val="009E772A"/>
    <w:rsid w:val="009F01E9"/>
    <w:rsid w:val="009F0781"/>
    <w:rsid w:val="009F11CC"/>
    <w:rsid w:val="009F15A6"/>
    <w:rsid w:val="009F15EE"/>
    <w:rsid w:val="009F26D8"/>
    <w:rsid w:val="009F32F5"/>
    <w:rsid w:val="009F3EC7"/>
    <w:rsid w:val="009F3F74"/>
    <w:rsid w:val="009F4580"/>
    <w:rsid w:val="009F53B4"/>
    <w:rsid w:val="009F5A40"/>
    <w:rsid w:val="009F7145"/>
    <w:rsid w:val="009F79AF"/>
    <w:rsid w:val="00A00354"/>
    <w:rsid w:val="00A0037B"/>
    <w:rsid w:val="00A00538"/>
    <w:rsid w:val="00A03163"/>
    <w:rsid w:val="00A041C3"/>
    <w:rsid w:val="00A06574"/>
    <w:rsid w:val="00A071C3"/>
    <w:rsid w:val="00A1292A"/>
    <w:rsid w:val="00A144DE"/>
    <w:rsid w:val="00A145A8"/>
    <w:rsid w:val="00A14DB9"/>
    <w:rsid w:val="00A152BE"/>
    <w:rsid w:val="00A15DCC"/>
    <w:rsid w:val="00A167F5"/>
    <w:rsid w:val="00A17C31"/>
    <w:rsid w:val="00A20B61"/>
    <w:rsid w:val="00A2141B"/>
    <w:rsid w:val="00A2299E"/>
    <w:rsid w:val="00A2365B"/>
    <w:rsid w:val="00A2498E"/>
    <w:rsid w:val="00A25B89"/>
    <w:rsid w:val="00A262A2"/>
    <w:rsid w:val="00A26512"/>
    <w:rsid w:val="00A27A23"/>
    <w:rsid w:val="00A315C1"/>
    <w:rsid w:val="00A3396B"/>
    <w:rsid w:val="00A34F87"/>
    <w:rsid w:val="00A35409"/>
    <w:rsid w:val="00A3711C"/>
    <w:rsid w:val="00A3752B"/>
    <w:rsid w:val="00A37CC4"/>
    <w:rsid w:val="00A40590"/>
    <w:rsid w:val="00A40754"/>
    <w:rsid w:val="00A40F73"/>
    <w:rsid w:val="00A423CA"/>
    <w:rsid w:val="00A449EA"/>
    <w:rsid w:val="00A456D0"/>
    <w:rsid w:val="00A47A2F"/>
    <w:rsid w:val="00A516BF"/>
    <w:rsid w:val="00A53A8B"/>
    <w:rsid w:val="00A54599"/>
    <w:rsid w:val="00A54A34"/>
    <w:rsid w:val="00A5631F"/>
    <w:rsid w:val="00A57701"/>
    <w:rsid w:val="00A5782C"/>
    <w:rsid w:val="00A60FE3"/>
    <w:rsid w:val="00A610CC"/>
    <w:rsid w:val="00A622F5"/>
    <w:rsid w:val="00A6273C"/>
    <w:rsid w:val="00A63819"/>
    <w:rsid w:val="00A665C2"/>
    <w:rsid w:val="00A67B6C"/>
    <w:rsid w:val="00A705DE"/>
    <w:rsid w:val="00A70C1F"/>
    <w:rsid w:val="00A71736"/>
    <w:rsid w:val="00A719C7"/>
    <w:rsid w:val="00A7475B"/>
    <w:rsid w:val="00A75461"/>
    <w:rsid w:val="00A77F80"/>
    <w:rsid w:val="00A80B0E"/>
    <w:rsid w:val="00A81BC7"/>
    <w:rsid w:val="00A832C5"/>
    <w:rsid w:val="00A835F7"/>
    <w:rsid w:val="00A836AD"/>
    <w:rsid w:val="00A91C24"/>
    <w:rsid w:val="00A93A7E"/>
    <w:rsid w:val="00A94003"/>
    <w:rsid w:val="00A9452E"/>
    <w:rsid w:val="00A94C39"/>
    <w:rsid w:val="00A9584F"/>
    <w:rsid w:val="00A95A8C"/>
    <w:rsid w:val="00A95B82"/>
    <w:rsid w:val="00A96037"/>
    <w:rsid w:val="00A96CA3"/>
    <w:rsid w:val="00A9754D"/>
    <w:rsid w:val="00AA0BE1"/>
    <w:rsid w:val="00AA0C46"/>
    <w:rsid w:val="00AA14DE"/>
    <w:rsid w:val="00AA2042"/>
    <w:rsid w:val="00AA2EDE"/>
    <w:rsid w:val="00AA2F15"/>
    <w:rsid w:val="00AA4904"/>
    <w:rsid w:val="00AA5042"/>
    <w:rsid w:val="00AA5667"/>
    <w:rsid w:val="00AA56C9"/>
    <w:rsid w:val="00AA6A00"/>
    <w:rsid w:val="00AA6C67"/>
    <w:rsid w:val="00AA788C"/>
    <w:rsid w:val="00AB3784"/>
    <w:rsid w:val="00AB4478"/>
    <w:rsid w:val="00AB5217"/>
    <w:rsid w:val="00AB6D76"/>
    <w:rsid w:val="00AB7774"/>
    <w:rsid w:val="00AC0153"/>
    <w:rsid w:val="00AC0795"/>
    <w:rsid w:val="00AC33C2"/>
    <w:rsid w:val="00AC38CF"/>
    <w:rsid w:val="00AC3AF2"/>
    <w:rsid w:val="00AC3EA8"/>
    <w:rsid w:val="00AC4528"/>
    <w:rsid w:val="00AC5086"/>
    <w:rsid w:val="00AC53C4"/>
    <w:rsid w:val="00AC6C00"/>
    <w:rsid w:val="00AC7363"/>
    <w:rsid w:val="00AD07FC"/>
    <w:rsid w:val="00AD0802"/>
    <w:rsid w:val="00AD0F77"/>
    <w:rsid w:val="00AD1324"/>
    <w:rsid w:val="00AD2B5F"/>
    <w:rsid w:val="00AD2CED"/>
    <w:rsid w:val="00AD319D"/>
    <w:rsid w:val="00AD3873"/>
    <w:rsid w:val="00AD3E09"/>
    <w:rsid w:val="00AD4299"/>
    <w:rsid w:val="00AD4EF9"/>
    <w:rsid w:val="00AD60CB"/>
    <w:rsid w:val="00AE1F1C"/>
    <w:rsid w:val="00AE38A0"/>
    <w:rsid w:val="00AE4B59"/>
    <w:rsid w:val="00AE5E56"/>
    <w:rsid w:val="00AE67CE"/>
    <w:rsid w:val="00AE7503"/>
    <w:rsid w:val="00AF0580"/>
    <w:rsid w:val="00AF1297"/>
    <w:rsid w:val="00AF22EA"/>
    <w:rsid w:val="00AF24E5"/>
    <w:rsid w:val="00AF30BA"/>
    <w:rsid w:val="00AF35D7"/>
    <w:rsid w:val="00AF3D89"/>
    <w:rsid w:val="00AF47B2"/>
    <w:rsid w:val="00AF5069"/>
    <w:rsid w:val="00AF60B4"/>
    <w:rsid w:val="00B00E61"/>
    <w:rsid w:val="00B01302"/>
    <w:rsid w:val="00B03277"/>
    <w:rsid w:val="00B03CF7"/>
    <w:rsid w:val="00B048C9"/>
    <w:rsid w:val="00B04D14"/>
    <w:rsid w:val="00B050E8"/>
    <w:rsid w:val="00B05106"/>
    <w:rsid w:val="00B052C7"/>
    <w:rsid w:val="00B06261"/>
    <w:rsid w:val="00B063FC"/>
    <w:rsid w:val="00B068B5"/>
    <w:rsid w:val="00B07C21"/>
    <w:rsid w:val="00B111A1"/>
    <w:rsid w:val="00B11403"/>
    <w:rsid w:val="00B11887"/>
    <w:rsid w:val="00B11953"/>
    <w:rsid w:val="00B13325"/>
    <w:rsid w:val="00B1641F"/>
    <w:rsid w:val="00B172F3"/>
    <w:rsid w:val="00B22C71"/>
    <w:rsid w:val="00B235CB"/>
    <w:rsid w:val="00B24CDB"/>
    <w:rsid w:val="00B2529F"/>
    <w:rsid w:val="00B271DC"/>
    <w:rsid w:val="00B275EA"/>
    <w:rsid w:val="00B302F5"/>
    <w:rsid w:val="00B3149C"/>
    <w:rsid w:val="00B32F98"/>
    <w:rsid w:val="00B331E7"/>
    <w:rsid w:val="00B338FA"/>
    <w:rsid w:val="00B33E38"/>
    <w:rsid w:val="00B34DA1"/>
    <w:rsid w:val="00B35454"/>
    <w:rsid w:val="00B36494"/>
    <w:rsid w:val="00B36C0F"/>
    <w:rsid w:val="00B373C0"/>
    <w:rsid w:val="00B37F50"/>
    <w:rsid w:val="00B42886"/>
    <w:rsid w:val="00B4405F"/>
    <w:rsid w:val="00B44847"/>
    <w:rsid w:val="00B4582F"/>
    <w:rsid w:val="00B46D11"/>
    <w:rsid w:val="00B51009"/>
    <w:rsid w:val="00B5147D"/>
    <w:rsid w:val="00B52733"/>
    <w:rsid w:val="00B53604"/>
    <w:rsid w:val="00B53AEA"/>
    <w:rsid w:val="00B53E0F"/>
    <w:rsid w:val="00B54BA2"/>
    <w:rsid w:val="00B55129"/>
    <w:rsid w:val="00B552B6"/>
    <w:rsid w:val="00B55E16"/>
    <w:rsid w:val="00B56778"/>
    <w:rsid w:val="00B61503"/>
    <w:rsid w:val="00B616ED"/>
    <w:rsid w:val="00B62C62"/>
    <w:rsid w:val="00B63D0B"/>
    <w:rsid w:val="00B64718"/>
    <w:rsid w:val="00B64860"/>
    <w:rsid w:val="00B650AF"/>
    <w:rsid w:val="00B65D33"/>
    <w:rsid w:val="00B675DA"/>
    <w:rsid w:val="00B705BD"/>
    <w:rsid w:val="00B71365"/>
    <w:rsid w:val="00B7136E"/>
    <w:rsid w:val="00B71D3A"/>
    <w:rsid w:val="00B7243F"/>
    <w:rsid w:val="00B72482"/>
    <w:rsid w:val="00B74C52"/>
    <w:rsid w:val="00B74E64"/>
    <w:rsid w:val="00B751A3"/>
    <w:rsid w:val="00B76189"/>
    <w:rsid w:val="00B77574"/>
    <w:rsid w:val="00B84824"/>
    <w:rsid w:val="00B849D8"/>
    <w:rsid w:val="00B84D35"/>
    <w:rsid w:val="00B84FB4"/>
    <w:rsid w:val="00B8584C"/>
    <w:rsid w:val="00B86A51"/>
    <w:rsid w:val="00B879CA"/>
    <w:rsid w:val="00B87F5A"/>
    <w:rsid w:val="00B90FC5"/>
    <w:rsid w:val="00B956CE"/>
    <w:rsid w:val="00B96353"/>
    <w:rsid w:val="00B9649D"/>
    <w:rsid w:val="00B971F4"/>
    <w:rsid w:val="00BA0211"/>
    <w:rsid w:val="00BA0AF5"/>
    <w:rsid w:val="00BA1396"/>
    <w:rsid w:val="00BA1DA9"/>
    <w:rsid w:val="00BA3E38"/>
    <w:rsid w:val="00BA47E5"/>
    <w:rsid w:val="00BA56A3"/>
    <w:rsid w:val="00BA588F"/>
    <w:rsid w:val="00BA6E8E"/>
    <w:rsid w:val="00BB15D6"/>
    <w:rsid w:val="00BB1B5C"/>
    <w:rsid w:val="00BB2240"/>
    <w:rsid w:val="00BB2946"/>
    <w:rsid w:val="00BB2976"/>
    <w:rsid w:val="00BB3524"/>
    <w:rsid w:val="00BB4909"/>
    <w:rsid w:val="00BB4C7F"/>
    <w:rsid w:val="00BB729B"/>
    <w:rsid w:val="00BB79B9"/>
    <w:rsid w:val="00BC1B35"/>
    <w:rsid w:val="00BC1F27"/>
    <w:rsid w:val="00BC303D"/>
    <w:rsid w:val="00BC4386"/>
    <w:rsid w:val="00BC490C"/>
    <w:rsid w:val="00BC5574"/>
    <w:rsid w:val="00BC5595"/>
    <w:rsid w:val="00BC75D1"/>
    <w:rsid w:val="00BC7AC4"/>
    <w:rsid w:val="00BC7F9A"/>
    <w:rsid w:val="00BD1655"/>
    <w:rsid w:val="00BD1928"/>
    <w:rsid w:val="00BD19F6"/>
    <w:rsid w:val="00BD420D"/>
    <w:rsid w:val="00BD4E9C"/>
    <w:rsid w:val="00BD68CA"/>
    <w:rsid w:val="00BD6A24"/>
    <w:rsid w:val="00BD7B5A"/>
    <w:rsid w:val="00BE0AA1"/>
    <w:rsid w:val="00BE0B15"/>
    <w:rsid w:val="00BE2303"/>
    <w:rsid w:val="00BE2968"/>
    <w:rsid w:val="00BE327F"/>
    <w:rsid w:val="00BE466E"/>
    <w:rsid w:val="00BE5208"/>
    <w:rsid w:val="00BE5E57"/>
    <w:rsid w:val="00BE6C76"/>
    <w:rsid w:val="00BE6E59"/>
    <w:rsid w:val="00BE7AC6"/>
    <w:rsid w:val="00BE7D05"/>
    <w:rsid w:val="00BF0539"/>
    <w:rsid w:val="00BF0863"/>
    <w:rsid w:val="00BF1EDD"/>
    <w:rsid w:val="00BF203B"/>
    <w:rsid w:val="00BF3E2D"/>
    <w:rsid w:val="00BF4479"/>
    <w:rsid w:val="00BF620F"/>
    <w:rsid w:val="00BF6292"/>
    <w:rsid w:val="00BF68D8"/>
    <w:rsid w:val="00BF6FB0"/>
    <w:rsid w:val="00BF75CA"/>
    <w:rsid w:val="00BF7EF2"/>
    <w:rsid w:val="00C004D5"/>
    <w:rsid w:val="00C0063D"/>
    <w:rsid w:val="00C00BA2"/>
    <w:rsid w:val="00C028DE"/>
    <w:rsid w:val="00C02B52"/>
    <w:rsid w:val="00C03AF4"/>
    <w:rsid w:val="00C04B5C"/>
    <w:rsid w:val="00C06374"/>
    <w:rsid w:val="00C06534"/>
    <w:rsid w:val="00C07D76"/>
    <w:rsid w:val="00C100D1"/>
    <w:rsid w:val="00C10783"/>
    <w:rsid w:val="00C110A2"/>
    <w:rsid w:val="00C11266"/>
    <w:rsid w:val="00C11852"/>
    <w:rsid w:val="00C1387D"/>
    <w:rsid w:val="00C14A6C"/>
    <w:rsid w:val="00C14E97"/>
    <w:rsid w:val="00C151B1"/>
    <w:rsid w:val="00C165BD"/>
    <w:rsid w:val="00C16602"/>
    <w:rsid w:val="00C169FB"/>
    <w:rsid w:val="00C17648"/>
    <w:rsid w:val="00C179FE"/>
    <w:rsid w:val="00C17B69"/>
    <w:rsid w:val="00C20137"/>
    <w:rsid w:val="00C21600"/>
    <w:rsid w:val="00C22211"/>
    <w:rsid w:val="00C22719"/>
    <w:rsid w:val="00C22DED"/>
    <w:rsid w:val="00C25C72"/>
    <w:rsid w:val="00C26091"/>
    <w:rsid w:val="00C26859"/>
    <w:rsid w:val="00C27309"/>
    <w:rsid w:val="00C3019B"/>
    <w:rsid w:val="00C30733"/>
    <w:rsid w:val="00C30D81"/>
    <w:rsid w:val="00C328E7"/>
    <w:rsid w:val="00C34899"/>
    <w:rsid w:val="00C3570B"/>
    <w:rsid w:val="00C35B34"/>
    <w:rsid w:val="00C35EF2"/>
    <w:rsid w:val="00C3608B"/>
    <w:rsid w:val="00C371BF"/>
    <w:rsid w:val="00C37364"/>
    <w:rsid w:val="00C37478"/>
    <w:rsid w:val="00C37ACC"/>
    <w:rsid w:val="00C40949"/>
    <w:rsid w:val="00C41DFA"/>
    <w:rsid w:val="00C42134"/>
    <w:rsid w:val="00C4442B"/>
    <w:rsid w:val="00C44B69"/>
    <w:rsid w:val="00C44BE3"/>
    <w:rsid w:val="00C44D87"/>
    <w:rsid w:val="00C44FDD"/>
    <w:rsid w:val="00C45D90"/>
    <w:rsid w:val="00C465F7"/>
    <w:rsid w:val="00C47CA7"/>
    <w:rsid w:val="00C51593"/>
    <w:rsid w:val="00C51A72"/>
    <w:rsid w:val="00C51DC0"/>
    <w:rsid w:val="00C52AF6"/>
    <w:rsid w:val="00C531FC"/>
    <w:rsid w:val="00C53839"/>
    <w:rsid w:val="00C55C4B"/>
    <w:rsid w:val="00C55EC4"/>
    <w:rsid w:val="00C56085"/>
    <w:rsid w:val="00C56B32"/>
    <w:rsid w:val="00C57D95"/>
    <w:rsid w:val="00C605CD"/>
    <w:rsid w:val="00C605FF"/>
    <w:rsid w:val="00C6067B"/>
    <w:rsid w:val="00C60D44"/>
    <w:rsid w:val="00C62557"/>
    <w:rsid w:val="00C62734"/>
    <w:rsid w:val="00C633F2"/>
    <w:rsid w:val="00C63DAC"/>
    <w:rsid w:val="00C6420B"/>
    <w:rsid w:val="00C64B66"/>
    <w:rsid w:val="00C66496"/>
    <w:rsid w:val="00C6693D"/>
    <w:rsid w:val="00C66BC8"/>
    <w:rsid w:val="00C71EAC"/>
    <w:rsid w:val="00C72156"/>
    <w:rsid w:val="00C72479"/>
    <w:rsid w:val="00C727D7"/>
    <w:rsid w:val="00C73C90"/>
    <w:rsid w:val="00C73F7B"/>
    <w:rsid w:val="00C74657"/>
    <w:rsid w:val="00C75093"/>
    <w:rsid w:val="00C75279"/>
    <w:rsid w:val="00C77920"/>
    <w:rsid w:val="00C80B0E"/>
    <w:rsid w:val="00C81D9B"/>
    <w:rsid w:val="00C81DE0"/>
    <w:rsid w:val="00C820BE"/>
    <w:rsid w:val="00C84745"/>
    <w:rsid w:val="00C85227"/>
    <w:rsid w:val="00C86021"/>
    <w:rsid w:val="00C86CBD"/>
    <w:rsid w:val="00C86E55"/>
    <w:rsid w:val="00C908EE"/>
    <w:rsid w:val="00C92306"/>
    <w:rsid w:val="00C92747"/>
    <w:rsid w:val="00C95CEC"/>
    <w:rsid w:val="00C95EC9"/>
    <w:rsid w:val="00C964F0"/>
    <w:rsid w:val="00C96C10"/>
    <w:rsid w:val="00C96F8F"/>
    <w:rsid w:val="00CA02CE"/>
    <w:rsid w:val="00CA06EE"/>
    <w:rsid w:val="00CA0F17"/>
    <w:rsid w:val="00CA1F08"/>
    <w:rsid w:val="00CA2746"/>
    <w:rsid w:val="00CA2B6A"/>
    <w:rsid w:val="00CA3946"/>
    <w:rsid w:val="00CA3E4F"/>
    <w:rsid w:val="00CA4902"/>
    <w:rsid w:val="00CA5793"/>
    <w:rsid w:val="00CA774D"/>
    <w:rsid w:val="00CB07EA"/>
    <w:rsid w:val="00CB3C41"/>
    <w:rsid w:val="00CB4D5B"/>
    <w:rsid w:val="00CB61CE"/>
    <w:rsid w:val="00CB62D3"/>
    <w:rsid w:val="00CB6A7A"/>
    <w:rsid w:val="00CB723A"/>
    <w:rsid w:val="00CC0B26"/>
    <w:rsid w:val="00CC0E37"/>
    <w:rsid w:val="00CC1AC8"/>
    <w:rsid w:val="00CC26ED"/>
    <w:rsid w:val="00CC2B7C"/>
    <w:rsid w:val="00CC4692"/>
    <w:rsid w:val="00CC5497"/>
    <w:rsid w:val="00CC6635"/>
    <w:rsid w:val="00CC7125"/>
    <w:rsid w:val="00CD083E"/>
    <w:rsid w:val="00CD34BF"/>
    <w:rsid w:val="00CD3CB9"/>
    <w:rsid w:val="00CD43EB"/>
    <w:rsid w:val="00CD5C77"/>
    <w:rsid w:val="00CD6211"/>
    <w:rsid w:val="00CD7209"/>
    <w:rsid w:val="00CE0F41"/>
    <w:rsid w:val="00CE32CA"/>
    <w:rsid w:val="00CE3DB9"/>
    <w:rsid w:val="00CE40B4"/>
    <w:rsid w:val="00CE4A33"/>
    <w:rsid w:val="00CE5E64"/>
    <w:rsid w:val="00CE6011"/>
    <w:rsid w:val="00CE7F2A"/>
    <w:rsid w:val="00CF0541"/>
    <w:rsid w:val="00CF11B8"/>
    <w:rsid w:val="00CF1F31"/>
    <w:rsid w:val="00CF22D1"/>
    <w:rsid w:val="00CF2E1A"/>
    <w:rsid w:val="00CF43DA"/>
    <w:rsid w:val="00CF6D59"/>
    <w:rsid w:val="00D03B50"/>
    <w:rsid w:val="00D0512C"/>
    <w:rsid w:val="00D0625A"/>
    <w:rsid w:val="00D107B2"/>
    <w:rsid w:val="00D110FE"/>
    <w:rsid w:val="00D12411"/>
    <w:rsid w:val="00D13A14"/>
    <w:rsid w:val="00D13F2A"/>
    <w:rsid w:val="00D15D50"/>
    <w:rsid w:val="00D15D90"/>
    <w:rsid w:val="00D15E86"/>
    <w:rsid w:val="00D1647F"/>
    <w:rsid w:val="00D176F6"/>
    <w:rsid w:val="00D17BBB"/>
    <w:rsid w:val="00D20059"/>
    <w:rsid w:val="00D201E9"/>
    <w:rsid w:val="00D202D0"/>
    <w:rsid w:val="00D204CA"/>
    <w:rsid w:val="00D244F7"/>
    <w:rsid w:val="00D2451B"/>
    <w:rsid w:val="00D25186"/>
    <w:rsid w:val="00D2589B"/>
    <w:rsid w:val="00D2597F"/>
    <w:rsid w:val="00D25A04"/>
    <w:rsid w:val="00D25C95"/>
    <w:rsid w:val="00D279BA"/>
    <w:rsid w:val="00D30498"/>
    <w:rsid w:val="00D30A41"/>
    <w:rsid w:val="00D31356"/>
    <w:rsid w:val="00D313A4"/>
    <w:rsid w:val="00D313DE"/>
    <w:rsid w:val="00D3198B"/>
    <w:rsid w:val="00D3285E"/>
    <w:rsid w:val="00D349F0"/>
    <w:rsid w:val="00D367D5"/>
    <w:rsid w:val="00D37813"/>
    <w:rsid w:val="00D42737"/>
    <w:rsid w:val="00D42864"/>
    <w:rsid w:val="00D441B6"/>
    <w:rsid w:val="00D44AD7"/>
    <w:rsid w:val="00D44F97"/>
    <w:rsid w:val="00D4728E"/>
    <w:rsid w:val="00D50165"/>
    <w:rsid w:val="00D50304"/>
    <w:rsid w:val="00D50381"/>
    <w:rsid w:val="00D52FB6"/>
    <w:rsid w:val="00D533D7"/>
    <w:rsid w:val="00D53D57"/>
    <w:rsid w:val="00D564F9"/>
    <w:rsid w:val="00D5716B"/>
    <w:rsid w:val="00D577F7"/>
    <w:rsid w:val="00D60BA8"/>
    <w:rsid w:val="00D60C82"/>
    <w:rsid w:val="00D60D89"/>
    <w:rsid w:val="00D60E28"/>
    <w:rsid w:val="00D621F8"/>
    <w:rsid w:val="00D62667"/>
    <w:rsid w:val="00D62EC3"/>
    <w:rsid w:val="00D631A5"/>
    <w:rsid w:val="00D65489"/>
    <w:rsid w:val="00D67006"/>
    <w:rsid w:val="00D67222"/>
    <w:rsid w:val="00D6779A"/>
    <w:rsid w:val="00D7016C"/>
    <w:rsid w:val="00D70E8F"/>
    <w:rsid w:val="00D71942"/>
    <w:rsid w:val="00D71AF2"/>
    <w:rsid w:val="00D720A8"/>
    <w:rsid w:val="00D72F97"/>
    <w:rsid w:val="00D7583A"/>
    <w:rsid w:val="00D77BC6"/>
    <w:rsid w:val="00D800BF"/>
    <w:rsid w:val="00D8020C"/>
    <w:rsid w:val="00D8152A"/>
    <w:rsid w:val="00D82422"/>
    <w:rsid w:val="00D82743"/>
    <w:rsid w:val="00D82DFE"/>
    <w:rsid w:val="00D83F91"/>
    <w:rsid w:val="00D84E0C"/>
    <w:rsid w:val="00D86BCC"/>
    <w:rsid w:val="00D86CF6"/>
    <w:rsid w:val="00D90616"/>
    <w:rsid w:val="00D92018"/>
    <w:rsid w:val="00D921A0"/>
    <w:rsid w:val="00D9299D"/>
    <w:rsid w:val="00D93FC9"/>
    <w:rsid w:val="00D941D4"/>
    <w:rsid w:val="00D94347"/>
    <w:rsid w:val="00D946DC"/>
    <w:rsid w:val="00D9480F"/>
    <w:rsid w:val="00D97878"/>
    <w:rsid w:val="00DA14CB"/>
    <w:rsid w:val="00DA1E1A"/>
    <w:rsid w:val="00DA25D5"/>
    <w:rsid w:val="00DA2766"/>
    <w:rsid w:val="00DA34BF"/>
    <w:rsid w:val="00DA3F0D"/>
    <w:rsid w:val="00DA67EE"/>
    <w:rsid w:val="00DA77D1"/>
    <w:rsid w:val="00DB115D"/>
    <w:rsid w:val="00DB17C8"/>
    <w:rsid w:val="00DB1A62"/>
    <w:rsid w:val="00DB2A4D"/>
    <w:rsid w:val="00DB2ADC"/>
    <w:rsid w:val="00DB2BBE"/>
    <w:rsid w:val="00DB2C88"/>
    <w:rsid w:val="00DB4D77"/>
    <w:rsid w:val="00DB5CBD"/>
    <w:rsid w:val="00DB63D2"/>
    <w:rsid w:val="00DB70D4"/>
    <w:rsid w:val="00DC1627"/>
    <w:rsid w:val="00DC1C48"/>
    <w:rsid w:val="00DC204C"/>
    <w:rsid w:val="00DC2E01"/>
    <w:rsid w:val="00DC5E1D"/>
    <w:rsid w:val="00DC5E65"/>
    <w:rsid w:val="00DC725A"/>
    <w:rsid w:val="00DD0055"/>
    <w:rsid w:val="00DD0895"/>
    <w:rsid w:val="00DD095E"/>
    <w:rsid w:val="00DD0EF2"/>
    <w:rsid w:val="00DD5FCA"/>
    <w:rsid w:val="00DD6F76"/>
    <w:rsid w:val="00DD7A0F"/>
    <w:rsid w:val="00DE03D3"/>
    <w:rsid w:val="00DE0C9C"/>
    <w:rsid w:val="00DE19F0"/>
    <w:rsid w:val="00DE379E"/>
    <w:rsid w:val="00DE4A96"/>
    <w:rsid w:val="00DE6504"/>
    <w:rsid w:val="00DE7AD6"/>
    <w:rsid w:val="00DF01C0"/>
    <w:rsid w:val="00DF0A37"/>
    <w:rsid w:val="00DF1A14"/>
    <w:rsid w:val="00DF22F9"/>
    <w:rsid w:val="00DF5839"/>
    <w:rsid w:val="00DF598F"/>
    <w:rsid w:val="00DF7AFE"/>
    <w:rsid w:val="00E00C98"/>
    <w:rsid w:val="00E00EC7"/>
    <w:rsid w:val="00E01F5E"/>
    <w:rsid w:val="00E02E49"/>
    <w:rsid w:val="00E040DA"/>
    <w:rsid w:val="00E0475F"/>
    <w:rsid w:val="00E05619"/>
    <w:rsid w:val="00E104A3"/>
    <w:rsid w:val="00E10758"/>
    <w:rsid w:val="00E10E6D"/>
    <w:rsid w:val="00E112BF"/>
    <w:rsid w:val="00E114EF"/>
    <w:rsid w:val="00E1291E"/>
    <w:rsid w:val="00E12EC4"/>
    <w:rsid w:val="00E133DB"/>
    <w:rsid w:val="00E13AB6"/>
    <w:rsid w:val="00E15100"/>
    <w:rsid w:val="00E151EB"/>
    <w:rsid w:val="00E1631B"/>
    <w:rsid w:val="00E16411"/>
    <w:rsid w:val="00E16559"/>
    <w:rsid w:val="00E1672A"/>
    <w:rsid w:val="00E2012A"/>
    <w:rsid w:val="00E20CAA"/>
    <w:rsid w:val="00E245A3"/>
    <w:rsid w:val="00E27330"/>
    <w:rsid w:val="00E273F7"/>
    <w:rsid w:val="00E30770"/>
    <w:rsid w:val="00E30C4A"/>
    <w:rsid w:val="00E31029"/>
    <w:rsid w:val="00E3134A"/>
    <w:rsid w:val="00E3492C"/>
    <w:rsid w:val="00E359D8"/>
    <w:rsid w:val="00E35A96"/>
    <w:rsid w:val="00E3644E"/>
    <w:rsid w:val="00E3686D"/>
    <w:rsid w:val="00E36C5F"/>
    <w:rsid w:val="00E374FE"/>
    <w:rsid w:val="00E413FC"/>
    <w:rsid w:val="00E416C1"/>
    <w:rsid w:val="00E4270C"/>
    <w:rsid w:val="00E429D7"/>
    <w:rsid w:val="00E4558C"/>
    <w:rsid w:val="00E46878"/>
    <w:rsid w:val="00E4689A"/>
    <w:rsid w:val="00E4735A"/>
    <w:rsid w:val="00E473B6"/>
    <w:rsid w:val="00E478C2"/>
    <w:rsid w:val="00E5019F"/>
    <w:rsid w:val="00E53B18"/>
    <w:rsid w:val="00E54306"/>
    <w:rsid w:val="00E54E00"/>
    <w:rsid w:val="00E55436"/>
    <w:rsid w:val="00E56CCB"/>
    <w:rsid w:val="00E57276"/>
    <w:rsid w:val="00E6163D"/>
    <w:rsid w:val="00E639DE"/>
    <w:rsid w:val="00E63E1B"/>
    <w:rsid w:val="00E6653B"/>
    <w:rsid w:val="00E665EE"/>
    <w:rsid w:val="00E67F4E"/>
    <w:rsid w:val="00E7069C"/>
    <w:rsid w:val="00E707D7"/>
    <w:rsid w:val="00E70D30"/>
    <w:rsid w:val="00E70E03"/>
    <w:rsid w:val="00E717BF"/>
    <w:rsid w:val="00E740EC"/>
    <w:rsid w:val="00E75757"/>
    <w:rsid w:val="00E764C2"/>
    <w:rsid w:val="00E77F8D"/>
    <w:rsid w:val="00E77FFA"/>
    <w:rsid w:val="00E8027B"/>
    <w:rsid w:val="00E81164"/>
    <w:rsid w:val="00E84A9A"/>
    <w:rsid w:val="00E84FB1"/>
    <w:rsid w:val="00E8570D"/>
    <w:rsid w:val="00E86728"/>
    <w:rsid w:val="00E868A6"/>
    <w:rsid w:val="00E909D3"/>
    <w:rsid w:val="00E91154"/>
    <w:rsid w:val="00E9294A"/>
    <w:rsid w:val="00E935BE"/>
    <w:rsid w:val="00E94A6B"/>
    <w:rsid w:val="00E94CB6"/>
    <w:rsid w:val="00E951BA"/>
    <w:rsid w:val="00E95D13"/>
    <w:rsid w:val="00E9613B"/>
    <w:rsid w:val="00EA05E8"/>
    <w:rsid w:val="00EA0B99"/>
    <w:rsid w:val="00EA1AC0"/>
    <w:rsid w:val="00EA1AFF"/>
    <w:rsid w:val="00EA31C9"/>
    <w:rsid w:val="00EA3EC7"/>
    <w:rsid w:val="00EA47D3"/>
    <w:rsid w:val="00EA4ABA"/>
    <w:rsid w:val="00EA6B2E"/>
    <w:rsid w:val="00EA6F95"/>
    <w:rsid w:val="00EA77EC"/>
    <w:rsid w:val="00EB6078"/>
    <w:rsid w:val="00EB682E"/>
    <w:rsid w:val="00EB6FCA"/>
    <w:rsid w:val="00EB7437"/>
    <w:rsid w:val="00EB7AB9"/>
    <w:rsid w:val="00EC19D0"/>
    <w:rsid w:val="00EC1C4F"/>
    <w:rsid w:val="00EC57DB"/>
    <w:rsid w:val="00EC6893"/>
    <w:rsid w:val="00EC6AE0"/>
    <w:rsid w:val="00EC6E3C"/>
    <w:rsid w:val="00EC738F"/>
    <w:rsid w:val="00ED0164"/>
    <w:rsid w:val="00ED1600"/>
    <w:rsid w:val="00ED16FC"/>
    <w:rsid w:val="00ED18F2"/>
    <w:rsid w:val="00ED1C8F"/>
    <w:rsid w:val="00ED283D"/>
    <w:rsid w:val="00ED295F"/>
    <w:rsid w:val="00ED381E"/>
    <w:rsid w:val="00ED3FE1"/>
    <w:rsid w:val="00ED4CD4"/>
    <w:rsid w:val="00ED5C2E"/>
    <w:rsid w:val="00ED633A"/>
    <w:rsid w:val="00ED7049"/>
    <w:rsid w:val="00EE05BF"/>
    <w:rsid w:val="00EE09AF"/>
    <w:rsid w:val="00EE0A37"/>
    <w:rsid w:val="00EE2396"/>
    <w:rsid w:val="00EE23BE"/>
    <w:rsid w:val="00EE35CE"/>
    <w:rsid w:val="00EE429A"/>
    <w:rsid w:val="00EE4462"/>
    <w:rsid w:val="00EE48EA"/>
    <w:rsid w:val="00EE4E32"/>
    <w:rsid w:val="00EE56F6"/>
    <w:rsid w:val="00EE5B23"/>
    <w:rsid w:val="00EE620B"/>
    <w:rsid w:val="00EE6BED"/>
    <w:rsid w:val="00EE6CA2"/>
    <w:rsid w:val="00EE6DBD"/>
    <w:rsid w:val="00EE6EA6"/>
    <w:rsid w:val="00EE776B"/>
    <w:rsid w:val="00EE7803"/>
    <w:rsid w:val="00EF040B"/>
    <w:rsid w:val="00EF1C30"/>
    <w:rsid w:val="00EF308C"/>
    <w:rsid w:val="00EF3B9A"/>
    <w:rsid w:val="00EF3C53"/>
    <w:rsid w:val="00EF4F8F"/>
    <w:rsid w:val="00EF74C5"/>
    <w:rsid w:val="00EF758A"/>
    <w:rsid w:val="00EF78FE"/>
    <w:rsid w:val="00F00FE7"/>
    <w:rsid w:val="00F02E37"/>
    <w:rsid w:val="00F03378"/>
    <w:rsid w:val="00F03E93"/>
    <w:rsid w:val="00F03F08"/>
    <w:rsid w:val="00F071B9"/>
    <w:rsid w:val="00F07F49"/>
    <w:rsid w:val="00F118F9"/>
    <w:rsid w:val="00F12507"/>
    <w:rsid w:val="00F125E4"/>
    <w:rsid w:val="00F12A03"/>
    <w:rsid w:val="00F14D05"/>
    <w:rsid w:val="00F22902"/>
    <w:rsid w:val="00F23229"/>
    <w:rsid w:val="00F237C1"/>
    <w:rsid w:val="00F24435"/>
    <w:rsid w:val="00F26337"/>
    <w:rsid w:val="00F267A6"/>
    <w:rsid w:val="00F30414"/>
    <w:rsid w:val="00F31491"/>
    <w:rsid w:val="00F32EC4"/>
    <w:rsid w:val="00F33436"/>
    <w:rsid w:val="00F339BB"/>
    <w:rsid w:val="00F36205"/>
    <w:rsid w:val="00F37A3E"/>
    <w:rsid w:val="00F37CB2"/>
    <w:rsid w:val="00F40901"/>
    <w:rsid w:val="00F426A5"/>
    <w:rsid w:val="00F439FB"/>
    <w:rsid w:val="00F44402"/>
    <w:rsid w:val="00F50CBA"/>
    <w:rsid w:val="00F5355D"/>
    <w:rsid w:val="00F54013"/>
    <w:rsid w:val="00F5415C"/>
    <w:rsid w:val="00F5463D"/>
    <w:rsid w:val="00F54ED7"/>
    <w:rsid w:val="00F550FC"/>
    <w:rsid w:val="00F567A7"/>
    <w:rsid w:val="00F578A4"/>
    <w:rsid w:val="00F57992"/>
    <w:rsid w:val="00F609B9"/>
    <w:rsid w:val="00F619B3"/>
    <w:rsid w:val="00F62299"/>
    <w:rsid w:val="00F62F4D"/>
    <w:rsid w:val="00F643B1"/>
    <w:rsid w:val="00F64ADE"/>
    <w:rsid w:val="00F66106"/>
    <w:rsid w:val="00F674F6"/>
    <w:rsid w:val="00F67CAC"/>
    <w:rsid w:val="00F70F5E"/>
    <w:rsid w:val="00F70FE0"/>
    <w:rsid w:val="00F71ABF"/>
    <w:rsid w:val="00F7350D"/>
    <w:rsid w:val="00F74E33"/>
    <w:rsid w:val="00F75103"/>
    <w:rsid w:val="00F77E67"/>
    <w:rsid w:val="00F8029E"/>
    <w:rsid w:val="00F83904"/>
    <w:rsid w:val="00F839F2"/>
    <w:rsid w:val="00F84F3E"/>
    <w:rsid w:val="00F8586C"/>
    <w:rsid w:val="00F86E5A"/>
    <w:rsid w:val="00F87C01"/>
    <w:rsid w:val="00F90440"/>
    <w:rsid w:val="00F90A26"/>
    <w:rsid w:val="00F91173"/>
    <w:rsid w:val="00F91B72"/>
    <w:rsid w:val="00F92DA9"/>
    <w:rsid w:val="00F93AD0"/>
    <w:rsid w:val="00F93F4A"/>
    <w:rsid w:val="00F94090"/>
    <w:rsid w:val="00F949E1"/>
    <w:rsid w:val="00F9762F"/>
    <w:rsid w:val="00FA08BA"/>
    <w:rsid w:val="00FA2503"/>
    <w:rsid w:val="00FA2D2F"/>
    <w:rsid w:val="00FA3150"/>
    <w:rsid w:val="00FA3D0F"/>
    <w:rsid w:val="00FA43B0"/>
    <w:rsid w:val="00FA4D95"/>
    <w:rsid w:val="00FA5B29"/>
    <w:rsid w:val="00FA5E59"/>
    <w:rsid w:val="00FB15E7"/>
    <w:rsid w:val="00FB2EE0"/>
    <w:rsid w:val="00FB5408"/>
    <w:rsid w:val="00FB7A6D"/>
    <w:rsid w:val="00FC053D"/>
    <w:rsid w:val="00FC2915"/>
    <w:rsid w:val="00FC3EEA"/>
    <w:rsid w:val="00FC4686"/>
    <w:rsid w:val="00FC6813"/>
    <w:rsid w:val="00FD22EC"/>
    <w:rsid w:val="00FD23C2"/>
    <w:rsid w:val="00FD2907"/>
    <w:rsid w:val="00FD3014"/>
    <w:rsid w:val="00FD4E21"/>
    <w:rsid w:val="00FD4E92"/>
    <w:rsid w:val="00FD57C7"/>
    <w:rsid w:val="00FD5A82"/>
    <w:rsid w:val="00FE0A36"/>
    <w:rsid w:val="00FE3407"/>
    <w:rsid w:val="00FE3780"/>
    <w:rsid w:val="00FE38AE"/>
    <w:rsid w:val="00FE3B7C"/>
    <w:rsid w:val="00FE48B8"/>
    <w:rsid w:val="00FE4AC2"/>
    <w:rsid w:val="00FE5D46"/>
    <w:rsid w:val="00FE6E1A"/>
    <w:rsid w:val="00FE7341"/>
    <w:rsid w:val="00FF00B4"/>
    <w:rsid w:val="00FF00E9"/>
    <w:rsid w:val="00FF0F23"/>
    <w:rsid w:val="00FF13F3"/>
    <w:rsid w:val="00FF1D06"/>
    <w:rsid w:val="00FF1D63"/>
    <w:rsid w:val="00FF20DA"/>
    <w:rsid w:val="00FF346B"/>
    <w:rsid w:val="00FF582F"/>
    <w:rsid w:val="00FF5CC0"/>
    <w:rsid w:val="00FF5DB0"/>
    <w:rsid w:val="00FF6921"/>
    <w:rsid w:val="00FF7F9C"/>
    <w:rsid w:val="00FF7F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4"/>
    <o:shapelayout v:ext="edit">
      <o:idmap v:ext="edit" data="1"/>
    </o:shapelayout>
  </w:shapeDefaults>
  <w:decimalSymbol w:val="."/>
  <w:listSeparator w:val=","/>
  <w15:chartTrackingRefBased/>
  <w15:docId w15:val="{6C31A000-0DDB-4CA0-9D06-F6DDAAF9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AE5E56"/>
    <w:pPr>
      <w:keepNext/>
      <w:jc w:val="both"/>
      <w:outlineLvl w:val="0"/>
    </w:pPr>
    <w:rPr>
      <w:b/>
      <w:bCs/>
    </w:rPr>
  </w:style>
  <w:style w:type="paragraph" w:styleId="Heading2">
    <w:name w:val="heading 2"/>
    <w:basedOn w:val="Normal"/>
    <w:next w:val="Normal"/>
    <w:qFormat/>
    <w:rsid w:val="008E1A48"/>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2032B"/>
    <w:pPr>
      <w:tabs>
        <w:tab w:val="center" w:pos="4320"/>
        <w:tab w:val="right" w:pos="8640"/>
      </w:tabs>
    </w:pPr>
  </w:style>
  <w:style w:type="character" w:styleId="PageNumber">
    <w:name w:val="page number"/>
    <w:basedOn w:val="DefaultParagraphFont"/>
    <w:rsid w:val="0062032B"/>
  </w:style>
  <w:style w:type="paragraph" w:styleId="BodyText">
    <w:name w:val="Body Text"/>
    <w:basedOn w:val="Normal"/>
    <w:rsid w:val="00AE5E56"/>
    <w:pPr>
      <w:spacing w:line="480" w:lineRule="auto"/>
      <w:jc w:val="both"/>
    </w:pPr>
  </w:style>
  <w:style w:type="paragraph" w:styleId="BodyText2">
    <w:name w:val="Body Text 2"/>
    <w:basedOn w:val="Normal"/>
    <w:rsid w:val="008D76A2"/>
    <w:pPr>
      <w:spacing w:after="120" w:line="480" w:lineRule="auto"/>
    </w:pPr>
  </w:style>
  <w:style w:type="paragraph" w:styleId="FootnoteText">
    <w:name w:val="footnote text"/>
    <w:basedOn w:val="Normal"/>
    <w:link w:val="FootnoteTextChar1"/>
    <w:rsid w:val="00474E2F"/>
    <w:rPr>
      <w:sz w:val="20"/>
      <w:szCs w:val="20"/>
    </w:rPr>
  </w:style>
  <w:style w:type="character" w:styleId="FootnoteReference">
    <w:name w:val="footnote reference"/>
    <w:uiPriority w:val="99"/>
    <w:semiHidden/>
    <w:rsid w:val="00474E2F"/>
    <w:rPr>
      <w:vertAlign w:val="superscript"/>
    </w:rPr>
  </w:style>
  <w:style w:type="table" w:styleId="TableGrid">
    <w:name w:val="Table Grid"/>
    <w:basedOn w:val="TableNormal"/>
    <w:uiPriority w:val="39"/>
    <w:rsid w:val="00A003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hl0">
    <w:name w:val="goohl0"/>
    <w:basedOn w:val="DefaultParagraphFont"/>
    <w:rsid w:val="006A00F9"/>
  </w:style>
  <w:style w:type="character" w:customStyle="1" w:styleId="goohl1">
    <w:name w:val="goohl1"/>
    <w:basedOn w:val="DefaultParagraphFont"/>
    <w:rsid w:val="006A00F9"/>
  </w:style>
  <w:style w:type="character" w:customStyle="1" w:styleId="goohl2">
    <w:name w:val="goohl2"/>
    <w:basedOn w:val="DefaultParagraphFont"/>
    <w:rsid w:val="006A00F9"/>
  </w:style>
  <w:style w:type="character" w:styleId="Hyperlink">
    <w:name w:val="Hyperlink"/>
    <w:uiPriority w:val="99"/>
    <w:rsid w:val="009F53B4"/>
    <w:rPr>
      <w:color w:val="0000FF"/>
      <w:u w:val="single"/>
    </w:rPr>
  </w:style>
  <w:style w:type="paragraph" w:styleId="Header">
    <w:name w:val="header"/>
    <w:basedOn w:val="Normal"/>
    <w:rsid w:val="00D93FC9"/>
    <w:pPr>
      <w:tabs>
        <w:tab w:val="center" w:pos="4320"/>
        <w:tab w:val="right" w:pos="8640"/>
      </w:tabs>
    </w:pPr>
  </w:style>
  <w:style w:type="paragraph" w:styleId="BalloonText">
    <w:name w:val="Balloon Text"/>
    <w:basedOn w:val="Normal"/>
    <w:semiHidden/>
    <w:rsid w:val="00637B32"/>
    <w:rPr>
      <w:rFonts w:ascii="Tahoma" w:hAnsi="Tahoma" w:cs="Tahoma"/>
      <w:sz w:val="16"/>
      <w:szCs w:val="16"/>
    </w:rPr>
  </w:style>
  <w:style w:type="character" w:customStyle="1" w:styleId="FootnoteTextChar1">
    <w:name w:val="Footnote Text Char1"/>
    <w:link w:val="FootnoteText"/>
    <w:locked/>
    <w:rsid w:val="00BD68CA"/>
  </w:style>
  <w:style w:type="character" w:customStyle="1" w:styleId="FootnoteTextChar">
    <w:name w:val="Footnote Text Char"/>
    <w:uiPriority w:val="99"/>
    <w:rsid w:val="009A0CC9"/>
    <w:rPr>
      <w:lang w:val="en-US" w:eastAsia="en-US" w:bidi="ar-SA"/>
    </w:rPr>
  </w:style>
  <w:style w:type="paragraph" w:styleId="ListParagraph">
    <w:name w:val="List Paragraph"/>
    <w:basedOn w:val="Normal"/>
    <w:uiPriority w:val="34"/>
    <w:qFormat/>
    <w:rsid w:val="005F6092"/>
    <w:pPr>
      <w:spacing w:after="200" w:line="276" w:lineRule="auto"/>
      <w:ind w:left="720"/>
      <w:contextualSpacing/>
    </w:pPr>
    <w:rPr>
      <w:rFonts w:ascii="Calibri" w:eastAsia="Calibri" w:hAnsi="Calibri"/>
      <w:sz w:val="22"/>
      <w:szCs w:val="22"/>
    </w:rPr>
  </w:style>
  <w:style w:type="paragraph" w:customStyle="1" w:styleId="text">
    <w:name w:val="text"/>
    <w:aliases w:val="t"/>
    <w:basedOn w:val="Normal"/>
    <w:next w:val="Normal"/>
    <w:rsid w:val="00D65489"/>
    <w:pPr>
      <w:autoSpaceDE w:val="0"/>
      <w:autoSpaceDN w:val="0"/>
      <w:adjustRightInd w:val="0"/>
    </w:pPr>
    <w:rPr>
      <w:bCs/>
      <w:lang w:val="en-IN" w:eastAsia="en-IN"/>
    </w:rPr>
  </w:style>
  <w:style w:type="character" w:customStyle="1" w:styleId="FooterChar">
    <w:name w:val="Footer Char"/>
    <w:link w:val="Footer"/>
    <w:uiPriority w:val="99"/>
    <w:rsid w:val="005B4CFE"/>
    <w:rPr>
      <w:sz w:val="24"/>
      <w:szCs w:val="24"/>
    </w:rPr>
  </w:style>
  <w:style w:type="character" w:styleId="PlaceholderText">
    <w:name w:val="Placeholder Text"/>
    <w:uiPriority w:val="99"/>
    <w:semiHidden/>
    <w:rsid w:val="00456DB7"/>
    <w:rPr>
      <w:color w:val="808080"/>
    </w:rPr>
  </w:style>
  <w:style w:type="character" w:customStyle="1" w:styleId="authors">
    <w:name w:val="authors"/>
    <w:rsid w:val="0083573E"/>
  </w:style>
  <w:style w:type="character" w:customStyle="1" w:styleId="Date1">
    <w:name w:val="Date1"/>
    <w:rsid w:val="0083573E"/>
  </w:style>
  <w:style w:type="character" w:customStyle="1" w:styleId="arttitle">
    <w:name w:val="art_title"/>
    <w:rsid w:val="0083573E"/>
  </w:style>
  <w:style w:type="character" w:customStyle="1" w:styleId="serialtitle">
    <w:name w:val="serial_title"/>
    <w:rsid w:val="0083573E"/>
  </w:style>
  <w:style w:type="character" w:customStyle="1" w:styleId="volumeissue">
    <w:name w:val="volume_issue"/>
    <w:rsid w:val="0083573E"/>
  </w:style>
  <w:style w:type="character" w:customStyle="1" w:styleId="pagerange">
    <w:name w:val="page_range"/>
    <w:rsid w:val="0083573E"/>
  </w:style>
  <w:style w:type="character" w:styleId="Emphasis">
    <w:name w:val="Emphasis"/>
    <w:uiPriority w:val="20"/>
    <w:qFormat/>
    <w:rsid w:val="00515FCB"/>
    <w:rPr>
      <w:i/>
      <w:iCs/>
    </w:rPr>
  </w:style>
  <w:style w:type="character" w:styleId="UnresolvedMention">
    <w:name w:val="Unresolved Mention"/>
    <w:uiPriority w:val="99"/>
    <w:semiHidden/>
    <w:unhideWhenUsed/>
    <w:rsid w:val="00075A22"/>
    <w:rPr>
      <w:color w:val="605E5C"/>
      <w:shd w:val="clear" w:color="auto" w:fill="E1DFDD"/>
    </w:rPr>
  </w:style>
  <w:style w:type="paragraph" w:styleId="NormalWeb">
    <w:name w:val="Normal (Web)"/>
    <w:basedOn w:val="Normal"/>
    <w:uiPriority w:val="99"/>
    <w:rsid w:val="00E413FC"/>
    <w:pPr>
      <w:spacing w:before="100" w:beforeAutospacing="1" w:after="100" w:afterAutospacing="1"/>
    </w:pPr>
  </w:style>
  <w:style w:type="character" w:customStyle="1" w:styleId="author">
    <w:name w:val="author"/>
    <w:rsid w:val="00BC4386"/>
  </w:style>
  <w:style w:type="character" w:customStyle="1" w:styleId="pubyear">
    <w:name w:val="pubyear"/>
    <w:rsid w:val="00BC4386"/>
  </w:style>
  <w:style w:type="character" w:customStyle="1" w:styleId="articletitle">
    <w:name w:val="articletitle"/>
    <w:rsid w:val="00BC4386"/>
  </w:style>
  <w:style w:type="character" w:customStyle="1" w:styleId="vol">
    <w:name w:val="vol"/>
    <w:rsid w:val="00BC4386"/>
  </w:style>
  <w:style w:type="character" w:customStyle="1" w:styleId="citedissue">
    <w:name w:val="citedissue"/>
    <w:rsid w:val="00BC4386"/>
  </w:style>
  <w:style w:type="character" w:customStyle="1" w:styleId="pagefirst">
    <w:name w:val="pagefirst"/>
    <w:rsid w:val="00BC4386"/>
  </w:style>
  <w:style w:type="character" w:customStyle="1" w:styleId="pagelast">
    <w:name w:val="pagelast"/>
    <w:rsid w:val="00BC43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789515">
      <w:bodyDiv w:val="1"/>
      <w:marLeft w:val="0"/>
      <w:marRight w:val="0"/>
      <w:marTop w:val="0"/>
      <w:marBottom w:val="0"/>
      <w:divBdr>
        <w:top w:val="none" w:sz="0" w:space="0" w:color="auto"/>
        <w:left w:val="none" w:sz="0" w:space="0" w:color="auto"/>
        <w:bottom w:val="none" w:sz="0" w:space="0" w:color="auto"/>
        <w:right w:val="none" w:sz="0" w:space="0" w:color="auto"/>
      </w:divBdr>
    </w:div>
    <w:div w:id="226376549">
      <w:bodyDiv w:val="1"/>
      <w:marLeft w:val="0"/>
      <w:marRight w:val="0"/>
      <w:marTop w:val="0"/>
      <w:marBottom w:val="0"/>
      <w:divBdr>
        <w:top w:val="none" w:sz="0" w:space="0" w:color="auto"/>
        <w:left w:val="none" w:sz="0" w:space="0" w:color="auto"/>
        <w:bottom w:val="none" w:sz="0" w:space="0" w:color="auto"/>
        <w:right w:val="none" w:sz="0" w:space="0" w:color="auto"/>
      </w:divBdr>
    </w:div>
    <w:div w:id="389575040">
      <w:bodyDiv w:val="1"/>
      <w:marLeft w:val="0"/>
      <w:marRight w:val="0"/>
      <w:marTop w:val="0"/>
      <w:marBottom w:val="0"/>
      <w:divBdr>
        <w:top w:val="none" w:sz="0" w:space="0" w:color="auto"/>
        <w:left w:val="none" w:sz="0" w:space="0" w:color="auto"/>
        <w:bottom w:val="none" w:sz="0" w:space="0" w:color="auto"/>
        <w:right w:val="none" w:sz="0" w:space="0" w:color="auto"/>
      </w:divBdr>
    </w:div>
    <w:div w:id="461001039">
      <w:bodyDiv w:val="1"/>
      <w:marLeft w:val="0"/>
      <w:marRight w:val="0"/>
      <w:marTop w:val="0"/>
      <w:marBottom w:val="0"/>
      <w:divBdr>
        <w:top w:val="none" w:sz="0" w:space="0" w:color="auto"/>
        <w:left w:val="none" w:sz="0" w:space="0" w:color="auto"/>
        <w:bottom w:val="none" w:sz="0" w:space="0" w:color="auto"/>
        <w:right w:val="none" w:sz="0" w:space="0" w:color="auto"/>
      </w:divBdr>
      <w:divsChild>
        <w:div w:id="900212696">
          <w:marLeft w:val="0"/>
          <w:marRight w:val="0"/>
          <w:marTop w:val="0"/>
          <w:marBottom w:val="0"/>
          <w:divBdr>
            <w:top w:val="none" w:sz="0" w:space="0" w:color="auto"/>
            <w:left w:val="none" w:sz="0" w:space="0" w:color="auto"/>
            <w:bottom w:val="none" w:sz="0" w:space="0" w:color="auto"/>
            <w:right w:val="none" w:sz="0" w:space="0" w:color="auto"/>
          </w:divBdr>
          <w:divsChild>
            <w:div w:id="23477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76385">
      <w:bodyDiv w:val="1"/>
      <w:marLeft w:val="0"/>
      <w:marRight w:val="0"/>
      <w:marTop w:val="0"/>
      <w:marBottom w:val="0"/>
      <w:divBdr>
        <w:top w:val="none" w:sz="0" w:space="0" w:color="auto"/>
        <w:left w:val="none" w:sz="0" w:space="0" w:color="auto"/>
        <w:bottom w:val="none" w:sz="0" w:space="0" w:color="auto"/>
        <w:right w:val="none" w:sz="0" w:space="0" w:color="auto"/>
      </w:divBdr>
    </w:div>
    <w:div w:id="701788843">
      <w:bodyDiv w:val="1"/>
      <w:marLeft w:val="0"/>
      <w:marRight w:val="0"/>
      <w:marTop w:val="0"/>
      <w:marBottom w:val="0"/>
      <w:divBdr>
        <w:top w:val="none" w:sz="0" w:space="0" w:color="auto"/>
        <w:left w:val="none" w:sz="0" w:space="0" w:color="auto"/>
        <w:bottom w:val="none" w:sz="0" w:space="0" w:color="auto"/>
        <w:right w:val="none" w:sz="0" w:space="0" w:color="auto"/>
      </w:divBdr>
      <w:divsChild>
        <w:div w:id="1216236737">
          <w:marLeft w:val="0"/>
          <w:marRight w:val="0"/>
          <w:marTop w:val="0"/>
          <w:marBottom w:val="0"/>
          <w:divBdr>
            <w:top w:val="none" w:sz="0" w:space="0" w:color="auto"/>
            <w:left w:val="none" w:sz="0" w:space="0" w:color="auto"/>
            <w:bottom w:val="none" w:sz="0" w:space="0" w:color="auto"/>
            <w:right w:val="none" w:sz="0" w:space="0" w:color="auto"/>
          </w:divBdr>
          <w:divsChild>
            <w:div w:id="78534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020232">
      <w:bodyDiv w:val="1"/>
      <w:marLeft w:val="0"/>
      <w:marRight w:val="0"/>
      <w:marTop w:val="0"/>
      <w:marBottom w:val="0"/>
      <w:divBdr>
        <w:top w:val="none" w:sz="0" w:space="0" w:color="auto"/>
        <w:left w:val="none" w:sz="0" w:space="0" w:color="auto"/>
        <w:bottom w:val="none" w:sz="0" w:space="0" w:color="auto"/>
        <w:right w:val="none" w:sz="0" w:space="0" w:color="auto"/>
      </w:divBdr>
      <w:divsChild>
        <w:div w:id="984553976">
          <w:marLeft w:val="0"/>
          <w:marRight w:val="0"/>
          <w:marTop w:val="0"/>
          <w:marBottom w:val="0"/>
          <w:divBdr>
            <w:top w:val="none" w:sz="0" w:space="0" w:color="auto"/>
            <w:left w:val="none" w:sz="0" w:space="0" w:color="auto"/>
            <w:bottom w:val="none" w:sz="0" w:space="0" w:color="auto"/>
            <w:right w:val="none" w:sz="0" w:space="0" w:color="auto"/>
          </w:divBdr>
        </w:div>
        <w:div w:id="1303539297">
          <w:marLeft w:val="0"/>
          <w:marRight w:val="0"/>
          <w:marTop w:val="0"/>
          <w:marBottom w:val="0"/>
          <w:divBdr>
            <w:top w:val="none" w:sz="0" w:space="0" w:color="auto"/>
            <w:left w:val="none" w:sz="0" w:space="0" w:color="auto"/>
            <w:bottom w:val="none" w:sz="0" w:space="0" w:color="auto"/>
            <w:right w:val="none" w:sz="0" w:space="0" w:color="auto"/>
          </w:divBdr>
        </w:div>
      </w:divsChild>
    </w:div>
    <w:div w:id="723064283">
      <w:bodyDiv w:val="1"/>
      <w:marLeft w:val="0"/>
      <w:marRight w:val="0"/>
      <w:marTop w:val="0"/>
      <w:marBottom w:val="0"/>
      <w:divBdr>
        <w:top w:val="none" w:sz="0" w:space="0" w:color="auto"/>
        <w:left w:val="none" w:sz="0" w:space="0" w:color="auto"/>
        <w:bottom w:val="none" w:sz="0" w:space="0" w:color="auto"/>
        <w:right w:val="none" w:sz="0" w:space="0" w:color="auto"/>
      </w:divBdr>
    </w:div>
    <w:div w:id="756363595">
      <w:bodyDiv w:val="1"/>
      <w:marLeft w:val="0"/>
      <w:marRight w:val="0"/>
      <w:marTop w:val="0"/>
      <w:marBottom w:val="0"/>
      <w:divBdr>
        <w:top w:val="none" w:sz="0" w:space="0" w:color="auto"/>
        <w:left w:val="none" w:sz="0" w:space="0" w:color="auto"/>
        <w:bottom w:val="none" w:sz="0" w:space="0" w:color="auto"/>
        <w:right w:val="none" w:sz="0" w:space="0" w:color="auto"/>
      </w:divBdr>
    </w:div>
    <w:div w:id="1001473412">
      <w:bodyDiv w:val="1"/>
      <w:marLeft w:val="0"/>
      <w:marRight w:val="0"/>
      <w:marTop w:val="0"/>
      <w:marBottom w:val="0"/>
      <w:divBdr>
        <w:top w:val="none" w:sz="0" w:space="0" w:color="auto"/>
        <w:left w:val="none" w:sz="0" w:space="0" w:color="auto"/>
        <w:bottom w:val="none" w:sz="0" w:space="0" w:color="auto"/>
        <w:right w:val="none" w:sz="0" w:space="0" w:color="auto"/>
      </w:divBdr>
    </w:div>
    <w:div w:id="1040515613">
      <w:bodyDiv w:val="1"/>
      <w:marLeft w:val="0"/>
      <w:marRight w:val="0"/>
      <w:marTop w:val="0"/>
      <w:marBottom w:val="0"/>
      <w:divBdr>
        <w:top w:val="none" w:sz="0" w:space="0" w:color="auto"/>
        <w:left w:val="none" w:sz="0" w:space="0" w:color="auto"/>
        <w:bottom w:val="none" w:sz="0" w:space="0" w:color="auto"/>
        <w:right w:val="none" w:sz="0" w:space="0" w:color="auto"/>
      </w:divBdr>
    </w:div>
    <w:div w:id="1302612131">
      <w:bodyDiv w:val="1"/>
      <w:marLeft w:val="0"/>
      <w:marRight w:val="0"/>
      <w:marTop w:val="0"/>
      <w:marBottom w:val="0"/>
      <w:divBdr>
        <w:top w:val="none" w:sz="0" w:space="0" w:color="auto"/>
        <w:left w:val="none" w:sz="0" w:space="0" w:color="auto"/>
        <w:bottom w:val="none" w:sz="0" w:space="0" w:color="auto"/>
        <w:right w:val="none" w:sz="0" w:space="0" w:color="auto"/>
      </w:divBdr>
    </w:div>
    <w:div w:id="1592011551">
      <w:bodyDiv w:val="1"/>
      <w:marLeft w:val="0"/>
      <w:marRight w:val="0"/>
      <w:marTop w:val="0"/>
      <w:marBottom w:val="0"/>
      <w:divBdr>
        <w:top w:val="none" w:sz="0" w:space="0" w:color="auto"/>
        <w:left w:val="none" w:sz="0" w:space="0" w:color="auto"/>
        <w:bottom w:val="none" w:sz="0" w:space="0" w:color="auto"/>
        <w:right w:val="none" w:sz="0" w:space="0" w:color="auto"/>
      </w:divBdr>
    </w:div>
    <w:div w:id="1802378422">
      <w:bodyDiv w:val="1"/>
      <w:marLeft w:val="0"/>
      <w:marRight w:val="0"/>
      <w:marTop w:val="0"/>
      <w:marBottom w:val="0"/>
      <w:divBdr>
        <w:top w:val="none" w:sz="0" w:space="0" w:color="auto"/>
        <w:left w:val="none" w:sz="0" w:space="0" w:color="auto"/>
        <w:bottom w:val="none" w:sz="0" w:space="0" w:color="auto"/>
        <w:right w:val="none" w:sz="0" w:space="0" w:color="auto"/>
      </w:divBdr>
    </w:div>
    <w:div w:id="1900357992">
      <w:bodyDiv w:val="1"/>
      <w:marLeft w:val="0"/>
      <w:marRight w:val="0"/>
      <w:marTop w:val="0"/>
      <w:marBottom w:val="0"/>
      <w:divBdr>
        <w:top w:val="none" w:sz="0" w:space="0" w:color="auto"/>
        <w:left w:val="none" w:sz="0" w:space="0" w:color="auto"/>
        <w:bottom w:val="none" w:sz="0" w:space="0" w:color="auto"/>
        <w:right w:val="none" w:sz="0" w:space="0" w:color="auto"/>
      </w:divBdr>
    </w:div>
    <w:div w:id="2057318929">
      <w:bodyDiv w:val="1"/>
      <w:marLeft w:val="0"/>
      <w:marRight w:val="0"/>
      <w:marTop w:val="0"/>
      <w:marBottom w:val="0"/>
      <w:divBdr>
        <w:top w:val="none" w:sz="0" w:space="0" w:color="auto"/>
        <w:left w:val="none" w:sz="0" w:space="0" w:color="auto"/>
        <w:bottom w:val="none" w:sz="0" w:space="0" w:color="auto"/>
        <w:right w:val="none" w:sz="0" w:space="0" w:color="auto"/>
      </w:divBdr>
      <w:divsChild>
        <w:div w:id="1942563509">
          <w:marLeft w:val="0"/>
          <w:marRight w:val="0"/>
          <w:marTop w:val="0"/>
          <w:marBottom w:val="0"/>
          <w:divBdr>
            <w:top w:val="none" w:sz="0" w:space="0" w:color="auto"/>
            <w:left w:val="none" w:sz="0" w:space="0" w:color="auto"/>
            <w:bottom w:val="none" w:sz="0" w:space="0" w:color="auto"/>
            <w:right w:val="none" w:sz="0" w:space="0" w:color="auto"/>
          </w:divBdr>
          <w:divsChild>
            <w:div w:id="20142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5990">
      <w:bodyDiv w:val="1"/>
      <w:marLeft w:val="0"/>
      <w:marRight w:val="0"/>
      <w:marTop w:val="0"/>
      <w:marBottom w:val="0"/>
      <w:divBdr>
        <w:top w:val="none" w:sz="0" w:space="0" w:color="auto"/>
        <w:left w:val="none" w:sz="0" w:space="0" w:color="auto"/>
        <w:bottom w:val="none" w:sz="0" w:space="0" w:color="auto"/>
        <w:right w:val="none" w:sz="0" w:space="0" w:color="auto"/>
      </w:divBdr>
    </w:div>
    <w:div w:id="2138835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671" Type="http://schemas.openxmlformats.org/officeDocument/2006/relationships/image" Target="media/image368.png"/><Relationship Id="rId21" Type="http://schemas.openxmlformats.org/officeDocument/2006/relationships/oleObject" Target="embeddings/oleObject6.bin"/><Relationship Id="rId324" Type="http://schemas.openxmlformats.org/officeDocument/2006/relationships/image" Target="media/image150.wmf"/><Relationship Id="rId531" Type="http://schemas.openxmlformats.org/officeDocument/2006/relationships/image" Target="media/image263.wmf"/><Relationship Id="rId629" Type="http://schemas.openxmlformats.org/officeDocument/2006/relationships/image" Target="media/image326.png"/><Relationship Id="rId170" Type="http://schemas.openxmlformats.org/officeDocument/2006/relationships/image" Target="media/image80.wmf"/><Relationship Id="rId268" Type="http://schemas.openxmlformats.org/officeDocument/2006/relationships/image" Target="media/image124.wmf"/><Relationship Id="rId475" Type="http://schemas.openxmlformats.org/officeDocument/2006/relationships/image" Target="media/image236.wmf"/><Relationship Id="rId682" Type="http://schemas.openxmlformats.org/officeDocument/2006/relationships/oleObject" Target="embeddings/oleObject344.bin"/><Relationship Id="rId32" Type="http://schemas.openxmlformats.org/officeDocument/2006/relationships/image" Target="media/image9.wmf"/><Relationship Id="rId128" Type="http://schemas.openxmlformats.org/officeDocument/2006/relationships/image" Target="media/image59.wmf"/><Relationship Id="rId335" Type="http://schemas.openxmlformats.org/officeDocument/2006/relationships/oleObject" Target="embeddings/oleObject179.bin"/><Relationship Id="rId542" Type="http://schemas.openxmlformats.org/officeDocument/2006/relationships/image" Target="media/image268.wmf"/><Relationship Id="rId181" Type="http://schemas.openxmlformats.org/officeDocument/2006/relationships/oleObject" Target="embeddings/oleObject95.bin"/><Relationship Id="rId402" Type="http://schemas.openxmlformats.org/officeDocument/2006/relationships/oleObject" Target="embeddings/oleObject239.bin"/><Relationship Id="rId279" Type="http://schemas.openxmlformats.org/officeDocument/2006/relationships/oleObject" Target="embeddings/oleObject149.bin"/><Relationship Id="rId486" Type="http://schemas.openxmlformats.org/officeDocument/2006/relationships/image" Target="media/image241.wmf"/><Relationship Id="rId693" Type="http://schemas.openxmlformats.org/officeDocument/2006/relationships/image" Target="media/image384.wmf"/><Relationship Id="rId707" Type="http://schemas.openxmlformats.org/officeDocument/2006/relationships/image" Target="media/image391.wmf"/><Relationship Id="rId43" Type="http://schemas.openxmlformats.org/officeDocument/2006/relationships/oleObject" Target="embeddings/oleObject18.bin"/><Relationship Id="rId139" Type="http://schemas.openxmlformats.org/officeDocument/2006/relationships/oleObject" Target="embeddings/oleObject74.bin"/><Relationship Id="rId346" Type="http://schemas.openxmlformats.org/officeDocument/2006/relationships/oleObject" Target="embeddings/oleObject185.bin"/><Relationship Id="rId553" Type="http://schemas.openxmlformats.org/officeDocument/2006/relationships/oleObject" Target="embeddings/oleObject324.bin"/><Relationship Id="rId192" Type="http://schemas.openxmlformats.org/officeDocument/2006/relationships/oleObject" Target="embeddings/oleObject102.bin"/><Relationship Id="rId206" Type="http://schemas.openxmlformats.org/officeDocument/2006/relationships/oleObject" Target="embeddings/oleObject109.bin"/><Relationship Id="rId413" Type="http://schemas.openxmlformats.org/officeDocument/2006/relationships/oleObject" Target="embeddings/oleObject249.bin"/><Relationship Id="rId497" Type="http://schemas.openxmlformats.org/officeDocument/2006/relationships/image" Target="media/image247.wmf"/><Relationship Id="rId620" Type="http://schemas.openxmlformats.org/officeDocument/2006/relationships/image" Target="media/image317.png"/><Relationship Id="rId718" Type="http://schemas.openxmlformats.org/officeDocument/2006/relationships/oleObject" Target="embeddings/oleObject362.bin"/><Relationship Id="rId357" Type="http://schemas.openxmlformats.org/officeDocument/2006/relationships/image" Target="media/image166.wmf"/><Relationship Id="rId54" Type="http://schemas.openxmlformats.org/officeDocument/2006/relationships/image" Target="media/image21.wmf"/><Relationship Id="rId217" Type="http://schemas.openxmlformats.org/officeDocument/2006/relationships/oleObject" Target="embeddings/oleObject115.bin"/><Relationship Id="rId564" Type="http://schemas.openxmlformats.org/officeDocument/2006/relationships/image" Target="media/image279.wmf"/><Relationship Id="rId424" Type="http://schemas.openxmlformats.org/officeDocument/2006/relationships/image" Target="media/image211.wmf"/><Relationship Id="rId631" Type="http://schemas.openxmlformats.org/officeDocument/2006/relationships/image" Target="media/image328.png"/><Relationship Id="rId729" Type="http://schemas.openxmlformats.org/officeDocument/2006/relationships/image" Target="media/image402.wmf"/><Relationship Id="rId270" Type="http://schemas.openxmlformats.org/officeDocument/2006/relationships/image" Target="media/image125.wmf"/><Relationship Id="rId65" Type="http://schemas.openxmlformats.org/officeDocument/2006/relationships/oleObject" Target="embeddings/oleObject31.bin"/><Relationship Id="rId130" Type="http://schemas.openxmlformats.org/officeDocument/2006/relationships/image" Target="media/image60.wmf"/><Relationship Id="rId368" Type="http://schemas.openxmlformats.org/officeDocument/2006/relationships/oleObject" Target="embeddings/oleObject196.bin"/><Relationship Id="rId575" Type="http://schemas.openxmlformats.org/officeDocument/2006/relationships/oleObject" Target="embeddings/oleObject337.bin"/><Relationship Id="rId228" Type="http://schemas.openxmlformats.org/officeDocument/2006/relationships/image" Target="media/image107.wmf"/><Relationship Id="rId435" Type="http://schemas.openxmlformats.org/officeDocument/2006/relationships/oleObject" Target="embeddings/oleObject260.bin"/><Relationship Id="rId642" Type="http://schemas.openxmlformats.org/officeDocument/2006/relationships/image" Target="media/image339.png"/><Relationship Id="rId281" Type="http://schemas.openxmlformats.org/officeDocument/2006/relationships/oleObject" Target="embeddings/oleObject150.bin"/><Relationship Id="rId502" Type="http://schemas.openxmlformats.org/officeDocument/2006/relationships/oleObject" Target="embeddings/oleObject296.bin"/><Relationship Id="rId76" Type="http://schemas.openxmlformats.org/officeDocument/2006/relationships/oleObject" Target="embeddings/oleObject41.bin"/><Relationship Id="rId141" Type="http://schemas.openxmlformats.org/officeDocument/2006/relationships/oleObject" Target="embeddings/oleObject75.bin"/><Relationship Id="rId379" Type="http://schemas.openxmlformats.org/officeDocument/2006/relationships/oleObject" Target="embeddings/oleObject223.bin"/><Relationship Id="rId586" Type="http://schemas.openxmlformats.org/officeDocument/2006/relationships/image" Target="media/image287.wmf"/><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image" Target="media/image222.wmf"/><Relationship Id="rId653" Type="http://schemas.openxmlformats.org/officeDocument/2006/relationships/image" Target="media/image350.png"/><Relationship Id="rId292" Type="http://schemas.openxmlformats.org/officeDocument/2006/relationships/image" Target="media/image136.wmf"/><Relationship Id="rId306" Type="http://schemas.openxmlformats.org/officeDocument/2006/relationships/oleObject" Target="embeddings/oleObject163.bin"/><Relationship Id="rId87" Type="http://schemas.openxmlformats.org/officeDocument/2006/relationships/oleObject" Target="embeddings/oleObject48.bin"/><Relationship Id="rId513" Type="http://schemas.openxmlformats.org/officeDocument/2006/relationships/image" Target="media/image254.wmf"/><Relationship Id="rId597" Type="http://schemas.openxmlformats.org/officeDocument/2006/relationships/image" Target="media/image294.png"/><Relationship Id="rId720" Type="http://schemas.openxmlformats.org/officeDocument/2006/relationships/oleObject" Target="embeddings/oleObject363.bin"/><Relationship Id="rId152" Type="http://schemas.openxmlformats.org/officeDocument/2006/relationships/image" Target="media/image71.wmf"/><Relationship Id="rId457" Type="http://schemas.openxmlformats.org/officeDocument/2006/relationships/oleObject" Target="embeddings/oleObject271.bin"/><Relationship Id="rId664" Type="http://schemas.openxmlformats.org/officeDocument/2006/relationships/image" Target="media/image361.png"/><Relationship Id="rId14" Type="http://schemas.openxmlformats.org/officeDocument/2006/relationships/image" Target="media/image2.wmf"/><Relationship Id="rId317" Type="http://schemas.openxmlformats.org/officeDocument/2006/relationships/oleObject" Target="embeddings/oleObject169.bin"/><Relationship Id="rId524" Type="http://schemas.openxmlformats.org/officeDocument/2006/relationships/oleObject" Target="embeddings/oleObject308.bin"/><Relationship Id="rId731" Type="http://schemas.openxmlformats.org/officeDocument/2006/relationships/image" Target="media/image403.wmf"/><Relationship Id="rId98" Type="http://schemas.openxmlformats.org/officeDocument/2006/relationships/image" Target="media/image44.wmf"/><Relationship Id="rId163" Type="http://schemas.openxmlformats.org/officeDocument/2006/relationships/oleObject" Target="embeddings/oleObject86.bin"/><Relationship Id="rId370" Type="http://schemas.openxmlformats.org/officeDocument/2006/relationships/oleObject" Target="embeddings/oleObject197.bin"/><Relationship Id="rId230" Type="http://schemas.openxmlformats.org/officeDocument/2006/relationships/image" Target="media/image108.wmf"/><Relationship Id="rId468" Type="http://schemas.openxmlformats.org/officeDocument/2006/relationships/image" Target="media/image233.wmf"/><Relationship Id="rId675" Type="http://schemas.openxmlformats.org/officeDocument/2006/relationships/image" Target="media/image372.png"/><Relationship Id="rId25" Type="http://schemas.openxmlformats.org/officeDocument/2006/relationships/oleObject" Target="embeddings/oleObject9.bin"/><Relationship Id="rId328" Type="http://schemas.openxmlformats.org/officeDocument/2006/relationships/image" Target="media/image152.wmf"/><Relationship Id="rId535" Type="http://schemas.openxmlformats.org/officeDocument/2006/relationships/image" Target="media/image265.wmf"/><Relationship Id="rId742" Type="http://schemas.openxmlformats.org/officeDocument/2006/relationships/oleObject" Target="embeddings/oleObject374.bin"/><Relationship Id="rId174" Type="http://schemas.openxmlformats.org/officeDocument/2006/relationships/image" Target="media/image82.wmf"/><Relationship Id="rId381" Type="http://schemas.openxmlformats.org/officeDocument/2006/relationships/oleObject" Target="embeddings/oleObject224.bin"/><Relationship Id="rId602" Type="http://schemas.openxmlformats.org/officeDocument/2006/relationships/image" Target="media/image299.png"/><Relationship Id="rId241" Type="http://schemas.openxmlformats.org/officeDocument/2006/relationships/image" Target="media/image112.wmf"/><Relationship Id="rId479" Type="http://schemas.openxmlformats.org/officeDocument/2006/relationships/oleObject" Target="embeddings/oleObject283.bin"/><Relationship Id="rId686" Type="http://schemas.openxmlformats.org/officeDocument/2006/relationships/oleObject" Target="embeddings/oleObject346.bin"/><Relationship Id="rId36" Type="http://schemas.openxmlformats.org/officeDocument/2006/relationships/image" Target="media/image11.wmf"/><Relationship Id="rId339" Type="http://schemas.openxmlformats.org/officeDocument/2006/relationships/image" Target="media/image157.wmf"/><Relationship Id="rId546" Type="http://schemas.openxmlformats.org/officeDocument/2006/relationships/image" Target="media/image269.wmf"/><Relationship Id="rId101" Type="http://schemas.openxmlformats.org/officeDocument/2006/relationships/oleObject" Target="embeddings/oleObject55.bin"/><Relationship Id="rId185" Type="http://schemas.openxmlformats.org/officeDocument/2006/relationships/oleObject" Target="embeddings/oleObject97.bin"/><Relationship Id="rId406" Type="http://schemas.openxmlformats.org/officeDocument/2006/relationships/image" Target="media/image198.wmf"/><Relationship Id="rId392" Type="http://schemas.openxmlformats.org/officeDocument/2006/relationships/image" Target="media/image192.wmf"/><Relationship Id="rId613" Type="http://schemas.openxmlformats.org/officeDocument/2006/relationships/image" Target="media/image310.png"/><Relationship Id="rId697" Type="http://schemas.openxmlformats.org/officeDocument/2006/relationships/image" Target="media/image386.wmf"/><Relationship Id="rId252" Type="http://schemas.openxmlformats.org/officeDocument/2006/relationships/oleObject" Target="embeddings/oleObject135.bin"/><Relationship Id="rId47" Type="http://schemas.openxmlformats.org/officeDocument/2006/relationships/oleObject" Target="embeddings/oleObject21.bin"/><Relationship Id="rId112" Type="http://schemas.openxmlformats.org/officeDocument/2006/relationships/image" Target="media/image51.wmf"/><Relationship Id="rId557" Type="http://schemas.openxmlformats.org/officeDocument/2006/relationships/oleObject" Target="embeddings/oleObject327.bin"/><Relationship Id="rId196" Type="http://schemas.openxmlformats.org/officeDocument/2006/relationships/oleObject" Target="embeddings/oleObject104.bin"/><Relationship Id="rId417" Type="http://schemas.openxmlformats.org/officeDocument/2006/relationships/oleObject" Target="embeddings/oleObject251.bin"/><Relationship Id="rId624" Type="http://schemas.openxmlformats.org/officeDocument/2006/relationships/image" Target="media/image321.png"/><Relationship Id="rId263" Type="http://schemas.openxmlformats.org/officeDocument/2006/relationships/oleObject" Target="embeddings/oleObject141.bin"/><Relationship Id="rId470" Type="http://schemas.openxmlformats.org/officeDocument/2006/relationships/image" Target="media/image234.wmf"/><Relationship Id="rId58" Type="http://schemas.openxmlformats.org/officeDocument/2006/relationships/image" Target="media/image22.wmf"/><Relationship Id="rId123" Type="http://schemas.openxmlformats.org/officeDocument/2006/relationships/oleObject" Target="embeddings/oleObject66.bin"/><Relationship Id="rId330" Type="http://schemas.openxmlformats.org/officeDocument/2006/relationships/image" Target="media/image153.wmf"/><Relationship Id="rId568" Type="http://schemas.openxmlformats.org/officeDocument/2006/relationships/image" Target="media/image281.wmf"/><Relationship Id="rId428" Type="http://schemas.openxmlformats.org/officeDocument/2006/relationships/image" Target="media/image213.wmf"/><Relationship Id="rId635" Type="http://schemas.openxmlformats.org/officeDocument/2006/relationships/image" Target="media/image332.png"/><Relationship Id="rId274" Type="http://schemas.openxmlformats.org/officeDocument/2006/relationships/image" Target="media/image127.wmf"/><Relationship Id="rId481" Type="http://schemas.openxmlformats.org/officeDocument/2006/relationships/oleObject" Target="embeddings/oleObject284.bin"/><Relationship Id="rId702" Type="http://schemas.openxmlformats.org/officeDocument/2006/relationships/oleObject" Target="embeddings/oleObject354.bin"/><Relationship Id="rId69" Type="http://schemas.openxmlformats.org/officeDocument/2006/relationships/image" Target="media/image27.wmf"/><Relationship Id="rId134" Type="http://schemas.openxmlformats.org/officeDocument/2006/relationships/image" Target="media/image62.wmf"/><Relationship Id="rId579" Type="http://schemas.openxmlformats.org/officeDocument/2006/relationships/hyperlink" Target="https://doi.org/10.2307/1907382" TargetMode="External"/><Relationship Id="rId341" Type="http://schemas.openxmlformats.org/officeDocument/2006/relationships/image" Target="media/image158.wmf"/><Relationship Id="rId439" Type="http://schemas.openxmlformats.org/officeDocument/2006/relationships/oleObject" Target="embeddings/oleObject262.bin"/><Relationship Id="rId646" Type="http://schemas.openxmlformats.org/officeDocument/2006/relationships/image" Target="media/image343.png"/><Relationship Id="rId201" Type="http://schemas.openxmlformats.org/officeDocument/2006/relationships/image" Target="media/image94.wmf"/><Relationship Id="rId285" Type="http://schemas.openxmlformats.org/officeDocument/2006/relationships/oleObject" Target="embeddings/oleObject152.bin"/><Relationship Id="rId506" Type="http://schemas.openxmlformats.org/officeDocument/2006/relationships/oleObject" Target="embeddings/oleObject299.bin"/><Relationship Id="rId492" Type="http://schemas.openxmlformats.org/officeDocument/2006/relationships/oleObject" Target="embeddings/oleObject291.bin"/><Relationship Id="rId713" Type="http://schemas.openxmlformats.org/officeDocument/2006/relationships/image" Target="media/image394.wmf"/><Relationship Id="rId145" Type="http://schemas.openxmlformats.org/officeDocument/2006/relationships/oleObject" Target="embeddings/oleObject77.bin"/><Relationship Id="rId352" Type="http://schemas.openxmlformats.org/officeDocument/2006/relationships/oleObject" Target="embeddings/oleObject188.bin"/><Relationship Id="rId212" Type="http://schemas.openxmlformats.org/officeDocument/2006/relationships/oleObject" Target="embeddings/oleObject112.bin"/><Relationship Id="rId657" Type="http://schemas.openxmlformats.org/officeDocument/2006/relationships/image" Target="media/image354.png"/><Relationship Id="rId296" Type="http://schemas.openxmlformats.org/officeDocument/2006/relationships/image" Target="media/image138.wmf"/><Relationship Id="rId517" Type="http://schemas.openxmlformats.org/officeDocument/2006/relationships/image" Target="media/image256.wmf"/><Relationship Id="rId724" Type="http://schemas.openxmlformats.org/officeDocument/2006/relationships/oleObject" Target="embeddings/oleObject365.bin"/><Relationship Id="rId60" Type="http://schemas.openxmlformats.org/officeDocument/2006/relationships/image" Target="media/image23.wmf"/><Relationship Id="rId156" Type="http://schemas.openxmlformats.org/officeDocument/2006/relationships/image" Target="media/image73.wmf"/><Relationship Id="rId363" Type="http://schemas.openxmlformats.org/officeDocument/2006/relationships/image" Target="media/image169.wmf"/><Relationship Id="rId570" Type="http://schemas.openxmlformats.org/officeDocument/2006/relationships/image" Target="media/image282.wmf"/><Relationship Id="rId223" Type="http://schemas.openxmlformats.org/officeDocument/2006/relationships/oleObject" Target="embeddings/oleObject118.bin"/><Relationship Id="rId430" Type="http://schemas.openxmlformats.org/officeDocument/2006/relationships/image" Target="media/image214.wmf"/><Relationship Id="rId668" Type="http://schemas.openxmlformats.org/officeDocument/2006/relationships/image" Target="media/image365.png"/><Relationship Id="rId18" Type="http://schemas.openxmlformats.org/officeDocument/2006/relationships/oleObject" Target="embeddings/oleObject4.bin"/><Relationship Id="rId528" Type="http://schemas.openxmlformats.org/officeDocument/2006/relationships/oleObject" Target="embeddings/oleObject310.bin"/><Relationship Id="rId735" Type="http://schemas.openxmlformats.org/officeDocument/2006/relationships/image" Target="media/image405.wmf"/><Relationship Id="rId167" Type="http://schemas.openxmlformats.org/officeDocument/2006/relationships/oleObject" Target="embeddings/oleObject88.bin"/><Relationship Id="rId374" Type="http://schemas.openxmlformats.org/officeDocument/2006/relationships/oleObject" Target="embeddings/oleObject199.bin"/><Relationship Id="rId581" Type="http://schemas.openxmlformats.org/officeDocument/2006/relationships/image" Target="media/image284.png"/><Relationship Id="rId71" Type="http://schemas.openxmlformats.org/officeDocument/2006/relationships/image" Target="media/image28.wmf"/><Relationship Id="rId234" Type="http://schemas.openxmlformats.org/officeDocument/2006/relationships/image" Target="media/image110.wmf"/><Relationship Id="rId679" Type="http://schemas.openxmlformats.org/officeDocument/2006/relationships/image" Target="media/image376.png"/><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63.bin"/><Relationship Id="rId539" Type="http://schemas.openxmlformats.org/officeDocument/2006/relationships/oleObject" Target="embeddings/oleObject316.bin"/><Relationship Id="rId746" Type="http://schemas.openxmlformats.org/officeDocument/2006/relationships/oleObject" Target="embeddings/oleObject376.bin"/><Relationship Id="rId178" Type="http://schemas.openxmlformats.org/officeDocument/2006/relationships/image" Target="media/image84.wmf"/><Relationship Id="rId301" Type="http://schemas.openxmlformats.org/officeDocument/2006/relationships/image" Target="media/image140.wmf"/><Relationship Id="rId82" Type="http://schemas.openxmlformats.org/officeDocument/2006/relationships/image" Target="media/image35.wmf"/><Relationship Id="rId385" Type="http://schemas.openxmlformats.org/officeDocument/2006/relationships/image" Target="media/image188.wmf"/><Relationship Id="rId592" Type="http://schemas.openxmlformats.org/officeDocument/2006/relationships/image" Target="media/image290.wmf"/><Relationship Id="rId606" Type="http://schemas.openxmlformats.org/officeDocument/2006/relationships/image" Target="media/image303.png"/><Relationship Id="rId245" Type="http://schemas.openxmlformats.org/officeDocument/2006/relationships/image" Target="media/image114.wmf"/><Relationship Id="rId452" Type="http://schemas.openxmlformats.org/officeDocument/2006/relationships/image" Target="media/image225.wmf"/><Relationship Id="rId105" Type="http://schemas.openxmlformats.org/officeDocument/2006/relationships/oleObject" Target="embeddings/oleObject57.bin"/><Relationship Id="rId312" Type="http://schemas.openxmlformats.org/officeDocument/2006/relationships/oleObject" Target="embeddings/oleObject166.bin"/><Relationship Id="rId93" Type="http://schemas.openxmlformats.org/officeDocument/2006/relationships/oleObject" Target="embeddings/oleObject51.bin"/><Relationship Id="rId189" Type="http://schemas.openxmlformats.org/officeDocument/2006/relationships/oleObject" Target="embeddings/oleObject99.bin"/><Relationship Id="rId396" Type="http://schemas.openxmlformats.org/officeDocument/2006/relationships/image" Target="media/image194.wmf"/><Relationship Id="rId617" Type="http://schemas.openxmlformats.org/officeDocument/2006/relationships/image" Target="media/image314.png"/><Relationship Id="rId256" Type="http://schemas.openxmlformats.org/officeDocument/2006/relationships/image" Target="media/image118.wmf"/><Relationship Id="rId463" Type="http://schemas.openxmlformats.org/officeDocument/2006/relationships/oleObject" Target="embeddings/oleObject274.bin"/><Relationship Id="rId670" Type="http://schemas.openxmlformats.org/officeDocument/2006/relationships/image" Target="media/image367.png"/><Relationship Id="rId116" Type="http://schemas.openxmlformats.org/officeDocument/2006/relationships/image" Target="media/image53.wmf"/><Relationship Id="rId323" Type="http://schemas.openxmlformats.org/officeDocument/2006/relationships/oleObject" Target="embeddings/oleObject173.bin"/><Relationship Id="rId530" Type="http://schemas.openxmlformats.org/officeDocument/2006/relationships/oleObject" Target="embeddings/oleObject311.bin"/><Relationship Id="rId20" Type="http://schemas.openxmlformats.org/officeDocument/2006/relationships/oleObject" Target="embeddings/oleObject5.bin"/><Relationship Id="rId628" Type="http://schemas.openxmlformats.org/officeDocument/2006/relationships/image" Target="media/image325.png"/><Relationship Id="rId225" Type="http://schemas.openxmlformats.org/officeDocument/2006/relationships/oleObject" Target="embeddings/oleObject119.bin"/><Relationship Id="rId267" Type="http://schemas.openxmlformats.org/officeDocument/2006/relationships/oleObject" Target="embeddings/oleObject143.bin"/><Relationship Id="rId432" Type="http://schemas.openxmlformats.org/officeDocument/2006/relationships/image" Target="media/image215.wmf"/><Relationship Id="rId474" Type="http://schemas.openxmlformats.org/officeDocument/2006/relationships/oleObject" Target="embeddings/oleObject280.bin"/><Relationship Id="rId127" Type="http://schemas.openxmlformats.org/officeDocument/2006/relationships/oleObject" Target="embeddings/oleObject68.bin"/><Relationship Id="rId681" Type="http://schemas.openxmlformats.org/officeDocument/2006/relationships/image" Target="media/image378.wmf"/><Relationship Id="rId737" Type="http://schemas.openxmlformats.org/officeDocument/2006/relationships/image" Target="media/image406.wmf"/><Relationship Id="rId31" Type="http://schemas.openxmlformats.org/officeDocument/2006/relationships/oleObject" Target="embeddings/oleObject12.bin"/><Relationship Id="rId73" Type="http://schemas.openxmlformats.org/officeDocument/2006/relationships/oleObject" Target="embeddings/oleObject36.bin"/><Relationship Id="rId169" Type="http://schemas.openxmlformats.org/officeDocument/2006/relationships/oleObject" Target="embeddings/oleObject89.bin"/><Relationship Id="rId334" Type="http://schemas.openxmlformats.org/officeDocument/2006/relationships/image" Target="media/image155.wmf"/><Relationship Id="rId376" Type="http://schemas.openxmlformats.org/officeDocument/2006/relationships/oleObject" Target="embeddings/oleObject200.bin"/><Relationship Id="rId541" Type="http://schemas.openxmlformats.org/officeDocument/2006/relationships/oleObject" Target="embeddings/oleObject317.bin"/><Relationship Id="rId583" Type="http://schemas.openxmlformats.org/officeDocument/2006/relationships/oleObject" Target="embeddings/oleObject338.bin"/><Relationship Id="rId639" Type="http://schemas.openxmlformats.org/officeDocument/2006/relationships/image" Target="media/image336.png"/><Relationship Id="rId4" Type="http://schemas.openxmlformats.org/officeDocument/2006/relationships/settings" Target="settings.xml"/><Relationship Id="rId180" Type="http://schemas.openxmlformats.org/officeDocument/2006/relationships/image" Target="media/image85.wmf"/><Relationship Id="rId236" Type="http://schemas.openxmlformats.org/officeDocument/2006/relationships/oleObject" Target="embeddings/oleObject125.bin"/><Relationship Id="rId278" Type="http://schemas.openxmlformats.org/officeDocument/2006/relationships/image" Target="media/image129.wmf"/><Relationship Id="rId401" Type="http://schemas.openxmlformats.org/officeDocument/2006/relationships/oleObject" Target="embeddings/oleObject238.bin"/><Relationship Id="rId443" Type="http://schemas.openxmlformats.org/officeDocument/2006/relationships/oleObject" Target="embeddings/oleObject264.bin"/><Relationship Id="rId650" Type="http://schemas.openxmlformats.org/officeDocument/2006/relationships/image" Target="media/image347.png"/><Relationship Id="rId303" Type="http://schemas.openxmlformats.org/officeDocument/2006/relationships/image" Target="media/image141.wmf"/><Relationship Id="rId485" Type="http://schemas.openxmlformats.org/officeDocument/2006/relationships/oleObject" Target="embeddings/oleObject286.bin"/><Relationship Id="rId692" Type="http://schemas.openxmlformats.org/officeDocument/2006/relationships/oleObject" Target="embeddings/oleObject349.bin"/><Relationship Id="rId706" Type="http://schemas.openxmlformats.org/officeDocument/2006/relationships/oleObject" Target="embeddings/oleObject356.bin"/><Relationship Id="rId748" Type="http://schemas.openxmlformats.org/officeDocument/2006/relationships/oleObject" Target="embeddings/oleObject377.bin"/><Relationship Id="rId42" Type="http://schemas.openxmlformats.org/officeDocument/2006/relationships/image" Target="media/image14.wmf"/><Relationship Id="rId84" Type="http://schemas.openxmlformats.org/officeDocument/2006/relationships/image" Target="media/image36.wmf"/><Relationship Id="rId138" Type="http://schemas.openxmlformats.org/officeDocument/2006/relationships/image" Target="media/image64.wmf"/><Relationship Id="rId345" Type="http://schemas.openxmlformats.org/officeDocument/2006/relationships/image" Target="media/image160.wmf"/><Relationship Id="rId387" Type="http://schemas.openxmlformats.org/officeDocument/2006/relationships/image" Target="media/image189.wmf"/><Relationship Id="rId510" Type="http://schemas.openxmlformats.org/officeDocument/2006/relationships/oleObject" Target="embeddings/oleObject301.bin"/><Relationship Id="rId552" Type="http://schemas.openxmlformats.org/officeDocument/2006/relationships/image" Target="media/image272.wmf"/><Relationship Id="rId594" Type="http://schemas.openxmlformats.org/officeDocument/2006/relationships/image" Target="media/image291.png"/><Relationship Id="rId608" Type="http://schemas.openxmlformats.org/officeDocument/2006/relationships/image" Target="media/image305.png"/><Relationship Id="rId191" Type="http://schemas.openxmlformats.org/officeDocument/2006/relationships/oleObject" Target="embeddings/oleObject101.bin"/><Relationship Id="rId205" Type="http://schemas.openxmlformats.org/officeDocument/2006/relationships/image" Target="media/image96.wmf"/><Relationship Id="rId247" Type="http://schemas.openxmlformats.org/officeDocument/2006/relationships/image" Target="media/image115.wmf"/><Relationship Id="rId412" Type="http://schemas.openxmlformats.org/officeDocument/2006/relationships/image" Target="media/image205.wmf"/><Relationship Id="rId107" Type="http://schemas.openxmlformats.org/officeDocument/2006/relationships/oleObject" Target="embeddings/oleObject58.bin"/><Relationship Id="rId289" Type="http://schemas.openxmlformats.org/officeDocument/2006/relationships/oleObject" Target="embeddings/oleObject154.bin"/><Relationship Id="rId454" Type="http://schemas.openxmlformats.org/officeDocument/2006/relationships/image" Target="media/image226.wmf"/><Relationship Id="rId496" Type="http://schemas.openxmlformats.org/officeDocument/2006/relationships/oleObject" Target="embeddings/oleObject293.bin"/><Relationship Id="rId661" Type="http://schemas.openxmlformats.org/officeDocument/2006/relationships/image" Target="media/image358.png"/><Relationship Id="rId717" Type="http://schemas.openxmlformats.org/officeDocument/2006/relationships/image" Target="media/image396.wmf"/><Relationship Id="rId11" Type="http://schemas.openxmlformats.org/officeDocument/2006/relationships/footer" Target="footer3.xml"/><Relationship Id="rId53" Type="http://schemas.openxmlformats.org/officeDocument/2006/relationships/oleObject" Target="embeddings/oleObject24.bin"/><Relationship Id="rId149" Type="http://schemas.openxmlformats.org/officeDocument/2006/relationships/oleObject" Target="embeddings/oleObject79.bin"/><Relationship Id="rId314" Type="http://schemas.openxmlformats.org/officeDocument/2006/relationships/oleObject" Target="embeddings/oleObject167.bin"/><Relationship Id="rId356" Type="http://schemas.openxmlformats.org/officeDocument/2006/relationships/oleObject" Target="embeddings/oleObject190.bin"/><Relationship Id="rId398" Type="http://schemas.openxmlformats.org/officeDocument/2006/relationships/image" Target="media/image195.wmf"/><Relationship Id="rId521" Type="http://schemas.openxmlformats.org/officeDocument/2006/relationships/image" Target="media/image258.wmf"/><Relationship Id="rId563" Type="http://schemas.openxmlformats.org/officeDocument/2006/relationships/oleObject" Target="embeddings/oleObject330.bin"/><Relationship Id="rId619" Type="http://schemas.openxmlformats.org/officeDocument/2006/relationships/image" Target="media/image316.png"/><Relationship Id="rId95" Type="http://schemas.openxmlformats.org/officeDocument/2006/relationships/oleObject" Target="embeddings/oleObject52.bin"/><Relationship Id="rId160" Type="http://schemas.openxmlformats.org/officeDocument/2006/relationships/image" Target="media/image75.wmf"/><Relationship Id="rId216" Type="http://schemas.openxmlformats.org/officeDocument/2006/relationships/image" Target="media/image101.wmf"/><Relationship Id="rId423" Type="http://schemas.openxmlformats.org/officeDocument/2006/relationships/oleObject" Target="embeddings/oleObject254.bin"/><Relationship Id="rId258" Type="http://schemas.openxmlformats.org/officeDocument/2006/relationships/image" Target="media/image119.wmf"/><Relationship Id="rId465" Type="http://schemas.openxmlformats.org/officeDocument/2006/relationships/oleObject" Target="embeddings/oleObject275.bin"/><Relationship Id="rId630" Type="http://schemas.openxmlformats.org/officeDocument/2006/relationships/image" Target="media/image327.png"/><Relationship Id="rId672" Type="http://schemas.openxmlformats.org/officeDocument/2006/relationships/image" Target="media/image369.png"/><Relationship Id="rId728" Type="http://schemas.openxmlformats.org/officeDocument/2006/relationships/oleObject" Target="embeddings/oleObject367.bin"/><Relationship Id="rId22" Type="http://schemas.openxmlformats.org/officeDocument/2006/relationships/oleObject" Target="embeddings/oleObject7.bin"/><Relationship Id="rId64" Type="http://schemas.openxmlformats.org/officeDocument/2006/relationships/image" Target="media/image25.wmf"/><Relationship Id="rId118" Type="http://schemas.openxmlformats.org/officeDocument/2006/relationships/image" Target="media/image54.wmf"/><Relationship Id="rId325" Type="http://schemas.openxmlformats.org/officeDocument/2006/relationships/oleObject" Target="embeddings/oleObject174.bin"/><Relationship Id="rId367" Type="http://schemas.openxmlformats.org/officeDocument/2006/relationships/image" Target="media/image171.wmf"/><Relationship Id="rId532" Type="http://schemas.openxmlformats.org/officeDocument/2006/relationships/oleObject" Target="embeddings/oleObject312.bin"/><Relationship Id="rId574" Type="http://schemas.openxmlformats.org/officeDocument/2006/relationships/image" Target="media/image283.wmf"/><Relationship Id="rId171" Type="http://schemas.openxmlformats.org/officeDocument/2006/relationships/oleObject" Target="embeddings/oleObject90.bin"/><Relationship Id="rId227" Type="http://schemas.openxmlformats.org/officeDocument/2006/relationships/oleObject" Target="embeddings/oleObject120.bin"/><Relationship Id="rId269" Type="http://schemas.openxmlformats.org/officeDocument/2006/relationships/oleObject" Target="embeddings/oleObject144.bin"/><Relationship Id="rId434" Type="http://schemas.openxmlformats.org/officeDocument/2006/relationships/image" Target="media/image216.wmf"/><Relationship Id="rId476" Type="http://schemas.openxmlformats.org/officeDocument/2006/relationships/oleObject" Target="embeddings/oleObject281.bin"/><Relationship Id="rId641" Type="http://schemas.openxmlformats.org/officeDocument/2006/relationships/image" Target="media/image338.png"/><Relationship Id="rId683" Type="http://schemas.openxmlformats.org/officeDocument/2006/relationships/image" Target="media/image379.wmf"/><Relationship Id="rId739" Type="http://schemas.openxmlformats.org/officeDocument/2006/relationships/image" Target="media/image407.wmf"/><Relationship Id="rId33" Type="http://schemas.openxmlformats.org/officeDocument/2006/relationships/oleObject" Target="embeddings/oleObject13.bin"/><Relationship Id="rId129" Type="http://schemas.openxmlformats.org/officeDocument/2006/relationships/oleObject" Target="embeddings/oleObject69.bin"/><Relationship Id="rId280" Type="http://schemas.openxmlformats.org/officeDocument/2006/relationships/image" Target="media/image130.wmf"/><Relationship Id="rId336" Type="http://schemas.openxmlformats.org/officeDocument/2006/relationships/oleObject" Target="embeddings/oleObject180.bin"/><Relationship Id="rId501" Type="http://schemas.openxmlformats.org/officeDocument/2006/relationships/image" Target="media/image249.wmf"/><Relationship Id="rId543" Type="http://schemas.openxmlformats.org/officeDocument/2006/relationships/oleObject" Target="embeddings/oleObject318.bin"/><Relationship Id="rId75" Type="http://schemas.openxmlformats.org/officeDocument/2006/relationships/image" Target="media/image32.wmf"/><Relationship Id="rId140" Type="http://schemas.openxmlformats.org/officeDocument/2006/relationships/image" Target="media/image65.wmf"/><Relationship Id="rId182" Type="http://schemas.openxmlformats.org/officeDocument/2006/relationships/image" Target="media/image86.wmf"/><Relationship Id="rId378" Type="http://schemas.openxmlformats.org/officeDocument/2006/relationships/oleObject" Target="embeddings/oleObject222.bin"/><Relationship Id="rId403" Type="http://schemas.openxmlformats.org/officeDocument/2006/relationships/oleObject" Target="embeddings/oleObject240.bin"/><Relationship Id="rId585" Type="http://schemas.openxmlformats.org/officeDocument/2006/relationships/oleObject" Target="embeddings/oleObject339.bin"/><Relationship Id="rId750" Type="http://schemas.openxmlformats.org/officeDocument/2006/relationships/oleObject" Target="embeddings/oleObject378.bin"/><Relationship Id="rId6" Type="http://schemas.openxmlformats.org/officeDocument/2006/relationships/footnotes" Target="footnotes.xml"/><Relationship Id="rId238" Type="http://schemas.openxmlformats.org/officeDocument/2006/relationships/oleObject" Target="embeddings/oleObject127.bin"/><Relationship Id="rId445" Type="http://schemas.openxmlformats.org/officeDocument/2006/relationships/oleObject" Target="embeddings/oleObject265.bin"/><Relationship Id="rId487" Type="http://schemas.openxmlformats.org/officeDocument/2006/relationships/oleObject" Target="embeddings/oleObject287.bin"/><Relationship Id="rId610" Type="http://schemas.openxmlformats.org/officeDocument/2006/relationships/image" Target="media/image307.png"/><Relationship Id="rId652" Type="http://schemas.openxmlformats.org/officeDocument/2006/relationships/image" Target="media/image349.png"/><Relationship Id="rId694" Type="http://schemas.openxmlformats.org/officeDocument/2006/relationships/oleObject" Target="embeddings/oleObject350.bin"/><Relationship Id="rId708" Type="http://schemas.openxmlformats.org/officeDocument/2006/relationships/oleObject" Target="embeddings/oleObject357.bin"/><Relationship Id="rId291" Type="http://schemas.openxmlformats.org/officeDocument/2006/relationships/oleObject" Target="embeddings/oleObject155.bin"/><Relationship Id="rId305" Type="http://schemas.openxmlformats.org/officeDocument/2006/relationships/image" Target="media/image142.wmf"/><Relationship Id="rId347" Type="http://schemas.openxmlformats.org/officeDocument/2006/relationships/image" Target="media/image161.wmf"/><Relationship Id="rId512" Type="http://schemas.openxmlformats.org/officeDocument/2006/relationships/oleObject" Target="embeddings/oleObject302.bin"/><Relationship Id="rId44" Type="http://schemas.openxmlformats.org/officeDocument/2006/relationships/image" Target="media/image15.wmf"/><Relationship Id="rId86" Type="http://schemas.openxmlformats.org/officeDocument/2006/relationships/image" Target="media/image38.wmf"/><Relationship Id="rId151" Type="http://schemas.openxmlformats.org/officeDocument/2006/relationships/oleObject" Target="embeddings/oleObject80.bin"/><Relationship Id="rId389" Type="http://schemas.openxmlformats.org/officeDocument/2006/relationships/oleObject" Target="embeddings/oleObject229.bin"/><Relationship Id="rId554" Type="http://schemas.openxmlformats.org/officeDocument/2006/relationships/image" Target="media/image273.wmf"/><Relationship Id="rId596" Type="http://schemas.openxmlformats.org/officeDocument/2006/relationships/image" Target="media/image293.png"/><Relationship Id="rId193" Type="http://schemas.openxmlformats.org/officeDocument/2006/relationships/image" Target="media/image90.wmf"/><Relationship Id="rId207" Type="http://schemas.openxmlformats.org/officeDocument/2006/relationships/image" Target="media/image97.wmf"/><Relationship Id="rId249" Type="http://schemas.openxmlformats.org/officeDocument/2006/relationships/oleObject" Target="embeddings/oleObject133.bin"/><Relationship Id="rId414" Type="http://schemas.openxmlformats.org/officeDocument/2006/relationships/image" Target="media/image206.wmf"/><Relationship Id="rId456" Type="http://schemas.openxmlformats.org/officeDocument/2006/relationships/image" Target="media/image227.wmf"/><Relationship Id="rId498" Type="http://schemas.openxmlformats.org/officeDocument/2006/relationships/oleObject" Target="embeddings/oleObject294.bin"/><Relationship Id="rId621" Type="http://schemas.openxmlformats.org/officeDocument/2006/relationships/image" Target="media/image318.png"/><Relationship Id="rId663" Type="http://schemas.openxmlformats.org/officeDocument/2006/relationships/image" Target="media/image360.png"/><Relationship Id="rId13" Type="http://schemas.openxmlformats.org/officeDocument/2006/relationships/oleObject" Target="embeddings/oleObject1.bin"/><Relationship Id="rId109" Type="http://schemas.openxmlformats.org/officeDocument/2006/relationships/oleObject" Target="embeddings/oleObject59.bin"/><Relationship Id="rId260" Type="http://schemas.openxmlformats.org/officeDocument/2006/relationships/image" Target="media/image120.wmf"/><Relationship Id="rId316" Type="http://schemas.openxmlformats.org/officeDocument/2006/relationships/oleObject" Target="embeddings/oleObject168.bin"/><Relationship Id="rId523" Type="http://schemas.openxmlformats.org/officeDocument/2006/relationships/image" Target="media/image259.wmf"/><Relationship Id="rId719" Type="http://schemas.openxmlformats.org/officeDocument/2006/relationships/image" Target="media/image397.wmf"/><Relationship Id="rId55" Type="http://schemas.openxmlformats.org/officeDocument/2006/relationships/oleObject" Target="embeddings/oleObject25.bin"/><Relationship Id="rId97" Type="http://schemas.openxmlformats.org/officeDocument/2006/relationships/oleObject" Target="embeddings/oleObject53.bin"/><Relationship Id="rId120" Type="http://schemas.openxmlformats.org/officeDocument/2006/relationships/image" Target="media/image55.wmf"/><Relationship Id="rId358" Type="http://schemas.openxmlformats.org/officeDocument/2006/relationships/oleObject" Target="embeddings/oleObject191.bin"/><Relationship Id="rId565" Type="http://schemas.openxmlformats.org/officeDocument/2006/relationships/oleObject" Target="embeddings/oleObject331.bin"/><Relationship Id="rId730" Type="http://schemas.openxmlformats.org/officeDocument/2006/relationships/oleObject" Target="embeddings/oleObject368.bin"/><Relationship Id="rId162" Type="http://schemas.openxmlformats.org/officeDocument/2006/relationships/image" Target="media/image76.wmf"/><Relationship Id="rId218" Type="http://schemas.openxmlformats.org/officeDocument/2006/relationships/image" Target="media/image102.wmf"/><Relationship Id="rId425" Type="http://schemas.openxmlformats.org/officeDocument/2006/relationships/oleObject" Target="embeddings/oleObject255.bin"/><Relationship Id="rId467" Type="http://schemas.openxmlformats.org/officeDocument/2006/relationships/oleObject" Target="embeddings/oleObject276.bin"/><Relationship Id="rId632" Type="http://schemas.openxmlformats.org/officeDocument/2006/relationships/image" Target="media/image329.png"/><Relationship Id="rId271" Type="http://schemas.openxmlformats.org/officeDocument/2006/relationships/oleObject" Target="embeddings/oleObject145.bin"/><Relationship Id="rId674" Type="http://schemas.openxmlformats.org/officeDocument/2006/relationships/image" Target="media/image371.png"/><Relationship Id="rId24" Type="http://schemas.openxmlformats.org/officeDocument/2006/relationships/image" Target="media/image5.wmf"/><Relationship Id="rId66" Type="http://schemas.openxmlformats.org/officeDocument/2006/relationships/image" Target="media/image26.wmf"/><Relationship Id="rId131" Type="http://schemas.openxmlformats.org/officeDocument/2006/relationships/oleObject" Target="embeddings/oleObject70.bin"/><Relationship Id="rId327" Type="http://schemas.openxmlformats.org/officeDocument/2006/relationships/oleObject" Target="embeddings/oleObject175.bin"/><Relationship Id="rId369" Type="http://schemas.openxmlformats.org/officeDocument/2006/relationships/image" Target="media/image172.wmf"/><Relationship Id="rId534" Type="http://schemas.openxmlformats.org/officeDocument/2006/relationships/oleObject" Target="embeddings/oleObject313.bin"/><Relationship Id="rId576" Type="http://schemas.openxmlformats.org/officeDocument/2006/relationships/hyperlink" Target="https://doi.org/10.2307/1909472" TargetMode="External"/><Relationship Id="rId741" Type="http://schemas.openxmlformats.org/officeDocument/2006/relationships/image" Target="media/image408.wmf"/><Relationship Id="rId173" Type="http://schemas.openxmlformats.org/officeDocument/2006/relationships/oleObject" Target="embeddings/oleObject91.bin"/><Relationship Id="rId229" Type="http://schemas.openxmlformats.org/officeDocument/2006/relationships/oleObject" Target="embeddings/oleObject121.bin"/><Relationship Id="rId380" Type="http://schemas.openxmlformats.org/officeDocument/2006/relationships/image" Target="media/image176.wmf"/><Relationship Id="rId436" Type="http://schemas.openxmlformats.org/officeDocument/2006/relationships/image" Target="media/image217.wmf"/><Relationship Id="rId601" Type="http://schemas.openxmlformats.org/officeDocument/2006/relationships/image" Target="media/image298.png"/><Relationship Id="rId643" Type="http://schemas.openxmlformats.org/officeDocument/2006/relationships/image" Target="media/image340.png"/><Relationship Id="rId240" Type="http://schemas.openxmlformats.org/officeDocument/2006/relationships/oleObject" Target="embeddings/oleObject128.bin"/><Relationship Id="rId478" Type="http://schemas.openxmlformats.org/officeDocument/2006/relationships/image" Target="media/image237.wmf"/><Relationship Id="rId685" Type="http://schemas.openxmlformats.org/officeDocument/2006/relationships/image" Target="media/image380.wmf"/><Relationship Id="rId35" Type="http://schemas.openxmlformats.org/officeDocument/2006/relationships/oleObject" Target="embeddings/oleObject14.bin"/><Relationship Id="rId77" Type="http://schemas.openxmlformats.org/officeDocument/2006/relationships/image" Target="media/image33.wmf"/><Relationship Id="rId100" Type="http://schemas.openxmlformats.org/officeDocument/2006/relationships/image" Target="media/image45.wmf"/><Relationship Id="rId282" Type="http://schemas.openxmlformats.org/officeDocument/2006/relationships/image" Target="media/image131.wmf"/><Relationship Id="rId338" Type="http://schemas.openxmlformats.org/officeDocument/2006/relationships/oleObject" Target="embeddings/oleObject181.bin"/><Relationship Id="rId503" Type="http://schemas.openxmlformats.org/officeDocument/2006/relationships/oleObject" Target="embeddings/oleObject297.bin"/><Relationship Id="rId545" Type="http://schemas.openxmlformats.org/officeDocument/2006/relationships/oleObject" Target="embeddings/oleObject320.bin"/><Relationship Id="rId587" Type="http://schemas.openxmlformats.org/officeDocument/2006/relationships/oleObject" Target="embeddings/oleObject340.bin"/><Relationship Id="rId710" Type="http://schemas.openxmlformats.org/officeDocument/2006/relationships/oleObject" Target="embeddings/oleObject358.bin"/><Relationship Id="rId752" Type="http://schemas.openxmlformats.org/officeDocument/2006/relationships/theme" Target="theme/theme1.xml"/><Relationship Id="rId8" Type="http://schemas.openxmlformats.org/officeDocument/2006/relationships/hyperlink" Target="mailto:bhat@mail.utexas.edu" TargetMode="External"/><Relationship Id="rId142" Type="http://schemas.openxmlformats.org/officeDocument/2006/relationships/image" Target="media/image66.wmf"/><Relationship Id="rId184" Type="http://schemas.openxmlformats.org/officeDocument/2006/relationships/image" Target="media/image87.wmf"/><Relationship Id="rId391" Type="http://schemas.openxmlformats.org/officeDocument/2006/relationships/oleObject" Target="embeddings/oleObject230.bin"/><Relationship Id="rId405" Type="http://schemas.openxmlformats.org/officeDocument/2006/relationships/oleObject" Target="embeddings/oleObject241.bin"/><Relationship Id="rId447" Type="http://schemas.openxmlformats.org/officeDocument/2006/relationships/oleObject" Target="embeddings/oleObject266.bin"/><Relationship Id="rId612" Type="http://schemas.openxmlformats.org/officeDocument/2006/relationships/image" Target="media/image309.png"/><Relationship Id="rId251" Type="http://schemas.openxmlformats.org/officeDocument/2006/relationships/image" Target="media/image116.wmf"/><Relationship Id="rId489" Type="http://schemas.openxmlformats.org/officeDocument/2006/relationships/oleObject" Target="embeddings/oleObject288.bin"/><Relationship Id="rId654" Type="http://schemas.openxmlformats.org/officeDocument/2006/relationships/image" Target="media/image351.png"/><Relationship Id="rId696" Type="http://schemas.openxmlformats.org/officeDocument/2006/relationships/oleObject" Target="embeddings/oleObject351.bin"/><Relationship Id="rId46" Type="http://schemas.openxmlformats.org/officeDocument/2006/relationships/image" Target="media/image17.wmf"/><Relationship Id="rId293" Type="http://schemas.openxmlformats.org/officeDocument/2006/relationships/oleObject" Target="embeddings/oleObject156.bin"/><Relationship Id="rId307" Type="http://schemas.openxmlformats.org/officeDocument/2006/relationships/image" Target="media/image143.wmf"/><Relationship Id="rId349" Type="http://schemas.openxmlformats.org/officeDocument/2006/relationships/image" Target="media/image162.wmf"/><Relationship Id="rId514" Type="http://schemas.openxmlformats.org/officeDocument/2006/relationships/oleObject" Target="embeddings/oleObject303.bin"/><Relationship Id="rId556" Type="http://schemas.openxmlformats.org/officeDocument/2006/relationships/image" Target="media/image275.wmf"/><Relationship Id="rId721" Type="http://schemas.openxmlformats.org/officeDocument/2006/relationships/image" Target="media/image398.wmf"/><Relationship Id="rId88" Type="http://schemas.openxmlformats.org/officeDocument/2006/relationships/image" Target="media/image39.wmf"/><Relationship Id="rId111" Type="http://schemas.openxmlformats.org/officeDocument/2006/relationships/oleObject" Target="embeddings/oleObject60.bin"/><Relationship Id="rId153" Type="http://schemas.openxmlformats.org/officeDocument/2006/relationships/oleObject" Target="embeddings/oleObject81.bin"/><Relationship Id="rId195" Type="http://schemas.openxmlformats.org/officeDocument/2006/relationships/image" Target="media/image91.wmf"/><Relationship Id="rId209" Type="http://schemas.openxmlformats.org/officeDocument/2006/relationships/image" Target="media/image98.wmf"/><Relationship Id="rId360" Type="http://schemas.openxmlformats.org/officeDocument/2006/relationships/oleObject" Target="embeddings/oleObject192.bin"/><Relationship Id="rId416" Type="http://schemas.openxmlformats.org/officeDocument/2006/relationships/image" Target="media/image207.wmf"/><Relationship Id="rId598" Type="http://schemas.openxmlformats.org/officeDocument/2006/relationships/image" Target="media/image295.png"/><Relationship Id="rId220" Type="http://schemas.openxmlformats.org/officeDocument/2006/relationships/image" Target="media/image103.wmf"/><Relationship Id="rId458" Type="http://schemas.openxmlformats.org/officeDocument/2006/relationships/image" Target="media/image228.wmf"/><Relationship Id="rId623" Type="http://schemas.openxmlformats.org/officeDocument/2006/relationships/image" Target="media/image320.png"/><Relationship Id="rId665" Type="http://schemas.openxmlformats.org/officeDocument/2006/relationships/image" Target="media/image362.png"/><Relationship Id="rId15" Type="http://schemas.openxmlformats.org/officeDocument/2006/relationships/oleObject" Target="embeddings/oleObject2.bin"/><Relationship Id="rId57" Type="http://schemas.openxmlformats.org/officeDocument/2006/relationships/oleObject" Target="embeddings/oleObject27.bin"/><Relationship Id="rId262" Type="http://schemas.openxmlformats.org/officeDocument/2006/relationships/image" Target="media/image121.wmf"/><Relationship Id="rId318" Type="http://schemas.openxmlformats.org/officeDocument/2006/relationships/oleObject" Target="embeddings/oleObject170.bin"/><Relationship Id="rId525" Type="http://schemas.openxmlformats.org/officeDocument/2006/relationships/image" Target="media/image260.wmf"/><Relationship Id="rId567" Type="http://schemas.openxmlformats.org/officeDocument/2006/relationships/oleObject" Target="embeddings/oleObject332.bin"/><Relationship Id="rId732" Type="http://schemas.openxmlformats.org/officeDocument/2006/relationships/oleObject" Target="embeddings/oleObject369.bin"/><Relationship Id="rId99" Type="http://schemas.openxmlformats.org/officeDocument/2006/relationships/oleObject" Target="embeddings/oleObject54.bin"/><Relationship Id="rId122" Type="http://schemas.openxmlformats.org/officeDocument/2006/relationships/image" Target="media/image56.wmf"/><Relationship Id="rId164" Type="http://schemas.openxmlformats.org/officeDocument/2006/relationships/image" Target="media/image77.wmf"/><Relationship Id="rId371" Type="http://schemas.openxmlformats.org/officeDocument/2006/relationships/image" Target="media/image173.wmf"/><Relationship Id="rId427" Type="http://schemas.openxmlformats.org/officeDocument/2006/relationships/oleObject" Target="embeddings/oleObject256.bin"/><Relationship Id="rId469" Type="http://schemas.openxmlformats.org/officeDocument/2006/relationships/oleObject" Target="embeddings/oleObject277.bin"/><Relationship Id="rId634" Type="http://schemas.openxmlformats.org/officeDocument/2006/relationships/image" Target="media/image331.png"/><Relationship Id="rId676" Type="http://schemas.openxmlformats.org/officeDocument/2006/relationships/image" Target="media/image373.png"/><Relationship Id="rId26" Type="http://schemas.openxmlformats.org/officeDocument/2006/relationships/image" Target="media/image6.wmf"/><Relationship Id="rId231" Type="http://schemas.openxmlformats.org/officeDocument/2006/relationships/oleObject" Target="embeddings/oleObject122.bin"/><Relationship Id="rId273" Type="http://schemas.openxmlformats.org/officeDocument/2006/relationships/oleObject" Target="embeddings/oleObject146.bin"/><Relationship Id="rId329" Type="http://schemas.openxmlformats.org/officeDocument/2006/relationships/oleObject" Target="embeddings/oleObject176.bin"/><Relationship Id="rId480" Type="http://schemas.openxmlformats.org/officeDocument/2006/relationships/image" Target="media/image238.wmf"/><Relationship Id="rId536" Type="http://schemas.openxmlformats.org/officeDocument/2006/relationships/oleObject" Target="embeddings/oleObject314.bin"/><Relationship Id="rId701" Type="http://schemas.openxmlformats.org/officeDocument/2006/relationships/image" Target="media/image388.wmf"/><Relationship Id="rId68" Type="http://schemas.openxmlformats.org/officeDocument/2006/relationships/oleObject" Target="embeddings/oleObject33.bin"/><Relationship Id="rId133" Type="http://schemas.openxmlformats.org/officeDocument/2006/relationships/oleObject" Target="embeddings/oleObject71.bin"/><Relationship Id="rId175" Type="http://schemas.openxmlformats.org/officeDocument/2006/relationships/oleObject" Target="embeddings/oleObject92.bin"/><Relationship Id="rId340" Type="http://schemas.openxmlformats.org/officeDocument/2006/relationships/oleObject" Target="embeddings/oleObject182.bin"/><Relationship Id="rId578" Type="http://schemas.openxmlformats.org/officeDocument/2006/relationships/hyperlink" Target="https://doi.org/10.2307/1910254" TargetMode="External"/><Relationship Id="rId743" Type="http://schemas.openxmlformats.org/officeDocument/2006/relationships/image" Target="media/image409.wmf"/><Relationship Id="rId200" Type="http://schemas.openxmlformats.org/officeDocument/2006/relationships/oleObject" Target="embeddings/oleObject106.bin"/><Relationship Id="rId382" Type="http://schemas.openxmlformats.org/officeDocument/2006/relationships/image" Target="media/image187.wmf"/><Relationship Id="rId438" Type="http://schemas.openxmlformats.org/officeDocument/2006/relationships/image" Target="media/image218.wmf"/><Relationship Id="rId603" Type="http://schemas.openxmlformats.org/officeDocument/2006/relationships/image" Target="media/image300.png"/><Relationship Id="rId645" Type="http://schemas.openxmlformats.org/officeDocument/2006/relationships/image" Target="media/image342.png"/><Relationship Id="rId687" Type="http://schemas.openxmlformats.org/officeDocument/2006/relationships/image" Target="media/image381.wmf"/><Relationship Id="rId242" Type="http://schemas.openxmlformats.org/officeDocument/2006/relationships/oleObject" Target="embeddings/oleObject129.bin"/><Relationship Id="rId284" Type="http://schemas.openxmlformats.org/officeDocument/2006/relationships/image" Target="media/image132.wmf"/><Relationship Id="rId491" Type="http://schemas.openxmlformats.org/officeDocument/2006/relationships/image" Target="media/image244.wmf"/><Relationship Id="rId505" Type="http://schemas.openxmlformats.org/officeDocument/2006/relationships/oleObject" Target="embeddings/oleObject298.bin"/><Relationship Id="rId712" Type="http://schemas.openxmlformats.org/officeDocument/2006/relationships/oleObject" Target="embeddings/oleObject359.bin"/><Relationship Id="rId37" Type="http://schemas.openxmlformats.org/officeDocument/2006/relationships/oleObject" Target="embeddings/oleObject15.bin"/><Relationship Id="rId79" Type="http://schemas.openxmlformats.org/officeDocument/2006/relationships/image" Target="media/image34.wmf"/><Relationship Id="rId102" Type="http://schemas.openxmlformats.org/officeDocument/2006/relationships/image" Target="media/image46.wmf"/><Relationship Id="rId144" Type="http://schemas.openxmlformats.org/officeDocument/2006/relationships/image" Target="media/image67.wmf"/><Relationship Id="rId547" Type="http://schemas.openxmlformats.org/officeDocument/2006/relationships/oleObject" Target="embeddings/oleObject321.bin"/><Relationship Id="rId589" Type="http://schemas.openxmlformats.org/officeDocument/2006/relationships/oleObject" Target="embeddings/oleObject341.bin"/><Relationship Id="rId90" Type="http://schemas.openxmlformats.org/officeDocument/2006/relationships/image" Target="media/image40.wmf"/><Relationship Id="rId186" Type="http://schemas.openxmlformats.org/officeDocument/2006/relationships/image" Target="media/image88.wmf"/><Relationship Id="rId351" Type="http://schemas.openxmlformats.org/officeDocument/2006/relationships/image" Target="media/image163.wmf"/><Relationship Id="rId393" Type="http://schemas.openxmlformats.org/officeDocument/2006/relationships/oleObject" Target="embeddings/oleObject234.bin"/><Relationship Id="rId407" Type="http://schemas.openxmlformats.org/officeDocument/2006/relationships/oleObject" Target="embeddings/oleObject242.bin"/><Relationship Id="rId449" Type="http://schemas.openxmlformats.org/officeDocument/2006/relationships/oleObject" Target="embeddings/oleObject267.bin"/><Relationship Id="rId614" Type="http://schemas.openxmlformats.org/officeDocument/2006/relationships/image" Target="media/image311.png"/><Relationship Id="rId656" Type="http://schemas.openxmlformats.org/officeDocument/2006/relationships/image" Target="media/image353.png"/><Relationship Id="rId211" Type="http://schemas.openxmlformats.org/officeDocument/2006/relationships/image" Target="media/image99.wmf"/><Relationship Id="rId253" Type="http://schemas.openxmlformats.org/officeDocument/2006/relationships/image" Target="media/image117.wmf"/><Relationship Id="rId295" Type="http://schemas.openxmlformats.org/officeDocument/2006/relationships/oleObject" Target="embeddings/oleObject157.bin"/><Relationship Id="rId309" Type="http://schemas.openxmlformats.org/officeDocument/2006/relationships/image" Target="media/image144.wmf"/><Relationship Id="rId460" Type="http://schemas.openxmlformats.org/officeDocument/2006/relationships/image" Target="media/image229.wmf"/><Relationship Id="rId516" Type="http://schemas.openxmlformats.org/officeDocument/2006/relationships/oleObject" Target="embeddings/oleObject304.bin"/><Relationship Id="rId698" Type="http://schemas.openxmlformats.org/officeDocument/2006/relationships/oleObject" Target="embeddings/oleObject352.bin"/><Relationship Id="rId48" Type="http://schemas.openxmlformats.org/officeDocument/2006/relationships/image" Target="media/image18.wmf"/><Relationship Id="rId113" Type="http://schemas.openxmlformats.org/officeDocument/2006/relationships/oleObject" Target="embeddings/oleObject61.bin"/><Relationship Id="rId320" Type="http://schemas.openxmlformats.org/officeDocument/2006/relationships/oleObject" Target="embeddings/oleObject171.bin"/><Relationship Id="rId558" Type="http://schemas.openxmlformats.org/officeDocument/2006/relationships/image" Target="media/image276.wmf"/><Relationship Id="rId723" Type="http://schemas.openxmlformats.org/officeDocument/2006/relationships/image" Target="media/image399.wmf"/><Relationship Id="rId155" Type="http://schemas.openxmlformats.org/officeDocument/2006/relationships/oleObject" Target="embeddings/oleObject82.bin"/><Relationship Id="rId197" Type="http://schemas.openxmlformats.org/officeDocument/2006/relationships/image" Target="media/image92.wmf"/><Relationship Id="rId362" Type="http://schemas.openxmlformats.org/officeDocument/2006/relationships/oleObject" Target="embeddings/oleObject193.bin"/><Relationship Id="rId418" Type="http://schemas.openxmlformats.org/officeDocument/2006/relationships/image" Target="media/image208.wmf"/><Relationship Id="rId625" Type="http://schemas.openxmlformats.org/officeDocument/2006/relationships/image" Target="media/image322.png"/><Relationship Id="rId222" Type="http://schemas.openxmlformats.org/officeDocument/2006/relationships/image" Target="media/image104.wmf"/><Relationship Id="rId264" Type="http://schemas.openxmlformats.org/officeDocument/2006/relationships/image" Target="media/image122.wmf"/><Relationship Id="rId471" Type="http://schemas.openxmlformats.org/officeDocument/2006/relationships/oleObject" Target="embeddings/oleObject278.bin"/><Relationship Id="rId667" Type="http://schemas.openxmlformats.org/officeDocument/2006/relationships/image" Target="media/image364.png"/><Relationship Id="rId17" Type="http://schemas.openxmlformats.org/officeDocument/2006/relationships/image" Target="media/image3.wmf"/><Relationship Id="rId59" Type="http://schemas.openxmlformats.org/officeDocument/2006/relationships/oleObject" Target="embeddings/oleObject28.bin"/><Relationship Id="rId124" Type="http://schemas.openxmlformats.org/officeDocument/2006/relationships/image" Target="media/image57.wmf"/><Relationship Id="rId527" Type="http://schemas.openxmlformats.org/officeDocument/2006/relationships/image" Target="media/image261.wmf"/><Relationship Id="rId569" Type="http://schemas.openxmlformats.org/officeDocument/2006/relationships/oleObject" Target="embeddings/oleObject333.bin"/><Relationship Id="rId734" Type="http://schemas.openxmlformats.org/officeDocument/2006/relationships/oleObject" Target="embeddings/oleObject370.bin"/><Relationship Id="rId70" Type="http://schemas.openxmlformats.org/officeDocument/2006/relationships/oleObject" Target="embeddings/oleObject34.bin"/><Relationship Id="rId166" Type="http://schemas.openxmlformats.org/officeDocument/2006/relationships/image" Target="media/image78.wmf"/><Relationship Id="rId331" Type="http://schemas.openxmlformats.org/officeDocument/2006/relationships/oleObject" Target="embeddings/oleObject177.bin"/><Relationship Id="rId373" Type="http://schemas.openxmlformats.org/officeDocument/2006/relationships/image" Target="media/image174.wmf"/><Relationship Id="rId429" Type="http://schemas.openxmlformats.org/officeDocument/2006/relationships/oleObject" Target="embeddings/oleObject257.bin"/><Relationship Id="rId580" Type="http://schemas.openxmlformats.org/officeDocument/2006/relationships/footer" Target="footer4.xml"/><Relationship Id="rId636" Type="http://schemas.openxmlformats.org/officeDocument/2006/relationships/image" Target="media/image333.png"/><Relationship Id="rId1" Type="http://schemas.openxmlformats.org/officeDocument/2006/relationships/customXml" Target="../customXml/item1.xml"/><Relationship Id="rId233" Type="http://schemas.openxmlformats.org/officeDocument/2006/relationships/oleObject" Target="embeddings/oleObject123.bin"/><Relationship Id="rId440" Type="http://schemas.openxmlformats.org/officeDocument/2006/relationships/image" Target="media/image219.wmf"/><Relationship Id="rId678" Type="http://schemas.openxmlformats.org/officeDocument/2006/relationships/image" Target="media/image375.png"/><Relationship Id="rId28" Type="http://schemas.openxmlformats.org/officeDocument/2006/relationships/image" Target="media/image7.wmf"/><Relationship Id="rId275" Type="http://schemas.openxmlformats.org/officeDocument/2006/relationships/oleObject" Target="embeddings/oleObject147.bin"/><Relationship Id="rId300" Type="http://schemas.openxmlformats.org/officeDocument/2006/relationships/oleObject" Target="embeddings/oleObject160.bin"/><Relationship Id="rId482" Type="http://schemas.openxmlformats.org/officeDocument/2006/relationships/image" Target="media/image239.wmf"/><Relationship Id="rId538" Type="http://schemas.openxmlformats.org/officeDocument/2006/relationships/oleObject" Target="embeddings/oleObject315.bin"/><Relationship Id="rId703" Type="http://schemas.openxmlformats.org/officeDocument/2006/relationships/image" Target="media/image389.wmf"/><Relationship Id="rId745" Type="http://schemas.openxmlformats.org/officeDocument/2006/relationships/image" Target="media/image410.wmf"/><Relationship Id="rId81" Type="http://schemas.openxmlformats.org/officeDocument/2006/relationships/oleObject" Target="embeddings/oleObject44.bin"/><Relationship Id="rId135" Type="http://schemas.openxmlformats.org/officeDocument/2006/relationships/oleObject" Target="embeddings/oleObject72.bin"/><Relationship Id="rId177" Type="http://schemas.openxmlformats.org/officeDocument/2006/relationships/oleObject" Target="embeddings/oleObject93.bin"/><Relationship Id="rId342" Type="http://schemas.openxmlformats.org/officeDocument/2006/relationships/oleObject" Target="embeddings/oleObject183.bin"/><Relationship Id="rId384" Type="http://schemas.openxmlformats.org/officeDocument/2006/relationships/oleObject" Target="embeddings/oleObject226.bin"/><Relationship Id="rId591" Type="http://schemas.openxmlformats.org/officeDocument/2006/relationships/oleObject" Target="embeddings/oleObject342.bin"/><Relationship Id="rId605" Type="http://schemas.openxmlformats.org/officeDocument/2006/relationships/image" Target="media/image302.png"/><Relationship Id="rId202" Type="http://schemas.openxmlformats.org/officeDocument/2006/relationships/oleObject" Target="embeddings/oleObject107.bin"/><Relationship Id="rId244" Type="http://schemas.openxmlformats.org/officeDocument/2006/relationships/oleObject" Target="embeddings/oleObject130.bin"/><Relationship Id="rId647" Type="http://schemas.openxmlformats.org/officeDocument/2006/relationships/image" Target="media/image344.png"/><Relationship Id="rId689" Type="http://schemas.openxmlformats.org/officeDocument/2006/relationships/image" Target="media/image382.wmf"/><Relationship Id="rId39" Type="http://schemas.openxmlformats.org/officeDocument/2006/relationships/oleObject" Target="embeddings/oleObject16.bin"/><Relationship Id="rId286" Type="http://schemas.openxmlformats.org/officeDocument/2006/relationships/image" Target="media/image133.wmf"/><Relationship Id="rId451" Type="http://schemas.openxmlformats.org/officeDocument/2006/relationships/oleObject" Target="embeddings/oleObject268.bin"/><Relationship Id="rId493" Type="http://schemas.openxmlformats.org/officeDocument/2006/relationships/image" Target="media/image245.wmf"/><Relationship Id="rId507" Type="http://schemas.openxmlformats.org/officeDocument/2006/relationships/image" Target="media/image251.wmf"/><Relationship Id="rId549" Type="http://schemas.openxmlformats.org/officeDocument/2006/relationships/oleObject" Target="embeddings/oleObject322.bin"/><Relationship Id="rId714" Type="http://schemas.openxmlformats.org/officeDocument/2006/relationships/oleObject" Target="embeddings/oleObject360.bin"/><Relationship Id="rId50" Type="http://schemas.openxmlformats.org/officeDocument/2006/relationships/image" Target="media/image19.wmf"/><Relationship Id="rId104" Type="http://schemas.openxmlformats.org/officeDocument/2006/relationships/image" Target="media/image47.wmf"/><Relationship Id="rId146" Type="http://schemas.openxmlformats.org/officeDocument/2006/relationships/image" Target="media/image68.wmf"/><Relationship Id="rId188" Type="http://schemas.openxmlformats.org/officeDocument/2006/relationships/image" Target="media/image89.wmf"/><Relationship Id="rId311" Type="http://schemas.openxmlformats.org/officeDocument/2006/relationships/image" Target="media/image145.wmf"/><Relationship Id="rId353" Type="http://schemas.openxmlformats.org/officeDocument/2006/relationships/image" Target="media/image164.wmf"/><Relationship Id="rId395" Type="http://schemas.openxmlformats.org/officeDocument/2006/relationships/oleObject" Target="embeddings/oleObject235.bin"/><Relationship Id="rId409" Type="http://schemas.openxmlformats.org/officeDocument/2006/relationships/oleObject" Target="embeddings/oleObject247.bin"/><Relationship Id="rId560" Type="http://schemas.openxmlformats.org/officeDocument/2006/relationships/image" Target="media/image277.wmf"/><Relationship Id="rId92" Type="http://schemas.openxmlformats.org/officeDocument/2006/relationships/image" Target="media/image41.wmf"/><Relationship Id="rId213" Type="http://schemas.openxmlformats.org/officeDocument/2006/relationships/oleObject" Target="embeddings/oleObject113.bin"/><Relationship Id="rId420" Type="http://schemas.openxmlformats.org/officeDocument/2006/relationships/image" Target="media/image209.wmf"/><Relationship Id="rId616" Type="http://schemas.openxmlformats.org/officeDocument/2006/relationships/image" Target="media/image313.png"/><Relationship Id="rId658" Type="http://schemas.openxmlformats.org/officeDocument/2006/relationships/image" Target="media/image355.png"/><Relationship Id="rId255" Type="http://schemas.openxmlformats.org/officeDocument/2006/relationships/oleObject" Target="embeddings/oleObject137.bin"/><Relationship Id="rId297" Type="http://schemas.openxmlformats.org/officeDocument/2006/relationships/oleObject" Target="embeddings/oleObject158.bin"/><Relationship Id="rId462" Type="http://schemas.openxmlformats.org/officeDocument/2006/relationships/image" Target="media/image230.wmf"/><Relationship Id="rId518" Type="http://schemas.openxmlformats.org/officeDocument/2006/relationships/oleObject" Target="embeddings/oleObject305.bin"/><Relationship Id="rId725" Type="http://schemas.openxmlformats.org/officeDocument/2006/relationships/image" Target="media/image400.wmf"/><Relationship Id="rId115" Type="http://schemas.openxmlformats.org/officeDocument/2006/relationships/oleObject" Target="embeddings/oleObject62.bin"/><Relationship Id="rId157" Type="http://schemas.openxmlformats.org/officeDocument/2006/relationships/oleObject" Target="embeddings/oleObject83.bin"/><Relationship Id="rId322" Type="http://schemas.openxmlformats.org/officeDocument/2006/relationships/image" Target="media/image149.wmf"/><Relationship Id="rId364" Type="http://schemas.openxmlformats.org/officeDocument/2006/relationships/oleObject" Target="embeddings/oleObject194.bin"/><Relationship Id="rId61" Type="http://schemas.openxmlformats.org/officeDocument/2006/relationships/oleObject" Target="embeddings/oleObject29.bin"/><Relationship Id="rId199" Type="http://schemas.openxmlformats.org/officeDocument/2006/relationships/image" Target="media/image93.wmf"/><Relationship Id="rId571" Type="http://schemas.openxmlformats.org/officeDocument/2006/relationships/oleObject" Target="embeddings/oleObject334.bin"/><Relationship Id="rId627" Type="http://schemas.openxmlformats.org/officeDocument/2006/relationships/image" Target="media/image324.png"/><Relationship Id="rId669" Type="http://schemas.openxmlformats.org/officeDocument/2006/relationships/image" Target="media/image366.png"/><Relationship Id="rId19" Type="http://schemas.openxmlformats.org/officeDocument/2006/relationships/image" Target="media/image4.wmf"/><Relationship Id="rId224" Type="http://schemas.openxmlformats.org/officeDocument/2006/relationships/image" Target="media/image105.wmf"/><Relationship Id="rId266" Type="http://schemas.openxmlformats.org/officeDocument/2006/relationships/image" Target="media/image123.wmf"/><Relationship Id="rId431" Type="http://schemas.openxmlformats.org/officeDocument/2006/relationships/oleObject" Target="embeddings/oleObject258.bin"/><Relationship Id="rId473" Type="http://schemas.openxmlformats.org/officeDocument/2006/relationships/image" Target="media/image235.wmf"/><Relationship Id="rId529" Type="http://schemas.openxmlformats.org/officeDocument/2006/relationships/image" Target="media/image262.wmf"/><Relationship Id="rId680" Type="http://schemas.openxmlformats.org/officeDocument/2006/relationships/image" Target="media/image377.png"/><Relationship Id="rId736" Type="http://schemas.openxmlformats.org/officeDocument/2006/relationships/oleObject" Target="embeddings/oleObject371.bin"/><Relationship Id="rId30" Type="http://schemas.openxmlformats.org/officeDocument/2006/relationships/image" Target="media/image8.wmf"/><Relationship Id="rId126" Type="http://schemas.openxmlformats.org/officeDocument/2006/relationships/image" Target="media/image58.wmf"/><Relationship Id="rId168" Type="http://schemas.openxmlformats.org/officeDocument/2006/relationships/image" Target="media/image79.wmf"/><Relationship Id="rId333" Type="http://schemas.openxmlformats.org/officeDocument/2006/relationships/oleObject" Target="embeddings/oleObject178.bin"/><Relationship Id="rId540" Type="http://schemas.openxmlformats.org/officeDocument/2006/relationships/image" Target="media/image267.wmf"/><Relationship Id="rId72" Type="http://schemas.openxmlformats.org/officeDocument/2006/relationships/oleObject" Target="embeddings/oleObject35.bin"/><Relationship Id="rId375" Type="http://schemas.openxmlformats.org/officeDocument/2006/relationships/image" Target="media/image175.wmf"/><Relationship Id="rId582" Type="http://schemas.openxmlformats.org/officeDocument/2006/relationships/image" Target="media/image285.wmf"/><Relationship Id="rId638" Type="http://schemas.openxmlformats.org/officeDocument/2006/relationships/image" Target="media/image335.png"/><Relationship Id="rId3" Type="http://schemas.openxmlformats.org/officeDocument/2006/relationships/styles" Target="styles.xml"/><Relationship Id="rId235" Type="http://schemas.openxmlformats.org/officeDocument/2006/relationships/oleObject" Target="embeddings/oleObject124.bin"/><Relationship Id="rId277" Type="http://schemas.openxmlformats.org/officeDocument/2006/relationships/oleObject" Target="embeddings/oleObject148.bin"/><Relationship Id="rId400" Type="http://schemas.openxmlformats.org/officeDocument/2006/relationships/image" Target="media/image196.wmf"/><Relationship Id="rId442" Type="http://schemas.openxmlformats.org/officeDocument/2006/relationships/image" Target="media/image220.wmf"/><Relationship Id="rId484" Type="http://schemas.openxmlformats.org/officeDocument/2006/relationships/image" Target="media/image240.wmf"/><Relationship Id="rId705" Type="http://schemas.openxmlformats.org/officeDocument/2006/relationships/image" Target="media/image390.wmf"/><Relationship Id="rId137" Type="http://schemas.openxmlformats.org/officeDocument/2006/relationships/oleObject" Target="embeddings/oleObject73.bin"/><Relationship Id="rId302" Type="http://schemas.openxmlformats.org/officeDocument/2006/relationships/oleObject" Target="embeddings/oleObject161.bin"/><Relationship Id="rId344" Type="http://schemas.openxmlformats.org/officeDocument/2006/relationships/oleObject" Target="embeddings/oleObject184.bin"/><Relationship Id="rId691" Type="http://schemas.openxmlformats.org/officeDocument/2006/relationships/image" Target="media/image383.wmf"/><Relationship Id="rId747" Type="http://schemas.openxmlformats.org/officeDocument/2006/relationships/image" Target="media/image411.wmf"/><Relationship Id="rId41" Type="http://schemas.openxmlformats.org/officeDocument/2006/relationships/oleObject" Target="embeddings/oleObject17.bin"/><Relationship Id="rId83" Type="http://schemas.openxmlformats.org/officeDocument/2006/relationships/oleObject" Target="embeddings/oleObject45.bin"/><Relationship Id="rId179" Type="http://schemas.openxmlformats.org/officeDocument/2006/relationships/oleObject" Target="embeddings/oleObject94.bin"/><Relationship Id="rId386" Type="http://schemas.openxmlformats.org/officeDocument/2006/relationships/oleObject" Target="embeddings/oleObject227.bin"/><Relationship Id="rId551" Type="http://schemas.openxmlformats.org/officeDocument/2006/relationships/oleObject" Target="embeddings/oleObject323.bin"/><Relationship Id="rId593" Type="http://schemas.openxmlformats.org/officeDocument/2006/relationships/oleObject" Target="embeddings/oleObject343.bin"/><Relationship Id="rId607" Type="http://schemas.openxmlformats.org/officeDocument/2006/relationships/image" Target="media/image304.png"/><Relationship Id="rId649" Type="http://schemas.openxmlformats.org/officeDocument/2006/relationships/image" Target="media/image346.png"/><Relationship Id="rId190" Type="http://schemas.openxmlformats.org/officeDocument/2006/relationships/oleObject" Target="embeddings/oleObject100.bin"/><Relationship Id="rId204" Type="http://schemas.openxmlformats.org/officeDocument/2006/relationships/oleObject" Target="embeddings/oleObject108.bin"/><Relationship Id="rId246" Type="http://schemas.openxmlformats.org/officeDocument/2006/relationships/oleObject" Target="embeddings/oleObject131.bin"/><Relationship Id="rId288" Type="http://schemas.openxmlformats.org/officeDocument/2006/relationships/image" Target="media/image134.wmf"/><Relationship Id="rId411" Type="http://schemas.openxmlformats.org/officeDocument/2006/relationships/oleObject" Target="embeddings/oleObject248.bin"/><Relationship Id="rId453" Type="http://schemas.openxmlformats.org/officeDocument/2006/relationships/oleObject" Target="embeddings/oleObject269.bin"/><Relationship Id="rId509" Type="http://schemas.openxmlformats.org/officeDocument/2006/relationships/image" Target="media/image252.wmf"/><Relationship Id="rId660" Type="http://schemas.openxmlformats.org/officeDocument/2006/relationships/image" Target="media/image357.png"/><Relationship Id="rId106" Type="http://schemas.openxmlformats.org/officeDocument/2006/relationships/image" Target="media/image48.wmf"/><Relationship Id="rId313" Type="http://schemas.openxmlformats.org/officeDocument/2006/relationships/image" Target="media/image146.wmf"/><Relationship Id="rId495" Type="http://schemas.openxmlformats.org/officeDocument/2006/relationships/image" Target="media/image246.wmf"/><Relationship Id="rId716" Type="http://schemas.openxmlformats.org/officeDocument/2006/relationships/oleObject" Target="embeddings/oleObject361.bin"/><Relationship Id="rId10" Type="http://schemas.openxmlformats.org/officeDocument/2006/relationships/footer" Target="footer2.xml"/><Relationship Id="rId52" Type="http://schemas.openxmlformats.org/officeDocument/2006/relationships/image" Target="media/image20.wmf"/><Relationship Id="rId94" Type="http://schemas.openxmlformats.org/officeDocument/2006/relationships/image" Target="media/image42.wmf"/><Relationship Id="rId148" Type="http://schemas.openxmlformats.org/officeDocument/2006/relationships/image" Target="media/image69.wmf"/><Relationship Id="rId355" Type="http://schemas.openxmlformats.org/officeDocument/2006/relationships/image" Target="media/image165.wmf"/><Relationship Id="rId397" Type="http://schemas.openxmlformats.org/officeDocument/2006/relationships/oleObject" Target="embeddings/oleObject236.bin"/><Relationship Id="rId520" Type="http://schemas.openxmlformats.org/officeDocument/2006/relationships/oleObject" Target="embeddings/oleObject306.bin"/><Relationship Id="rId562" Type="http://schemas.openxmlformats.org/officeDocument/2006/relationships/image" Target="media/image278.wmf"/><Relationship Id="rId618" Type="http://schemas.openxmlformats.org/officeDocument/2006/relationships/image" Target="media/image315.png"/><Relationship Id="rId215" Type="http://schemas.openxmlformats.org/officeDocument/2006/relationships/oleObject" Target="embeddings/oleObject114.bin"/><Relationship Id="rId257" Type="http://schemas.openxmlformats.org/officeDocument/2006/relationships/oleObject" Target="embeddings/oleObject138.bin"/><Relationship Id="rId422" Type="http://schemas.openxmlformats.org/officeDocument/2006/relationships/image" Target="media/image210.wmf"/><Relationship Id="rId464" Type="http://schemas.openxmlformats.org/officeDocument/2006/relationships/image" Target="media/image231.wmf"/><Relationship Id="rId299" Type="http://schemas.openxmlformats.org/officeDocument/2006/relationships/image" Target="media/image139.wmf"/><Relationship Id="rId727" Type="http://schemas.openxmlformats.org/officeDocument/2006/relationships/image" Target="media/image401.wmf"/><Relationship Id="rId63" Type="http://schemas.openxmlformats.org/officeDocument/2006/relationships/oleObject" Target="embeddings/oleObject30.bin"/><Relationship Id="rId159" Type="http://schemas.openxmlformats.org/officeDocument/2006/relationships/oleObject" Target="embeddings/oleObject84.bin"/><Relationship Id="rId366" Type="http://schemas.openxmlformats.org/officeDocument/2006/relationships/oleObject" Target="embeddings/oleObject195.bin"/><Relationship Id="rId573" Type="http://schemas.openxmlformats.org/officeDocument/2006/relationships/oleObject" Target="embeddings/oleObject336.bin"/><Relationship Id="rId226" Type="http://schemas.openxmlformats.org/officeDocument/2006/relationships/image" Target="media/image106.wmf"/><Relationship Id="rId433" Type="http://schemas.openxmlformats.org/officeDocument/2006/relationships/oleObject" Target="embeddings/oleObject259.bin"/><Relationship Id="rId640" Type="http://schemas.openxmlformats.org/officeDocument/2006/relationships/image" Target="media/image337.png"/><Relationship Id="rId738" Type="http://schemas.openxmlformats.org/officeDocument/2006/relationships/oleObject" Target="embeddings/oleObject372.bin"/><Relationship Id="rId74" Type="http://schemas.openxmlformats.org/officeDocument/2006/relationships/oleObject" Target="embeddings/oleObject40.bin"/><Relationship Id="rId377" Type="http://schemas.openxmlformats.org/officeDocument/2006/relationships/image" Target="media/image186.wmf"/><Relationship Id="rId500" Type="http://schemas.openxmlformats.org/officeDocument/2006/relationships/oleObject" Target="embeddings/oleObject295.bin"/><Relationship Id="rId584" Type="http://schemas.openxmlformats.org/officeDocument/2006/relationships/image" Target="media/image286.wmf"/><Relationship Id="rId5" Type="http://schemas.openxmlformats.org/officeDocument/2006/relationships/webSettings" Target="webSettings.xml"/><Relationship Id="rId237" Type="http://schemas.openxmlformats.org/officeDocument/2006/relationships/oleObject" Target="embeddings/oleObject126.bin"/><Relationship Id="rId444" Type="http://schemas.openxmlformats.org/officeDocument/2006/relationships/image" Target="media/image221.wmf"/><Relationship Id="rId651" Type="http://schemas.openxmlformats.org/officeDocument/2006/relationships/image" Target="media/image348.png"/><Relationship Id="rId749" Type="http://schemas.openxmlformats.org/officeDocument/2006/relationships/image" Target="media/image412.wmf"/><Relationship Id="rId290" Type="http://schemas.openxmlformats.org/officeDocument/2006/relationships/image" Target="media/image135.wmf"/><Relationship Id="rId304" Type="http://schemas.openxmlformats.org/officeDocument/2006/relationships/oleObject" Target="embeddings/oleObject162.bin"/><Relationship Id="rId388" Type="http://schemas.openxmlformats.org/officeDocument/2006/relationships/oleObject" Target="embeddings/oleObject228.bin"/><Relationship Id="rId511" Type="http://schemas.openxmlformats.org/officeDocument/2006/relationships/image" Target="media/image253.wmf"/><Relationship Id="rId609" Type="http://schemas.openxmlformats.org/officeDocument/2006/relationships/image" Target="media/image306.png"/><Relationship Id="rId85" Type="http://schemas.openxmlformats.org/officeDocument/2006/relationships/oleObject" Target="embeddings/oleObject46.bin"/><Relationship Id="rId150" Type="http://schemas.openxmlformats.org/officeDocument/2006/relationships/image" Target="media/image70.wmf"/><Relationship Id="rId595" Type="http://schemas.openxmlformats.org/officeDocument/2006/relationships/image" Target="media/image292.png"/><Relationship Id="rId248" Type="http://schemas.openxmlformats.org/officeDocument/2006/relationships/oleObject" Target="embeddings/oleObject132.bin"/><Relationship Id="rId455" Type="http://schemas.openxmlformats.org/officeDocument/2006/relationships/oleObject" Target="embeddings/oleObject270.bin"/><Relationship Id="rId662" Type="http://schemas.openxmlformats.org/officeDocument/2006/relationships/image" Target="media/image359.png"/><Relationship Id="rId12" Type="http://schemas.openxmlformats.org/officeDocument/2006/relationships/image" Target="media/image1.wmf"/><Relationship Id="rId108" Type="http://schemas.openxmlformats.org/officeDocument/2006/relationships/image" Target="media/image49.wmf"/><Relationship Id="rId315" Type="http://schemas.openxmlformats.org/officeDocument/2006/relationships/image" Target="media/image147.wmf"/><Relationship Id="rId522" Type="http://schemas.openxmlformats.org/officeDocument/2006/relationships/oleObject" Target="embeddings/oleObject307.bin"/><Relationship Id="rId96" Type="http://schemas.openxmlformats.org/officeDocument/2006/relationships/image" Target="media/image43.wmf"/><Relationship Id="rId161" Type="http://schemas.openxmlformats.org/officeDocument/2006/relationships/oleObject" Target="embeddings/oleObject85.bin"/><Relationship Id="rId399" Type="http://schemas.openxmlformats.org/officeDocument/2006/relationships/oleObject" Target="embeddings/oleObject237.bin"/><Relationship Id="rId259" Type="http://schemas.openxmlformats.org/officeDocument/2006/relationships/oleObject" Target="embeddings/oleObject139.bin"/><Relationship Id="rId466" Type="http://schemas.openxmlformats.org/officeDocument/2006/relationships/image" Target="media/image232.wmf"/><Relationship Id="rId673" Type="http://schemas.openxmlformats.org/officeDocument/2006/relationships/image" Target="media/image370.png"/><Relationship Id="rId23" Type="http://schemas.openxmlformats.org/officeDocument/2006/relationships/oleObject" Target="embeddings/oleObject8.bin"/><Relationship Id="rId119" Type="http://schemas.openxmlformats.org/officeDocument/2006/relationships/oleObject" Target="embeddings/oleObject64.bin"/><Relationship Id="rId326" Type="http://schemas.openxmlformats.org/officeDocument/2006/relationships/image" Target="media/image151.wmf"/><Relationship Id="rId533" Type="http://schemas.openxmlformats.org/officeDocument/2006/relationships/image" Target="media/image264.wmf"/><Relationship Id="rId740" Type="http://schemas.openxmlformats.org/officeDocument/2006/relationships/oleObject" Target="embeddings/oleObject373.bin"/><Relationship Id="rId172" Type="http://schemas.openxmlformats.org/officeDocument/2006/relationships/image" Target="media/image81.wmf"/><Relationship Id="rId477" Type="http://schemas.openxmlformats.org/officeDocument/2006/relationships/oleObject" Target="embeddings/oleObject282.bin"/><Relationship Id="rId600" Type="http://schemas.openxmlformats.org/officeDocument/2006/relationships/image" Target="media/image297.png"/><Relationship Id="rId684" Type="http://schemas.openxmlformats.org/officeDocument/2006/relationships/oleObject" Target="embeddings/oleObject345.bin"/><Relationship Id="rId337" Type="http://schemas.openxmlformats.org/officeDocument/2006/relationships/image" Target="media/image156.wmf"/><Relationship Id="rId34" Type="http://schemas.openxmlformats.org/officeDocument/2006/relationships/image" Target="media/image10.wmf"/><Relationship Id="rId544" Type="http://schemas.openxmlformats.org/officeDocument/2006/relationships/oleObject" Target="embeddings/oleObject319.bin"/><Relationship Id="rId751" Type="http://schemas.openxmlformats.org/officeDocument/2006/relationships/fontTable" Target="fontTable.xml"/><Relationship Id="rId183" Type="http://schemas.openxmlformats.org/officeDocument/2006/relationships/oleObject" Target="embeddings/oleObject96.bin"/><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image" Target="media/image308.png"/><Relationship Id="rId250" Type="http://schemas.openxmlformats.org/officeDocument/2006/relationships/oleObject" Target="embeddings/oleObject134.bin"/><Relationship Id="rId488" Type="http://schemas.openxmlformats.org/officeDocument/2006/relationships/image" Target="media/image242.wmf"/><Relationship Id="rId695" Type="http://schemas.openxmlformats.org/officeDocument/2006/relationships/image" Target="media/image385.wmf"/><Relationship Id="rId709" Type="http://schemas.openxmlformats.org/officeDocument/2006/relationships/image" Target="media/image392.wmf"/><Relationship Id="rId45" Type="http://schemas.openxmlformats.org/officeDocument/2006/relationships/oleObject" Target="embeddings/oleObject19.bin"/><Relationship Id="rId110" Type="http://schemas.openxmlformats.org/officeDocument/2006/relationships/image" Target="media/image50.wmf"/><Relationship Id="rId348" Type="http://schemas.openxmlformats.org/officeDocument/2006/relationships/oleObject" Target="embeddings/oleObject186.bin"/><Relationship Id="rId555" Type="http://schemas.openxmlformats.org/officeDocument/2006/relationships/oleObject" Target="embeddings/oleObject325.bin"/><Relationship Id="rId194" Type="http://schemas.openxmlformats.org/officeDocument/2006/relationships/oleObject" Target="embeddings/oleObject103.bin"/><Relationship Id="rId208" Type="http://schemas.openxmlformats.org/officeDocument/2006/relationships/oleObject" Target="embeddings/oleObject110.bin"/><Relationship Id="rId415" Type="http://schemas.openxmlformats.org/officeDocument/2006/relationships/oleObject" Target="embeddings/oleObject250.bin"/><Relationship Id="rId622" Type="http://schemas.openxmlformats.org/officeDocument/2006/relationships/image" Target="media/image319.png"/><Relationship Id="rId261" Type="http://schemas.openxmlformats.org/officeDocument/2006/relationships/oleObject" Target="embeddings/oleObject140.bin"/><Relationship Id="rId499" Type="http://schemas.openxmlformats.org/officeDocument/2006/relationships/image" Target="media/image248.wmf"/><Relationship Id="rId56" Type="http://schemas.openxmlformats.org/officeDocument/2006/relationships/oleObject" Target="embeddings/oleObject26.bin"/><Relationship Id="rId359" Type="http://schemas.openxmlformats.org/officeDocument/2006/relationships/image" Target="media/image167.wmf"/><Relationship Id="rId566" Type="http://schemas.openxmlformats.org/officeDocument/2006/relationships/image" Target="media/image280.wmf"/><Relationship Id="rId121" Type="http://schemas.openxmlformats.org/officeDocument/2006/relationships/oleObject" Target="embeddings/oleObject65.bin"/><Relationship Id="rId219" Type="http://schemas.openxmlformats.org/officeDocument/2006/relationships/oleObject" Target="embeddings/oleObject116.bin"/><Relationship Id="rId426" Type="http://schemas.openxmlformats.org/officeDocument/2006/relationships/image" Target="media/image212.wmf"/><Relationship Id="rId633" Type="http://schemas.openxmlformats.org/officeDocument/2006/relationships/image" Target="media/image330.png"/><Relationship Id="rId67" Type="http://schemas.openxmlformats.org/officeDocument/2006/relationships/oleObject" Target="embeddings/oleObject32.bin"/><Relationship Id="rId272" Type="http://schemas.openxmlformats.org/officeDocument/2006/relationships/image" Target="media/image126.wmf"/><Relationship Id="rId577" Type="http://schemas.openxmlformats.org/officeDocument/2006/relationships/hyperlink" Target="https://doi.org/10.1111/j.1467-999X.1961.tb00819.x" TargetMode="External"/><Relationship Id="rId700" Type="http://schemas.openxmlformats.org/officeDocument/2006/relationships/oleObject" Target="embeddings/oleObject353.bin"/><Relationship Id="rId132" Type="http://schemas.openxmlformats.org/officeDocument/2006/relationships/image" Target="media/image61.wmf"/><Relationship Id="rId437" Type="http://schemas.openxmlformats.org/officeDocument/2006/relationships/oleObject" Target="embeddings/oleObject261.bin"/><Relationship Id="rId644" Type="http://schemas.openxmlformats.org/officeDocument/2006/relationships/image" Target="media/image341.png"/><Relationship Id="rId283" Type="http://schemas.openxmlformats.org/officeDocument/2006/relationships/oleObject" Target="embeddings/oleObject151.bin"/><Relationship Id="rId490" Type="http://schemas.openxmlformats.org/officeDocument/2006/relationships/oleObject" Target="embeddings/oleObject290.bin"/><Relationship Id="rId504" Type="http://schemas.openxmlformats.org/officeDocument/2006/relationships/image" Target="media/image250.wmf"/><Relationship Id="rId711" Type="http://schemas.openxmlformats.org/officeDocument/2006/relationships/image" Target="media/image393.wmf"/><Relationship Id="rId78" Type="http://schemas.openxmlformats.org/officeDocument/2006/relationships/oleObject" Target="embeddings/oleObject42.bin"/><Relationship Id="rId143" Type="http://schemas.openxmlformats.org/officeDocument/2006/relationships/oleObject" Target="embeddings/oleObject76.bin"/><Relationship Id="rId350" Type="http://schemas.openxmlformats.org/officeDocument/2006/relationships/oleObject" Target="embeddings/oleObject187.bin"/><Relationship Id="rId588" Type="http://schemas.openxmlformats.org/officeDocument/2006/relationships/image" Target="media/image288.wmf"/><Relationship Id="rId9" Type="http://schemas.openxmlformats.org/officeDocument/2006/relationships/footer" Target="footer1.xml"/><Relationship Id="rId210" Type="http://schemas.openxmlformats.org/officeDocument/2006/relationships/oleObject" Target="embeddings/oleObject111.bin"/><Relationship Id="rId448" Type="http://schemas.openxmlformats.org/officeDocument/2006/relationships/image" Target="media/image223.wmf"/><Relationship Id="rId655" Type="http://schemas.openxmlformats.org/officeDocument/2006/relationships/image" Target="media/image352.png"/><Relationship Id="rId294" Type="http://schemas.openxmlformats.org/officeDocument/2006/relationships/image" Target="media/image137.wmf"/><Relationship Id="rId308" Type="http://schemas.openxmlformats.org/officeDocument/2006/relationships/oleObject" Target="embeddings/oleObject164.bin"/><Relationship Id="rId515" Type="http://schemas.openxmlformats.org/officeDocument/2006/relationships/image" Target="media/image255.wmf"/><Relationship Id="rId722" Type="http://schemas.openxmlformats.org/officeDocument/2006/relationships/oleObject" Target="embeddings/oleObject364.bin"/><Relationship Id="rId89" Type="http://schemas.openxmlformats.org/officeDocument/2006/relationships/oleObject" Target="embeddings/oleObject49.bin"/><Relationship Id="rId154" Type="http://schemas.openxmlformats.org/officeDocument/2006/relationships/image" Target="media/image72.wmf"/><Relationship Id="rId361" Type="http://schemas.openxmlformats.org/officeDocument/2006/relationships/image" Target="media/image168.wmf"/><Relationship Id="rId599" Type="http://schemas.openxmlformats.org/officeDocument/2006/relationships/image" Target="media/image296.png"/><Relationship Id="rId459" Type="http://schemas.openxmlformats.org/officeDocument/2006/relationships/oleObject" Target="embeddings/oleObject272.bin"/><Relationship Id="rId666" Type="http://schemas.openxmlformats.org/officeDocument/2006/relationships/image" Target="media/image363.png"/><Relationship Id="rId16" Type="http://schemas.openxmlformats.org/officeDocument/2006/relationships/oleObject" Target="embeddings/oleObject3.bin"/><Relationship Id="rId221" Type="http://schemas.openxmlformats.org/officeDocument/2006/relationships/oleObject" Target="embeddings/oleObject117.bin"/><Relationship Id="rId319" Type="http://schemas.openxmlformats.org/officeDocument/2006/relationships/image" Target="media/image148.wmf"/><Relationship Id="rId526" Type="http://schemas.openxmlformats.org/officeDocument/2006/relationships/oleObject" Target="embeddings/oleObject309.bin"/><Relationship Id="rId733" Type="http://schemas.openxmlformats.org/officeDocument/2006/relationships/image" Target="media/image404.wmf"/><Relationship Id="rId165" Type="http://schemas.openxmlformats.org/officeDocument/2006/relationships/oleObject" Target="embeddings/oleObject87.bin"/><Relationship Id="rId372" Type="http://schemas.openxmlformats.org/officeDocument/2006/relationships/oleObject" Target="embeddings/oleObject198.bin"/><Relationship Id="rId677" Type="http://schemas.openxmlformats.org/officeDocument/2006/relationships/image" Target="media/image374.png"/><Relationship Id="rId232" Type="http://schemas.openxmlformats.org/officeDocument/2006/relationships/image" Target="media/image109.wmf"/><Relationship Id="rId27" Type="http://schemas.openxmlformats.org/officeDocument/2006/relationships/oleObject" Target="embeddings/oleObject10.bin"/><Relationship Id="rId537" Type="http://schemas.openxmlformats.org/officeDocument/2006/relationships/image" Target="media/image266.wmf"/><Relationship Id="rId744" Type="http://schemas.openxmlformats.org/officeDocument/2006/relationships/oleObject" Target="embeddings/oleObject375.bin"/><Relationship Id="rId80" Type="http://schemas.openxmlformats.org/officeDocument/2006/relationships/oleObject" Target="embeddings/oleObject43.bin"/><Relationship Id="rId176" Type="http://schemas.openxmlformats.org/officeDocument/2006/relationships/image" Target="media/image83.wmf"/><Relationship Id="rId383" Type="http://schemas.openxmlformats.org/officeDocument/2006/relationships/oleObject" Target="embeddings/oleObject225.bin"/><Relationship Id="rId590" Type="http://schemas.openxmlformats.org/officeDocument/2006/relationships/image" Target="media/image289.wmf"/><Relationship Id="rId604" Type="http://schemas.openxmlformats.org/officeDocument/2006/relationships/image" Target="media/image301.png"/><Relationship Id="rId243" Type="http://schemas.openxmlformats.org/officeDocument/2006/relationships/image" Target="media/image113.wmf"/><Relationship Id="rId450" Type="http://schemas.openxmlformats.org/officeDocument/2006/relationships/image" Target="media/image224.wmf"/><Relationship Id="rId688" Type="http://schemas.openxmlformats.org/officeDocument/2006/relationships/oleObject" Target="embeddings/oleObject347.bin"/><Relationship Id="rId38" Type="http://schemas.openxmlformats.org/officeDocument/2006/relationships/image" Target="media/image12.wmf"/><Relationship Id="rId103" Type="http://schemas.openxmlformats.org/officeDocument/2006/relationships/oleObject" Target="embeddings/oleObject56.bin"/><Relationship Id="rId310" Type="http://schemas.openxmlformats.org/officeDocument/2006/relationships/oleObject" Target="embeddings/oleObject165.bin"/><Relationship Id="rId548" Type="http://schemas.openxmlformats.org/officeDocument/2006/relationships/image" Target="media/image270.wmf"/><Relationship Id="rId91" Type="http://schemas.openxmlformats.org/officeDocument/2006/relationships/oleObject" Target="embeddings/oleObject50.bin"/><Relationship Id="rId187" Type="http://schemas.openxmlformats.org/officeDocument/2006/relationships/oleObject" Target="embeddings/oleObject98.bin"/><Relationship Id="rId394" Type="http://schemas.openxmlformats.org/officeDocument/2006/relationships/image" Target="media/image193.wmf"/><Relationship Id="rId408" Type="http://schemas.openxmlformats.org/officeDocument/2006/relationships/image" Target="media/image203.wmf"/><Relationship Id="rId615" Type="http://schemas.openxmlformats.org/officeDocument/2006/relationships/image" Target="media/image312.png"/><Relationship Id="rId254" Type="http://schemas.openxmlformats.org/officeDocument/2006/relationships/oleObject" Target="embeddings/oleObject136.bin"/><Relationship Id="rId699" Type="http://schemas.openxmlformats.org/officeDocument/2006/relationships/image" Target="media/image387.wmf"/><Relationship Id="rId49" Type="http://schemas.openxmlformats.org/officeDocument/2006/relationships/oleObject" Target="embeddings/oleObject22.bin"/><Relationship Id="rId114" Type="http://schemas.openxmlformats.org/officeDocument/2006/relationships/image" Target="media/image52.wmf"/><Relationship Id="rId461" Type="http://schemas.openxmlformats.org/officeDocument/2006/relationships/oleObject" Target="embeddings/oleObject273.bin"/><Relationship Id="rId559" Type="http://schemas.openxmlformats.org/officeDocument/2006/relationships/oleObject" Target="embeddings/oleObject328.bin"/><Relationship Id="rId198" Type="http://schemas.openxmlformats.org/officeDocument/2006/relationships/oleObject" Target="embeddings/oleObject105.bin"/><Relationship Id="rId321" Type="http://schemas.openxmlformats.org/officeDocument/2006/relationships/oleObject" Target="embeddings/oleObject172.bin"/><Relationship Id="rId419" Type="http://schemas.openxmlformats.org/officeDocument/2006/relationships/oleObject" Target="embeddings/oleObject252.bin"/><Relationship Id="rId626" Type="http://schemas.openxmlformats.org/officeDocument/2006/relationships/image" Target="media/image323.png"/><Relationship Id="rId265" Type="http://schemas.openxmlformats.org/officeDocument/2006/relationships/oleObject" Target="embeddings/oleObject142.bin"/><Relationship Id="rId472" Type="http://schemas.openxmlformats.org/officeDocument/2006/relationships/oleObject" Target="embeddings/oleObject279.bin"/><Relationship Id="rId125" Type="http://schemas.openxmlformats.org/officeDocument/2006/relationships/oleObject" Target="embeddings/oleObject67.bin"/><Relationship Id="rId332" Type="http://schemas.openxmlformats.org/officeDocument/2006/relationships/image" Target="media/image154.wmf"/><Relationship Id="rId637" Type="http://schemas.openxmlformats.org/officeDocument/2006/relationships/image" Target="media/image334.png"/><Relationship Id="rId276" Type="http://schemas.openxmlformats.org/officeDocument/2006/relationships/image" Target="media/image128.wmf"/><Relationship Id="rId483" Type="http://schemas.openxmlformats.org/officeDocument/2006/relationships/oleObject" Target="embeddings/oleObject285.bin"/><Relationship Id="rId690" Type="http://schemas.openxmlformats.org/officeDocument/2006/relationships/oleObject" Target="embeddings/oleObject348.bin"/><Relationship Id="rId704" Type="http://schemas.openxmlformats.org/officeDocument/2006/relationships/oleObject" Target="embeddings/oleObject355.bin"/><Relationship Id="rId40" Type="http://schemas.openxmlformats.org/officeDocument/2006/relationships/image" Target="media/image13.wmf"/><Relationship Id="rId136" Type="http://schemas.openxmlformats.org/officeDocument/2006/relationships/image" Target="media/image63.wmf"/><Relationship Id="rId343" Type="http://schemas.openxmlformats.org/officeDocument/2006/relationships/image" Target="media/image159.wmf"/><Relationship Id="rId550" Type="http://schemas.openxmlformats.org/officeDocument/2006/relationships/image" Target="media/image271.wmf"/><Relationship Id="rId203" Type="http://schemas.openxmlformats.org/officeDocument/2006/relationships/image" Target="media/image95.wmf"/><Relationship Id="rId648" Type="http://schemas.openxmlformats.org/officeDocument/2006/relationships/image" Target="media/image345.png"/><Relationship Id="rId287" Type="http://schemas.openxmlformats.org/officeDocument/2006/relationships/oleObject" Target="embeddings/oleObject153.bin"/><Relationship Id="rId410" Type="http://schemas.openxmlformats.org/officeDocument/2006/relationships/image" Target="media/image204.wmf"/><Relationship Id="rId494" Type="http://schemas.openxmlformats.org/officeDocument/2006/relationships/oleObject" Target="embeddings/oleObject292.bin"/><Relationship Id="rId508" Type="http://schemas.openxmlformats.org/officeDocument/2006/relationships/oleObject" Target="embeddings/oleObject300.bin"/><Relationship Id="rId715" Type="http://schemas.openxmlformats.org/officeDocument/2006/relationships/image" Target="media/image395.wmf"/><Relationship Id="rId147" Type="http://schemas.openxmlformats.org/officeDocument/2006/relationships/oleObject" Target="embeddings/oleObject78.bin"/><Relationship Id="rId354" Type="http://schemas.openxmlformats.org/officeDocument/2006/relationships/oleObject" Target="embeddings/oleObject189.bin"/><Relationship Id="rId51" Type="http://schemas.openxmlformats.org/officeDocument/2006/relationships/oleObject" Target="embeddings/oleObject23.bin"/><Relationship Id="rId561" Type="http://schemas.openxmlformats.org/officeDocument/2006/relationships/oleObject" Target="embeddings/oleObject329.bin"/><Relationship Id="rId659" Type="http://schemas.openxmlformats.org/officeDocument/2006/relationships/image" Target="media/image356.png"/><Relationship Id="rId214" Type="http://schemas.openxmlformats.org/officeDocument/2006/relationships/image" Target="media/image100.wmf"/><Relationship Id="rId298" Type="http://schemas.openxmlformats.org/officeDocument/2006/relationships/oleObject" Target="embeddings/oleObject159.bin"/><Relationship Id="rId421" Type="http://schemas.openxmlformats.org/officeDocument/2006/relationships/oleObject" Target="embeddings/oleObject253.bin"/><Relationship Id="rId519" Type="http://schemas.openxmlformats.org/officeDocument/2006/relationships/image" Target="media/image257.wmf"/><Relationship Id="rId158" Type="http://schemas.openxmlformats.org/officeDocument/2006/relationships/image" Target="media/image74.wmf"/><Relationship Id="rId726" Type="http://schemas.openxmlformats.org/officeDocument/2006/relationships/oleObject" Target="embeddings/oleObject366.bin"/><Relationship Id="rId62" Type="http://schemas.openxmlformats.org/officeDocument/2006/relationships/image" Target="media/image24.wmf"/><Relationship Id="rId365" Type="http://schemas.openxmlformats.org/officeDocument/2006/relationships/image" Target="media/image170.wmf"/><Relationship Id="rId572" Type="http://schemas.openxmlformats.org/officeDocument/2006/relationships/oleObject" Target="embeddings/oleObject335.bin"/></Relationships>
</file>

<file path=word/_rels/footnotes.xml.rels><?xml version="1.0" encoding="UTF-8" standalone="yes"?>
<Relationships xmlns="http://schemas.openxmlformats.org/package/2006/relationships"><Relationship Id="rId13" Type="http://schemas.openxmlformats.org/officeDocument/2006/relationships/image" Target="media/image177.wmf"/><Relationship Id="rId18" Type="http://schemas.openxmlformats.org/officeDocument/2006/relationships/oleObject" Target="embeddings/oleObject204.bin"/><Relationship Id="rId26" Type="http://schemas.openxmlformats.org/officeDocument/2006/relationships/image" Target="media/image183.wmf"/><Relationship Id="rId39" Type="http://schemas.openxmlformats.org/officeDocument/2006/relationships/oleObject" Target="embeddings/oleObject218.bin"/><Relationship Id="rId21" Type="http://schemas.openxmlformats.org/officeDocument/2006/relationships/oleObject" Target="embeddings/oleObject206.bin"/><Relationship Id="rId34" Type="http://schemas.openxmlformats.org/officeDocument/2006/relationships/oleObject" Target="embeddings/oleObject214.bin"/><Relationship Id="rId42" Type="http://schemas.openxmlformats.org/officeDocument/2006/relationships/oleObject" Target="embeddings/oleObject221.bin"/><Relationship Id="rId47" Type="http://schemas.openxmlformats.org/officeDocument/2006/relationships/oleObject" Target="embeddings/oleObject233.bin"/><Relationship Id="rId50" Type="http://schemas.openxmlformats.org/officeDocument/2006/relationships/image" Target="media/image200.wmf"/><Relationship Id="rId55" Type="http://schemas.openxmlformats.org/officeDocument/2006/relationships/oleObject" Target="embeddings/oleObject246.bin"/><Relationship Id="rId7" Type="http://schemas.openxmlformats.org/officeDocument/2006/relationships/image" Target="media/image31.wmf"/><Relationship Id="rId2" Type="http://schemas.openxmlformats.org/officeDocument/2006/relationships/oleObject" Target="embeddings/oleObject20.bin"/><Relationship Id="rId16" Type="http://schemas.openxmlformats.org/officeDocument/2006/relationships/oleObject" Target="embeddings/oleObject203.bin"/><Relationship Id="rId29" Type="http://schemas.openxmlformats.org/officeDocument/2006/relationships/oleObject" Target="embeddings/oleObject211.bin"/><Relationship Id="rId11" Type="http://schemas.openxmlformats.org/officeDocument/2006/relationships/image" Target="media/image176.wmf"/><Relationship Id="rId24" Type="http://schemas.openxmlformats.org/officeDocument/2006/relationships/image" Target="media/image182.wmf"/><Relationship Id="rId32" Type="http://schemas.openxmlformats.org/officeDocument/2006/relationships/oleObject" Target="embeddings/oleObject213.bin"/><Relationship Id="rId37" Type="http://schemas.openxmlformats.org/officeDocument/2006/relationships/oleObject" Target="embeddings/oleObject216.bin"/><Relationship Id="rId40" Type="http://schemas.openxmlformats.org/officeDocument/2006/relationships/oleObject" Target="embeddings/oleObject219.bin"/><Relationship Id="rId45" Type="http://schemas.openxmlformats.org/officeDocument/2006/relationships/oleObject" Target="embeddings/oleObject232.bin"/><Relationship Id="rId53" Type="http://schemas.openxmlformats.org/officeDocument/2006/relationships/oleObject" Target="embeddings/oleObject245.bin"/><Relationship Id="rId58" Type="http://schemas.openxmlformats.org/officeDocument/2006/relationships/image" Target="media/image274.wmf"/><Relationship Id="rId5" Type="http://schemas.openxmlformats.org/officeDocument/2006/relationships/image" Target="media/image30.wmf"/><Relationship Id="rId19" Type="http://schemas.openxmlformats.org/officeDocument/2006/relationships/oleObject" Target="embeddings/oleObject205.bin"/><Relationship Id="rId4" Type="http://schemas.openxmlformats.org/officeDocument/2006/relationships/oleObject" Target="embeddings/oleObject37.bin"/><Relationship Id="rId9" Type="http://schemas.openxmlformats.org/officeDocument/2006/relationships/image" Target="media/image37.wmf"/><Relationship Id="rId14" Type="http://schemas.openxmlformats.org/officeDocument/2006/relationships/oleObject" Target="embeddings/oleObject202.bin"/><Relationship Id="rId22" Type="http://schemas.openxmlformats.org/officeDocument/2006/relationships/image" Target="media/image181.wmf"/><Relationship Id="rId27" Type="http://schemas.openxmlformats.org/officeDocument/2006/relationships/oleObject" Target="embeddings/oleObject209.bin"/><Relationship Id="rId30" Type="http://schemas.openxmlformats.org/officeDocument/2006/relationships/image" Target="media/image184.wmf"/><Relationship Id="rId35" Type="http://schemas.openxmlformats.org/officeDocument/2006/relationships/image" Target="media/image185.wmf"/><Relationship Id="rId43" Type="http://schemas.openxmlformats.org/officeDocument/2006/relationships/oleObject" Target="embeddings/oleObject231.bin"/><Relationship Id="rId48" Type="http://schemas.openxmlformats.org/officeDocument/2006/relationships/image" Target="media/image199.wmf"/><Relationship Id="rId56" Type="http://schemas.openxmlformats.org/officeDocument/2006/relationships/image" Target="media/image243.wmf"/><Relationship Id="rId8" Type="http://schemas.openxmlformats.org/officeDocument/2006/relationships/oleObject" Target="embeddings/oleObject39.bin"/><Relationship Id="rId51" Type="http://schemas.openxmlformats.org/officeDocument/2006/relationships/oleObject" Target="embeddings/oleObject244.bin"/><Relationship Id="rId3" Type="http://schemas.openxmlformats.org/officeDocument/2006/relationships/image" Target="media/image29.wmf"/><Relationship Id="rId12" Type="http://schemas.openxmlformats.org/officeDocument/2006/relationships/oleObject" Target="embeddings/oleObject201.bin"/><Relationship Id="rId17" Type="http://schemas.openxmlformats.org/officeDocument/2006/relationships/image" Target="media/image179.wmf"/><Relationship Id="rId25" Type="http://schemas.openxmlformats.org/officeDocument/2006/relationships/oleObject" Target="embeddings/oleObject208.bin"/><Relationship Id="rId33" Type="http://schemas.openxmlformats.org/officeDocument/2006/relationships/image" Target="media/image146.wmf"/><Relationship Id="rId38" Type="http://schemas.openxmlformats.org/officeDocument/2006/relationships/oleObject" Target="embeddings/oleObject217.bin"/><Relationship Id="rId46" Type="http://schemas.openxmlformats.org/officeDocument/2006/relationships/image" Target="media/image169.wmf"/><Relationship Id="rId59" Type="http://schemas.openxmlformats.org/officeDocument/2006/relationships/oleObject" Target="embeddings/oleObject326.bin"/><Relationship Id="rId20" Type="http://schemas.openxmlformats.org/officeDocument/2006/relationships/image" Target="media/image180.wmf"/><Relationship Id="rId41" Type="http://schemas.openxmlformats.org/officeDocument/2006/relationships/oleObject" Target="embeddings/oleObject220.bin"/><Relationship Id="rId54" Type="http://schemas.openxmlformats.org/officeDocument/2006/relationships/image" Target="media/image202.wmf"/><Relationship Id="rId1" Type="http://schemas.openxmlformats.org/officeDocument/2006/relationships/image" Target="media/image16.wmf"/><Relationship Id="rId6" Type="http://schemas.openxmlformats.org/officeDocument/2006/relationships/oleObject" Target="embeddings/oleObject38.bin"/><Relationship Id="rId15" Type="http://schemas.openxmlformats.org/officeDocument/2006/relationships/image" Target="media/image178.wmf"/><Relationship Id="rId23" Type="http://schemas.openxmlformats.org/officeDocument/2006/relationships/oleObject" Target="embeddings/oleObject207.bin"/><Relationship Id="rId28" Type="http://schemas.openxmlformats.org/officeDocument/2006/relationships/oleObject" Target="embeddings/oleObject210.bin"/><Relationship Id="rId36" Type="http://schemas.openxmlformats.org/officeDocument/2006/relationships/oleObject" Target="embeddings/oleObject215.bin"/><Relationship Id="rId49" Type="http://schemas.openxmlformats.org/officeDocument/2006/relationships/oleObject" Target="embeddings/oleObject243.bin"/><Relationship Id="rId57" Type="http://schemas.openxmlformats.org/officeDocument/2006/relationships/oleObject" Target="embeddings/oleObject289.bin"/><Relationship Id="rId10" Type="http://schemas.openxmlformats.org/officeDocument/2006/relationships/oleObject" Target="embeddings/oleObject47.bin"/><Relationship Id="rId31" Type="http://schemas.openxmlformats.org/officeDocument/2006/relationships/oleObject" Target="embeddings/oleObject212.bin"/><Relationship Id="rId44" Type="http://schemas.openxmlformats.org/officeDocument/2006/relationships/image" Target="media/image191.wmf"/><Relationship Id="rId52" Type="http://schemas.openxmlformats.org/officeDocument/2006/relationships/image" Target="media/image20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7326B-32AC-4430-BD99-D883B6208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17407</Words>
  <Characters>99222</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Multiple_discrete</vt:lpstr>
    </vt:vector>
  </TitlesOfParts>
  <Company>UT Austin</Company>
  <LinksUpToDate>false</LinksUpToDate>
  <CharactersWithSpaces>116397</CharactersWithSpaces>
  <SharedDoc>false</SharedDoc>
  <HLinks>
    <vt:vector size="30" baseType="variant">
      <vt:variant>
        <vt:i4>2490476</vt:i4>
      </vt:variant>
      <vt:variant>
        <vt:i4>918</vt:i4>
      </vt:variant>
      <vt:variant>
        <vt:i4>0</vt:i4>
      </vt:variant>
      <vt:variant>
        <vt:i4>5</vt:i4>
      </vt:variant>
      <vt:variant>
        <vt:lpwstr>https://doi.org/10.2307/1907382</vt:lpwstr>
      </vt:variant>
      <vt:variant>
        <vt:lpwstr/>
      </vt:variant>
      <vt:variant>
        <vt:i4>2883692</vt:i4>
      </vt:variant>
      <vt:variant>
        <vt:i4>915</vt:i4>
      </vt:variant>
      <vt:variant>
        <vt:i4>0</vt:i4>
      </vt:variant>
      <vt:variant>
        <vt:i4>5</vt:i4>
      </vt:variant>
      <vt:variant>
        <vt:lpwstr>https://doi.org/10.2307/1910254</vt:lpwstr>
      </vt:variant>
      <vt:variant>
        <vt:lpwstr/>
      </vt:variant>
      <vt:variant>
        <vt:i4>2359359</vt:i4>
      </vt:variant>
      <vt:variant>
        <vt:i4>912</vt:i4>
      </vt:variant>
      <vt:variant>
        <vt:i4>0</vt:i4>
      </vt:variant>
      <vt:variant>
        <vt:i4>5</vt:i4>
      </vt:variant>
      <vt:variant>
        <vt:lpwstr>https://doi.org/10.1111/j.1467-999X.1961.tb00819.x</vt:lpwstr>
      </vt:variant>
      <vt:variant>
        <vt:lpwstr/>
      </vt:variant>
      <vt:variant>
        <vt:i4>2556011</vt:i4>
      </vt:variant>
      <vt:variant>
        <vt:i4>909</vt:i4>
      </vt:variant>
      <vt:variant>
        <vt:i4>0</vt:i4>
      </vt:variant>
      <vt:variant>
        <vt:i4>5</vt:i4>
      </vt:variant>
      <vt:variant>
        <vt:lpwstr>https://doi.org/10.2307/1909472</vt:lpwstr>
      </vt:variant>
      <vt:variant>
        <vt:lpwstr/>
      </vt:variant>
      <vt:variant>
        <vt:i4>1507430</vt:i4>
      </vt:variant>
      <vt:variant>
        <vt:i4>0</vt:i4>
      </vt:variant>
      <vt:variant>
        <vt:i4>0</vt:i4>
      </vt:variant>
      <vt:variant>
        <vt:i4>5</vt:i4>
      </vt:variant>
      <vt:variant>
        <vt:lpwstr>mailto:bhat@mail.utexas.edu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Multiple_discrete</dc:title>
  <dc:subject/>
  <dc:creator>weyant</dc:creator>
  <cp:keywords/>
  <dc:description/>
  <cp:lastModifiedBy>Macias, Lisa J</cp:lastModifiedBy>
  <cp:revision>2</cp:revision>
  <cp:lastPrinted>2022-08-09T16:26:00Z</cp:lastPrinted>
  <dcterms:created xsi:type="dcterms:W3CDTF">2022-08-15T22:19:00Z</dcterms:created>
  <dcterms:modified xsi:type="dcterms:W3CDTF">2022-08-15T22:19:00Z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